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5C779DC4" w14:textId="77777777" w:rsidTr="00C01462">
        <w:trPr>
          <w:cantSplit/>
          <w:trHeight w:hRule="exact" w:val="851"/>
        </w:trPr>
        <w:tc>
          <w:tcPr>
            <w:tcW w:w="1276" w:type="dxa"/>
            <w:tcBorders>
              <w:bottom w:val="single" w:sz="4" w:space="0" w:color="auto"/>
            </w:tcBorders>
            <w:vAlign w:val="bottom"/>
          </w:tcPr>
          <w:p w14:paraId="68A5F659" w14:textId="33865D56" w:rsidR="00307688" w:rsidRPr="007233F9" w:rsidRDefault="00307688" w:rsidP="007233F9">
            <w:pPr>
              <w:pStyle w:val="SingleTxtG"/>
            </w:pPr>
          </w:p>
        </w:tc>
        <w:tc>
          <w:tcPr>
            <w:tcW w:w="2268" w:type="dxa"/>
            <w:tcBorders>
              <w:bottom w:val="single" w:sz="4" w:space="0" w:color="auto"/>
            </w:tcBorders>
            <w:vAlign w:val="bottom"/>
          </w:tcPr>
          <w:p w14:paraId="41E8936B"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6C369B" w14:textId="6F5E0840" w:rsidR="00307688" w:rsidRPr="002E51B7" w:rsidRDefault="0017468D" w:rsidP="0017468D">
            <w:pPr>
              <w:suppressAutoHyphens w:val="0"/>
              <w:spacing w:after="20"/>
              <w:jc w:val="right"/>
            </w:pPr>
            <w:r w:rsidRPr="00282332">
              <w:rPr>
                <w:sz w:val="40"/>
              </w:rPr>
              <w:t>CERD</w:t>
            </w:r>
            <w:r w:rsidRPr="00282332">
              <w:t>/C/BWA/Q/17-22</w:t>
            </w:r>
          </w:p>
        </w:tc>
      </w:tr>
      <w:tr w:rsidR="00307688" w14:paraId="0289F839" w14:textId="77777777" w:rsidTr="00C01462">
        <w:trPr>
          <w:cantSplit/>
          <w:trHeight w:hRule="exact" w:val="2835"/>
        </w:trPr>
        <w:tc>
          <w:tcPr>
            <w:tcW w:w="1276" w:type="dxa"/>
            <w:tcBorders>
              <w:top w:val="single" w:sz="4" w:space="0" w:color="auto"/>
              <w:bottom w:val="single" w:sz="12" w:space="0" w:color="auto"/>
            </w:tcBorders>
          </w:tcPr>
          <w:p w14:paraId="73EC50A6" w14:textId="77777777" w:rsidR="00307688" w:rsidRDefault="00307688" w:rsidP="00C01462">
            <w:pPr>
              <w:spacing w:before="120"/>
              <w:jc w:val="center"/>
            </w:pPr>
            <w:r>
              <w:rPr>
                <w:noProof/>
                <w:lang w:val="fr-CH" w:eastAsia="fr-CH"/>
              </w:rPr>
              <w:drawing>
                <wp:inline distT="0" distB="0" distL="0" distR="0" wp14:anchorId="6C6C6C5B" wp14:editId="1685CB55">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DEF873"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43EE2F44"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2398153A" w14:textId="4992C655" w:rsidR="00307688" w:rsidRDefault="0017468D" w:rsidP="0017468D">
            <w:pPr>
              <w:spacing w:before="240"/>
            </w:pPr>
            <w:r>
              <w:t>Distr.: General</w:t>
            </w:r>
          </w:p>
          <w:p w14:paraId="1C731D87" w14:textId="5E8A6780" w:rsidR="0017468D" w:rsidRDefault="0017468D" w:rsidP="0017468D">
            <w:pPr>
              <w:suppressAutoHyphens w:val="0"/>
            </w:pPr>
            <w:r>
              <w:t>2</w:t>
            </w:r>
            <w:r w:rsidR="004032B5">
              <w:t>8</w:t>
            </w:r>
            <w:r>
              <w:t xml:space="preserve"> November 2022</w:t>
            </w:r>
          </w:p>
          <w:p w14:paraId="07407427" w14:textId="77777777" w:rsidR="0017468D" w:rsidRDefault="0017468D" w:rsidP="0017468D">
            <w:pPr>
              <w:suppressAutoHyphens w:val="0"/>
            </w:pPr>
          </w:p>
          <w:p w14:paraId="6A016632" w14:textId="77777777" w:rsidR="0017468D" w:rsidRDefault="0017468D" w:rsidP="0017468D">
            <w:pPr>
              <w:suppressAutoHyphens w:val="0"/>
            </w:pPr>
            <w:r>
              <w:t>Original: English</w:t>
            </w:r>
          </w:p>
          <w:p w14:paraId="4EB4A0CF" w14:textId="7E021733" w:rsidR="0017468D" w:rsidRDefault="0017468D" w:rsidP="0017468D">
            <w:pPr>
              <w:suppressAutoHyphens w:val="0"/>
            </w:pPr>
            <w:r>
              <w:t>English, French and Spanish only</w:t>
            </w:r>
          </w:p>
        </w:tc>
      </w:tr>
    </w:tbl>
    <w:p w14:paraId="239C1140" w14:textId="77777777" w:rsidR="0017468D" w:rsidRPr="0017468D" w:rsidRDefault="0017468D" w:rsidP="0017468D">
      <w:pPr>
        <w:spacing w:before="120"/>
        <w:rPr>
          <w:b/>
          <w:bCs/>
          <w:color w:val="000000" w:themeColor="text1"/>
          <w:sz w:val="24"/>
          <w:szCs w:val="24"/>
          <w:shd w:val="clear" w:color="000000" w:fill="FFFFFF"/>
        </w:rPr>
      </w:pPr>
      <w:r w:rsidRPr="0017468D">
        <w:rPr>
          <w:b/>
          <w:bCs/>
          <w:color w:val="000000" w:themeColor="text1"/>
          <w:sz w:val="24"/>
          <w:szCs w:val="24"/>
          <w:shd w:val="clear" w:color="000000" w:fill="FFFFFF"/>
        </w:rPr>
        <w:t>Committee on the Elimination of Racial Discrimination</w:t>
      </w:r>
    </w:p>
    <w:p w14:paraId="354E82AB" w14:textId="77777777" w:rsidR="0017468D" w:rsidRPr="0017468D" w:rsidRDefault="0017468D" w:rsidP="0017468D">
      <w:pPr>
        <w:rPr>
          <w:b/>
          <w:bCs/>
          <w:color w:val="000000" w:themeColor="text1"/>
          <w:shd w:val="clear" w:color="000000" w:fill="FFFFFF"/>
        </w:rPr>
      </w:pPr>
      <w:r w:rsidRPr="0017468D">
        <w:rPr>
          <w:b/>
          <w:bCs/>
          <w:color w:val="000000" w:themeColor="text1"/>
          <w:shd w:val="clear" w:color="000000" w:fill="FFFFFF"/>
        </w:rPr>
        <w:t>108th session</w:t>
      </w:r>
    </w:p>
    <w:p w14:paraId="1FF7995D" w14:textId="77777777" w:rsidR="0017468D" w:rsidRPr="00D21C85" w:rsidRDefault="0017468D" w:rsidP="0017468D">
      <w:pPr>
        <w:rPr>
          <w:color w:val="000000" w:themeColor="text1"/>
          <w:shd w:val="clear" w:color="000000" w:fill="FFFFFF"/>
        </w:rPr>
      </w:pPr>
      <w:r w:rsidRPr="00D21C85">
        <w:rPr>
          <w:color w:val="000000" w:themeColor="text1"/>
          <w:shd w:val="clear" w:color="000000" w:fill="FFFFFF"/>
        </w:rPr>
        <w:t>14 November–2 December 2022</w:t>
      </w:r>
    </w:p>
    <w:p w14:paraId="78C343F2" w14:textId="7B4EF030" w:rsidR="0017468D" w:rsidRPr="00D21C85" w:rsidRDefault="002176C5" w:rsidP="0017468D">
      <w:pPr>
        <w:rPr>
          <w:color w:val="000000" w:themeColor="text1"/>
          <w:shd w:val="clear" w:color="000000" w:fill="FFFFFF"/>
        </w:rPr>
      </w:pPr>
      <w:r>
        <w:rPr>
          <w:color w:val="000000" w:themeColor="text1"/>
          <w:shd w:val="clear" w:color="000000" w:fill="FFFFFF"/>
        </w:rPr>
        <w:t>A</w:t>
      </w:r>
      <w:r w:rsidR="0017468D" w:rsidRPr="00D21C85">
        <w:rPr>
          <w:color w:val="000000" w:themeColor="text1"/>
          <w:shd w:val="clear" w:color="000000" w:fill="FFFFFF"/>
        </w:rPr>
        <w:t>genda</w:t>
      </w:r>
      <w:r>
        <w:rPr>
          <w:color w:val="000000" w:themeColor="text1"/>
          <w:shd w:val="clear" w:color="000000" w:fill="FFFFFF"/>
        </w:rPr>
        <w:t xml:space="preserve"> item 4</w:t>
      </w:r>
    </w:p>
    <w:p w14:paraId="76129FD5" w14:textId="77777777" w:rsidR="0017468D" w:rsidRPr="0017468D" w:rsidRDefault="0017468D" w:rsidP="0017468D">
      <w:pPr>
        <w:rPr>
          <w:b/>
          <w:bCs/>
          <w:color w:val="000000" w:themeColor="text1"/>
          <w:shd w:val="clear" w:color="000000" w:fill="FFFFFF"/>
        </w:rPr>
      </w:pPr>
      <w:r w:rsidRPr="0017468D">
        <w:rPr>
          <w:b/>
          <w:bCs/>
          <w:color w:val="000000" w:themeColor="text1"/>
          <w:shd w:val="clear" w:color="000000" w:fill="FFFFFF"/>
        </w:rPr>
        <w:t>Consideration of reports, comments and information submitted</w:t>
      </w:r>
    </w:p>
    <w:p w14:paraId="438AB793" w14:textId="77777777" w:rsidR="0017468D" w:rsidRPr="0017468D" w:rsidRDefault="0017468D" w:rsidP="0017468D">
      <w:pPr>
        <w:rPr>
          <w:b/>
          <w:bCs/>
          <w:color w:val="000000" w:themeColor="text1"/>
          <w:shd w:val="clear" w:color="000000" w:fill="FFFFFF"/>
        </w:rPr>
      </w:pPr>
      <w:r w:rsidRPr="0017468D">
        <w:rPr>
          <w:b/>
          <w:bCs/>
          <w:color w:val="000000" w:themeColor="text1"/>
          <w:shd w:val="clear" w:color="000000" w:fill="FFFFFF"/>
        </w:rPr>
        <w:t>by States parties under article 9 of the Convention</w:t>
      </w:r>
    </w:p>
    <w:p w14:paraId="3BB14C5B" w14:textId="77777777" w:rsidR="0017468D" w:rsidRPr="00D21C85" w:rsidRDefault="0017468D" w:rsidP="0017468D">
      <w:pPr>
        <w:pStyle w:val="HChG"/>
        <w:rPr>
          <w:shd w:val="clear" w:color="000000" w:fill="FFFFFF"/>
        </w:rPr>
      </w:pPr>
      <w:r w:rsidRPr="00D21C85">
        <w:rPr>
          <w:shd w:val="clear" w:color="000000" w:fill="FFFFFF"/>
        </w:rPr>
        <w:tab/>
      </w:r>
      <w:r w:rsidRPr="00D21C85">
        <w:rPr>
          <w:shd w:val="clear" w:color="000000" w:fill="FFFFFF"/>
        </w:rPr>
        <w:tab/>
        <w:t>List of themes in relation to the combined seventeenth to twenty-second periodic reports of Botswana</w:t>
      </w:r>
    </w:p>
    <w:p w14:paraId="1BCB239D" w14:textId="77777777" w:rsidR="0017468D" w:rsidRPr="00D21C85" w:rsidRDefault="0017468D" w:rsidP="0017468D">
      <w:pPr>
        <w:pStyle w:val="H1G"/>
        <w:rPr>
          <w:shd w:val="clear" w:color="000000" w:fill="FFFFFF"/>
        </w:rPr>
      </w:pPr>
      <w:r w:rsidRPr="00D21C85">
        <w:rPr>
          <w:shd w:val="clear" w:color="000000" w:fill="FFFFFF"/>
        </w:rPr>
        <w:tab/>
      </w:r>
      <w:r w:rsidRPr="00D21C85">
        <w:rPr>
          <w:shd w:val="clear" w:color="000000" w:fill="FFFFFF"/>
        </w:rPr>
        <w:tab/>
        <w:t>Note by the Country Rapporteur</w:t>
      </w:r>
      <w:r w:rsidRPr="0017468D">
        <w:rPr>
          <w:b w:val="0"/>
          <w:bCs/>
          <w:sz w:val="20"/>
          <w:szCs w:val="16"/>
          <w:shd w:val="clear" w:color="000000" w:fill="FFFFFF"/>
        </w:rPr>
        <w:footnoteReference w:customMarkFollows="1" w:id="1"/>
        <w:t>*</w:t>
      </w:r>
    </w:p>
    <w:p w14:paraId="5B220EBB" w14:textId="18F03BF1" w:rsidR="0017468D" w:rsidRPr="00D21C85" w:rsidRDefault="0017468D" w:rsidP="0017468D">
      <w:pPr>
        <w:pStyle w:val="SingleTxtG"/>
        <w:rPr>
          <w:shd w:val="clear" w:color="000000" w:fill="FFFFFF"/>
        </w:rPr>
      </w:pPr>
      <w:r w:rsidRPr="00D21C85">
        <w:rPr>
          <w:shd w:val="clear" w:color="000000" w:fill="FFFFFF"/>
        </w:rPr>
        <w:t>1.</w:t>
      </w:r>
      <w:r w:rsidRPr="00D21C85">
        <w:rPr>
          <w:shd w:val="clear" w:color="000000" w:fill="FFFFFF"/>
        </w:rPr>
        <w:tab/>
        <w:t>The Committee on the Elimination of Racial Discrimination decided at its seventy-sixth session</w:t>
      </w:r>
      <w:r w:rsidRPr="0017468D">
        <w:rPr>
          <w:rStyle w:val="FootnoteReference"/>
        </w:rPr>
        <w:footnoteReference w:id="2"/>
      </w:r>
      <w:r w:rsidRPr="00D21C85">
        <w:rPr>
          <w:shd w:val="clear" w:color="000000" w:fill="FFFFFF"/>
        </w:rPr>
        <w:t xml:space="preserve"> that the Country Rapporteur would send to the State party concerned a short list of themes with a view to guiding and focusing the dialogue between the State party</w:t>
      </w:r>
      <w:r w:rsidR="00282332">
        <w:rPr>
          <w:shd w:val="clear" w:color="000000" w:fill="FFFFFF"/>
        </w:rPr>
        <w:t>’</w:t>
      </w:r>
      <w:r w:rsidRPr="00D21C85">
        <w:rPr>
          <w:shd w:val="clear" w:color="000000" w:fill="FFFFFF"/>
        </w:rPr>
        <w:t>s delegation and the Committee during the consideration of the State party</w:t>
      </w:r>
      <w:r w:rsidR="00282332">
        <w:rPr>
          <w:shd w:val="clear" w:color="000000" w:fill="FFFFFF"/>
        </w:rPr>
        <w:t>’</w:t>
      </w:r>
      <w:r w:rsidRPr="00D21C85">
        <w:rPr>
          <w:shd w:val="clear" w:color="000000" w:fill="FFFFFF"/>
        </w:rPr>
        <w:t>s report. The present document contains a list of such themes. It is not an exhaustive list; other issues may also be raised in the course of the dialogue. No written replies are required.</w:t>
      </w:r>
    </w:p>
    <w:p w14:paraId="449C0DD3" w14:textId="085358FA" w:rsidR="0017468D" w:rsidRPr="00D21C85" w:rsidRDefault="0017468D" w:rsidP="0017468D">
      <w:pPr>
        <w:pStyle w:val="H23G"/>
        <w:rPr>
          <w:shd w:val="clear" w:color="000000" w:fill="FFFFFF"/>
        </w:rPr>
      </w:pPr>
      <w:r w:rsidRPr="00D21C85">
        <w:rPr>
          <w:shd w:val="clear" w:color="000000" w:fill="FFFFFF"/>
        </w:rPr>
        <w:tab/>
      </w:r>
      <w:r>
        <w:rPr>
          <w:shd w:val="clear" w:color="000000" w:fill="FFFFFF"/>
        </w:rPr>
        <w:tab/>
      </w:r>
      <w:r w:rsidRPr="00D21C85">
        <w:rPr>
          <w:shd w:val="clear" w:color="000000" w:fill="FFFFFF"/>
        </w:rPr>
        <w:t xml:space="preserve">The Convention in domestic law and the institutional and policy framework </w:t>
      </w:r>
      <w:r w:rsidRPr="00D21C85">
        <w:rPr>
          <w:shd w:val="clear" w:color="000000" w:fill="FFFFFF"/>
        </w:rPr>
        <w:br/>
        <w:t>for its implementation (arts. 1, 2, 4, 6 and 7)</w:t>
      </w:r>
    </w:p>
    <w:p w14:paraId="31CB3517" w14:textId="77777777" w:rsidR="0017468D" w:rsidRPr="00D21C85" w:rsidRDefault="0017468D" w:rsidP="0017468D">
      <w:pPr>
        <w:pStyle w:val="SingleTxtG"/>
        <w:rPr>
          <w:shd w:val="clear" w:color="000000" w:fill="FFFFFF"/>
        </w:rPr>
      </w:pPr>
      <w:r w:rsidRPr="00D21C85">
        <w:rPr>
          <w:shd w:val="clear" w:color="000000" w:fill="FFFFFF"/>
        </w:rPr>
        <w:t>2.</w:t>
      </w:r>
      <w:r w:rsidRPr="00D21C85">
        <w:rPr>
          <w:shd w:val="clear" w:color="000000" w:fill="FFFFFF"/>
        </w:rPr>
        <w:tab/>
        <w:t>Examples of cases where the Convention has been invoked by domestic courts; updated information on the measures taken to increase the visibility of the Convention among the population, judges, lawyers and other law enforcement officials, and on the impact of those measures.</w:t>
      </w:r>
      <w:r w:rsidRPr="0017468D">
        <w:rPr>
          <w:rStyle w:val="FootnoteReference"/>
        </w:rPr>
        <w:footnoteReference w:id="3"/>
      </w:r>
    </w:p>
    <w:p w14:paraId="5BC07A3C" w14:textId="3213C629" w:rsidR="0017468D" w:rsidRPr="00D21C85" w:rsidRDefault="0017468D" w:rsidP="0017468D">
      <w:pPr>
        <w:pStyle w:val="SingleTxtG"/>
        <w:rPr>
          <w:shd w:val="clear" w:color="000000" w:fill="FFFFFF"/>
        </w:rPr>
      </w:pPr>
      <w:r w:rsidRPr="00D21C85">
        <w:rPr>
          <w:shd w:val="clear" w:color="000000" w:fill="FFFFFF"/>
        </w:rPr>
        <w:t>3.</w:t>
      </w:r>
      <w:r w:rsidRPr="00D21C85">
        <w:rPr>
          <w:shd w:val="clear" w:color="000000" w:fill="FFFFFF"/>
        </w:rPr>
        <w:tab/>
        <w:t>Information on the ethnic composition of the State party</w:t>
      </w:r>
      <w:r w:rsidR="00282332">
        <w:rPr>
          <w:shd w:val="clear" w:color="000000" w:fill="FFFFFF"/>
        </w:rPr>
        <w:t>’</w:t>
      </w:r>
      <w:r w:rsidRPr="00D21C85">
        <w:rPr>
          <w:shd w:val="clear" w:color="000000" w:fill="FFFFFF"/>
        </w:rPr>
        <w:t>s population, including non-citizens such as asylum-seekers, refugees, stateless persons and migrants, and on the procedures in place for the recognition of national or ethnic minorities and Indigenous Peoples in the State party.</w:t>
      </w:r>
      <w:r w:rsidRPr="0017468D">
        <w:rPr>
          <w:rStyle w:val="FootnoteReference"/>
        </w:rPr>
        <w:footnoteReference w:id="4"/>
      </w:r>
    </w:p>
    <w:p w14:paraId="021E498F" w14:textId="35333AAE" w:rsidR="0017468D" w:rsidRPr="00D21C85" w:rsidRDefault="0017468D" w:rsidP="0017468D">
      <w:pPr>
        <w:pStyle w:val="SingleTxtG"/>
        <w:rPr>
          <w:shd w:val="clear" w:color="000000" w:fill="FFFFFF"/>
        </w:rPr>
      </w:pPr>
      <w:r w:rsidRPr="00D21C85">
        <w:rPr>
          <w:shd w:val="clear" w:color="000000" w:fill="FFFFFF"/>
        </w:rPr>
        <w:t>4.</w:t>
      </w:r>
      <w:r w:rsidRPr="00D21C85">
        <w:rPr>
          <w:shd w:val="clear" w:color="000000" w:fill="FFFFFF"/>
        </w:rPr>
        <w:tab/>
        <w:t>Updated information on the steps taken to review sections 3 and 15 of the Constitution to ensure their full compliance with articles 1 and 2 of the Convention, and on any other legislative measures, including the status of the unit being set up to review laws, including the Constitution. If the unit has already been established, information on the outcomes of its review to comply with the Committee</w:t>
      </w:r>
      <w:r w:rsidR="00282332">
        <w:rPr>
          <w:shd w:val="clear" w:color="000000" w:fill="FFFFFF"/>
        </w:rPr>
        <w:t>’</w:t>
      </w:r>
      <w:r w:rsidRPr="00D21C85">
        <w:rPr>
          <w:shd w:val="clear" w:color="000000" w:fill="FFFFFF"/>
        </w:rPr>
        <w:t>s recommendation to incorporate fully the definition of racial discrimination based on all grounds, as stipulated in article</w:t>
      </w:r>
      <w:r w:rsidR="00282332">
        <w:rPr>
          <w:shd w:val="clear" w:color="000000" w:fill="FFFFFF"/>
        </w:rPr>
        <w:t xml:space="preserve"> </w:t>
      </w:r>
      <w:r w:rsidRPr="00D21C85">
        <w:rPr>
          <w:shd w:val="clear" w:color="000000" w:fill="FFFFFF"/>
        </w:rPr>
        <w:t>1 (1) of the Convention, including direct and indirect discrimination, and to bring differential treatment into full compliance with articles 1 and 2 of the Convention.</w:t>
      </w:r>
      <w:r w:rsidRPr="0017468D">
        <w:rPr>
          <w:rStyle w:val="FootnoteReference"/>
        </w:rPr>
        <w:footnoteReference w:id="5"/>
      </w:r>
    </w:p>
    <w:p w14:paraId="5EF8ACCB" w14:textId="1D82FC16" w:rsidR="0017468D" w:rsidRPr="00D21C85" w:rsidRDefault="0017468D" w:rsidP="0017468D">
      <w:pPr>
        <w:pStyle w:val="SingleTxtG"/>
        <w:rPr>
          <w:shd w:val="clear" w:color="000000" w:fill="FFFFFF"/>
        </w:rPr>
      </w:pPr>
      <w:r w:rsidRPr="00D21C85">
        <w:rPr>
          <w:shd w:val="clear" w:color="000000" w:fill="FFFFFF"/>
        </w:rPr>
        <w:lastRenderedPageBreak/>
        <w:t>5.</w:t>
      </w:r>
      <w:r w:rsidRPr="00D21C85">
        <w:rPr>
          <w:shd w:val="clear" w:color="000000" w:fill="FFFFFF"/>
        </w:rPr>
        <w:tab/>
        <w:t>Detailed information on the status of the bill aimed at assigning a human rights mandate to the Office of the Ombudsman, the mandates given, in particular to facilitate the implementation of the Convention (as described in the Committee</w:t>
      </w:r>
      <w:r w:rsidR="00282332">
        <w:rPr>
          <w:shd w:val="clear" w:color="000000" w:fill="FFFFFF"/>
        </w:rPr>
        <w:t>’</w:t>
      </w:r>
      <w:r w:rsidRPr="00D21C85">
        <w:rPr>
          <w:shd w:val="clear" w:color="000000" w:fill="FFFFFF"/>
        </w:rPr>
        <w:t>s general recommendation No. 17 (1993)), and the compliance of the Office with the principles relating to the status of national institutions for the promotion and protection of human rights (the Paris Principles).</w:t>
      </w:r>
      <w:r w:rsidRPr="0017468D">
        <w:rPr>
          <w:rStyle w:val="FootnoteReference"/>
        </w:rPr>
        <w:footnoteReference w:id="6"/>
      </w:r>
    </w:p>
    <w:p w14:paraId="0509CA48" w14:textId="77777777" w:rsidR="0017468D" w:rsidRPr="00D21C85" w:rsidRDefault="0017468D" w:rsidP="0017468D">
      <w:pPr>
        <w:pStyle w:val="SingleTxtG"/>
        <w:rPr>
          <w:shd w:val="clear" w:color="000000" w:fill="FFFFFF"/>
        </w:rPr>
      </w:pPr>
      <w:r w:rsidRPr="00D21C85">
        <w:rPr>
          <w:shd w:val="clear" w:color="000000" w:fill="FFFFFF"/>
        </w:rPr>
        <w:t>6.</w:t>
      </w:r>
      <w:r w:rsidRPr="00D21C85">
        <w:rPr>
          <w:shd w:val="clear" w:color="000000" w:fill="FFFFFF"/>
        </w:rPr>
        <w:tab/>
        <w:t xml:space="preserve">Information on special measures for the advancement of groups and individuals protected under the Convention, in particular the </w:t>
      </w:r>
      <w:proofErr w:type="spellStart"/>
      <w:r w:rsidRPr="00D21C85">
        <w:rPr>
          <w:shd w:val="clear" w:color="000000" w:fill="FFFFFF"/>
        </w:rPr>
        <w:t>Basarwa</w:t>
      </w:r>
      <w:proofErr w:type="spellEnd"/>
      <w:r w:rsidRPr="00D21C85">
        <w:rPr>
          <w:shd w:val="clear" w:color="000000" w:fill="FFFFFF"/>
        </w:rPr>
        <w:t xml:space="preserve"> and other non-Setswana speaking groups such as the Kalanga, the </w:t>
      </w:r>
      <w:proofErr w:type="spellStart"/>
      <w:r w:rsidRPr="00D21C85">
        <w:rPr>
          <w:shd w:val="clear" w:color="000000" w:fill="FFFFFF"/>
        </w:rPr>
        <w:t>Basubiya</w:t>
      </w:r>
      <w:proofErr w:type="spellEnd"/>
      <w:r w:rsidRPr="00D21C85">
        <w:rPr>
          <w:shd w:val="clear" w:color="000000" w:fill="FFFFFF"/>
        </w:rPr>
        <w:t xml:space="preserve"> and the </w:t>
      </w:r>
      <w:proofErr w:type="spellStart"/>
      <w:r w:rsidRPr="00D21C85">
        <w:rPr>
          <w:shd w:val="clear" w:color="000000" w:fill="FFFFFF"/>
        </w:rPr>
        <w:t>Wayeyi</w:t>
      </w:r>
      <w:proofErr w:type="spellEnd"/>
      <w:r w:rsidRPr="00D21C85">
        <w:rPr>
          <w:shd w:val="clear" w:color="000000" w:fill="FFFFFF"/>
        </w:rPr>
        <w:t>, and on the impact of those measures.</w:t>
      </w:r>
      <w:r w:rsidRPr="0017468D">
        <w:rPr>
          <w:rStyle w:val="FootnoteReference"/>
        </w:rPr>
        <w:footnoteReference w:id="7"/>
      </w:r>
    </w:p>
    <w:p w14:paraId="63A1F12A" w14:textId="77777777" w:rsidR="0017468D" w:rsidRPr="00D21C85" w:rsidRDefault="0017468D" w:rsidP="0017468D">
      <w:pPr>
        <w:pStyle w:val="SingleTxtG"/>
        <w:rPr>
          <w:shd w:val="clear" w:color="000000" w:fill="FFFFFF"/>
        </w:rPr>
      </w:pPr>
      <w:r w:rsidRPr="00D21C85">
        <w:rPr>
          <w:shd w:val="clear" w:color="000000" w:fill="FFFFFF"/>
        </w:rPr>
        <w:t>7.</w:t>
      </w:r>
      <w:r w:rsidRPr="00D21C85">
        <w:rPr>
          <w:shd w:val="clear" w:color="000000" w:fill="FFFFFF"/>
        </w:rPr>
        <w:tab/>
        <w:t xml:space="preserve">Information on the plans to conduct a comprehensive law reform aimed at a possible review of the Constitutional and other legislative provisions that may have the effect of creating or perpetuating discrimination against the most disadvantaged groups, including in terms of ensuring their equal and effective representation in the </w:t>
      </w:r>
      <w:proofErr w:type="spellStart"/>
      <w:r w:rsidRPr="00D21C85">
        <w:rPr>
          <w:shd w:val="clear" w:color="000000" w:fill="FFFFFF"/>
        </w:rPr>
        <w:t>Ntlo</w:t>
      </w:r>
      <w:proofErr w:type="spellEnd"/>
      <w:r w:rsidRPr="00D21C85">
        <w:rPr>
          <w:shd w:val="clear" w:color="000000" w:fill="FFFFFF"/>
        </w:rPr>
        <w:t xml:space="preserve"> </w:t>
      </w:r>
      <w:proofErr w:type="spellStart"/>
      <w:r w:rsidRPr="00D21C85">
        <w:rPr>
          <w:shd w:val="clear" w:color="000000" w:fill="FFFFFF"/>
        </w:rPr>
        <w:t>ya</w:t>
      </w:r>
      <w:proofErr w:type="spellEnd"/>
      <w:r w:rsidRPr="00D21C85">
        <w:rPr>
          <w:shd w:val="clear" w:color="000000" w:fill="FFFFFF"/>
        </w:rPr>
        <w:t xml:space="preserve"> </w:t>
      </w:r>
      <w:proofErr w:type="spellStart"/>
      <w:r w:rsidRPr="00D21C85">
        <w:rPr>
          <w:shd w:val="clear" w:color="000000" w:fill="FFFFFF"/>
        </w:rPr>
        <w:t>Dikgosi</w:t>
      </w:r>
      <w:proofErr w:type="spellEnd"/>
      <w:r w:rsidRPr="00D21C85">
        <w:rPr>
          <w:shd w:val="clear" w:color="000000" w:fill="FFFFFF"/>
        </w:rPr>
        <w:t xml:space="preserve"> (House of Chiefs); further information on developments in the legal framework and the policies introduced to give effect to the provisions of article 2 of the Convention, including on the impact of the </w:t>
      </w:r>
      <w:proofErr w:type="spellStart"/>
      <w:r w:rsidRPr="00D21C85">
        <w:rPr>
          <w:shd w:val="clear" w:color="000000" w:fill="FFFFFF"/>
        </w:rPr>
        <w:t>Bogosi</w:t>
      </w:r>
      <w:proofErr w:type="spellEnd"/>
      <w:r w:rsidRPr="00D21C85">
        <w:rPr>
          <w:shd w:val="clear" w:color="000000" w:fill="FFFFFF"/>
        </w:rPr>
        <w:t xml:space="preserve"> Act, which repealed the Chieftainship Act.</w:t>
      </w:r>
      <w:r w:rsidRPr="0017468D">
        <w:rPr>
          <w:rStyle w:val="FootnoteReference"/>
        </w:rPr>
        <w:footnoteReference w:id="8"/>
      </w:r>
    </w:p>
    <w:p w14:paraId="56ADBD43" w14:textId="77777777" w:rsidR="0017468D" w:rsidRPr="00D21C85" w:rsidRDefault="0017468D" w:rsidP="0017468D">
      <w:pPr>
        <w:pStyle w:val="SingleTxtG"/>
        <w:rPr>
          <w:shd w:val="clear" w:color="000000" w:fill="FFFFFF"/>
        </w:rPr>
      </w:pPr>
      <w:r w:rsidRPr="00D21C85">
        <w:rPr>
          <w:shd w:val="clear" w:color="000000" w:fill="FFFFFF"/>
        </w:rPr>
        <w:t>8.</w:t>
      </w:r>
      <w:r w:rsidRPr="00D21C85">
        <w:rPr>
          <w:shd w:val="clear" w:color="000000" w:fill="FFFFFF"/>
        </w:rPr>
        <w:tab/>
        <w:t>The status of the planned law on community-based national resource management, aimed at overcoming the segregation of the disadvantaged population residing in remote areas.</w:t>
      </w:r>
      <w:r w:rsidRPr="0017468D">
        <w:rPr>
          <w:rStyle w:val="FootnoteReference"/>
        </w:rPr>
        <w:footnoteReference w:id="9"/>
      </w:r>
    </w:p>
    <w:p w14:paraId="6242877C" w14:textId="18D95086" w:rsidR="0017468D" w:rsidRPr="00D21C85" w:rsidRDefault="0017468D" w:rsidP="0017468D">
      <w:pPr>
        <w:pStyle w:val="H23G"/>
        <w:rPr>
          <w:shd w:val="clear" w:color="000000" w:fill="FFFFFF"/>
        </w:rPr>
      </w:pPr>
      <w:r w:rsidRPr="00D21C85">
        <w:rPr>
          <w:shd w:val="clear" w:color="000000" w:fill="FFFFFF"/>
        </w:rPr>
        <w:tab/>
      </w:r>
      <w:r>
        <w:rPr>
          <w:shd w:val="clear" w:color="000000" w:fill="FFFFFF"/>
        </w:rPr>
        <w:tab/>
      </w:r>
      <w:r w:rsidRPr="00D21C85">
        <w:rPr>
          <w:shd w:val="clear" w:color="000000" w:fill="FFFFFF"/>
        </w:rPr>
        <w:t>Racist hate speech, incitement to racial hatred and hate crimes (arts.</w:t>
      </w:r>
      <w:r w:rsidR="00282332">
        <w:rPr>
          <w:shd w:val="clear" w:color="000000" w:fill="FFFFFF"/>
        </w:rPr>
        <w:t xml:space="preserve"> </w:t>
      </w:r>
      <w:r w:rsidRPr="00D21C85">
        <w:rPr>
          <w:shd w:val="clear" w:color="000000" w:fill="FFFFFF"/>
        </w:rPr>
        <w:t>2, 4 and 6)</w:t>
      </w:r>
    </w:p>
    <w:p w14:paraId="2D547937" w14:textId="77777777" w:rsidR="0017468D" w:rsidRPr="00D21C85" w:rsidRDefault="0017468D" w:rsidP="0017468D">
      <w:pPr>
        <w:pStyle w:val="SingleTxtG"/>
        <w:rPr>
          <w:shd w:val="clear" w:color="000000" w:fill="FFFFFF"/>
        </w:rPr>
      </w:pPr>
      <w:r w:rsidRPr="00D21C85">
        <w:rPr>
          <w:shd w:val="clear" w:color="000000" w:fill="FFFFFF"/>
        </w:rPr>
        <w:t>9.</w:t>
      </w:r>
      <w:r w:rsidRPr="00D21C85">
        <w:rPr>
          <w:shd w:val="clear" w:color="000000" w:fill="FFFFFF"/>
        </w:rPr>
        <w:tab/>
        <w:t>Information on measures taken to criminalize the dissemination of ideas based on racial superiority or hatred, incitement to racial hatred and discrimination and to revise section 94 (2) of the Penal Code.</w:t>
      </w:r>
      <w:r w:rsidRPr="0017468D">
        <w:rPr>
          <w:rStyle w:val="FootnoteReference"/>
        </w:rPr>
        <w:footnoteReference w:id="10"/>
      </w:r>
    </w:p>
    <w:p w14:paraId="1CBAEC4E" w14:textId="77777777" w:rsidR="0017468D" w:rsidRPr="00D21C85" w:rsidRDefault="0017468D" w:rsidP="0017468D">
      <w:pPr>
        <w:pStyle w:val="SingleTxtG"/>
        <w:rPr>
          <w:shd w:val="clear" w:color="000000" w:fill="FFFFFF"/>
        </w:rPr>
      </w:pPr>
      <w:r w:rsidRPr="00D21C85">
        <w:rPr>
          <w:shd w:val="clear" w:color="000000" w:fill="FFFFFF"/>
        </w:rPr>
        <w:t>10.</w:t>
      </w:r>
      <w:r w:rsidRPr="00D21C85">
        <w:rPr>
          <w:shd w:val="clear" w:color="000000" w:fill="FFFFFF"/>
        </w:rPr>
        <w:tab/>
        <w:t>Updated information on any cases considered or decisions taken by national courts regarding acts of racial discrimination, in particular offences referred to in the subparagraphs of article 4 of the Convention; statistical data, disaggregated by sex, age and ethnic or national origin, on complaints filed, investigations, prosecutions launched and sentences handed down for acts prohibited under article 4 of the Convention and on reparation provided to the victims.</w:t>
      </w:r>
      <w:r w:rsidRPr="0017468D">
        <w:rPr>
          <w:rStyle w:val="FootnoteReference"/>
        </w:rPr>
        <w:footnoteReference w:id="11"/>
      </w:r>
    </w:p>
    <w:p w14:paraId="4A081E17" w14:textId="77777777" w:rsidR="0017468D" w:rsidRPr="00D21C85" w:rsidRDefault="0017468D" w:rsidP="0017468D">
      <w:pPr>
        <w:pStyle w:val="SingleTxtG"/>
        <w:rPr>
          <w:shd w:val="clear" w:color="000000" w:fill="FFFFFF"/>
        </w:rPr>
      </w:pPr>
      <w:r w:rsidRPr="00D21C85">
        <w:rPr>
          <w:shd w:val="clear" w:color="000000" w:fill="FFFFFF"/>
        </w:rPr>
        <w:t>11.</w:t>
      </w:r>
      <w:r w:rsidRPr="00D21C85">
        <w:rPr>
          <w:shd w:val="clear" w:color="000000" w:fill="FFFFFF"/>
        </w:rPr>
        <w:tab/>
        <w:t>Consideration by the courts of racial motives as an aggravating circumstance, in the absence of an explicit provision to that effect.</w:t>
      </w:r>
      <w:r w:rsidRPr="0017468D">
        <w:rPr>
          <w:rStyle w:val="FootnoteReference"/>
        </w:rPr>
        <w:footnoteReference w:id="12"/>
      </w:r>
    </w:p>
    <w:p w14:paraId="34772336" w14:textId="7735BE5F" w:rsidR="0017468D" w:rsidRPr="00D21C85" w:rsidRDefault="0017468D" w:rsidP="0017468D">
      <w:pPr>
        <w:pStyle w:val="H23G"/>
        <w:rPr>
          <w:shd w:val="clear" w:color="000000" w:fill="FFFFFF"/>
        </w:rPr>
      </w:pPr>
      <w:r w:rsidRPr="00D21C85">
        <w:rPr>
          <w:shd w:val="clear" w:color="000000" w:fill="FFFFFF"/>
        </w:rPr>
        <w:tab/>
      </w:r>
      <w:r>
        <w:rPr>
          <w:shd w:val="clear" w:color="000000" w:fill="FFFFFF"/>
        </w:rPr>
        <w:tab/>
      </w:r>
      <w:r w:rsidRPr="00D21C85">
        <w:rPr>
          <w:shd w:val="clear" w:color="000000" w:fill="FFFFFF"/>
        </w:rPr>
        <w:t>Situation of ethnic minorities and Indigenous People (art.</w:t>
      </w:r>
      <w:r w:rsidR="00282332">
        <w:rPr>
          <w:shd w:val="clear" w:color="000000" w:fill="FFFFFF"/>
        </w:rPr>
        <w:t xml:space="preserve"> </w:t>
      </w:r>
      <w:r w:rsidRPr="00D21C85">
        <w:rPr>
          <w:shd w:val="clear" w:color="000000" w:fill="FFFFFF"/>
        </w:rPr>
        <w:t>5)</w:t>
      </w:r>
    </w:p>
    <w:p w14:paraId="598E93B3" w14:textId="77777777" w:rsidR="0017468D" w:rsidRPr="00D21C85" w:rsidRDefault="0017468D" w:rsidP="0017468D">
      <w:pPr>
        <w:pStyle w:val="SingleTxtG"/>
        <w:rPr>
          <w:shd w:val="clear" w:color="000000" w:fill="FFFFFF"/>
        </w:rPr>
      </w:pPr>
      <w:r w:rsidRPr="00D21C85">
        <w:rPr>
          <w:shd w:val="clear" w:color="000000" w:fill="FFFFFF"/>
        </w:rPr>
        <w:t>12.</w:t>
      </w:r>
      <w:r w:rsidRPr="00D21C85">
        <w:rPr>
          <w:shd w:val="clear" w:color="000000" w:fill="FFFFFF"/>
        </w:rPr>
        <w:tab/>
        <w:t xml:space="preserve">Measures taken to protect the </w:t>
      </w:r>
      <w:proofErr w:type="spellStart"/>
      <w:r w:rsidRPr="00D21C85">
        <w:rPr>
          <w:shd w:val="clear" w:color="000000" w:fill="FFFFFF"/>
        </w:rPr>
        <w:t>Basarwa</w:t>
      </w:r>
      <w:proofErr w:type="spellEnd"/>
      <w:r w:rsidRPr="00D21C85">
        <w:rPr>
          <w:shd w:val="clear" w:color="000000" w:fill="FFFFFF"/>
        </w:rPr>
        <w:t xml:space="preserve"> people from continuous dispossession of, and any measures to hinder their free access to, their lands, with the necessary infrastructure and public services; information on the implementation of the 2006 High Court ruling in the case of </w:t>
      </w:r>
      <w:r w:rsidRPr="00282332">
        <w:rPr>
          <w:i/>
          <w:iCs/>
          <w:shd w:val="clear" w:color="000000" w:fill="FFFFFF"/>
        </w:rPr>
        <w:t xml:space="preserve">Roy </w:t>
      </w:r>
      <w:proofErr w:type="spellStart"/>
      <w:r w:rsidRPr="00282332">
        <w:rPr>
          <w:i/>
          <w:iCs/>
          <w:shd w:val="clear" w:color="000000" w:fill="FFFFFF"/>
        </w:rPr>
        <w:t>Sesana</w:t>
      </w:r>
      <w:proofErr w:type="spellEnd"/>
      <w:r w:rsidRPr="00282332">
        <w:rPr>
          <w:i/>
          <w:iCs/>
          <w:shd w:val="clear" w:color="000000" w:fill="FFFFFF"/>
        </w:rPr>
        <w:t xml:space="preserve"> and others v. Attorney General</w:t>
      </w:r>
      <w:r w:rsidRPr="00D21C85">
        <w:rPr>
          <w:shd w:val="clear" w:color="000000" w:fill="FFFFFF"/>
        </w:rPr>
        <w:t xml:space="preserve"> and any other pending cases concerning the same subject.</w:t>
      </w:r>
      <w:r w:rsidRPr="0017468D">
        <w:rPr>
          <w:rStyle w:val="FootnoteReference"/>
        </w:rPr>
        <w:footnoteReference w:id="13"/>
      </w:r>
    </w:p>
    <w:p w14:paraId="4DC52600" w14:textId="77777777" w:rsidR="0017468D" w:rsidRPr="00D21C85" w:rsidRDefault="0017468D" w:rsidP="0017468D">
      <w:pPr>
        <w:pStyle w:val="SingleTxtG"/>
        <w:rPr>
          <w:shd w:val="clear" w:color="000000" w:fill="FFFFFF"/>
        </w:rPr>
      </w:pPr>
      <w:r w:rsidRPr="00D21C85">
        <w:rPr>
          <w:shd w:val="clear" w:color="000000" w:fill="FFFFFF"/>
        </w:rPr>
        <w:t>13.</w:t>
      </w:r>
      <w:r w:rsidRPr="00D21C85">
        <w:rPr>
          <w:shd w:val="clear" w:color="000000" w:fill="FFFFFF"/>
        </w:rPr>
        <w:tab/>
        <w:t>Information on the measures taken to provide primary education in the main mother tongues of non-Setswana speaking tribes and to eliminate the obstacles hindering children belonging to those tribes from benefiting from the educational curricula owing to linguistic barriers.</w:t>
      </w:r>
      <w:r w:rsidRPr="0017468D">
        <w:rPr>
          <w:rStyle w:val="FootnoteReference"/>
        </w:rPr>
        <w:footnoteReference w:id="14"/>
      </w:r>
    </w:p>
    <w:p w14:paraId="1F4F9E07" w14:textId="77777777" w:rsidR="0017468D" w:rsidRPr="00D21C85" w:rsidRDefault="0017468D" w:rsidP="0017468D">
      <w:pPr>
        <w:pStyle w:val="SingleTxtG"/>
        <w:rPr>
          <w:shd w:val="clear" w:color="000000" w:fill="FFFFFF"/>
        </w:rPr>
      </w:pPr>
      <w:r w:rsidRPr="00D21C85">
        <w:rPr>
          <w:shd w:val="clear" w:color="000000" w:fill="FFFFFF"/>
        </w:rPr>
        <w:lastRenderedPageBreak/>
        <w:t>14.</w:t>
      </w:r>
      <w:r w:rsidRPr="00D21C85">
        <w:rPr>
          <w:shd w:val="clear" w:color="000000" w:fill="FFFFFF"/>
        </w:rPr>
        <w:tab/>
        <w:t>Information on the measures taken to give children from non-Setswana tribes access to schools close to their family home so that they are no longer separated from their families by being sent to remote schools and to live in uncomfortable hostels, and to ensure that they have equal access to quality education.</w:t>
      </w:r>
      <w:r w:rsidRPr="0017468D">
        <w:rPr>
          <w:rStyle w:val="FootnoteReference"/>
        </w:rPr>
        <w:footnoteReference w:id="15"/>
      </w:r>
    </w:p>
    <w:p w14:paraId="4C6E25B8" w14:textId="77777777" w:rsidR="0017468D" w:rsidRPr="00D21C85" w:rsidRDefault="0017468D" w:rsidP="0017468D">
      <w:pPr>
        <w:pStyle w:val="SingleTxtG"/>
        <w:rPr>
          <w:shd w:val="clear" w:color="000000" w:fill="FFFFFF"/>
        </w:rPr>
      </w:pPr>
      <w:r w:rsidRPr="00D21C85">
        <w:rPr>
          <w:shd w:val="clear" w:color="000000" w:fill="FFFFFF"/>
        </w:rPr>
        <w:t>15.</w:t>
      </w:r>
      <w:r w:rsidRPr="00D21C85">
        <w:rPr>
          <w:shd w:val="clear" w:color="000000" w:fill="FFFFFF"/>
        </w:rPr>
        <w:tab/>
        <w:t>Additional updated information on the measures taken to ensure the enjoyment of the rights set out in article 5 of the Convention by all vulnerable ethnic groups, in particular non-Setswana speaking communities, and on the results of those measures.</w:t>
      </w:r>
      <w:r w:rsidRPr="0017468D">
        <w:rPr>
          <w:rStyle w:val="FootnoteReference"/>
        </w:rPr>
        <w:footnoteReference w:id="16"/>
      </w:r>
    </w:p>
    <w:p w14:paraId="38A9E002" w14:textId="497B8516" w:rsidR="0017468D" w:rsidRPr="00D21C85" w:rsidRDefault="00786D5A" w:rsidP="00786D5A">
      <w:pPr>
        <w:pStyle w:val="H23G"/>
        <w:rPr>
          <w:shd w:val="clear" w:color="000000" w:fill="FFFFFF"/>
        </w:rPr>
      </w:pPr>
      <w:r>
        <w:rPr>
          <w:shd w:val="clear" w:color="000000" w:fill="FFFFFF"/>
        </w:rPr>
        <w:tab/>
      </w:r>
      <w:r>
        <w:rPr>
          <w:shd w:val="clear" w:color="000000" w:fill="FFFFFF"/>
        </w:rPr>
        <w:tab/>
      </w:r>
      <w:r w:rsidR="0017468D" w:rsidRPr="00D21C85">
        <w:rPr>
          <w:shd w:val="clear" w:color="000000" w:fill="FFFFFF"/>
        </w:rPr>
        <w:t>Situation of victims of trafficking in persons (arts.</w:t>
      </w:r>
      <w:r w:rsidR="00282332">
        <w:rPr>
          <w:shd w:val="clear" w:color="000000" w:fill="FFFFFF"/>
        </w:rPr>
        <w:t xml:space="preserve"> </w:t>
      </w:r>
      <w:r w:rsidR="0017468D" w:rsidRPr="00D21C85">
        <w:rPr>
          <w:shd w:val="clear" w:color="000000" w:fill="FFFFFF"/>
        </w:rPr>
        <w:t>2–7)</w:t>
      </w:r>
    </w:p>
    <w:p w14:paraId="6803703C" w14:textId="77777777" w:rsidR="0017468D" w:rsidRPr="00D21C85" w:rsidRDefault="0017468D" w:rsidP="0017468D">
      <w:pPr>
        <w:pStyle w:val="SingleTxtG"/>
        <w:rPr>
          <w:shd w:val="clear" w:color="000000" w:fill="FFFFFF"/>
        </w:rPr>
      </w:pPr>
      <w:r w:rsidRPr="00D21C85">
        <w:rPr>
          <w:shd w:val="clear" w:color="000000" w:fill="FFFFFF"/>
        </w:rPr>
        <w:t>16.</w:t>
      </w:r>
      <w:r w:rsidRPr="00D21C85">
        <w:rPr>
          <w:shd w:val="clear" w:color="000000" w:fill="FFFFFF"/>
        </w:rPr>
        <w:tab/>
        <w:t>Updated information on the implementation of the Anti-Human Trafficking Act, 2014; investigations conducted, perpetrators prosecuted and penalties imposed; reparations awarded; measures to increase the detection and prevention of cases of trafficking in persons and to identify, protect and provide social services to the victims.</w:t>
      </w:r>
      <w:r w:rsidRPr="0017468D">
        <w:rPr>
          <w:rStyle w:val="FootnoteReference"/>
        </w:rPr>
        <w:footnoteReference w:id="17"/>
      </w:r>
    </w:p>
    <w:p w14:paraId="66F5A0E2" w14:textId="3BBDB8D1" w:rsidR="0017468D" w:rsidRPr="00D21C85" w:rsidRDefault="0017468D" w:rsidP="0017468D">
      <w:pPr>
        <w:pStyle w:val="H23G"/>
        <w:rPr>
          <w:shd w:val="clear" w:color="000000" w:fill="FFFFFF"/>
        </w:rPr>
      </w:pPr>
      <w:r w:rsidRPr="00D21C85">
        <w:rPr>
          <w:shd w:val="clear" w:color="000000" w:fill="FFFFFF"/>
        </w:rPr>
        <w:tab/>
      </w:r>
      <w:r>
        <w:rPr>
          <w:shd w:val="clear" w:color="000000" w:fill="FFFFFF"/>
        </w:rPr>
        <w:tab/>
      </w:r>
      <w:r w:rsidRPr="00D21C85">
        <w:rPr>
          <w:shd w:val="clear" w:color="000000" w:fill="FFFFFF"/>
        </w:rPr>
        <w:t>Non-citizens, refugees, asylum-seekers and stateless persons (arts.</w:t>
      </w:r>
      <w:r w:rsidR="00282332">
        <w:rPr>
          <w:shd w:val="clear" w:color="000000" w:fill="FFFFFF"/>
        </w:rPr>
        <w:t xml:space="preserve"> </w:t>
      </w:r>
      <w:r w:rsidRPr="00D21C85">
        <w:rPr>
          <w:shd w:val="clear" w:color="000000" w:fill="FFFFFF"/>
        </w:rPr>
        <w:t>2 and 5)</w:t>
      </w:r>
    </w:p>
    <w:p w14:paraId="7829FE4D" w14:textId="77777777" w:rsidR="0017468D" w:rsidRPr="00D21C85" w:rsidRDefault="0017468D" w:rsidP="0017468D">
      <w:pPr>
        <w:pStyle w:val="SingleTxtG"/>
        <w:rPr>
          <w:shd w:val="clear" w:color="000000" w:fill="FFFFFF"/>
        </w:rPr>
      </w:pPr>
      <w:r w:rsidRPr="00D21C85">
        <w:rPr>
          <w:shd w:val="clear" w:color="000000" w:fill="FFFFFF"/>
        </w:rPr>
        <w:t>17.</w:t>
      </w:r>
      <w:r w:rsidRPr="00D21C85">
        <w:rPr>
          <w:shd w:val="clear" w:color="000000" w:fill="FFFFFF"/>
        </w:rPr>
        <w:tab/>
        <w:t>Laws and enforcement mechanisms to ensure that the basic human rights of asylum-seekers and refugees are upheld, including their access without discrimination to education, the labour market, housing and health care; prevention of racial discrimination and stigmatization, including the violence reportedly inflicted by the police on undocumented immigrants, and information of the outcomes of investigations into such allegations; measures to identify stateless persons in the country.</w:t>
      </w:r>
      <w:r w:rsidRPr="0017468D">
        <w:rPr>
          <w:rStyle w:val="FootnoteReference"/>
        </w:rPr>
        <w:footnoteReference w:id="18"/>
      </w:r>
    </w:p>
    <w:p w14:paraId="7E0DC801" w14:textId="48D86E36" w:rsidR="0017468D" w:rsidRPr="00D21C85" w:rsidRDefault="0017468D" w:rsidP="0017468D">
      <w:pPr>
        <w:pStyle w:val="H23G"/>
        <w:rPr>
          <w:shd w:val="clear" w:color="000000" w:fill="FFFFFF"/>
        </w:rPr>
      </w:pPr>
      <w:r w:rsidRPr="00D21C85">
        <w:rPr>
          <w:shd w:val="clear" w:color="000000" w:fill="FFFFFF"/>
        </w:rPr>
        <w:tab/>
      </w:r>
      <w:r>
        <w:rPr>
          <w:shd w:val="clear" w:color="000000" w:fill="FFFFFF"/>
        </w:rPr>
        <w:tab/>
      </w:r>
      <w:r w:rsidRPr="00D21C85">
        <w:rPr>
          <w:shd w:val="clear" w:color="000000" w:fill="FFFFFF"/>
        </w:rPr>
        <w:t>Human rights education to combat prejudice and intolerance (art.</w:t>
      </w:r>
      <w:r w:rsidR="00282332">
        <w:rPr>
          <w:shd w:val="clear" w:color="000000" w:fill="FFFFFF"/>
        </w:rPr>
        <w:t xml:space="preserve"> </w:t>
      </w:r>
      <w:r w:rsidRPr="00D21C85">
        <w:rPr>
          <w:shd w:val="clear" w:color="000000" w:fill="FFFFFF"/>
        </w:rPr>
        <w:t>7)</w:t>
      </w:r>
    </w:p>
    <w:p w14:paraId="71BECE43" w14:textId="78242F35" w:rsidR="0017468D" w:rsidRDefault="0017468D" w:rsidP="0017468D">
      <w:pPr>
        <w:pStyle w:val="SingleTxtG"/>
        <w:rPr>
          <w:shd w:val="clear" w:color="000000" w:fill="FFFFFF"/>
        </w:rPr>
      </w:pPr>
      <w:r w:rsidRPr="00D21C85">
        <w:rPr>
          <w:shd w:val="clear" w:color="000000" w:fill="FFFFFF"/>
        </w:rPr>
        <w:t>18.</w:t>
      </w:r>
      <w:r w:rsidRPr="00D21C85">
        <w:rPr>
          <w:shd w:val="clear" w:color="000000" w:fill="FFFFFF"/>
        </w:rPr>
        <w:tab/>
        <w:t>Updated information on educational initiatives and legislative and administrative measures to combat prejudice and increase tolerance and coexistence, including in schools.</w:t>
      </w:r>
      <w:r w:rsidRPr="0017468D">
        <w:rPr>
          <w:rStyle w:val="FootnoteReference"/>
        </w:rPr>
        <w:footnoteReference w:id="19"/>
      </w:r>
    </w:p>
    <w:p w14:paraId="1F33ED9B" w14:textId="7BBED976" w:rsidR="0017468D" w:rsidRPr="0017468D" w:rsidRDefault="0017468D" w:rsidP="0017468D">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17468D" w:rsidRPr="0017468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EF6E" w14:textId="77777777" w:rsidR="0023481F" w:rsidRPr="00A0297D" w:rsidRDefault="0023481F" w:rsidP="00A0297D">
      <w:pPr>
        <w:pStyle w:val="Footer"/>
      </w:pPr>
    </w:p>
  </w:endnote>
  <w:endnote w:type="continuationSeparator" w:id="0">
    <w:p w14:paraId="4C109B20" w14:textId="77777777" w:rsidR="0023481F" w:rsidRPr="00A0297D" w:rsidRDefault="0023481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A8A9" w14:textId="6B867B28" w:rsidR="0017468D" w:rsidRDefault="0017468D" w:rsidP="0017468D">
    <w:pPr>
      <w:pStyle w:val="Footer"/>
      <w:tabs>
        <w:tab w:val="right" w:pos="9638"/>
      </w:tabs>
    </w:pPr>
    <w:r w:rsidRPr="0017468D">
      <w:rPr>
        <w:b/>
        <w:bCs/>
        <w:sz w:val="18"/>
      </w:rPr>
      <w:fldChar w:fldCharType="begin"/>
    </w:r>
    <w:r w:rsidRPr="0017468D">
      <w:rPr>
        <w:b/>
        <w:bCs/>
        <w:sz w:val="18"/>
      </w:rPr>
      <w:instrText xml:space="preserve"> PAGE  \* MERGEFORMAT </w:instrText>
    </w:r>
    <w:r w:rsidRPr="0017468D">
      <w:rPr>
        <w:b/>
        <w:bCs/>
        <w:sz w:val="18"/>
      </w:rPr>
      <w:fldChar w:fldCharType="separate"/>
    </w:r>
    <w:r w:rsidRPr="0017468D">
      <w:rPr>
        <w:b/>
        <w:bCs/>
        <w:noProof/>
        <w:sz w:val="18"/>
      </w:rPr>
      <w:t>2</w:t>
    </w:r>
    <w:r w:rsidRPr="0017468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8A3" w14:textId="212FA232" w:rsidR="0017468D" w:rsidRDefault="0017468D" w:rsidP="0017468D">
    <w:pPr>
      <w:pStyle w:val="Footer"/>
      <w:tabs>
        <w:tab w:val="right" w:pos="9638"/>
      </w:tabs>
    </w:pPr>
    <w:r>
      <w:tab/>
    </w:r>
    <w:r w:rsidRPr="0017468D">
      <w:rPr>
        <w:b/>
        <w:bCs/>
        <w:sz w:val="18"/>
      </w:rPr>
      <w:fldChar w:fldCharType="begin"/>
    </w:r>
    <w:r w:rsidRPr="0017468D">
      <w:rPr>
        <w:b/>
        <w:bCs/>
        <w:sz w:val="18"/>
      </w:rPr>
      <w:instrText xml:space="preserve"> PAGE  \* MERGEFORMAT </w:instrText>
    </w:r>
    <w:r w:rsidRPr="0017468D">
      <w:rPr>
        <w:b/>
        <w:bCs/>
        <w:sz w:val="18"/>
      </w:rPr>
      <w:fldChar w:fldCharType="separate"/>
    </w:r>
    <w:r w:rsidRPr="0017468D">
      <w:rPr>
        <w:b/>
        <w:bCs/>
        <w:noProof/>
        <w:sz w:val="18"/>
      </w:rPr>
      <w:t>3</w:t>
    </w:r>
    <w:r w:rsidRPr="001746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FA0B" w14:textId="082B32AA" w:rsidR="0017468D" w:rsidRDefault="00740A39" w:rsidP="00740A39">
    <w:pPr>
      <w:pStyle w:val="Footer"/>
      <w:tabs>
        <w:tab w:val="right" w:pos="7370"/>
      </w:tabs>
      <w:rPr>
        <w:sz w:val="20"/>
      </w:rPr>
    </w:pPr>
    <w:r w:rsidRPr="00740A39">
      <w:rPr>
        <w:noProof/>
        <w:sz w:val="20"/>
        <w:lang w:val="en-US"/>
      </w:rPr>
      <w:drawing>
        <wp:anchor distT="0" distB="0" distL="114300" distR="114300" simplePos="0" relativeHeight="251659264" behindDoc="0" locked="1" layoutInCell="1" allowOverlap="1" wp14:anchorId="376BA469" wp14:editId="378F1BD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436265" w14:textId="277079CF" w:rsidR="00740A39" w:rsidRPr="00740A39" w:rsidRDefault="00740A39" w:rsidP="00740A39">
    <w:pPr>
      <w:pStyle w:val="Footer"/>
      <w:tabs>
        <w:tab w:val="right" w:pos="7370"/>
      </w:tabs>
      <w:ind w:right="1134"/>
      <w:rPr>
        <w:sz w:val="20"/>
      </w:rPr>
    </w:pPr>
    <w:r>
      <w:rPr>
        <w:sz w:val="20"/>
      </w:rPr>
      <w:t>GE.22-26908(E)</w:t>
    </w:r>
    <w:r>
      <w:rPr>
        <w:noProof/>
        <w:sz w:val="20"/>
      </w:rPr>
      <w:drawing>
        <wp:anchor distT="0" distB="0" distL="114300" distR="114300" simplePos="0" relativeHeight="251660288" behindDoc="0" locked="0" layoutInCell="1" allowOverlap="1" wp14:anchorId="512806FD" wp14:editId="636CD5D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4943" w14:textId="77777777" w:rsidR="0023481F" w:rsidRPr="00A0297D" w:rsidRDefault="0023481F" w:rsidP="00A0297D">
      <w:pPr>
        <w:tabs>
          <w:tab w:val="right" w:pos="2155"/>
        </w:tabs>
        <w:spacing w:after="80" w:line="240" w:lineRule="auto"/>
        <w:ind w:left="680"/>
      </w:pPr>
      <w:r>
        <w:rPr>
          <w:u w:val="single"/>
        </w:rPr>
        <w:tab/>
      </w:r>
    </w:p>
  </w:footnote>
  <w:footnote w:type="continuationSeparator" w:id="0">
    <w:p w14:paraId="45598A75" w14:textId="77777777" w:rsidR="0023481F" w:rsidRPr="00A0297D" w:rsidRDefault="0023481F" w:rsidP="00A0297D">
      <w:pPr>
        <w:tabs>
          <w:tab w:val="right" w:pos="2155"/>
        </w:tabs>
        <w:spacing w:after="80" w:line="240" w:lineRule="auto"/>
        <w:ind w:left="680"/>
      </w:pPr>
      <w:r>
        <w:rPr>
          <w:u w:val="single"/>
        </w:rPr>
        <w:tab/>
      </w:r>
    </w:p>
  </w:footnote>
  <w:footnote w:id="1">
    <w:p w14:paraId="3FFBE2F1" w14:textId="77777777" w:rsidR="0017468D" w:rsidRPr="00134BCF" w:rsidRDefault="0017468D" w:rsidP="0017468D">
      <w:pPr>
        <w:pStyle w:val="FootnoteText"/>
      </w:pPr>
      <w:r>
        <w:tab/>
      </w:r>
      <w:r w:rsidRPr="00134BCF">
        <w:rPr>
          <w:sz w:val="20"/>
        </w:rPr>
        <w:t>*</w:t>
      </w:r>
      <w:r>
        <w:rPr>
          <w:sz w:val="20"/>
        </w:rPr>
        <w:tab/>
      </w:r>
      <w:r w:rsidRPr="008440A0">
        <w:t xml:space="preserve">The present report was submitted after the deadline </w:t>
      </w:r>
      <w:r>
        <w:t>so as</w:t>
      </w:r>
      <w:r w:rsidRPr="008440A0">
        <w:t xml:space="preserve"> to reflect the most recent developments</w:t>
      </w:r>
      <w:r>
        <w:t>.</w:t>
      </w:r>
    </w:p>
  </w:footnote>
  <w:footnote w:id="2">
    <w:p w14:paraId="3D3E021B" w14:textId="15059D40" w:rsidR="0017468D" w:rsidRPr="001A12D0" w:rsidRDefault="0017468D" w:rsidP="0017468D">
      <w:pPr>
        <w:pStyle w:val="FootnoteText"/>
        <w:rPr>
          <w:lang w:val="pt-PT"/>
        </w:rPr>
      </w:pPr>
      <w:r>
        <w:tab/>
      </w:r>
      <w:r w:rsidRPr="0017468D">
        <w:rPr>
          <w:rStyle w:val="FootnoteReference"/>
        </w:rPr>
        <w:footnoteRef/>
      </w:r>
      <w:r w:rsidRPr="001A12D0">
        <w:rPr>
          <w:lang w:val="pt-PT"/>
        </w:rPr>
        <w:tab/>
      </w:r>
      <w:hyperlink r:id="rId1" w:history="1">
        <w:r w:rsidRPr="00894A8F">
          <w:rPr>
            <w:rStyle w:val="Hyperlink"/>
          </w:rPr>
          <w:t>A/65/18</w:t>
        </w:r>
      </w:hyperlink>
      <w:r w:rsidRPr="001A12D0">
        <w:rPr>
          <w:lang w:val="pt-PT"/>
        </w:rPr>
        <w:t>, para. 85.</w:t>
      </w:r>
    </w:p>
  </w:footnote>
  <w:footnote w:id="3">
    <w:p w14:paraId="0EE39563" w14:textId="0E8D0850"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 w:history="1">
        <w:r w:rsidRPr="00894A8F">
          <w:rPr>
            <w:rStyle w:val="Hyperlink"/>
          </w:rPr>
          <w:t>CERD/C/BWA/QPR/17-22</w:t>
        </w:r>
      </w:hyperlink>
      <w:r w:rsidRPr="001A12D0">
        <w:rPr>
          <w:lang w:val="pt-PT"/>
        </w:rPr>
        <w:t xml:space="preserve">, </w:t>
      </w:r>
      <w:r w:rsidRPr="001A12D0">
        <w:rPr>
          <w:lang w:val="pt-PT"/>
        </w:rPr>
        <w:t xml:space="preserve">para. 4, and </w:t>
      </w:r>
      <w:hyperlink r:id="rId3" w:history="1">
        <w:r w:rsidRPr="00894A8F">
          <w:rPr>
            <w:rStyle w:val="Hyperlink"/>
          </w:rPr>
          <w:t>CERD/C/BWA/17-22</w:t>
        </w:r>
      </w:hyperlink>
      <w:r w:rsidRPr="001A12D0">
        <w:rPr>
          <w:lang w:val="pt-PT"/>
        </w:rPr>
        <w:t>, paras. 12–13.</w:t>
      </w:r>
    </w:p>
  </w:footnote>
  <w:footnote w:id="4">
    <w:p w14:paraId="4BE6A6B2" w14:textId="7C794FF1"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4" w:history="1">
        <w:r w:rsidRPr="00894A8F">
          <w:rPr>
            <w:rStyle w:val="Hyperlink"/>
          </w:rPr>
          <w:t>CERD/C/BWA/QPR/17-22</w:t>
        </w:r>
      </w:hyperlink>
      <w:r w:rsidRPr="001A12D0">
        <w:rPr>
          <w:lang w:val="pt-PT"/>
        </w:rPr>
        <w:t xml:space="preserve">, </w:t>
      </w:r>
      <w:r w:rsidRPr="001A12D0">
        <w:rPr>
          <w:lang w:val="pt-PT"/>
        </w:rPr>
        <w:t xml:space="preserve">para. 6, and </w:t>
      </w:r>
      <w:hyperlink r:id="rId5" w:history="1">
        <w:r w:rsidRPr="00894A8F">
          <w:rPr>
            <w:rStyle w:val="Hyperlink"/>
          </w:rPr>
          <w:t>CERD/C/BWA/17-22</w:t>
        </w:r>
      </w:hyperlink>
      <w:r w:rsidRPr="001A12D0">
        <w:rPr>
          <w:lang w:val="pt-PT"/>
        </w:rPr>
        <w:t>, paras. 15–17.</w:t>
      </w:r>
    </w:p>
  </w:footnote>
  <w:footnote w:id="5">
    <w:p w14:paraId="6A95C930" w14:textId="2A0DB510"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6" w:history="1">
        <w:r w:rsidRPr="00894A8F">
          <w:rPr>
            <w:rStyle w:val="Hyperlink"/>
          </w:rPr>
          <w:t>CERD/C/BWA/QPR/17-22</w:t>
        </w:r>
      </w:hyperlink>
      <w:r w:rsidRPr="001A12D0">
        <w:rPr>
          <w:lang w:val="pt-PT"/>
        </w:rPr>
        <w:t xml:space="preserve">, </w:t>
      </w:r>
      <w:r w:rsidRPr="001A12D0">
        <w:rPr>
          <w:lang w:val="pt-PT"/>
        </w:rPr>
        <w:t>para.</w:t>
      </w:r>
      <w:r w:rsidR="00786D5A">
        <w:rPr>
          <w:lang w:val="pt-PT"/>
        </w:rPr>
        <w:t xml:space="preserve"> </w:t>
      </w:r>
      <w:r w:rsidRPr="00786D5A">
        <w:rPr>
          <w:lang w:val="pt-PT"/>
        </w:rPr>
        <w:t xml:space="preserve">7, and </w:t>
      </w:r>
      <w:hyperlink r:id="rId7" w:history="1">
        <w:r w:rsidRPr="00894A8F">
          <w:rPr>
            <w:rStyle w:val="Hyperlink"/>
          </w:rPr>
          <w:t>CERD/C/BWA/17-22</w:t>
        </w:r>
      </w:hyperlink>
      <w:r w:rsidRPr="00786D5A">
        <w:rPr>
          <w:lang w:val="pt-PT"/>
        </w:rPr>
        <w:t xml:space="preserve">, p. </w:t>
      </w:r>
      <w:r w:rsidRPr="001A12D0">
        <w:rPr>
          <w:lang w:val="pt-PT"/>
        </w:rPr>
        <w:t>5, (a)</w:t>
      </w:r>
      <w:r>
        <w:rPr>
          <w:lang w:val="pt-PT"/>
        </w:rPr>
        <w:t>–</w:t>
      </w:r>
      <w:r w:rsidRPr="001A12D0">
        <w:rPr>
          <w:lang w:val="pt-PT"/>
        </w:rPr>
        <w:t>(e)</w:t>
      </w:r>
      <w:r>
        <w:rPr>
          <w:lang w:val="pt-PT"/>
        </w:rPr>
        <w:t>.</w:t>
      </w:r>
    </w:p>
  </w:footnote>
  <w:footnote w:id="6">
    <w:p w14:paraId="0F541E11" w14:textId="7CAA4D91"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8" w:history="1">
        <w:r w:rsidRPr="00894A8F">
          <w:rPr>
            <w:rStyle w:val="Hyperlink"/>
          </w:rPr>
          <w:t>CERD/C/BWA/QPR/17-22</w:t>
        </w:r>
      </w:hyperlink>
      <w:r w:rsidRPr="001A12D0">
        <w:rPr>
          <w:lang w:val="pt-PT"/>
        </w:rPr>
        <w:t xml:space="preserve">, para. </w:t>
      </w:r>
      <w:r w:rsidRPr="00786D5A">
        <w:rPr>
          <w:lang w:val="pt-PT"/>
        </w:rPr>
        <w:t xml:space="preserve">9, and </w:t>
      </w:r>
      <w:hyperlink r:id="rId9" w:history="1">
        <w:r w:rsidRPr="00894A8F">
          <w:rPr>
            <w:rStyle w:val="Hyperlink"/>
          </w:rPr>
          <w:t>CERD/C/BWA/17-22</w:t>
        </w:r>
      </w:hyperlink>
      <w:r w:rsidRPr="00786D5A">
        <w:rPr>
          <w:lang w:val="pt-PT"/>
        </w:rPr>
        <w:t>, para.</w:t>
      </w:r>
      <w:r w:rsidR="00786D5A" w:rsidRPr="00786D5A">
        <w:rPr>
          <w:lang w:val="pt-PT"/>
        </w:rPr>
        <w:t xml:space="preserve"> </w:t>
      </w:r>
      <w:r w:rsidRPr="001A12D0">
        <w:rPr>
          <w:lang w:val="pt-PT"/>
        </w:rPr>
        <w:t>29.</w:t>
      </w:r>
    </w:p>
  </w:footnote>
  <w:footnote w:id="7">
    <w:p w14:paraId="29122DAC" w14:textId="284B4176"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10" w:history="1">
        <w:r w:rsidRPr="00894A8F">
          <w:rPr>
            <w:rStyle w:val="Hyperlink"/>
          </w:rPr>
          <w:t>CERD/C/BWA/QPR/17-22</w:t>
        </w:r>
      </w:hyperlink>
      <w:r w:rsidRPr="001A12D0">
        <w:rPr>
          <w:lang w:val="pt-PT"/>
        </w:rPr>
        <w:t>, para.</w:t>
      </w:r>
      <w:r w:rsidR="00786D5A">
        <w:rPr>
          <w:lang w:val="pt-PT"/>
        </w:rPr>
        <w:t xml:space="preserve"> </w:t>
      </w:r>
      <w:r w:rsidRPr="001A12D0">
        <w:rPr>
          <w:lang w:val="pt-PT"/>
        </w:rPr>
        <w:t>7 (e)</w:t>
      </w:r>
      <w:r>
        <w:rPr>
          <w:lang w:val="pt-PT"/>
        </w:rPr>
        <w:t>, and</w:t>
      </w:r>
      <w:r w:rsidRPr="001A12D0">
        <w:rPr>
          <w:lang w:val="pt-PT"/>
        </w:rPr>
        <w:t xml:space="preserve"> </w:t>
      </w:r>
      <w:hyperlink r:id="rId11" w:history="1">
        <w:r w:rsidRPr="00894A8F">
          <w:rPr>
            <w:rStyle w:val="Hyperlink"/>
          </w:rPr>
          <w:t>CERD/C/BWA/17-22</w:t>
        </w:r>
      </w:hyperlink>
      <w:r w:rsidRPr="001A12D0">
        <w:rPr>
          <w:lang w:val="pt-PT"/>
        </w:rPr>
        <w:t>, paras.</w:t>
      </w:r>
      <w:r w:rsidR="00786D5A">
        <w:rPr>
          <w:lang w:val="pt-PT"/>
        </w:rPr>
        <w:t xml:space="preserve"> </w:t>
      </w:r>
      <w:r w:rsidRPr="001A12D0">
        <w:rPr>
          <w:lang w:val="pt-PT"/>
        </w:rPr>
        <w:t>18–23.</w:t>
      </w:r>
    </w:p>
  </w:footnote>
  <w:footnote w:id="8">
    <w:p w14:paraId="396EDB81" w14:textId="66619BA3"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12" w:history="1">
        <w:r w:rsidRPr="00894A8F">
          <w:rPr>
            <w:rStyle w:val="Hyperlink"/>
          </w:rPr>
          <w:t>CERD/C/BWA/QPR/17-22</w:t>
        </w:r>
      </w:hyperlink>
      <w:r w:rsidRPr="001A12D0">
        <w:rPr>
          <w:lang w:val="pt-PT"/>
        </w:rPr>
        <w:t>, para.</w:t>
      </w:r>
      <w:r w:rsidR="00786D5A">
        <w:rPr>
          <w:lang w:val="pt-PT"/>
        </w:rPr>
        <w:t xml:space="preserve"> </w:t>
      </w:r>
      <w:r w:rsidRPr="001A12D0">
        <w:rPr>
          <w:lang w:val="pt-PT"/>
        </w:rPr>
        <w:t xml:space="preserve">8, and </w:t>
      </w:r>
      <w:hyperlink r:id="rId13" w:history="1">
        <w:r w:rsidRPr="00894A8F">
          <w:rPr>
            <w:rStyle w:val="Hyperlink"/>
          </w:rPr>
          <w:t>CERD/C/BWA/17-22</w:t>
        </w:r>
      </w:hyperlink>
      <w:r w:rsidRPr="001A12D0">
        <w:rPr>
          <w:lang w:val="pt-PT"/>
        </w:rPr>
        <w:t>, paras.</w:t>
      </w:r>
      <w:r w:rsidR="00786D5A">
        <w:rPr>
          <w:lang w:val="pt-PT"/>
        </w:rPr>
        <w:t xml:space="preserve"> </w:t>
      </w:r>
      <w:r w:rsidRPr="001A12D0">
        <w:rPr>
          <w:lang w:val="pt-PT"/>
        </w:rPr>
        <w:t>24–28.</w:t>
      </w:r>
    </w:p>
  </w:footnote>
  <w:footnote w:id="9">
    <w:p w14:paraId="6CE7AA4B" w14:textId="4B439513" w:rsidR="0017468D" w:rsidRPr="00786D5A" w:rsidRDefault="0017468D" w:rsidP="0017468D">
      <w:pPr>
        <w:pStyle w:val="FootnoteText"/>
        <w:rPr>
          <w:lang w:val="en-US"/>
        </w:rPr>
      </w:pPr>
      <w:r w:rsidRPr="001A12D0">
        <w:rPr>
          <w:lang w:val="pt-PT"/>
        </w:rPr>
        <w:tab/>
      </w:r>
      <w:r w:rsidRPr="0017468D">
        <w:rPr>
          <w:rStyle w:val="FootnoteReference"/>
        </w:rPr>
        <w:footnoteRef/>
      </w:r>
      <w:r w:rsidRPr="001A12D0">
        <w:rPr>
          <w:lang w:val="pt-PT"/>
        </w:rPr>
        <w:tab/>
      </w:r>
      <w:hyperlink r:id="rId14" w:history="1">
        <w:r w:rsidRPr="00894A8F">
          <w:rPr>
            <w:rStyle w:val="Hyperlink"/>
          </w:rPr>
          <w:t>CERD/C/BWA/QPR/17-22</w:t>
        </w:r>
      </w:hyperlink>
      <w:r w:rsidRPr="001A12D0">
        <w:rPr>
          <w:lang w:val="pt-PT"/>
        </w:rPr>
        <w:t>, para.</w:t>
      </w:r>
      <w:r w:rsidR="00786D5A">
        <w:rPr>
          <w:lang w:val="pt-PT"/>
        </w:rPr>
        <w:t xml:space="preserve"> </w:t>
      </w:r>
      <w:r w:rsidRPr="001A12D0">
        <w:rPr>
          <w:lang w:val="pt-PT"/>
        </w:rPr>
        <w:t xml:space="preserve">10, and </w:t>
      </w:r>
      <w:hyperlink r:id="rId15" w:history="1">
        <w:r w:rsidRPr="00894A8F">
          <w:rPr>
            <w:rStyle w:val="Hyperlink"/>
          </w:rPr>
          <w:t>CERD/C/BWA/17-22</w:t>
        </w:r>
      </w:hyperlink>
      <w:r w:rsidRPr="001A12D0">
        <w:rPr>
          <w:lang w:val="pt-PT"/>
        </w:rPr>
        <w:t>, para.</w:t>
      </w:r>
      <w:r w:rsidR="00786D5A">
        <w:rPr>
          <w:lang w:val="pt-PT"/>
        </w:rPr>
        <w:t xml:space="preserve"> </w:t>
      </w:r>
      <w:r w:rsidRPr="00786D5A">
        <w:rPr>
          <w:lang w:val="en-US"/>
        </w:rPr>
        <w:t>30.</w:t>
      </w:r>
    </w:p>
  </w:footnote>
  <w:footnote w:id="10">
    <w:p w14:paraId="0E7CF590" w14:textId="43D0EDC4" w:rsidR="0017468D" w:rsidRPr="001A12D0" w:rsidRDefault="0017468D" w:rsidP="0017468D">
      <w:pPr>
        <w:pStyle w:val="FootnoteText"/>
        <w:rPr>
          <w:lang w:val="pt-PT"/>
        </w:rPr>
      </w:pPr>
      <w:r w:rsidRPr="00786D5A">
        <w:rPr>
          <w:lang w:val="en-US"/>
        </w:rPr>
        <w:tab/>
      </w:r>
      <w:r w:rsidRPr="0017468D">
        <w:rPr>
          <w:rStyle w:val="FootnoteReference"/>
        </w:rPr>
        <w:footnoteRef/>
      </w:r>
      <w:r w:rsidRPr="00894A8F">
        <w:rPr>
          <w:lang w:val="es-ES"/>
        </w:rPr>
        <w:tab/>
      </w:r>
      <w:hyperlink r:id="rId16" w:history="1">
        <w:r w:rsidRPr="00894A8F">
          <w:rPr>
            <w:rStyle w:val="Hyperlink"/>
            <w:szCs w:val="18"/>
            <w:lang w:val="es-ES"/>
          </w:rPr>
          <w:t>CERD/C/BWA/QPR/17-22</w:t>
        </w:r>
      </w:hyperlink>
      <w:r w:rsidRPr="00894A8F">
        <w:rPr>
          <w:szCs w:val="18"/>
          <w:lang w:val="es-ES"/>
        </w:rPr>
        <w:t xml:space="preserve">, para. </w:t>
      </w:r>
      <w:r>
        <w:rPr>
          <w:szCs w:val="18"/>
        </w:rPr>
        <w:t xml:space="preserve">11 (a)–(b), and </w:t>
      </w:r>
      <w:hyperlink r:id="rId17" w:history="1">
        <w:r w:rsidRPr="00894A8F">
          <w:rPr>
            <w:rStyle w:val="Hyperlink"/>
            <w:szCs w:val="18"/>
          </w:rPr>
          <w:t>CERD/C/BWA/17-22</w:t>
        </w:r>
      </w:hyperlink>
      <w:r>
        <w:rPr>
          <w:szCs w:val="18"/>
        </w:rPr>
        <w:t>, p. 9 (a)–(c)</w:t>
      </w:r>
      <w:r>
        <w:rPr>
          <w:szCs w:val="18"/>
        </w:rPr>
        <w:br/>
        <w:t xml:space="preserve">and paras. </w:t>
      </w:r>
      <w:r w:rsidRPr="001A12D0">
        <w:rPr>
          <w:szCs w:val="18"/>
          <w:lang w:val="pt-PT"/>
        </w:rPr>
        <w:t>37–38.</w:t>
      </w:r>
    </w:p>
  </w:footnote>
  <w:footnote w:id="11">
    <w:p w14:paraId="6AE54198" w14:textId="62DC58E3"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18" w:history="1">
        <w:r w:rsidRPr="00894A8F">
          <w:rPr>
            <w:rStyle w:val="Hyperlink"/>
          </w:rPr>
          <w:t>CERD/C/BWA/QPR/17-22</w:t>
        </w:r>
      </w:hyperlink>
      <w:r w:rsidRPr="001A12D0">
        <w:rPr>
          <w:lang w:val="pt-PT"/>
        </w:rPr>
        <w:t xml:space="preserve">, </w:t>
      </w:r>
      <w:r w:rsidRPr="001A12D0">
        <w:rPr>
          <w:lang w:val="pt-PT"/>
        </w:rPr>
        <w:t xml:space="preserve">para. </w:t>
      </w:r>
      <w:r w:rsidRPr="001A12D0">
        <w:rPr>
          <w:u w:color="FF0000"/>
          <w:lang w:val="pt-PT"/>
        </w:rPr>
        <w:t>12, and</w:t>
      </w:r>
      <w:r w:rsidRPr="001A12D0">
        <w:rPr>
          <w:lang w:val="pt-PT"/>
        </w:rPr>
        <w:t xml:space="preserve"> </w:t>
      </w:r>
      <w:hyperlink r:id="rId19" w:history="1">
        <w:r w:rsidRPr="00894A8F">
          <w:rPr>
            <w:rStyle w:val="Hyperlink"/>
          </w:rPr>
          <w:t>CERD/C/BWA/17-22</w:t>
        </w:r>
      </w:hyperlink>
      <w:r w:rsidRPr="001A12D0">
        <w:rPr>
          <w:lang w:val="pt-PT"/>
        </w:rPr>
        <w:t>, paras. 39–42.</w:t>
      </w:r>
    </w:p>
  </w:footnote>
  <w:footnote w:id="12">
    <w:p w14:paraId="78124B78" w14:textId="25CE71F9"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0" w:history="1">
        <w:r w:rsidRPr="00894A8F">
          <w:rPr>
            <w:rStyle w:val="Hyperlink"/>
          </w:rPr>
          <w:t>CERD/C/BWA/QPR/17-22</w:t>
        </w:r>
      </w:hyperlink>
      <w:r w:rsidRPr="001A12D0">
        <w:rPr>
          <w:lang w:val="pt-PT"/>
        </w:rPr>
        <w:t xml:space="preserve">, </w:t>
      </w:r>
      <w:r w:rsidRPr="001A12D0">
        <w:rPr>
          <w:lang w:val="pt-PT"/>
        </w:rPr>
        <w:t xml:space="preserve">para. </w:t>
      </w:r>
      <w:r w:rsidRPr="001A12D0">
        <w:rPr>
          <w:u w:color="FF0000"/>
          <w:lang w:val="en-US"/>
        </w:rPr>
        <w:t>11</w:t>
      </w:r>
      <w:r>
        <w:rPr>
          <w:u w:color="FF0000"/>
          <w:lang w:val="en-US"/>
        </w:rPr>
        <w:t xml:space="preserve"> (d)</w:t>
      </w:r>
      <w:r w:rsidRPr="001A12D0">
        <w:rPr>
          <w:u w:color="FF0000"/>
          <w:lang w:val="en-US"/>
        </w:rPr>
        <w:t>, and</w:t>
      </w:r>
      <w:r w:rsidRPr="001A12D0">
        <w:rPr>
          <w:lang w:val="en-US"/>
        </w:rPr>
        <w:t xml:space="preserve"> </w:t>
      </w:r>
      <w:hyperlink r:id="rId21" w:history="1">
        <w:r w:rsidRPr="00894A8F">
          <w:rPr>
            <w:rStyle w:val="Hyperlink"/>
            <w:lang w:val="en-US"/>
          </w:rPr>
          <w:t>CERD/C/BWA/17-22</w:t>
        </w:r>
      </w:hyperlink>
      <w:r w:rsidRPr="001A12D0">
        <w:rPr>
          <w:lang w:val="en-US"/>
        </w:rPr>
        <w:t xml:space="preserve">, para. </w:t>
      </w:r>
      <w:r w:rsidRPr="001A12D0">
        <w:rPr>
          <w:lang w:val="pt-PT"/>
        </w:rPr>
        <w:t>38</w:t>
      </w:r>
      <w:r>
        <w:rPr>
          <w:lang w:val="pt-PT"/>
        </w:rPr>
        <w:t xml:space="preserve"> (a)</w:t>
      </w:r>
      <w:r w:rsidRPr="001A12D0">
        <w:rPr>
          <w:lang w:val="pt-PT"/>
        </w:rPr>
        <w:t>.</w:t>
      </w:r>
    </w:p>
  </w:footnote>
  <w:footnote w:id="13">
    <w:p w14:paraId="70E6201E" w14:textId="016BFF45"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2" w:history="1">
        <w:r w:rsidRPr="00894A8F">
          <w:rPr>
            <w:rStyle w:val="Hyperlink"/>
          </w:rPr>
          <w:t>CERD/C/BWA/QPR/17-22</w:t>
        </w:r>
      </w:hyperlink>
      <w:r w:rsidRPr="001A12D0">
        <w:rPr>
          <w:lang w:val="pt-PT"/>
        </w:rPr>
        <w:t>, para.</w:t>
      </w:r>
      <w:r w:rsidR="00786D5A">
        <w:rPr>
          <w:lang w:val="pt-PT"/>
        </w:rPr>
        <w:t xml:space="preserve"> </w:t>
      </w:r>
      <w:r w:rsidRPr="001A12D0">
        <w:rPr>
          <w:u w:color="FF0000"/>
          <w:lang w:val="pt-PT"/>
        </w:rPr>
        <w:t>16, and</w:t>
      </w:r>
      <w:r w:rsidRPr="001A12D0">
        <w:rPr>
          <w:lang w:val="pt-PT"/>
        </w:rPr>
        <w:t xml:space="preserve"> </w:t>
      </w:r>
      <w:hyperlink r:id="rId23" w:history="1">
        <w:r w:rsidRPr="00894A8F">
          <w:rPr>
            <w:rStyle w:val="Hyperlink"/>
          </w:rPr>
          <w:t>CERD/C/BWA/17-22</w:t>
        </w:r>
      </w:hyperlink>
      <w:r w:rsidRPr="001A12D0">
        <w:rPr>
          <w:lang w:val="pt-PT"/>
        </w:rPr>
        <w:t>, paras.</w:t>
      </w:r>
      <w:r w:rsidR="00786D5A">
        <w:rPr>
          <w:lang w:val="pt-PT"/>
        </w:rPr>
        <w:t xml:space="preserve"> </w:t>
      </w:r>
      <w:r w:rsidRPr="001A12D0">
        <w:rPr>
          <w:lang w:val="pt-PT"/>
        </w:rPr>
        <w:t>64–68.</w:t>
      </w:r>
    </w:p>
  </w:footnote>
  <w:footnote w:id="14">
    <w:p w14:paraId="476B23E5" w14:textId="33488089"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4" w:history="1">
        <w:r w:rsidRPr="00894A8F">
          <w:rPr>
            <w:rStyle w:val="Hyperlink"/>
          </w:rPr>
          <w:t>CERD/C/BWA/QPR/17-22</w:t>
        </w:r>
      </w:hyperlink>
      <w:r w:rsidRPr="001A12D0">
        <w:rPr>
          <w:lang w:val="pt-PT"/>
        </w:rPr>
        <w:t xml:space="preserve">, para. </w:t>
      </w:r>
      <w:r w:rsidRPr="001A12D0">
        <w:rPr>
          <w:u w:color="FF0000"/>
          <w:lang w:val="pt-PT"/>
        </w:rPr>
        <w:t>18, and</w:t>
      </w:r>
      <w:r w:rsidRPr="001A12D0">
        <w:rPr>
          <w:lang w:val="pt-PT"/>
        </w:rPr>
        <w:t xml:space="preserve"> </w:t>
      </w:r>
      <w:hyperlink r:id="rId25" w:history="1">
        <w:r w:rsidRPr="00894A8F">
          <w:rPr>
            <w:rStyle w:val="Hyperlink"/>
          </w:rPr>
          <w:t>CERD/C/BWA/17-22</w:t>
        </w:r>
      </w:hyperlink>
      <w:r w:rsidRPr="001A12D0">
        <w:rPr>
          <w:lang w:val="pt-PT"/>
        </w:rPr>
        <w:t>, paras.</w:t>
      </w:r>
      <w:r w:rsidR="00786D5A">
        <w:rPr>
          <w:lang w:val="pt-PT"/>
        </w:rPr>
        <w:t xml:space="preserve"> </w:t>
      </w:r>
      <w:r w:rsidRPr="001A12D0">
        <w:rPr>
          <w:lang w:val="pt-PT"/>
        </w:rPr>
        <w:t>72–79.</w:t>
      </w:r>
    </w:p>
  </w:footnote>
  <w:footnote w:id="15">
    <w:p w14:paraId="744CF1EA" w14:textId="199EAE8E"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6" w:history="1">
        <w:r w:rsidRPr="00BA7451">
          <w:rPr>
            <w:rStyle w:val="Hyperlink"/>
          </w:rPr>
          <w:t>A/HRC/40/64/Add.2</w:t>
        </w:r>
      </w:hyperlink>
      <w:r w:rsidRPr="001A12D0">
        <w:rPr>
          <w:color w:val="000000" w:themeColor="text1"/>
          <w:lang w:val="pt-PT"/>
        </w:rPr>
        <w:t>, para. 26–27.</w:t>
      </w:r>
    </w:p>
  </w:footnote>
  <w:footnote w:id="16">
    <w:p w14:paraId="46E98329" w14:textId="4289FA8C"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7" w:history="1">
        <w:r w:rsidRPr="00BA7451">
          <w:rPr>
            <w:rStyle w:val="Hyperlink"/>
          </w:rPr>
          <w:t>CERD/C/BWA/QPR/17-22</w:t>
        </w:r>
      </w:hyperlink>
      <w:r w:rsidRPr="001A12D0">
        <w:rPr>
          <w:color w:val="000000" w:themeColor="text1"/>
          <w:lang w:val="pt-PT"/>
        </w:rPr>
        <w:t xml:space="preserve">, </w:t>
      </w:r>
      <w:r w:rsidRPr="001A12D0">
        <w:rPr>
          <w:color w:val="000000" w:themeColor="text1"/>
          <w:lang w:val="pt-PT"/>
        </w:rPr>
        <w:t>paras.</w:t>
      </w:r>
      <w:r w:rsidR="00786D5A">
        <w:rPr>
          <w:color w:val="000000" w:themeColor="text1"/>
          <w:lang w:val="pt-PT"/>
        </w:rPr>
        <w:t xml:space="preserve"> </w:t>
      </w:r>
      <w:r w:rsidRPr="001A12D0">
        <w:rPr>
          <w:color w:val="000000" w:themeColor="text1"/>
          <w:lang w:val="pt-PT"/>
        </w:rPr>
        <w:t xml:space="preserve">14–15 and 17, and </w:t>
      </w:r>
      <w:hyperlink r:id="rId28" w:history="1">
        <w:r w:rsidRPr="00BA7451">
          <w:rPr>
            <w:rStyle w:val="Hyperlink"/>
          </w:rPr>
          <w:t>CERD/C/BWA/17-22</w:t>
        </w:r>
      </w:hyperlink>
      <w:r w:rsidRPr="001A12D0">
        <w:rPr>
          <w:color w:val="000000" w:themeColor="text1"/>
          <w:lang w:val="pt-PT"/>
        </w:rPr>
        <w:t>, paras.</w:t>
      </w:r>
      <w:r w:rsidR="00786D5A">
        <w:rPr>
          <w:color w:val="000000" w:themeColor="text1"/>
          <w:lang w:val="pt-PT"/>
        </w:rPr>
        <w:t xml:space="preserve"> </w:t>
      </w:r>
      <w:r w:rsidRPr="001A12D0">
        <w:rPr>
          <w:color w:val="000000" w:themeColor="text1"/>
          <w:lang w:val="pt-PT"/>
        </w:rPr>
        <w:t>44</w:t>
      </w:r>
      <w:r>
        <w:rPr>
          <w:color w:val="000000" w:themeColor="text1"/>
          <w:lang w:val="pt-PT"/>
        </w:rPr>
        <w:t>–</w:t>
      </w:r>
      <w:r w:rsidRPr="001A12D0">
        <w:rPr>
          <w:color w:val="000000" w:themeColor="text1"/>
          <w:lang w:val="pt-PT"/>
        </w:rPr>
        <w:t>98.</w:t>
      </w:r>
    </w:p>
  </w:footnote>
  <w:footnote w:id="17">
    <w:p w14:paraId="07599E21" w14:textId="7D1631E8" w:rsidR="0017468D" w:rsidRPr="001A12D0" w:rsidRDefault="0017468D" w:rsidP="0017468D">
      <w:pPr>
        <w:pStyle w:val="FootnoteText"/>
        <w:rPr>
          <w:lang w:val="pt-PT"/>
        </w:rPr>
      </w:pPr>
      <w:r w:rsidRPr="001A12D0">
        <w:rPr>
          <w:lang w:val="pt-PT"/>
        </w:rPr>
        <w:tab/>
      </w:r>
      <w:r w:rsidRPr="0017468D">
        <w:rPr>
          <w:rStyle w:val="FootnoteReference"/>
        </w:rPr>
        <w:footnoteRef/>
      </w:r>
      <w:r w:rsidRPr="001A12D0">
        <w:rPr>
          <w:lang w:val="pt-PT"/>
        </w:rPr>
        <w:tab/>
      </w:r>
      <w:hyperlink r:id="rId29" w:history="1">
        <w:r w:rsidRPr="00894A8F">
          <w:rPr>
            <w:rStyle w:val="Hyperlink"/>
          </w:rPr>
          <w:t>CERD/C/BWA/17-22</w:t>
        </w:r>
      </w:hyperlink>
      <w:r w:rsidRPr="001A12D0">
        <w:rPr>
          <w:lang w:val="pt-PT"/>
        </w:rPr>
        <w:t>, para.</w:t>
      </w:r>
      <w:r w:rsidR="00786D5A">
        <w:rPr>
          <w:lang w:val="pt-PT"/>
        </w:rPr>
        <w:t xml:space="preserve"> </w:t>
      </w:r>
      <w:r w:rsidRPr="001A12D0">
        <w:rPr>
          <w:lang w:val="pt-PT"/>
        </w:rPr>
        <w:t xml:space="preserve">19, and </w:t>
      </w:r>
      <w:hyperlink r:id="rId30" w:history="1">
        <w:r w:rsidRPr="00894A8F">
          <w:rPr>
            <w:rStyle w:val="Hyperlink"/>
          </w:rPr>
          <w:t>CERD/C/BWA/17-22</w:t>
        </w:r>
      </w:hyperlink>
      <w:r w:rsidRPr="001A12D0">
        <w:rPr>
          <w:lang w:val="pt-PT"/>
        </w:rPr>
        <w:t>, paras.</w:t>
      </w:r>
      <w:r w:rsidR="00786D5A">
        <w:rPr>
          <w:lang w:val="pt-PT"/>
        </w:rPr>
        <w:t xml:space="preserve"> </w:t>
      </w:r>
      <w:r w:rsidRPr="001A12D0">
        <w:rPr>
          <w:lang w:val="pt-PT"/>
        </w:rPr>
        <w:t>80–93.</w:t>
      </w:r>
    </w:p>
  </w:footnote>
  <w:footnote w:id="18">
    <w:p w14:paraId="1414107D" w14:textId="799977E0" w:rsidR="0017468D" w:rsidRPr="001A12D0" w:rsidRDefault="0017468D" w:rsidP="0017468D">
      <w:pPr>
        <w:pStyle w:val="FootnoteText"/>
        <w:rPr>
          <w:lang w:val="fr-CH"/>
        </w:rPr>
      </w:pPr>
      <w:r w:rsidRPr="001A12D0">
        <w:rPr>
          <w:lang w:val="pt-PT"/>
        </w:rPr>
        <w:tab/>
      </w:r>
      <w:r w:rsidRPr="0017468D">
        <w:rPr>
          <w:rStyle w:val="FootnoteReference"/>
        </w:rPr>
        <w:footnoteRef/>
      </w:r>
      <w:r w:rsidRPr="001A12D0">
        <w:rPr>
          <w:lang w:val="pt-PT"/>
        </w:rPr>
        <w:tab/>
      </w:r>
      <w:hyperlink r:id="rId31" w:history="1">
        <w:r w:rsidRPr="00894A8F">
          <w:rPr>
            <w:rStyle w:val="Hyperlink"/>
          </w:rPr>
          <w:t>CERD/C/BWA/QPR/17-22</w:t>
        </w:r>
      </w:hyperlink>
      <w:r w:rsidRPr="001A12D0">
        <w:rPr>
          <w:lang w:val="pt-PT"/>
        </w:rPr>
        <w:t>, para.</w:t>
      </w:r>
      <w:r w:rsidR="00786D5A">
        <w:rPr>
          <w:lang w:val="pt-PT"/>
        </w:rPr>
        <w:t xml:space="preserve"> </w:t>
      </w:r>
      <w:r w:rsidRPr="001A12D0">
        <w:rPr>
          <w:u w:color="FF0000"/>
          <w:lang w:val="pt-PT"/>
        </w:rPr>
        <w:t>20, and</w:t>
      </w:r>
      <w:r w:rsidRPr="001A12D0">
        <w:rPr>
          <w:lang w:val="pt-PT"/>
        </w:rPr>
        <w:t xml:space="preserve"> </w:t>
      </w:r>
      <w:hyperlink r:id="rId32" w:history="1">
        <w:r w:rsidRPr="00894A8F">
          <w:rPr>
            <w:rStyle w:val="Hyperlink"/>
          </w:rPr>
          <w:t>CERD/C/BWA/17-22</w:t>
        </w:r>
      </w:hyperlink>
      <w:r w:rsidRPr="001A12D0">
        <w:rPr>
          <w:lang w:val="pt-PT"/>
        </w:rPr>
        <w:t>, paras.</w:t>
      </w:r>
      <w:r w:rsidR="00786D5A">
        <w:rPr>
          <w:lang w:val="pt-PT"/>
        </w:rPr>
        <w:t xml:space="preserve"> </w:t>
      </w:r>
      <w:r w:rsidRPr="001A12D0">
        <w:rPr>
          <w:lang w:val="fr-CH"/>
        </w:rPr>
        <w:t>94–98.</w:t>
      </w:r>
    </w:p>
  </w:footnote>
  <w:footnote w:id="19">
    <w:p w14:paraId="60C93D3C" w14:textId="0D027D1C" w:rsidR="0017468D" w:rsidRPr="00786D5A" w:rsidRDefault="0017468D" w:rsidP="0017468D">
      <w:pPr>
        <w:pStyle w:val="FootnoteText"/>
        <w:rPr>
          <w:lang w:val="fr-CH"/>
        </w:rPr>
      </w:pPr>
      <w:r w:rsidRPr="001A12D0">
        <w:rPr>
          <w:lang w:val="fr-CH"/>
        </w:rPr>
        <w:tab/>
      </w:r>
      <w:r w:rsidRPr="0017468D">
        <w:rPr>
          <w:rStyle w:val="FootnoteReference"/>
        </w:rPr>
        <w:footnoteRef/>
      </w:r>
      <w:r w:rsidRPr="001A12D0">
        <w:rPr>
          <w:lang w:val="fr-CH"/>
        </w:rPr>
        <w:tab/>
      </w:r>
      <w:hyperlink r:id="rId33" w:history="1">
        <w:r w:rsidRPr="00894A8F">
          <w:rPr>
            <w:rStyle w:val="Hyperlink"/>
            <w:lang w:val="fr-CH"/>
          </w:rPr>
          <w:t>CERD/C/BWA/QPR/71-22</w:t>
        </w:r>
      </w:hyperlink>
      <w:r w:rsidRPr="001A12D0">
        <w:rPr>
          <w:lang w:val="fr-CH"/>
        </w:rPr>
        <w:t>, paras.</w:t>
      </w:r>
      <w:r w:rsidR="00786D5A">
        <w:rPr>
          <w:lang w:val="fr-CH"/>
        </w:rPr>
        <w:t xml:space="preserve"> </w:t>
      </w:r>
      <w:r w:rsidRPr="001A12D0">
        <w:rPr>
          <w:lang w:val="fr-CH"/>
        </w:rPr>
        <w:t xml:space="preserve">24–26, and </w:t>
      </w:r>
      <w:hyperlink r:id="rId34" w:history="1">
        <w:r w:rsidRPr="00894A8F">
          <w:rPr>
            <w:rStyle w:val="Hyperlink"/>
            <w:lang w:val="fr-CH"/>
          </w:rPr>
          <w:t>CERD/C/BWA/17-22</w:t>
        </w:r>
      </w:hyperlink>
      <w:r w:rsidRPr="001A12D0">
        <w:rPr>
          <w:lang w:val="fr-CH"/>
        </w:rPr>
        <w:t xml:space="preserve">, paras. </w:t>
      </w:r>
      <w:r w:rsidRPr="00786D5A">
        <w:rPr>
          <w:lang w:val="fr-CH"/>
        </w:rPr>
        <w:t>121–135.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5B17" w14:textId="77777777" w:rsidR="0017468D" w:rsidRDefault="0017468D" w:rsidP="0017468D">
    <w:pPr>
      <w:pStyle w:val="Header"/>
    </w:pPr>
    <w:r>
      <w:t>CERD/C/BWA/Q/17-22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5164" w14:textId="77777777" w:rsidR="0017468D" w:rsidRDefault="0017468D" w:rsidP="0017468D">
    <w:pPr>
      <w:pStyle w:val="Header"/>
      <w:jc w:val="right"/>
    </w:pPr>
    <w:r>
      <w:t>CERD/C/BWA/Q/17-22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D2"/>
    <w:rsid w:val="00021C97"/>
    <w:rsid w:val="00046E92"/>
    <w:rsid w:val="0017468D"/>
    <w:rsid w:val="001C3218"/>
    <w:rsid w:val="002176C5"/>
    <w:rsid w:val="0023481F"/>
    <w:rsid w:val="00247E2C"/>
    <w:rsid w:val="00282332"/>
    <w:rsid w:val="002D6C53"/>
    <w:rsid w:val="002F5595"/>
    <w:rsid w:val="00307688"/>
    <w:rsid w:val="00334F6A"/>
    <w:rsid w:val="00342AC8"/>
    <w:rsid w:val="003940B3"/>
    <w:rsid w:val="003B4550"/>
    <w:rsid w:val="004032B5"/>
    <w:rsid w:val="00461253"/>
    <w:rsid w:val="005042C2"/>
    <w:rsid w:val="00557F19"/>
    <w:rsid w:val="00671529"/>
    <w:rsid w:val="007233F9"/>
    <w:rsid w:val="007268F9"/>
    <w:rsid w:val="00735147"/>
    <w:rsid w:val="00740A39"/>
    <w:rsid w:val="00786D5A"/>
    <w:rsid w:val="007C52B0"/>
    <w:rsid w:val="007D0584"/>
    <w:rsid w:val="008062D0"/>
    <w:rsid w:val="00883988"/>
    <w:rsid w:val="00894A8F"/>
    <w:rsid w:val="008E0F96"/>
    <w:rsid w:val="009411B4"/>
    <w:rsid w:val="009D0139"/>
    <w:rsid w:val="009F5CDC"/>
    <w:rsid w:val="00A0297D"/>
    <w:rsid w:val="00A775CF"/>
    <w:rsid w:val="00A8196B"/>
    <w:rsid w:val="00B06045"/>
    <w:rsid w:val="00B65189"/>
    <w:rsid w:val="00BA7451"/>
    <w:rsid w:val="00C01462"/>
    <w:rsid w:val="00C35A27"/>
    <w:rsid w:val="00C37CD2"/>
    <w:rsid w:val="00CB1FB9"/>
    <w:rsid w:val="00D70FE1"/>
    <w:rsid w:val="00DA7116"/>
    <w:rsid w:val="00DE532E"/>
    <w:rsid w:val="00E02C2B"/>
    <w:rsid w:val="00ED6C48"/>
    <w:rsid w:val="00F65F5D"/>
    <w:rsid w:val="00F86A3A"/>
    <w:rsid w:val="00F963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CE20"/>
  <w15:docId w15:val="{89A8EF64-0163-4296-93E4-7EF05ECA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282332"/>
    <w:rPr>
      <w:color w:val="0000FF" w:themeColor="hyperlink"/>
      <w:lang w:val="pt-PT"/>
    </w:rPr>
  </w:style>
  <w:style w:type="character" w:styleId="UnresolvedMention">
    <w:name w:val="Unresolved Mention"/>
    <w:basedOn w:val="DefaultParagraphFont"/>
    <w:uiPriority w:val="99"/>
    <w:semiHidden/>
    <w:unhideWhenUsed/>
    <w:rsid w:val="00282332"/>
    <w:rPr>
      <w:color w:val="605E5C"/>
      <w:shd w:val="clear" w:color="auto" w:fill="E1DFDD"/>
    </w:rPr>
  </w:style>
  <w:style w:type="character" w:styleId="FollowedHyperlink">
    <w:name w:val="FollowedHyperlink"/>
    <w:basedOn w:val="DefaultParagraphFont"/>
    <w:uiPriority w:val="99"/>
    <w:semiHidden/>
    <w:unhideWhenUsed/>
    <w:rsid w:val="00786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BWA/QPR/17-22" TargetMode="External"/><Relationship Id="rId13" Type="http://schemas.openxmlformats.org/officeDocument/2006/relationships/hyperlink" Target="http://undocs.org/en/CERD/C/BWA/17-22" TargetMode="External"/><Relationship Id="rId18" Type="http://schemas.openxmlformats.org/officeDocument/2006/relationships/hyperlink" Target="http://undocs.org/en/CERD/C/BWA/QPR/17-22" TargetMode="External"/><Relationship Id="rId26" Type="http://schemas.openxmlformats.org/officeDocument/2006/relationships/hyperlink" Target="https://undocs.org/en/A/HRC/40/64/Add.2" TargetMode="External"/><Relationship Id="rId3" Type="http://schemas.openxmlformats.org/officeDocument/2006/relationships/hyperlink" Target="http://undocs.org/en/CERD/C/BWA/17-22" TargetMode="External"/><Relationship Id="rId21" Type="http://schemas.openxmlformats.org/officeDocument/2006/relationships/hyperlink" Target="http://undocs.org/en/CERD/C/BWA/17-22" TargetMode="External"/><Relationship Id="rId34" Type="http://schemas.openxmlformats.org/officeDocument/2006/relationships/hyperlink" Target="http://undocs.org/en/CERD/C/BWA/17-22" TargetMode="External"/><Relationship Id="rId7" Type="http://schemas.openxmlformats.org/officeDocument/2006/relationships/hyperlink" Target="http://undocs.org/en/CERD/C/BWA/17-22" TargetMode="External"/><Relationship Id="rId12" Type="http://schemas.openxmlformats.org/officeDocument/2006/relationships/hyperlink" Target="http://undocs.org/en/CERD/C/BWA/QPR/17-22" TargetMode="External"/><Relationship Id="rId17" Type="http://schemas.openxmlformats.org/officeDocument/2006/relationships/hyperlink" Target="http://undocs.org/en/CERD/C/BWA/17-22" TargetMode="External"/><Relationship Id="rId25" Type="http://schemas.openxmlformats.org/officeDocument/2006/relationships/hyperlink" Target="http://undocs.org/en/CERD/C/BWA/17-22" TargetMode="External"/><Relationship Id="rId33" Type="http://schemas.openxmlformats.org/officeDocument/2006/relationships/hyperlink" Target="http://undocs.org/en/CERD/C/BWA/QPR/71-22" TargetMode="External"/><Relationship Id="rId2" Type="http://schemas.openxmlformats.org/officeDocument/2006/relationships/hyperlink" Target="http://undocs.org/en/CERD/C/BWA/QPR/17-22" TargetMode="External"/><Relationship Id="rId16" Type="http://schemas.openxmlformats.org/officeDocument/2006/relationships/hyperlink" Target="http://undocs.org/en/CERD/C/BWA/QPR/17-22" TargetMode="External"/><Relationship Id="rId20" Type="http://schemas.openxmlformats.org/officeDocument/2006/relationships/hyperlink" Target="http://undocs.org/en/CERD/C/BWA/QPR/17-22" TargetMode="External"/><Relationship Id="rId29" Type="http://schemas.openxmlformats.org/officeDocument/2006/relationships/hyperlink" Target="http://undocs.org/en/CERD/C/BWA/17-22" TargetMode="External"/><Relationship Id="rId1" Type="http://schemas.openxmlformats.org/officeDocument/2006/relationships/hyperlink" Target="http://undocs.org/en/A/65/18" TargetMode="External"/><Relationship Id="rId6" Type="http://schemas.openxmlformats.org/officeDocument/2006/relationships/hyperlink" Target="http://undocs.org/en/CERD/C/BWA/QPR/17-22" TargetMode="External"/><Relationship Id="rId11" Type="http://schemas.openxmlformats.org/officeDocument/2006/relationships/hyperlink" Target="http://undocs.org/en/CERD/C/BWA/17-22" TargetMode="External"/><Relationship Id="rId24" Type="http://schemas.openxmlformats.org/officeDocument/2006/relationships/hyperlink" Target="http://undocs.org/en/CERD/C/BWA/QPR/17-22" TargetMode="External"/><Relationship Id="rId32" Type="http://schemas.openxmlformats.org/officeDocument/2006/relationships/hyperlink" Target="http://undocs.org/en/CERD/C/BWA/17-22" TargetMode="External"/><Relationship Id="rId5" Type="http://schemas.openxmlformats.org/officeDocument/2006/relationships/hyperlink" Target="http://undocs.org/en/CERD/C/BWA/17-22" TargetMode="External"/><Relationship Id="rId15" Type="http://schemas.openxmlformats.org/officeDocument/2006/relationships/hyperlink" Target="http://undocs.org/en/CERD/C/BWA/17-22" TargetMode="External"/><Relationship Id="rId23" Type="http://schemas.openxmlformats.org/officeDocument/2006/relationships/hyperlink" Target="http://undocs.org/en/CERD/C/BWA/17-22" TargetMode="External"/><Relationship Id="rId28" Type="http://schemas.openxmlformats.org/officeDocument/2006/relationships/hyperlink" Target="https://undocs.org/en/CERD/C/BWA/17-22" TargetMode="External"/><Relationship Id="rId10" Type="http://schemas.openxmlformats.org/officeDocument/2006/relationships/hyperlink" Target="http://undocs.org/en/CERD/C/BWA/QPR/17-22" TargetMode="External"/><Relationship Id="rId19" Type="http://schemas.openxmlformats.org/officeDocument/2006/relationships/hyperlink" Target="http://undocs.org/en/CERD/C/BWA/17-22" TargetMode="External"/><Relationship Id="rId31" Type="http://schemas.openxmlformats.org/officeDocument/2006/relationships/hyperlink" Target="http://undocs.org/en/CERD/C/BWA/QPR/17-22" TargetMode="External"/><Relationship Id="rId4" Type="http://schemas.openxmlformats.org/officeDocument/2006/relationships/hyperlink" Target="http://undocs.org/en/CERD/C/BWA/QPR/17-22" TargetMode="External"/><Relationship Id="rId9" Type="http://schemas.openxmlformats.org/officeDocument/2006/relationships/hyperlink" Target="http://undocs.org/en/CERD/C/BWA/17-22" TargetMode="External"/><Relationship Id="rId14" Type="http://schemas.openxmlformats.org/officeDocument/2006/relationships/hyperlink" Target="http://undocs.org/en/CERD/C/BWA/QPR/17-22" TargetMode="External"/><Relationship Id="rId22" Type="http://schemas.openxmlformats.org/officeDocument/2006/relationships/hyperlink" Target="http://undocs.org/en/CERD/C/BWA/QPR/17-22" TargetMode="External"/><Relationship Id="rId27" Type="http://schemas.openxmlformats.org/officeDocument/2006/relationships/hyperlink" Target="https://undocs.org/en/CERD/C/BWA/QPR/17-22" TargetMode="External"/><Relationship Id="rId30" Type="http://schemas.openxmlformats.org/officeDocument/2006/relationships/hyperlink" Target="http://undocs.org/en/CERD/C/BWA/17-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1119</Words>
  <Characters>6268</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CERD/C/BWA/Q/17-22</vt:lpstr>
    </vt:vector>
  </TitlesOfParts>
  <Company>DCM</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CERD/C/BWA/Q/17-22</dc:title>
  <dc:subject>2226908</dc:subject>
  <dc:creator>Una Giltsoff</dc:creator>
  <cp:keywords/>
  <dc:description/>
  <cp:lastModifiedBy>Una Giltsoff</cp:lastModifiedBy>
  <cp:revision>2</cp:revision>
  <dcterms:created xsi:type="dcterms:W3CDTF">2022-11-28T15:17:00Z</dcterms:created>
  <dcterms:modified xsi:type="dcterms:W3CDTF">2022-11-28T15:17:00Z</dcterms:modified>
</cp:coreProperties>
</file>