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9EFA9" w14:textId="77777777" w:rsidR="00A40786" w:rsidRPr="007E3E0B" w:rsidRDefault="00A40786" w:rsidP="00A40786">
      <w:pPr>
        <w:spacing w:line="240" w:lineRule="auto"/>
        <w:rPr>
          <w:sz w:val="2"/>
        </w:rPr>
        <w:sectPr w:rsidR="00A40786" w:rsidRPr="007E3E0B" w:rsidSect="00AF0E68">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032" w:bottom="1757" w:left="1032" w:header="432" w:footer="504" w:gutter="0"/>
          <w:cols w:space="708"/>
          <w:titlePg/>
          <w:docGrid w:linePitch="360"/>
        </w:sectPr>
      </w:pPr>
    </w:p>
    <w:tbl>
      <w:tblPr>
        <w:tblW w:w="10074" w:type="dxa"/>
        <w:tblLayout w:type="fixed"/>
        <w:tblLook w:val="0000" w:firstRow="0" w:lastRow="0" w:firstColumn="0" w:lastColumn="0" w:noHBand="0" w:noVBand="0"/>
      </w:tblPr>
      <w:tblGrid>
        <w:gridCol w:w="4893"/>
        <w:gridCol w:w="288"/>
        <w:gridCol w:w="4893"/>
      </w:tblGrid>
      <w:tr w:rsidR="00AF0E68" w:rsidRPr="007E3E0B" w14:paraId="483B12A1" w14:textId="77777777" w:rsidTr="00AF0E68">
        <w:tc>
          <w:tcPr>
            <w:tcW w:w="4893" w:type="dxa"/>
            <w:shd w:val="clear" w:color="auto" w:fill="auto"/>
          </w:tcPr>
          <w:p w14:paraId="0E2BF24D" w14:textId="77777777" w:rsidR="00AF0E68" w:rsidRPr="007E3E0B" w:rsidRDefault="00AF0E68" w:rsidP="00AF0E68">
            <w:pPr>
              <w:pStyle w:val="H1"/>
              <w:ind w:left="0" w:right="0" w:firstLine="0"/>
            </w:pPr>
            <w:r w:rsidRPr="007E3E0B">
              <w:t>Committee on the Rights of the Child</w:t>
            </w:r>
          </w:p>
          <w:p w14:paraId="46FB2786" w14:textId="77777777" w:rsidR="00AF0E68" w:rsidRPr="007E3E0B" w:rsidRDefault="00AF0E68" w:rsidP="00AF0E68">
            <w:pPr>
              <w:pStyle w:val="H23"/>
              <w:ind w:left="0" w:right="0" w:firstLine="0"/>
            </w:pPr>
            <w:r w:rsidRPr="007E3E0B">
              <w:t>Seventy-sixth session</w:t>
            </w:r>
          </w:p>
          <w:p w14:paraId="2C281852" w14:textId="77777777" w:rsidR="00AF0E68" w:rsidRPr="007E3E0B" w:rsidRDefault="00AF0E68" w:rsidP="00AF0E68">
            <w:pPr>
              <w:pStyle w:val="H23"/>
              <w:ind w:left="0" w:right="0" w:firstLine="0"/>
              <w:rPr>
                <w:b w:val="0"/>
              </w:rPr>
            </w:pPr>
            <w:r w:rsidRPr="007E3E0B">
              <w:rPr>
                <w:b w:val="0"/>
              </w:rPr>
              <w:t>11-29 September 2017</w:t>
            </w:r>
          </w:p>
          <w:p w14:paraId="1939D70F" w14:textId="77777777" w:rsidR="00AF0E68" w:rsidRPr="007E3E0B" w:rsidRDefault="00AF0E68" w:rsidP="00AF0E68">
            <w:pPr>
              <w:pStyle w:val="H23"/>
              <w:ind w:left="0" w:right="0" w:firstLine="0"/>
              <w:rPr>
                <w:b w:val="0"/>
              </w:rPr>
            </w:pPr>
            <w:r w:rsidRPr="007E3E0B">
              <w:rPr>
                <w:b w:val="0"/>
              </w:rPr>
              <w:t>Item 4 of the provisional agenda</w:t>
            </w:r>
          </w:p>
          <w:p w14:paraId="5AFC290C" w14:textId="77777777" w:rsidR="00AF0E68" w:rsidRPr="007E3E0B" w:rsidRDefault="00AF0E68" w:rsidP="00347F5E">
            <w:pPr>
              <w:pStyle w:val="H23"/>
              <w:ind w:left="0" w:right="0" w:firstLine="0"/>
            </w:pPr>
            <w:r w:rsidRPr="007E3E0B">
              <w:t>Consideration of reports of States parties</w:t>
            </w:r>
          </w:p>
        </w:tc>
        <w:tc>
          <w:tcPr>
            <w:tcW w:w="288" w:type="dxa"/>
            <w:shd w:val="clear" w:color="auto" w:fill="auto"/>
          </w:tcPr>
          <w:p w14:paraId="16BF9FF5" w14:textId="77777777" w:rsidR="00AF0E68" w:rsidRPr="007E3E0B" w:rsidRDefault="00AF0E68" w:rsidP="00AF0E68">
            <w:pPr>
              <w:pStyle w:val="SingleTxt"/>
              <w:spacing w:after="0"/>
              <w:ind w:left="0"/>
            </w:pPr>
          </w:p>
        </w:tc>
        <w:tc>
          <w:tcPr>
            <w:tcW w:w="4893" w:type="dxa"/>
            <w:shd w:val="clear" w:color="auto" w:fill="auto"/>
          </w:tcPr>
          <w:p w14:paraId="50683160" w14:textId="77777777" w:rsidR="00AF0E68" w:rsidRPr="007E3E0B" w:rsidRDefault="00AF0E68" w:rsidP="00AF0E68">
            <w:pPr>
              <w:pStyle w:val="SingleTxt"/>
              <w:spacing w:after="0"/>
              <w:ind w:left="0"/>
            </w:pPr>
          </w:p>
        </w:tc>
      </w:tr>
      <w:tr w:rsidR="00AF0E68" w:rsidRPr="007E3E0B" w14:paraId="2893FB03" w14:textId="77777777" w:rsidTr="00AF0E68">
        <w:tc>
          <w:tcPr>
            <w:tcW w:w="4893" w:type="dxa"/>
            <w:shd w:val="clear" w:color="auto" w:fill="auto"/>
          </w:tcPr>
          <w:p w14:paraId="1D4693C4" w14:textId="77777777" w:rsidR="00AF0E68" w:rsidRPr="007E3E0B" w:rsidRDefault="00AF0E68" w:rsidP="00AF0E68">
            <w:pPr>
              <w:pStyle w:val="SingleTxt"/>
              <w:spacing w:after="0"/>
              <w:ind w:left="0"/>
            </w:pPr>
          </w:p>
        </w:tc>
        <w:tc>
          <w:tcPr>
            <w:tcW w:w="288" w:type="dxa"/>
            <w:shd w:val="clear" w:color="auto" w:fill="auto"/>
          </w:tcPr>
          <w:p w14:paraId="379F818C" w14:textId="77777777" w:rsidR="00AF0E68" w:rsidRPr="007E3E0B" w:rsidRDefault="00AF0E68" w:rsidP="00AF0E68">
            <w:pPr>
              <w:pStyle w:val="SingleTxt"/>
              <w:spacing w:after="0"/>
              <w:ind w:left="0"/>
            </w:pPr>
          </w:p>
        </w:tc>
        <w:tc>
          <w:tcPr>
            <w:tcW w:w="4893" w:type="dxa"/>
            <w:shd w:val="clear" w:color="auto" w:fill="auto"/>
          </w:tcPr>
          <w:p w14:paraId="7D39AC4D" w14:textId="77777777" w:rsidR="00AF0E68" w:rsidRPr="007E3E0B" w:rsidRDefault="00AF0E68" w:rsidP="00AF0E68">
            <w:pPr>
              <w:pStyle w:val="SingleTxt"/>
              <w:spacing w:after="0"/>
              <w:ind w:left="0"/>
            </w:pPr>
          </w:p>
        </w:tc>
      </w:tr>
    </w:tbl>
    <w:p w14:paraId="50117170" w14:textId="77777777" w:rsidR="00A40786" w:rsidRPr="007E3E0B" w:rsidRDefault="00A40786" w:rsidP="00AF0E68">
      <w:pPr>
        <w:pStyle w:val="SingleTxt"/>
        <w:spacing w:after="0" w:line="120" w:lineRule="exact"/>
        <w:rPr>
          <w:sz w:val="10"/>
        </w:rPr>
      </w:pPr>
    </w:p>
    <w:p w14:paraId="4839BD3D" w14:textId="77777777" w:rsidR="00AF0E68" w:rsidRPr="007E3E0B" w:rsidRDefault="00AF0E68" w:rsidP="00AF0E68">
      <w:pPr>
        <w:pStyle w:val="HCh"/>
        <w:ind w:left="1267" w:hanging="1267"/>
      </w:pPr>
      <w:r w:rsidRPr="007E3E0B">
        <w:tab/>
      </w:r>
      <w:r w:rsidRPr="007E3E0B">
        <w:tab/>
        <w:t xml:space="preserve">List of issues in relation to the fifth periodic report of </w:t>
      </w:r>
      <w:r w:rsidRPr="007E3E0B">
        <w:br/>
        <w:t>Denmark</w:t>
      </w:r>
    </w:p>
    <w:p w14:paraId="6A1DA80C" w14:textId="77777777" w:rsidR="00AF0E68" w:rsidRPr="007E3E0B" w:rsidRDefault="00AF0E68" w:rsidP="00AF0E68">
      <w:pPr>
        <w:pStyle w:val="SingleTxt"/>
        <w:spacing w:after="0" w:line="120" w:lineRule="exact"/>
        <w:rPr>
          <w:b/>
          <w:sz w:val="10"/>
        </w:rPr>
      </w:pPr>
      <w:r w:rsidRPr="007E3E0B">
        <w:rPr>
          <w:b/>
        </w:rPr>
        <w:tab/>
      </w:r>
    </w:p>
    <w:p w14:paraId="0EC4BADD" w14:textId="77777777" w:rsidR="00AF0E68" w:rsidRPr="007E3E0B" w:rsidRDefault="00AF0E68" w:rsidP="00AF0E68">
      <w:pPr>
        <w:pStyle w:val="H23"/>
      </w:pPr>
      <w:r w:rsidRPr="007E3E0B">
        <w:tab/>
      </w:r>
      <w:r w:rsidRPr="007E3E0B">
        <w:tab/>
        <w:t>Addendum</w:t>
      </w:r>
    </w:p>
    <w:p w14:paraId="2C417658" w14:textId="77777777" w:rsidR="00AF0E68" w:rsidRPr="007E3E0B" w:rsidRDefault="00AF0E68" w:rsidP="00AF0E68">
      <w:pPr>
        <w:pStyle w:val="SingleTxt"/>
        <w:spacing w:after="0" w:line="120" w:lineRule="exact"/>
        <w:rPr>
          <w:b/>
          <w:sz w:val="10"/>
        </w:rPr>
      </w:pPr>
      <w:r w:rsidRPr="007E3E0B">
        <w:rPr>
          <w:b/>
        </w:rPr>
        <w:tab/>
      </w:r>
    </w:p>
    <w:p w14:paraId="6665E170" w14:textId="77777777" w:rsidR="00AF0E68" w:rsidRPr="007E3E0B" w:rsidRDefault="00AF0E68" w:rsidP="00AF0E68">
      <w:pPr>
        <w:pStyle w:val="SingleTxt"/>
        <w:spacing w:after="0" w:line="120" w:lineRule="exact"/>
        <w:rPr>
          <w:b/>
          <w:sz w:val="10"/>
        </w:rPr>
      </w:pPr>
    </w:p>
    <w:p w14:paraId="6D866CDC" w14:textId="77777777" w:rsidR="00AF0E68" w:rsidRPr="007E3E0B" w:rsidRDefault="00AF0E68" w:rsidP="00AF0E68">
      <w:pPr>
        <w:pStyle w:val="HCh"/>
      </w:pPr>
      <w:r w:rsidRPr="007E3E0B">
        <w:tab/>
      </w:r>
      <w:r w:rsidRPr="007E3E0B">
        <w:tab/>
        <w:t>Replies of Denmark to the list of issues</w:t>
      </w:r>
      <w:r w:rsidRPr="007E3E0B">
        <w:rPr>
          <w:b w:val="0"/>
          <w:vertAlign w:val="superscript"/>
        </w:rPr>
        <w:footnoteReference w:customMarkFollows="1" w:id="1"/>
        <w:t xml:space="preserve">*, </w:t>
      </w:r>
      <w:r w:rsidRPr="007E3E0B">
        <w:rPr>
          <w:b w:val="0"/>
          <w:vertAlign w:val="superscript"/>
        </w:rPr>
        <w:footnoteReference w:customMarkFollows="1" w:id="2"/>
        <w:t>**</w:t>
      </w:r>
    </w:p>
    <w:p w14:paraId="590B38B2" w14:textId="77777777" w:rsidR="00AF0E68" w:rsidRPr="007E3E0B" w:rsidRDefault="00AF0E68" w:rsidP="00AF0E68">
      <w:pPr>
        <w:pStyle w:val="SingleTxt"/>
        <w:spacing w:after="0" w:line="120" w:lineRule="exact"/>
        <w:rPr>
          <w:sz w:val="10"/>
        </w:rPr>
      </w:pPr>
    </w:p>
    <w:p w14:paraId="1E8AD969" w14:textId="77777777" w:rsidR="00AF0E68" w:rsidRPr="007E3E0B" w:rsidRDefault="00AF0E68" w:rsidP="00AF0E68">
      <w:pPr>
        <w:pStyle w:val="SingleTxt"/>
        <w:spacing w:after="0" w:line="120" w:lineRule="exact"/>
        <w:rPr>
          <w:sz w:val="10"/>
        </w:rPr>
      </w:pPr>
    </w:p>
    <w:p w14:paraId="4FC35554" w14:textId="77777777" w:rsidR="00AF0E68" w:rsidRPr="007E3E0B" w:rsidRDefault="00AF0E68" w:rsidP="00AF0E68">
      <w:pPr>
        <w:pStyle w:val="SingleTxt"/>
        <w:jc w:val="right"/>
      </w:pPr>
      <w:r w:rsidRPr="007E3E0B">
        <w:t>[Date received: 7 June 2017]</w:t>
      </w:r>
    </w:p>
    <w:p w14:paraId="13AD5C99" w14:textId="77777777" w:rsidR="00AF0E68" w:rsidRPr="007E3E0B" w:rsidRDefault="00AF0E68" w:rsidP="00A40786">
      <w:pPr>
        <w:pStyle w:val="SingleTxt"/>
      </w:pPr>
    </w:p>
    <w:p w14:paraId="7CC60E54" w14:textId="77777777" w:rsidR="00AF0E68" w:rsidRPr="007E3E0B" w:rsidRDefault="00AF0E68" w:rsidP="00A40786">
      <w:pPr>
        <w:pStyle w:val="SingleTxt"/>
      </w:pPr>
    </w:p>
    <w:p w14:paraId="5520A7EC" w14:textId="77777777" w:rsidR="00AF0E68" w:rsidRPr="007E3E0B" w:rsidRDefault="00AF0E68" w:rsidP="00A40786">
      <w:pPr>
        <w:pStyle w:val="SingleTxt"/>
      </w:pPr>
    </w:p>
    <w:p w14:paraId="60D6E8DE" w14:textId="77777777" w:rsidR="00D35E51" w:rsidRPr="007E3E0B" w:rsidRDefault="00D35E51">
      <w:pPr>
        <w:suppressAutoHyphens w:val="0"/>
        <w:spacing w:after="200" w:line="276" w:lineRule="auto"/>
      </w:pPr>
      <w:r w:rsidRPr="007E3E0B">
        <w:br w:type="page"/>
      </w:r>
    </w:p>
    <w:p w14:paraId="2FB06836" w14:textId="77777777" w:rsidR="00D35E51" w:rsidRPr="007E3E0B" w:rsidRDefault="00D35E51" w:rsidP="004E484C">
      <w:pPr>
        <w:pStyle w:val="SingleTxt"/>
        <w:numPr>
          <w:ilvl w:val="0"/>
          <w:numId w:val="3"/>
        </w:numPr>
        <w:ind w:left="1267" w:right="1267" w:firstLine="0"/>
      </w:pPr>
      <w:r w:rsidRPr="007E3E0B">
        <w:lastRenderedPageBreak/>
        <w:t xml:space="preserve">Denmark is pleased to submit its written replies to the List of Issues, </w:t>
      </w:r>
      <w:r w:rsidR="007E3E0B">
        <w:br/>
      </w:r>
      <w:r w:rsidRPr="007E3E0B">
        <w:t xml:space="preserve">dated 8 March, 2017, CRC/C/DNK//Q/5. In the spirit of cooperation, Denmark is providing as much information as possible in response to the Committee’s questions and comments, taking into consideration the word count. Denmark also expresses its appreciation for the opportunity to appear in person before the Committee </w:t>
      </w:r>
      <w:r w:rsidR="007E3E0B">
        <w:br/>
      </w:r>
      <w:r w:rsidRPr="007E3E0B">
        <w:t xml:space="preserve">in September 2017. </w:t>
      </w:r>
    </w:p>
    <w:p w14:paraId="1D9AB81C" w14:textId="77777777" w:rsidR="00D35E51" w:rsidRPr="007E3E0B" w:rsidRDefault="00D35E51" w:rsidP="004E484C">
      <w:pPr>
        <w:pStyle w:val="SingleTxt"/>
        <w:numPr>
          <w:ilvl w:val="0"/>
          <w:numId w:val="3"/>
        </w:numPr>
        <w:ind w:left="1267" w:right="1267" w:firstLine="0"/>
      </w:pPr>
      <w:r w:rsidRPr="007E3E0B">
        <w:t>Please note that the reply contains answers from the Danish, Faroese and Greenlandic authorities. If nothing else is explicitly stated the information provided refers to the situation in Denmark and is provided by the Danish authorities.</w:t>
      </w:r>
    </w:p>
    <w:p w14:paraId="5395D181" w14:textId="77777777" w:rsidR="00523E17" w:rsidRPr="007E3E0B" w:rsidRDefault="00523E17" w:rsidP="00523E17">
      <w:pPr>
        <w:pStyle w:val="SingleTxt"/>
        <w:spacing w:after="0" w:line="120" w:lineRule="exact"/>
        <w:ind w:right="1267"/>
        <w:rPr>
          <w:sz w:val="10"/>
        </w:rPr>
      </w:pPr>
    </w:p>
    <w:p w14:paraId="359318B5" w14:textId="77777777" w:rsidR="00523E17" w:rsidRPr="007E3E0B" w:rsidRDefault="00523E17" w:rsidP="00523E17">
      <w:pPr>
        <w:pStyle w:val="SingleTxt"/>
        <w:spacing w:after="0" w:line="120" w:lineRule="exact"/>
        <w:ind w:right="1267"/>
        <w:rPr>
          <w:sz w:val="10"/>
        </w:rPr>
      </w:pPr>
    </w:p>
    <w:p w14:paraId="67279F3C" w14:textId="77777777" w:rsidR="00D35E51" w:rsidRPr="007E3E0B" w:rsidRDefault="00D35E51" w:rsidP="00523E17">
      <w:pPr>
        <w:pStyle w:val="HCh"/>
      </w:pPr>
      <w:r w:rsidRPr="007E3E0B">
        <w:tab/>
      </w:r>
      <w:r w:rsidRPr="007E3E0B">
        <w:tab/>
        <w:t>Part I</w:t>
      </w:r>
    </w:p>
    <w:p w14:paraId="7614A593" w14:textId="77777777" w:rsidR="00E46FF5" w:rsidRPr="007E3E0B" w:rsidRDefault="00E46FF5" w:rsidP="00E46FF5">
      <w:pPr>
        <w:pStyle w:val="SingleTxt"/>
        <w:spacing w:after="0" w:line="120" w:lineRule="exact"/>
        <w:ind w:right="1267"/>
        <w:rPr>
          <w:sz w:val="10"/>
        </w:rPr>
      </w:pPr>
    </w:p>
    <w:p w14:paraId="1120DE02" w14:textId="77777777" w:rsidR="00E46FF5" w:rsidRPr="007E3E0B" w:rsidRDefault="00E46FF5" w:rsidP="00E46FF5">
      <w:pPr>
        <w:pStyle w:val="SingleTxt"/>
        <w:spacing w:after="0" w:line="120" w:lineRule="exact"/>
        <w:ind w:right="1267"/>
        <w:rPr>
          <w:sz w:val="10"/>
        </w:rPr>
      </w:pPr>
    </w:p>
    <w:p w14:paraId="34F1B1E4" w14:textId="77777777" w:rsidR="00D35E51" w:rsidRPr="007E3E0B" w:rsidRDefault="00D35E51" w:rsidP="00523E17">
      <w:pPr>
        <w:pStyle w:val="H1"/>
      </w:pPr>
      <w:r w:rsidRPr="007E3E0B">
        <w:tab/>
      </w:r>
      <w:r w:rsidRPr="007E3E0B">
        <w:tab/>
        <w:t xml:space="preserve">Para. 1 </w:t>
      </w:r>
    </w:p>
    <w:p w14:paraId="37425663" w14:textId="77777777" w:rsidR="00523E17" w:rsidRPr="007E3E0B" w:rsidRDefault="00523E17" w:rsidP="00523E17">
      <w:pPr>
        <w:pStyle w:val="SingleTxt"/>
        <w:spacing w:after="0" w:line="120" w:lineRule="exact"/>
        <w:rPr>
          <w:sz w:val="10"/>
        </w:rPr>
      </w:pPr>
    </w:p>
    <w:p w14:paraId="06F8F6A6" w14:textId="77777777" w:rsidR="00523E17" w:rsidRPr="007E3E0B" w:rsidRDefault="00523E17" w:rsidP="00523E17">
      <w:pPr>
        <w:pStyle w:val="SingleTxt"/>
        <w:spacing w:after="0" w:line="120" w:lineRule="exact"/>
        <w:rPr>
          <w:sz w:val="10"/>
        </w:rPr>
      </w:pPr>
    </w:p>
    <w:p w14:paraId="181AFA40" w14:textId="77777777" w:rsidR="00D35E51" w:rsidRPr="007E3E0B" w:rsidRDefault="00D35E51" w:rsidP="004E484C">
      <w:pPr>
        <w:pStyle w:val="SingleTxt"/>
        <w:numPr>
          <w:ilvl w:val="0"/>
          <w:numId w:val="3"/>
        </w:numPr>
        <w:ind w:left="1267" w:right="1267" w:firstLine="0"/>
      </w:pPr>
      <w:r w:rsidRPr="007E3E0B">
        <w:t xml:space="preserve">In light of the recommendation adopted by the Committee on 4 February 2011 Denmark has considered withdrawing its reservation to article 40(2)(b)(v). However, under Danish law it is a general principle applicable to children and adults alike that the possibility to bring an appeal is restricted in minor, less serious cases. Thus, pursuant to Section 902 of the Administration of Justice Act a convicted person can only appeal a judgment made by the city court if the person concerned has appeared during the proceedings and has been given a sentence of more </w:t>
      </w:r>
      <w:r w:rsidR="00901531" w:rsidRPr="007E3E0B">
        <w:br/>
      </w:r>
      <w:r w:rsidRPr="007E3E0B">
        <w:t xml:space="preserve">than 20 daily fines or a fine of DKK 3,000 or more or confiscation of objects of an equivalent value or if other public law sentences have been imposed upon him or her. If the person has not appeared before the city court he or she can only appeal if the appeal does not regard the question of guilt and the above mentioned other conditions are fulfilled. In view of this, Denmark has decided not to withdraw its reservation to article 40(2)(b)(v). </w:t>
      </w:r>
    </w:p>
    <w:p w14:paraId="5DFF28B6" w14:textId="77777777" w:rsidR="00523E17" w:rsidRPr="007E3E0B" w:rsidRDefault="00523E17" w:rsidP="00523E17">
      <w:pPr>
        <w:pStyle w:val="SingleTxt"/>
        <w:spacing w:after="0" w:line="120" w:lineRule="exact"/>
        <w:ind w:right="1267"/>
        <w:rPr>
          <w:sz w:val="10"/>
        </w:rPr>
      </w:pPr>
    </w:p>
    <w:p w14:paraId="20C9C88D" w14:textId="77777777" w:rsidR="00523E17" w:rsidRPr="007E3E0B" w:rsidRDefault="00523E17" w:rsidP="00523E17">
      <w:pPr>
        <w:pStyle w:val="SingleTxt"/>
        <w:spacing w:after="0" w:line="120" w:lineRule="exact"/>
        <w:ind w:right="1267"/>
        <w:rPr>
          <w:sz w:val="10"/>
        </w:rPr>
      </w:pPr>
    </w:p>
    <w:p w14:paraId="781F9B6A" w14:textId="77777777" w:rsidR="00D35E51" w:rsidRPr="007E3E0B" w:rsidRDefault="00D35E51" w:rsidP="00523E17">
      <w:pPr>
        <w:pStyle w:val="H1"/>
      </w:pPr>
      <w:r w:rsidRPr="007E3E0B">
        <w:tab/>
      </w:r>
      <w:r w:rsidRPr="007E3E0B">
        <w:tab/>
        <w:t xml:space="preserve">Para. 2 </w:t>
      </w:r>
    </w:p>
    <w:p w14:paraId="6F9A3BAC" w14:textId="77777777" w:rsidR="00523E17" w:rsidRPr="007E3E0B" w:rsidRDefault="00523E17" w:rsidP="00523E17">
      <w:pPr>
        <w:pStyle w:val="SingleTxt"/>
        <w:spacing w:after="0" w:line="120" w:lineRule="exact"/>
        <w:rPr>
          <w:sz w:val="10"/>
        </w:rPr>
      </w:pPr>
    </w:p>
    <w:p w14:paraId="0AF03398" w14:textId="77777777" w:rsidR="00523E17" w:rsidRPr="007E3E0B" w:rsidRDefault="00523E17" w:rsidP="00523E17">
      <w:pPr>
        <w:pStyle w:val="SingleTxt"/>
        <w:spacing w:after="0" w:line="120" w:lineRule="exact"/>
        <w:rPr>
          <w:sz w:val="10"/>
        </w:rPr>
      </w:pPr>
    </w:p>
    <w:p w14:paraId="3BF7F64E" w14:textId="77777777" w:rsidR="00D35E51" w:rsidRPr="007E3E0B" w:rsidRDefault="00D35E51" w:rsidP="004E484C">
      <w:pPr>
        <w:pStyle w:val="SingleTxt"/>
        <w:numPr>
          <w:ilvl w:val="0"/>
          <w:numId w:val="3"/>
        </w:numPr>
        <w:ind w:left="1267" w:right="1267" w:firstLine="0"/>
      </w:pPr>
      <w:r w:rsidRPr="007E3E0B">
        <w:t xml:space="preserve">As noted in our fifth periodic report Denmark has decided not to incorporate the Convention into Danish law. However, it should be noticed, that international conventions ratified by Denmark, can be invoked before and applied by the Danish Courts and other judicial authorities, although they are not separately implemented in Danish law. </w:t>
      </w:r>
    </w:p>
    <w:p w14:paraId="32B0EEFF" w14:textId="77777777" w:rsidR="00D35E51" w:rsidRPr="007E3E0B" w:rsidRDefault="00D35E51" w:rsidP="004E484C">
      <w:pPr>
        <w:pStyle w:val="SingleTxt"/>
        <w:numPr>
          <w:ilvl w:val="0"/>
          <w:numId w:val="3"/>
        </w:numPr>
        <w:ind w:left="1267" w:right="1267" w:firstLine="0"/>
      </w:pPr>
      <w:r w:rsidRPr="007E3E0B">
        <w:t xml:space="preserve">According to the Danish so-called “interpretation and presumptions rules”, the courts and other judicial authorities must to the extent possible apply Danish </w:t>
      </w:r>
      <w:r w:rsidRPr="0000113A">
        <w:rPr>
          <w:spacing w:val="2"/>
        </w:rPr>
        <w:t>legislation in a way that is not contrary towards Denmark</w:t>
      </w:r>
      <w:r w:rsidR="0000113A" w:rsidRPr="0000113A">
        <w:rPr>
          <w:spacing w:val="2"/>
        </w:rPr>
        <w:t>’</w:t>
      </w:r>
      <w:r w:rsidRPr="0000113A">
        <w:rPr>
          <w:spacing w:val="2"/>
        </w:rPr>
        <w:t>s international obligations.</w:t>
      </w:r>
      <w:r w:rsidRPr="007E3E0B">
        <w:t xml:space="preserve"> </w:t>
      </w:r>
    </w:p>
    <w:p w14:paraId="48CD6C40" w14:textId="77777777" w:rsidR="00D35E51" w:rsidRPr="007E3E0B" w:rsidRDefault="00D35E51" w:rsidP="004E484C">
      <w:pPr>
        <w:pStyle w:val="SingleTxt"/>
        <w:numPr>
          <w:ilvl w:val="0"/>
          <w:numId w:val="3"/>
        </w:numPr>
        <w:ind w:left="1267" w:right="1267" w:firstLine="0"/>
      </w:pPr>
      <w:r w:rsidRPr="007E3E0B">
        <w:t>As an example of raising awareness about the Convention, reference can be made to e.g. the basic education at the Police Academy. Both the basic education at the Police Academy and the further and advanced training programme for law enforcement officials include dilemma situations and cases, asking the students to reflect on police ethics with a general focus on human rights issues and thematic focus on the special obligations for the police in relation to children and victims in the regular police patrol duty as well as in the development of crime prevention measures in relation to children.</w:t>
      </w:r>
    </w:p>
    <w:p w14:paraId="0BBEB542" w14:textId="77777777" w:rsidR="00D35E51" w:rsidRPr="007E3E0B" w:rsidRDefault="00D35E51" w:rsidP="004E484C">
      <w:pPr>
        <w:pStyle w:val="SingleTxt"/>
        <w:numPr>
          <w:ilvl w:val="0"/>
          <w:numId w:val="3"/>
        </w:numPr>
        <w:ind w:left="1267" w:right="1267" w:firstLine="0"/>
      </w:pPr>
      <w:r w:rsidRPr="007E3E0B">
        <w:t xml:space="preserve">International obligations and human rights issues are often important parts of the content of the mandatory courses for prosecutor trainees and the optional courses for all prosecutors. In addition prosecutors may apply to attend courses on human rights offered by </w:t>
      </w:r>
      <w:proofErr w:type="spellStart"/>
      <w:r w:rsidRPr="007E3E0B">
        <w:t>i.a</w:t>
      </w:r>
      <w:proofErr w:type="spellEnd"/>
      <w:r w:rsidRPr="007E3E0B">
        <w:t xml:space="preserve">. The Danish Institute of Human Rights. </w:t>
      </w:r>
    </w:p>
    <w:p w14:paraId="2E3C6EEF" w14:textId="77777777" w:rsidR="00D35E51" w:rsidRPr="007E3E0B" w:rsidRDefault="00D35E51" w:rsidP="004E484C">
      <w:pPr>
        <w:pStyle w:val="SingleTxt"/>
        <w:numPr>
          <w:ilvl w:val="0"/>
          <w:numId w:val="3"/>
        </w:numPr>
        <w:ind w:left="1267" w:right="1267" w:firstLine="0"/>
      </w:pPr>
      <w:r w:rsidRPr="007E3E0B">
        <w:t xml:space="preserve">In regard to judges the Court Administration offers approximately </w:t>
      </w:r>
      <w:r w:rsidR="00901531" w:rsidRPr="007E3E0B">
        <w:br/>
      </w:r>
      <w:r w:rsidRPr="007E3E0B">
        <w:t xml:space="preserve">250 different training courses annually. At the moment there are no specific courses or lectures offered with a focus solely on human rights or children’s rights. </w:t>
      </w:r>
      <w:r w:rsidR="00901531" w:rsidRPr="007E3E0B">
        <w:br/>
      </w:r>
      <w:r w:rsidRPr="007E3E0B">
        <w:t xml:space="preserve">A specific seminar is, however, offered for court personnel in September 2017 regarding custody cases. Children’s rights are included as a part of the seminar. In </w:t>
      </w:r>
      <w:r w:rsidRPr="007E3E0B">
        <w:lastRenderedPageBreak/>
        <w:t>addition the Court Administration offers international training on the subject through our international partners such as the Academy of European Law, European Judicial Training Network and through cooperation between the Nordic countries.</w:t>
      </w:r>
    </w:p>
    <w:p w14:paraId="5F788503" w14:textId="77777777" w:rsidR="00F71E3B" w:rsidRPr="007E3E0B" w:rsidRDefault="00F71E3B" w:rsidP="00F71E3B">
      <w:pPr>
        <w:pStyle w:val="SingleTxt"/>
        <w:spacing w:after="0" w:line="120" w:lineRule="exact"/>
        <w:ind w:right="1267"/>
        <w:rPr>
          <w:sz w:val="10"/>
        </w:rPr>
      </w:pPr>
    </w:p>
    <w:p w14:paraId="2D93BB27" w14:textId="77777777" w:rsidR="00F71E3B" w:rsidRPr="007E3E0B" w:rsidRDefault="00F71E3B" w:rsidP="00F71E3B">
      <w:pPr>
        <w:pStyle w:val="SingleTxt"/>
        <w:spacing w:after="0" w:line="120" w:lineRule="exact"/>
        <w:ind w:right="1267"/>
        <w:rPr>
          <w:sz w:val="10"/>
        </w:rPr>
      </w:pPr>
    </w:p>
    <w:p w14:paraId="177F92B3" w14:textId="77777777" w:rsidR="00D35E51" w:rsidRPr="007E3E0B" w:rsidRDefault="00D35E51" w:rsidP="00F71E3B">
      <w:pPr>
        <w:pStyle w:val="H1"/>
      </w:pPr>
      <w:r w:rsidRPr="007E3E0B">
        <w:tab/>
      </w:r>
      <w:r w:rsidRPr="007E3E0B">
        <w:tab/>
        <w:t>Para. 3</w:t>
      </w:r>
    </w:p>
    <w:p w14:paraId="142B941A" w14:textId="77777777" w:rsidR="00F71E3B" w:rsidRPr="007E3E0B" w:rsidRDefault="00F71E3B" w:rsidP="00F71E3B">
      <w:pPr>
        <w:pStyle w:val="SingleTxt"/>
        <w:spacing w:after="0" w:line="120" w:lineRule="exact"/>
        <w:rPr>
          <w:sz w:val="10"/>
        </w:rPr>
      </w:pPr>
    </w:p>
    <w:p w14:paraId="66DD7053" w14:textId="77777777" w:rsidR="00F71E3B" w:rsidRPr="007E3E0B" w:rsidRDefault="00F71E3B" w:rsidP="00F71E3B">
      <w:pPr>
        <w:pStyle w:val="SingleTxt"/>
        <w:spacing w:after="0" w:line="120" w:lineRule="exact"/>
        <w:rPr>
          <w:sz w:val="10"/>
        </w:rPr>
      </w:pPr>
    </w:p>
    <w:p w14:paraId="582B19E9" w14:textId="77777777" w:rsidR="00D35E51" w:rsidRPr="007E3E0B" w:rsidRDefault="00D35E51" w:rsidP="004E484C">
      <w:pPr>
        <w:pStyle w:val="SingleTxt"/>
        <w:numPr>
          <w:ilvl w:val="0"/>
          <w:numId w:val="3"/>
        </w:numPr>
        <w:ind w:left="1267" w:right="1267" w:firstLine="0"/>
      </w:pPr>
      <w:r w:rsidRPr="007E3E0B">
        <w:t xml:space="preserve">The Government launched in 2015 an information campaign to raise awareness of the Convention. As part of the campaign two publications were published which focus on guidance in situations where a private school is contemplating expelling a student. The publications aim to help private schools to increase the involvement of students in cases of expulsion. An evaluation of the awareness of the publications and of school policies in the field showed that there was room for improvement. The Government has hence in March 2017 emphasized this area and supplemented the existing guidance material for private schools with a clearer instruction on how private schools in accordance with the Convention are obliged to consult a child in important decisions affecting the student </w:t>
      </w:r>
      <w:proofErr w:type="spellStart"/>
      <w:r w:rsidRPr="007E3E0B">
        <w:t>i.a</w:t>
      </w:r>
      <w:proofErr w:type="spellEnd"/>
      <w:r w:rsidRPr="007E3E0B">
        <w:t xml:space="preserve">. in cases of expulsion. An evaluation of the new guidance material will be carried out in 2018. </w:t>
      </w:r>
    </w:p>
    <w:p w14:paraId="088DDFDB" w14:textId="77777777" w:rsidR="00D35E51" w:rsidRPr="007E3E0B" w:rsidRDefault="00D35E51" w:rsidP="004E484C">
      <w:pPr>
        <w:pStyle w:val="SingleTxt"/>
        <w:numPr>
          <w:ilvl w:val="0"/>
          <w:numId w:val="3"/>
        </w:numPr>
        <w:ind w:left="1267" w:right="1267" w:firstLine="0"/>
      </w:pPr>
      <w:r w:rsidRPr="007E3E0B">
        <w:t>The Government has furthermore enhanced the focus on students</w:t>
      </w:r>
      <w:r w:rsidR="0000113A">
        <w:t>’</w:t>
      </w:r>
      <w:r w:rsidRPr="007E3E0B">
        <w:t xml:space="preserve"> citizenship and critical skills in the simplified </w:t>
      </w:r>
      <w:r w:rsidR="0000113A">
        <w:t>“</w:t>
      </w:r>
      <w:r w:rsidRPr="007E3E0B">
        <w:t>Common Goals</w:t>
      </w:r>
      <w:r w:rsidR="0000113A">
        <w:t>”</w:t>
      </w:r>
      <w:r w:rsidRPr="007E3E0B">
        <w:t xml:space="preserve"> for primary and lower secondary school from the school year 2015/16. Human rights are explicitly a part of the binding objectives for social studies and the compulsory subject of health and sex education and family studies.</w:t>
      </w:r>
    </w:p>
    <w:p w14:paraId="45D190BA" w14:textId="77777777" w:rsidR="00D35E51" w:rsidRPr="007E3E0B" w:rsidRDefault="00D35E51" w:rsidP="004E484C">
      <w:pPr>
        <w:pStyle w:val="SingleTxt"/>
        <w:numPr>
          <w:ilvl w:val="0"/>
          <w:numId w:val="3"/>
        </w:numPr>
        <w:ind w:left="1267" w:right="1267" w:firstLine="0"/>
      </w:pPr>
      <w:r w:rsidRPr="007E3E0B">
        <w:t>During autumn of 2017 a special week is planned with enhanced focus on community, democracy and citizenship in the education system. The focus of the Government will be on democracy in action through a national campaign.</w:t>
      </w:r>
    </w:p>
    <w:p w14:paraId="13AA03F1" w14:textId="77777777" w:rsidR="00F71E3B" w:rsidRPr="007E3E0B" w:rsidRDefault="00F71E3B" w:rsidP="00F71E3B">
      <w:pPr>
        <w:pStyle w:val="SingleTxt"/>
        <w:spacing w:after="0" w:line="120" w:lineRule="exact"/>
        <w:ind w:right="1267"/>
        <w:rPr>
          <w:sz w:val="10"/>
        </w:rPr>
      </w:pPr>
    </w:p>
    <w:p w14:paraId="7C65FC41" w14:textId="77777777" w:rsidR="00F71E3B" w:rsidRPr="007E3E0B" w:rsidRDefault="00F71E3B" w:rsidP="00F71E3B">
      <w:pPr>
        <w:pStyle w:val="SingleTxt"/>
        <w:spacing w:after="0" w:line="120" w:lineRule="exact"/>
        <w:ind w:right="1267"/>
        <w:rPr>
          <w:sz w:val="10"/>
        </w:rPr>
      </w:pPr>
    </w:p>
    <w:p w14:paraId="6F8B434B" w14:textId="77777777" w:rsidR="00D35E51" w:rsidRPr="007E3E0B" w:rsidRDefault="00D35E51" w:rsidP="00F71E3B">
      <w:pPr>
        <w:pStyle w:val="H1"/>
      </w:pPr>
      <w:r w:rsidRPr="007E3E0B">
        <w:tab/>
      </w:r>
      <w:r w:rsidRPr="007E3E0B">
        <w:tab/>
        <w:t xml:space="preserve">Para. 4 </w:t>
      </w:r>
    </w:p>
    <w:p w14:paraId="4CA193D9" w14:textId="77777777" w:rsidR="00F71E3B" w:rsidRPr="00E46FF5" w:rsidRDefault="00F71E3B" w:rsidP="00E46FF5">
      <w:pPr>
        <w:pStyle w:val="SingleTxt"/>
        <w:spacing w:after="0" w:line="120" w:lineRule="exact"/>
        <w:rPr>
          <w:b/>
          <w:sz w:val="10"/>
        </w:rPr>
      </w:pPr>
    </w:p>
    <w:p w14:paraId="6DB1D28E" w14:textId="77777777" w:rsidR="00E46FF5" w:rsidRPr="007E3E0B" w:rsidRDefault="00E46FF5" w:rsidP="00F71E3B">
      <w:pPr>
        <w:pStyle w:val="SingleTxt"/>
        <w:spacing w:after="0" w:line="120" w:lineRule="exact"/>
        <w:rPr>
          <w:b/>
          <w:sz w:val="10"/>
        </w:rPr>
      </w:pPr>
    </w:p>
    <w:p w14:paraId="59E792E9" w14:textId="77777777" w:rsidR="00D35E51" w:rsidRPr="007E3E0B" w:rsidRDefault="00D35E51" w:rsidP="00F71E3B">
      <w:pPr>
        <w:pStyle w:val="H23"/>
      </w:pPr>
      <w:r w:rsidRPr="007E3E0B">
        <w:tab/>
      </w:r>
      <w:r w:rsidRPr="007E3E0B">
        <w:tab/>
        <w:t>Section 266 b of the Danish Criminal Code</w:t>
      </w:r>
    </w:p>
    <w:p w14:paraId="23FBE244" w14:textId="77777777" w:rsidR="00F71E3B" w:rsidRPr="007E3E0B" w:rsidRDefault="00F71E3B" w:rsidP="00F71E3B">
      <w:pPr>
        <w:pStyle w:val="SingleTxt"/>
        <w:spacing w:after="0" w:line="120" w:lineRule="exact"/>
        <w:rPr>
          <w:b/>
          <w:sz w:val="10"/>
        </w:rPr>
      </w:pPr>
    </w:p>
    <w:p w14:paraId="11241A94" w14:textId="77777777" w:rsidR="00D35E51" w:rsidRPr="007E3E0B" w:rsidRDefault="00D35E51" w:rsidP="004E484C">
      <w:pPr>
        <w:pStyle w:val="SingleTxt"/>
        <w:numPr>
          <w:ilvl w:val="0"/>
          <w:numId w:val="3"/>
        </w:numPr>
        <w:ind w:left="1267" w:right="1267" w:firstLine="0"/>
      </w:pPr>
      <w:r w:rsidRPr="007E3E0B">
        <w:t>Pursuant to section 266 b of the Danish Criminal Code, any person who publicly, or with the intent of dissemination to a wide group, issues a statement or other communication threatening, humiliating or degrading persons of a particular group because of their race, colour, national or ethnic origin, religious faith or sexuality is sentenced to a fine or imprisonment for a term not exceeding two years. Please refer to the annex, section 1 for information on the number of contraventions of Section 266 b of the Criminal Code.</w:t>
      </w:r>
    </w:p>
    <w:p w14:paraId="311C6B5F" w14:textId="77777777" w:rsidR="00F71E3B" w:rsidRPr="007E3E0B" w:rsidRDefault="00F71E3B" w:rsidP="00F71E3B">
      <w:pPr>
        <w:pStyle w:val="SingleTxt"/>
        <w:spacing w:after="0" w:line="120" w:lineRule="exact"/>
        <w:ind w:right="1267"/>
        <w:rPr>
          <w:sz w:val="10"/>
        </w:rPr>
      </w:pPr>
    </w:p>
    <w:p w14:paraId="2A4FD98E" w14:textId="77777777" w:rsidR="00D35E51" w:rsidRPr="007E3E0B" w:rsidRDefault="00F71E3B" w:rsidP="00F71E3B">
      <w:pPr>
        <w:pStyle w:val="H23"/>
      </w:pPr>
      <w:r w:rsidRPr="007E3E0B">
        <w:tab/>
      </w:r>
      <w:r w:rsidRPr="007E3E0B">
        <w:tab/>
      </w:r>
      <w:r w:rsidR="00D35E51" w:rsidRPr="007E3E0B">
        <w:t>Data system for monitoring hate crimes</w:t>
      </w:r>
    </w:p>
    <w:p w14:paraId="5459DF59" w14:textId="77777777" w:rsidR="00F71E3B" w:rsidRPr="007E3E0B" w:rsidRDefault="00F71E3B" w:rsidP="00F71E3B">
      <w:pPr>
        <w:pStyle w:val="SingleTxt"/>
        <w:spacing w:after="0" w:line="120" w:lineRule="exact"/>
        <w:rPr>
          <w:b/>
          <w:sz w:val="10"/>
        </w:rPr>
      </w:pPr>
    </w:p>
    <w:p w14:paraId="16DA2D1B" w14:textId="77777777" w:rsidR="00D35E51" w:rsidRPr="007E3E0B" w:rsidRDefault="00D35E51" w:rsidP="004E484C">
      <w:pPr>
        <w:pStyle w:val="SingleTxt"/>
        <w:numPr>
          <w:ilvl w:val="0"/>
          <w:numId w:val="3"/>
        </w:numPr>
        <w:ind w:left="1267" w:right="1267" w:firstLine="0"/>
      </w:pPr>
      <w:r w:rsidRPr="007E3E0B">
        <w:t xml:space="preserve">Until 2014 the Danish Security and Intelligence Service (DSIS) was tasked with collecting data on hate crime. The DSIS published annual reports on the subject. </w:t>
      </w:r>
    </w:p>
    <w:p w14:paraId="4B011B22" w14:textId="77777777" w:rsidR="00D35E51" w:rsidRPr="007E3E0B" w:rsidRDefault="00D35E51" w:rsidP="004E484C">
      <w:pPr>
        <w:pStyle w:val="SingleTxt"/>
        <w:numPr>
          <w:ilvl w:val="0"/>
          <w:numId w:val="3"/>
        </w:numPr>
        <w:ind w:left="1267" w:right="1267" w:firstLine="0"/>
      </w:pPr>
      <w:r w:rsidRPr="007E3E0B">
        <w:t xml:space="preserve">In 2015, overall responsibility for hate crime data collection as well as for the publication of annual reports was transferred to the Danish National Police (DNP). The DNP started the process of setting up a new data collection system in which police caseworkers enter relevant information and search-keywords directly into an electronic case management system. </w:t>
      </w:r>
    </w:p>
    <w:p w14:paraId="047AB548" w14:textId="77777777" w:rsidR="00F71E3B" w:rsidRPr="007E3E0B" w:rsidRDefault="00F71E3B" w:rsidP="00F71E3B">
      <w:pPr>
        <w:pStyle w:val="SingleTxt"/>
        <w:spacing w:after="0" w:line="120" w:lineRule="exact"/>
        <w:ind w:right="1267"/>
        <w:rPr>
          <w:sz w:val="10"/>
        </w:rPr>
      </w:pPr>
    </w:p>
    <w:p w14:paraId="72893B08" w14:textId="77777777" w:rsidR="00D35E51" w:rsidRPr="007E3E0B" w:rsidRDefault="00D35E51" w:rsidP="00F71E3B">
      <w:pPr>
        <w:pStyle w:val="H23"/>
      </w:pPr>
      <w:r w:rsidRPr="007E3E0B">
        <w:tab/>
      </w:r>
      <w:r w:rsidRPr="007E3E0B">
        <w:tab/>
        <w:t>Education of police</w:t>
      </w:r>
    </w:p>
    <w:p w14:paraId="15AAA4BC" w14:textId="77777777" w:rsidR="00F71E3B" w:rsidRPr="007E3E0B" w:rsidRDefault="00F71E3B" w:rsidP="00F71E3B">
      <w:pPr>
        <w:pStyle w:val="SingleTxt"/>
        <w:spacing w:after="0" w:line="120" w:lineRule="exact"/>
        <w:rPr>
          <w:b/>
          <w:sz w:val="10"/>
        </w:rPr>
      </w:pPr>
    </w:p>
    <w:p w14:paraId="4E7E7977" w14:textId="77777777" w:rsidR="00D35E51" w:rsidRPr="007E3E0B" w:rsidRDefault="00D35E51" w:rsidP="004E484C">
      <w:pPr>
        <w:pStyle w:val="SingleTxt"/>
        <w:numPr>
          <w:ilvl w:val="0"/>
          <w:numId w:val="3"/>
        </w:numPr>
        <w:ind w:left="1267" w:right="1267" w:firstLine="0"/>
      </w:pPr>
      <w:r w:rsidRPr="007E3E0B">
        <w:t xml:space="preserve">A course regarding hate crimes is part of the mandatory curriculum at the Danish police academy. The course is case based and includes knowledge on </w:t>
      </w:r>
      <w:proofErr w:type="spellStart"/>
      <w:r w:rsidRPr="007E3E0B">
        <w:t>i.a</w:t>
      </w:r>
      <w:proofErr w:type="spellEnd"/>
      <w:r w:rsidRPr="007E3E0B">
        <w:t>. what constitutes a hate crime.</w:t>
      </w:r>
    </w:p>
    <w:p w14:paraId="6506BAC5" w14:textId="77777777" w:rsidR="00D35E51" w:rsidRPr="007E3E0B" w:rsidRDefault="00D35E51" w:rsidP="004E484C">
      <w:pPr>
        <w:pStyle w:val="SingleTxt"/>
        <w:numPr>
          <w:ilvl w:val="0"/>
          <w:numId w:val="3"/>
        </w:numPr>
        <w:ind w:left="1267" w:right="1267" w:firstLine="0"/>
      </w:pPr>
      <w:r w:rsidRPr="007E3E0B">
        <w:t xml:space="preserve">As part of the continued education of police officers seminars on handling hate crimes were held by The Danish Security and Intelligence Service and the Danish Institute for Human Rights in the period from 2011 until 2013. </w:t>
      </w:r>
      <w:r w:rsidR="00F71E3B" w:rsidRPr="007E3E0B">
        <w:br/>
      </w:r>
      <w:r w:rsidRPr="007E3E0B">
        <w:t xml:space="preserve">Approximately 250 employees attended the seminars. The Danish National Police has </w:t>
      </w:r>
      <w:r w:rsidRPr="007E3E0B">
        <w:lastRenderedPageBreak/>
        <w:t xml:space="preserve">developed a training seminar dealing with hate crimes which was first held </w:t>
      </w:r>
      <w:r w:rsidR="00347F5E">
        <w:br/>
      </w:r>
      <w:r w:rsidRPr="007E3E0B">
        <w:t>on 28 February 2017. It involved lecturers from the Danish Public Prosecution Service, the Director of Public Prosecutions, LGBT Denmark and the Jewish Society. The seminar had 30 participants.</w:t>
      </w:r>
    </w:p>
    <w:p w14:paraId="4E381106" w14:textId="77777777" w:rsidR="00F71E3B" w:rsidRPr="007E3E0B" w:rsidRDefault="00F71E3B" w:rsidP="00F71E3B">
      <w:pPr>
        <w:pStyle w:val="SingleTxt"/>
        <w:spacing w:after="0" w:line="120" w:lineRule="exact"/>
        <w:ind w:right="1267"/>
        <w:rPr>
          <w:sz w:val="10"/>
        </w:rPr>
      </w:pPr>
    </w:p>
    <w:p w14:paraId="57F1FDE0" w14:textId="77777777" w:rsidR="00D35E51" w:rsidRPr="007E3E0B" w:rsidRDefault="00D35E51" w:rsidP="00F71E3B">
      <w:pPr>
        <w:pStyle w:val="H23"/>
      </w:pPr>
      <w:r w:rsidRPr="007E3E0B">
        <w:tab/>
      </w:r>
      <w:r w:rsidRPr="007E3E0B">
        <w:tab/>
        <w:t>Initiatives targeting children and young people</w:t>
      </w:r>
    </w:p>
    <w:p w14:paraId="79A56D63" w14:textId="77777777" w:rsidR="00F71E3B" w:rsidRPr="007E3E0B" w:rsidRDefault="00F71E3B" w:rsidP="00F71E3B">
      <w:pPr>
        <w:pStyle w:val="SingleTxt"/>
        <w:spacing w:after="0" w:line="120" w:lineRule="exact"/>
        <w:rPr>
          <w:sz w:val="10"/>
        </w:rPr>
      </w:pPr>
    </w:p>
    <w:p w14:paraId="5A626833" w14:textId="77777777" w:rsidR="00D35E51" w:rsidRPr="007E3E0B" w:rsidRDefault="00D35E51" w:rsidP="004E484C">
      <w:pPr>
        <w:pStyle w:val="SingleTxt"/>
        <w:numPr>
          <w:ilvl w:val="0"/>
          <w:numId w:val="3"/>
        </w:numPr>
        <w:ind w:left="1267" w:right="1267" w:firstLine="0"/>
      </w:pPr>
      <w:r w:rsidRPr="007E3E0B">
        <w:t>As part of the comprehensive effort to prevent extremism and radicali</w:t>
      </w:r>
      <w:r w:rsidR="00282B55" w:rsidRPr="007E3E0B">
        <w:t>z</w:t>
      </w:r>
      <w:r w:rsidRPr="007E3E0B">
        <w:t xml:space="preserve">ation preventive interventions towards all children and young people are intended to further the welfare, development and active citizenship of our children and young people, as well as prevent the development of risk </w:t>
      </w:r>
      <w:r w:rsidR="007E3E0B" w:rsidRPr="007E3E0B">
        <w:t>behaviour</w:t>
      </w:r>
      <w:r w:rsidRPr="007E3E0B">
        <w:t xml:space="preserve"> that can lead to radicali</w:t>
      </w:r>
      <w:r w:rsidR="00282B55" w:rsidRPr="007E3E0B">
        <w:t>z</w:t>
      </w:r>
      <w:r w:rsidRPr="007E3E0B">
        <w:t xml:space="preserve">ation or crime. These interventions aim at providing children and young people democratic skills, honing critical thinking and social competences. </w:t>
      </w:r>
    </w:p>
    <w:p w14:paraId="0C444279" w14:textId="77777777" w:rsidR="00D35E51" w:rsidRPr="007E3E0B" w:rsidRDefault="00D35E51" w:rsidP="004E484C">
      <w:pPr>
        <w:pStyle w:val="SingleTxt"/>
        <w:numPr>
          <w:ilvl w:val="0"/>
          <w:numId w:val="3"/>
        </w:numPr>
        <w:ind w:left="1267" w:right="1267" w:firstLine="0"/>
      </w:pPr>
      <w:r w:rsidRPr="007E3E0B">
        <w:t>Initiatives include:</w:t>
      </w:r>
    </w:p>
    <w:p w14:paraId="31B6DC8C" w14:textId="77777777" w:rsidR="00D35E51" w:rsidRPr="007E3E0B" w:rsidRDefault="00E46FF5" w:rsidP="00E46FF5">
      <w:pPr>
        <w:pStyle w:val="Bullet1"/>
        <w:numPr>
          <w:ilvl w:val="0"/>
          <w:numId w:val="0"/>
        </w:numPr>
        <w:tabs>
          <w:tab w:val="right" w:pos="1685"/>
        </w:tabs>
        <w:ind w:left="1742" w:right="1264" w:hanging="475"/>
      </w:pPr>
      <w:r>
        <w:tab/>
        <w:t>•</w:t>
      </w:r>
      <w:r>
        <w:tab/>
      </w:r>
      <w:r w:rsidR="00D35E51" w:rsidRPr="007E3E0B">
        <w:t>a model schools project for the prevention of hate crimes to develop tools for preventing polari</w:t>
      </w:r>
      <w:r w:rsidR="00AB5393" w:rsidRPr="007E3E0B">
        <w:t>z</w:t>
      </w:r>
      <w:r w:rsidR="00D35E51" w:rsidRPr="007E3E0B">
        <w:t xml:space="preserve">ing and bullying behaviour among pupils as well as for dealing with division, prejudices and stereotypes </w:t>
      </w:r>
    </w:p>
    <w:p w14:paraId="4F37B05D" w14:textId="77777777" w:rsidR="00D35E51" w:rsidRPr="007E3E0B" w:rsidRDefault="00E46FF5" w:rsidP="00E46FF5">
      <w:pPr>
        <w:pStyle w:val="Bullet1"/>
        <w:numPr>
          <w:ilvl w:val="0"/>
          <w:numId w:val="0"/>
        </w:numPr>
        <w:tabs>
          <w:tab w:val="right" w:pos="1685"/>
        </w:tabs>
        <w:ind w:left="1742" w:right="1264" w:hanging="475"/>
      </w:pPr>
      <w:r>
        <w:tab/>
        <w:t>•</w:t>
      </w:r>
      <w:r>
        <w:tab/>
      </w:r>
      <w:r w:rsidR="00D35E51" w:rsidRPr="007E3E0B">
        <w:t>a nationwide youth dialogue corps consisting of young people aged between 18 and 35, who run discussions and workshops to fuel a continuing debate among young people on topics significant to their development, independence and sense of belonging to communities in society. This includes topics such as identity, discrimination and non-discrimination, images of friends and enemies, intolerance, extremism etc.</w:t>
      </w:r>
    </w:p>
    <w:p w14:paraId="2675C0E5" w14:textId="77777777" w:rsidR="00D35E51" w:rsidRPr="007E3E0B" w:rsidRDefault="00E46FF5" w:rsidP="00E46FF5">
      <w:pPr>
        <w:pStyle w:val="Bullet1"/>
        <w:numPr>
          <w:ilvl w:val="0"/>
          <w:numId w:val="0"/>
        </w:numPr>
        <w:tabs>
          <w:tab w:val="right" w:pos="1685"/>
        </w:tabs>
        <w:ind w:left="1742" w:right="1264" w:hanging="475"/>
      </w:pPr>
      <w:r>
        <w:tab/>
        <w:t>•</w:t>
      </w:r>
      <w:r>
        <w:tab/>
      </w:r>
      <w:r w:rsidR="00D35E51" w:rsidRPr="007E3E0B">
        <w:t>mobilizing young voices in the prevention of online radicali</w:t>
      </w:r>
      <w:r w:rsidR="00282B55" w:rsidRPr="007E3E0B">
        <w:t>z</w:t>
      </w:r>
      <w:r w:rsidR="00D35E51" w:rsidRPr="007E3E0B">
        <w:t xml:space="preserve">ation and hate speech </w:t>
      </w:r>
    </w:p>
    <w:p w14:paraId="0E75D441" w14:textId="77777777" w:rsidR="00D35E51" w:rsidRPr="007E3E0B" w:rsidRDefault="00E46FF5" w:rsidP="00E46FF5">
      <w:pPr>
        <w:pStyle w:val="Bullet1"/>
        <w:numPr>
          <w:ilvl w:val="0"/>
          <w:numId w:val="0"/>
        </w:numPr>
        <w:tabs>
          <w:tab w:val="right" w:pos="1685"/>
        </w:tabs>
        <w:ind w:left="1742" w:right="1264" w:hanging="475"/>
      </w:pPr>
      <w:r>
        <w:tab/>
        <w:t>•</w:t>
      </w:r>
      <w:r>
        <w:tab/>
      </w:r>
      <w:r w:rsidR="00D35E51" w:rsidRPr="007E3E0B">
        <w:t>a systematic effort to in day-care facilities, primary schools and upper secondary schools to strengthen democratic skills and citizenship.</w:t>
      </w:r>
    </w:p>
    <w:p w14:paraId="595C8AE4" w14:textId="77777777" w:rsidR="00E46FF5" w:rsidRPr="007E3E0B" w:rsidRDefault="00E46FF5" w:rsidP="00E46FF5">
      <w:pPr>
        <w:pStyle w:val="SingleTxt"/>
        <w:spacing w:after="0" w:line="120" w:lineRule="exact"/>
        <w:rPr>
          <w:b/>
          <w:sz w:val="10"/>
        </w:rPr>
      </w:pPr>
    </w:p>
    <w:p w14:paraId="4E493F65" w14:textId="77777777" w:rsidR="00E46FF5" w:rsidRPr="007E3E0B" w:rsidRDefault="00E46FF5" w:rsidP="00E46FF5">
      <w:pPr>
        <w:pStyle w:val="SingleTxt"/>
        <w:spacing w:after="0" w:line="120" w:lineRule="exact"/>
        <w:rPr>
          <w:b/>
          <w:sz w:val="10"/>
        </w:rPr>
      </w:pPr>
    </w:p>
    <w:p w14:paraId="6B11D51D" w14:textId="77777777" w:rsidR="00D35E51" w:rsidRPr="007E3E0B" w:rsidRDefault="00D35E51" w:rsidP="00F71E3B">
      <w:pPr>
        <w:pStyle w:val="H1"/>
      </w:pPr>
      <w:r w:rsidRPr="007E3E0B">
        <w:tab/>
      </w:r>
      <w:r w:rsidRPr="007E3E0B">
        <w:tab/>
        <w:t>Para. 5</w:t>
      </w:r>
    </w:p>
    <w:p w14:paraId="2629A80E" w14:textId="77777777" w:rsidR="00F71E3B" w:rsidRPr="007E3E0B" w:rsidRDefault="00F71E3B" w:rsidP="00F71E3B">
      <w:pPr>
        <w:pStyle w:val="SingleTxt"/>
        <w:spacing w:after="0" w:line="120" w:lineRule="exact"/>
        <w:rPr>
          <w:b/>
          <w:sz w:val="10"/>
        </w:rPr>
      </w:pPr>
    </w:p>
    <w:p w14:paraId="2720F7EE" w14:textId="77777777" w:rsidR="00F71E3B" w:rsidRPr="007E3E0B" w:rsidRDefault="00F71E3B" w:rsidP="00F71E3B">
      <w:pPr>
        <w:pStyle w:val="SingleTxt"/>
        <w:spacing w:after="0" w:line="120" w:lineRule="exact"/>
        <w:rPr>
          <w:b/>
          <w:sz w:val="10"/>
        </w:rPr>
      </w:pPr>
    </w:p>
    <w:p w14:paraId="36D42CF2" w14:textId="77777777" w:rsidR="00D35E51" w:rsidRPr="007E3E0B" w:rsidRDefault="00D35E51" w:rsidP="00F71E3B">
      <w:pPr>
        <w:pStyle w:val="H23"/>
      </w:pPr>
      <w:r w:rsidRPr="007E3E0B">
        <w:tab/>
      </w:r>
      <w:r w:rsidRPr="007E3E0B">
        <w:tab/>
        <w:t>Denmark</w:t>
      </w:r>
    </w:p>
    <w:p w14:paraId="04CCFE55" w14:textId="77777777" w:rsidR="00F71E3B" w:rsidRPr="007E3E0B" w:rsidRDefault="00F71E3B" w:rsidP="00F71E3B">
      <w:pPr>
        <w:pStyle w:val="SingleTxt"/>
        <w:spacing w:after="0" w:line="120" w:lineRule="exact"/>
        <w:rPr>
          <w:b/>
          <w:sz w:val="10"/>
        </w:rPr>
      </w:pPr>
    </w:p>
    <w:p w14:paraId="4745C21E" w14:textId="77777777" w:rsidR="00D35E51" w:rsidRPr="007E3E0B" w:rsidRDefault="00D35E51" w:rsidP="00F71E3B">
      <w:pPr>
        <w:pStyle w:val="H4"/>
        <w:rPr>
          <w:b/>
        </w:rPr>
      </w:pPr>
      <w:r w:rsidRPr="007E3E0B">
        <w:tab/>
      </w:r>
      <w:r w:rsidRPr="007E3E0B">
        <w:tab/>
        <w:t>Children placed in care</w:t>
      </w:r>
      <w:r w:rsidRPr="007E3E0B">
        <w:rPr>
          <w:b/>
        </w:rPr>
        <w:t xml:space="preserve"> </w:t>
      </w:r>
    </w:p>
    <w:p w14:paraId="5A34DE6D" w14:textId="77777777" w:rsidR="00F71E3B" w:rsidRPr="007E3E0B" w:rsidRDefault="00F71E3B" w:rsidP="00F71E3B">
      <w:pPr>
        <w:pStyle w:val="SingleTxt"/>
        <w:spacing w:after="0" w:line="120" w:lineRule="exact"/>
        <w:rPr>
          <w:b/>
          <w:i/>
          <w:sz w:val="10"/>
        </w:rPr>
      </w:pPr>
    </w:p>
    <w:p w14:paraId="3945DA28" w14:textId="77777777" w:rsidR="00D35E51" w:rsidRPr="007E3E0B" w:rsidRDefault="00D35E51" w:rsidP="004E484C">
      <w:pPr>
        <w:pStyle w:val="SingleTxt"/>
        <w:numPr>
          <w:ilvl w:val="0"/>
          <w:numId w:val="3"/>
        </w:numPr>
        <w:ind w:left="1267" w:right="1267" w:firstLine="0"/>
      </w:pPr>
      <w:r w:rsidRPr="007E3E0B">
        <w:t xml:space="preserve">Several initiatives have been put in place to reduce the number of vulnerable children being placed in care. Pursuant to the Act on Social Services support must be provided to a child at an early stage to </w:t>
      </w:r>
      <w:proofErr w:type="spellStart"/>
      <w:r w:rsidRPr="007E3E0B">
        <w:t>i.a</w:t>
      </w:r>
      <w:proofErr w:type="spellEnd"/>
      <w:r w:rsidRPr="007E3E0B">
        <w:t>. ensure that the child</w:t>
      </w:r>
      <w:r w:rsidR="0000113A">
        <w:t>’</w:t>
      </w:r>
      <w:r w:rsidRPr="007E3E0B">
        <w:t>s needs can be met in the home. The support must be adapted to the specific situation and the needs of the child.</w:t>
      </w:r>
    </w:p>
    <w:p w14:paraId="47CF1336" w14:textId="77777777" w:rsidR="00D35E51" w:rsidRPr="007E3E0B" w:rsidRDefault="00D35E51" w:rsidP="004E484C">
      <w:pPr>
        <w:pStyle w:val="SingleTxt"/>
        <w:numPr>
          <w:ilvl w:val="0"/>
          <w:numId w:val="3"/>
        </w:numPr>
        <w:ind w:left="1267" w:right="1267" w:firstLine="0"/>
      </w:pPr>
      <w:r w:rsidRPr="007E3E0B">
        <w:t>To support preventive measures at an early stage, the Government has allocated DKK 96 million for the period 2016 to 2019 for investments in organi</w:t>
      </w:r>
      <w:r w:rsidR="00B4655B" w:rsidRPr="007E3E0B">
        <w:t>z</w:t>
      </w:r>
      <w:r w:rsidRPr="007E3E0B">
        <w:t xml:space="preserve">ational changes in local municipalities to enhance their preventive efforts towards vulnerable children. </w:t>
      </w:r>
    </w:p>
    <w:p w14:paraId="6E20E0EC" w14:textId="77777777" w:rsidR="00D35E51" w:rsidRPr="007E3E0B" w:rsidRDefault="00D35E51" w:rsidP="004E484C">
      <w:pPr>
        <w:pStyle w:val="SingleTxt"/>
        <w:numPr>
          <w:ilvl w:val="0"/>
          <w:numId w:val="3"/>
        </w:numPr>
        <w:ind w:left="1267" w:right="1267" w:firstLine="0"/>
      </w:pPr>
      <w:r w:rsidRPr="007E3E0B">
        <w:t>If it is, however, assessed to be in the best interest of the child to be placed in care, an effort is made to protect the child</w:t>
      </w:r>
      <w:r w:rsidR="0000113A">
        <w:t>’</w:t>
      </w:r>
      <w:r w:rsidRPr="007E3E0B">
        <w:t xml:space="preserve">s right to maintain relations with family and network considering the best interest of the child, including the health and safety of the child. To ensure as far as possible that children placed in care grow up in a family-like environment, municipalities are legally bound to consider placement in a foster family when placing a child in care. Recently, the Government has issued new regulation to improve the supervision and training of foster families. Furthermore, a number of projects on improving foster care have been initiated in collaboration between the Government and the municipalities who are responsible for social services. Since the adoption of the Child Reform Act in 2011 the number of children placed in foster care has increased from 49 </w:t>
      </w:r>
      <w:r w:rsidR="00EA3B5A">
        <w:t>per cent</w:t>
      </w:r>
      <w:r w:rsidRPr="007E3E0B">
        <w:t xml:space="preserve"> of all children placed in care in 2009 to 62 </w:t>
      </w:r>
      <w:r w:rsidR="00EA3B5A">
        <w:t>per cent</w:t>
      </w:r>
      <w:r w:rsidRPr="007E3E0B">
        <w:t xml:space="preserve"> in 2015. </w:t>
      </w:r>
    </w:p>
    <w:p w14:paraId="7E61A38F" w14:textId="77777777" w:rsidR="00D35E51" w:rsidRDefault="00D35E51" w:rsidP="004E484C">
      <w:pPr>
        <w:pStyle w:val="SingleTxt"/>
        <w:numPr>
          <w:ilvl w:val="0"/>
          <w:numId w:val="3"/>
        </w:numPr>
        <w:ind w:left="1267" w:right="1267" w:firstLine="0"/>
      </w:pPr>
      <w:r w:rsidRPr="007E3E0B">
        <w:lastRenderedPageBreak/>
        <w:t xml:space="preserve">It is furthermore a priority to strengthen the possibility for children to be placed in care with relatives etc. An amendment of the relevant legislation came into force on 1 October 2015, giving these types of foster families the right to receive additional support from the municipality. Furthermore, a nationwide network of foster care consultants has been established </w:t>
      </w:r>
      <w:proofErr w:type="spellStart"/>
      <w:r w:rsidRPr="007E3E0B">
        <w:t>i.a</w:t>
      </w:r>
      <w:proofErr w:type="spellEnd"/>
      <w:r w:rsidRPr="007E3E0B">
        <w:t>. to share and develop best practises on involvement of</w:t>
      </w:r>
      <w:r w:rsidR="0000113A">
        <w:t xml:space="preserve"> the child’</w:t>
      </w:r>
      <w:r w:rsidRPr="007E3E0B">
        <w:t>s family and network.</w:t>
      </w:r>
    </w:p>
    <w:p w14:paraId="02CC9F76" w14:textId="77777777" w:rsidR="00347F5E" w:rsidRPr="00347F5E" w:rsidRDefault="00347F5E" w:rsidP="00347F5E">
      <w:pPr>
        <w:pStyle w:val="SingleTxt"/>
        <w:spacing w:after="0" w:line="120" w:lineRule="exact"/>
        <w:ind w:right="1267"/>
        <w:rPr>
          <w:sz w:val="10"/>
        </w:rPr>
      </w:pPr>
    </w:p>
    <w:p w14:paraId="7F0E24BD" w14:textId="77777777" w:rsidR="00D35E51" w:rsidRDefault="00D35E51" w:rsidP="00347F5E">
      <w:pPr>
        <w:pStyle w:val="H4"/>
      </w:pPr>
      <w:r w:rsidRPr="007E3E0B">
        <w:tab/>
      </w:r>
      <w:r w:rsidRPr="007E3E0B">
        <w:tab/>
      </w:r>
      <w:r w:rsidR="00812D97" w:rsidRPr="007E3E0B">
        <w:t>Auditor General’</w:t>
      </w:r>
      <w:r w:rsidRPr="007E3E0B">
        <w:t>s report</w:t>
      </w:r>
    </w:p>
    <w:p w14:paraId="5CA473AD" w14:textId="77777777" w:rsidR="00347F5E" w:rsidRPr="00347F5E" w:rsidRDefault="00347F5E" w:rsidP="00347F5E">
      <w:pPr>
        <w:pStyle w:val="SingleTxt"/>
        <w:spacing w:after="0" w:line="120" w:lineRule="exact"/>
        <w:rPr>
          <w:i/>
          <w:sz w:val="10"/>
        </w:rPr>
      </w:pPr>
    </w:p>
    <w:p w14:paraId="2BF69EEC" w14:textId="77777777" w:rsidR="00D35E51" w:rsidRPr="007E3E0B" w:rsidRDefault="00D35E51" w:rsidP="004E484C">
      <w:pPr>
        <w:pStyle w:val="SingleTxt"/>
        <w:numPr>
          <w:ilvl w:val="0"/>
          <w:numId w:val="3"/>
        </w:numPr>
        <w:ind w:left="1267" w:right="1267" w:firstLine="0"/>
      </w:pPr>
      <w:r w:rsidRPr="007E3E0B">
        <w:t xml:space="preserve">The Auditor General has examined the area of alternative care in Denmark in a historical perspective from 2006-2016. The Auditor General criticized the follow up on the effects of social work as well as the follow up on the implementation of political reforms. In October 2016 the Minister for Children and Social Affairs submitted a follow up-report to the Auditor General containing information on the initiatives taken to address the report. The follow up report provides information on the implementation of a new strategy for work with data on social services. Furthermore, it describes initiatives which have been taken to strengthen the focus on effects of social services in the municipalities </w:t>
      </w:r>
      <w:proofErr w:type="spellStart"/>
      <w:r w:rsidRPr="007E3E0B">
        <w:t>i.a</w:t>
      </w:r>
      <w:proofErr w:type="spellEnd"/>
      <w:r w:rsidRPr="007E3E0B">
        <w:t xml:space="preserve">. through improving the development of methods to document effects. In addition political focus on the implementation of reforms has been strengthened and will continue to be a focal point in the future. </w:t>
      </w:r>
    </w:p>
    <w:p w14:paraId="2F3B8CDE" w14:textId="77777777" w:rsidR="00D35E51" w:rsidRPr="007E3E0B" w:rsidRDefault="00D35E51" w:rsidP="004E484C">
      <w:pPr>
        <w:pStyle w:val="SingleTxt"/>
        <w:numPr>
          <w:ilvl w:val="0"/>
          <w:numId w:val="3"/>
        </w:numPr>
        <w:ind w:left="1267" w:right="1267" w:firstLine="0"/>
      </w:pPr>
      <w:r w:rsidRPr="007E3E0B">
        <w:t>The Auditor General has informed the Ministry for Children and Social Affairs that he will follow the development in the area.</w:t>
      </w:r>
    </w:p>
    <w:p w14:paraId="1A97DEEB" w14:textId="77777777" w:rsidR="009B02F8" w:rsidRPr="007E3E0B" w:rsidRDefault="009B02F8" w:rsidP="009B02F8">
      <w:pPr>
        <w:pStyle w:val="SingleTxt"/>
        <w:spacing w:after="0" w:line="120" w:lineRule="exact"/>
        <w:ind w:right="1267"/>
        <w:rPr>
          <w:sz w:val="10"/>
        </w:rPr>
      </w:pPr>
    </w:p>
    <w:p w14:paraId="4F4F8EAC" w14:textId="77777777" w:rsidR="00D35E51" w:rsidRPr="007E3E0B" w:rsidRDefault="00D35E51" w:rsidP="009B02F8">
      <w:pPr>
        <w:pStyle w:val="H23"/>
      </w:pPr>
      <w:r w:rsidRPr="007E3E0B">
        <w:tab/>
      </w:r>
      <w:r w:rsidRPr="007E3E0B">
        <w:tab/>
        <w:t xml:space="preserve">Greenland </w:t>
      </w:r>
    </w:p>
    <w:p w14:paraId="3A214A41" w14:textId="77777777" w:rsidR="009B02F8" w:rsidRPr="007E3E0B" w:rsidRDefault="009B02F8" w:rsidP="009B02F8">
      <w:pPr>
        <w:pStyle w:val="SingleTxt"/>
        <w:spacing w:after="0" w:line="120" w:lineRule="exact"/>
        <w:rPr>
          <w:sz w:val="10"/>
        </w:rPr>
      </w:pPr>
    </w:p>
    <w:p w14:paraId="2A2A7D6D" w14:textId="77777777" w:rsidR="00D35E51" w:rsidRPr="007E3E0B" w:rsidRDefault="00D35E51" w:rsidP="004E484C">
      <w:pPr>
        <w:pStyle w:val="SingleTxt"/>
        <w:numPr>
          <w:ilvl w:val="0"/>
          <w:numId w:val="3"/>
        </w:numPr>
        <w:ind w:left="1267" w:right="1267" w:firstLine="0"/>
      </w:pPr>
      <w:r w:rsidRPr="007E3E0B">
        <w:t>The Government of Greenland has launched a revision of the Public School Act authori</w:t>
      </w:r>
      <w:r w:rsidR="00282B55" w:rsidRPr="007E3E0B">
        <w:t>z</w:t>
      </w:r>
      <w:r w:rsidRPr="007E3E0B">
        <w:t>ing the Government of Greenland to draw up detailed rules regarding the conditions in the boarding schools. The bill is expected to be presented at the 2017 Fall Assembly of the Greenlandic Parliament. This legislative initiative will include detailed rules regarding the physical and educational framework in the boarding schools, including care and parent-school cooperation. Towards the adoption of the revised legislation concerning municipal primary and lower secondary school the Government will produce a draft for an act on the work of the boarding schools, ensuring that the revised legislation and the act can enter into force at the same time.</w:t>
      </w:r>
    </w:p>
    <w:p w14:paraId="3B1A81F5" w14:textId="77777777" w:rsidR="009B02F8" w:rsidRPr="007E3E0B" w:rsidRDefault="009B02F8" w:rsidP="009B02F8">
      <w:pPr>
        <w:pStyle w:val="SingleTxt"/>
        <w:spacing w:after="0" w:line="120" w:lineRule="exact"/>
        <w:ind w:right="1267"/>
        <w:rPr>
          <w:sz w:val="10"/>
        </w:rPr>
      </w:pPr>
    </w:p>
    <w:p w14:paraId="02F87929" w14:textId="77777777" w:rsidR="009B02F8" w:rsidRPr="007E3E0B" w:rsidRDefault="009B02F8" w:rsidP="009B02F8">
      <w:pPr>
        <w:pStyle w:val="SingleTxt"/>
        <w:spacing w:after="0" w:line="120" w:lineRule="exact"/>
        <w:ind w:right="1267"/>
        <w:rPr>
          <w:sz w:val="10"/>
        </w:rPr>
      </w:pPr>
    </w:p>
    <w:p w14:paraId="114CD59E" w14:textId="77777777" w:rsidR="00D35E51" w:rsidRPr="007E3E0B" w:rsidRDefault="00D35E51" w:rsidP="009B02F8">
      <w:pPr>
        <w:pStyle w:val="H1"/>
      </w:pPr>
      <w:r w:rsidRPr="007E3E0B">
        <w:tab/>
      </w:r>
      <w:r w:rsidRPr="007E3E0B">
        <w:tab/>
        <w:t xml:space="preserve">Para. 6 </w:t>
      </w:r>
    </w:p>
    <w:p w14:paraId="4BABB8F6" w14:textId="77777777" w:rsidR="009B02F8" w:rsidRPr="007E3E0B" w:rsidRDefault="009B02F8" w:rsidP="009B02F8">
      <w:pPr>
        <w:pStyle w:val="SingleTxt"/>
        <w:spacing w:after="0" w:line="120" w:lineRule="exact"/>
        <w:rPr>
          <w:b/>
          <w:sz w:val="10"/>
        </w:rPr>
      </w:pPr>
    </w:p>
    <w:p w14:paraId="15E38671" w14:textId="77777777" w:rsidR="009B02F8" w:rsidRPr="007E3E0B" w:rsidRDefault="009B02F8" w:rsidP="009B02F8">
      <w:pPr>
        <w:pStyle w:val="SingleTxt"/>
        <w:spacing w:after="0" w:line="120" w:lineRule="exact"/>
        <w:rPr>
          <w:b/>
          <w:sz w:val="10"/>
        </w:rPr>
      </w:pPr>
    </w:p>
    <w:p w14:paraId="54A9650E" w14:textId="77777777" w:rsidR="00D35E51" w:rsidRPr="007E3E0B" w:rsidRDefault="00D35E51" w:rsidP="004E484C">
      <w:pPr>
        <w:pStyle w:val="SingleTxt"/>
        <w:numPr>
          <w:ilvl w:val="0"/>
          <w:numId w:val="3"/>
        </w:numPr>
        <w:ind w:left="1267" w:right="1267" w:firstLine="0"/>
      </w:pPr>
      <w:r w:rsidRPr="007E3E0B">
        <w:t>The Government is currently working to present legislation on a ban on discrimination by private or public entities on the grounds of disability outside the labour market. The aim is to ensure that persons including children with disabilities have the opportunity to bring a legal claim in cases of discrimination.</w:t>
      </w:r>
    </w:p>
    <w:p w14:paraId="0196B949" w14:textId="77777777" w:rsidR="00D35E51" w:rsidRPr="007E3E0B" w:rsidRDefault="00D35E51" w:rsidP="004E484C">
      <w:pPr>
        <w:pStyle w:val="SingleTxt"/>
        <w:numPr>
          <w:ilvl w:val="0"/>
          <w:numId w:val="3"/>
        </w:numPr>
        <w:ind w:left="1267" w:right="1267" w:firstLine="0"/>
      </w:pPr>
      <w:r w:rsidRPr="007E3E0B">
        <w:t xml:space="preserve">It is of great importance to the Government to ensure that the quality of care and treatment for children with disabilities placed in care is continually improved. The social supervisory authority is responsible for approving and supervising all care facilities. The authority carries out its work based on a </w:t>
      </w:r>
      <w:r w:rsidR="0000113A">
        <w:t>“</w:t>
      </w:r>
      <w:r w:rsidRPr="007E3E0B">
        <w:t>model of quality</w:t>
      </w:r>
      <w:r w:rsidR="0000113A">
        <w:t>”</w:t>
      </w:r>
      <w:r w:rsidRPr="007E3E0B">
        <w:t>. The model contains evaluation within different thematic subjects including independence and relations, target group, methods and results as well as qualifications. The focus is on the results for the children living in the care facility.</w:t>
      </w:r>
    </w:p>
    <w:p w14:paraId="0E4EC7EA" w14:textId="77777777" w:rsidR="00D35E51" w:rsidRPr="007E3E0B" w:rsidRDefault="00D35E51" w:rsidP="004E484C">
      <w:pPr>
        <w:pStyle w:val="SingleTxt"/>
        <w:numPr>
          <w:ilvl w:val="0"/>
          <w:numId w:val="3"/>
        </w:numPr>
        <w:ind w:left="1267" w:right="1267" w:firstLine="0"/>
      </w:pPr>
      <w:r w:rsidRPr="007E3E0B">
        <w:t xml:space="preserve">Furthermore the National Board of Social Services is current working on developing guidelines for the prevention and detection of violence and sexual abuse against children and young people with and without disabilities. </w:t>
      </w:r>
    </w:p>
    <w:p w14:paraId="7F581DCB" w14:textId="77777777" w:rsidR="009B02F8" w:rsidRPr="007E3E0B" w:rsidRDefault="009B02F8" w:rsidP="009B02F8">
      <w:pPr>
        <w:pStyle w:val="SingleTxt"/>
        <w:spacing w:after="0" w:line="120" w:lineRule="exact"/>
        <w:ind w:right="1267"/>
        <w:rPr>
          <w:sz w:val="10"/>
        </w:rPr>
      </w:pPr>
    </w:p>
    <w:p w14:paraId="727BEC84" w14:textId="77777777" w:rsidR="009B02F8" w:rsidRPr="007E3E0B" w:rsidRDefault="009B02F8" w:rsidP="009B02F8">
      <w:pPr>
        <w:pStyle w:val="SingleTxt"/>
        <w:spacing w:after="0" w:line="120" w:lineRule="exact"/>
        <w:ind w:right="1267"/>
        <w:rPr>
          <w:sz w:val="10"/>
        </w:rPr>
      </w:pPr>
    </w:p>
    <w:p w14:paraId="172D7E9D" w14:textId="77777777" w:rsidR="00D35E51" w:rsidRPr="007E3E0B" w:rsidRDefault="00D35E51" w:rsidP="009B02F8">
      <w:pPr>
        <w:pStyle w:val="H1"/>
      </w:pPr>
      <w:r w:rsidRPr="007E3E0B">
        <w:tab/>
      </w:r>
      <w:r w:rsidRPr="007E3E0B">
        <w:tab/>
        <w:t xml:space="preserve">Para. 7 </w:t>
      </w:r>
    </w:p>
    <w:p w14:paraId="475F0DD9" w14:textId="77777777" w:rsidR="009B02F8" w:rsidRPr="007E3E0B" w:rsidRDefault="009B02F8" w:rsidP="009B02F8">
      <w:pPr>
        <w:pStyle w:val="SingleTxt"/>
        <w:keepNext/>
        <w:spacing w:after="0" w:line="120" w:lineRule="exact"/>
        <w:rPr>
          <w:b/>
          <w:sz w:val="10"/>
        </w:rPr>
      </w:pPr>
    </w:p>
    <w:p w14:paraId="24A31C3E" w14:textId="77777777" w:rsidR="009B02F8" w:rsidRPr="007E3E0B" w:rsidRDefault="009B02F8" w:rsidP="009B02F8">
      <w:pPr>
        <w:pStyle w:val="SingleTxt"/>
        <w:keepNext/>
        <w:spacing w:after="0" w:line="120" w:lineRule="exact"/>
        <w:rPr>
          <w:b/>
          <w:sz w:val="10"/>
        </w:rPr>
      </w:pPr>
    </w:p>
    <w:p w14:paraId="207F4B45" w14:textId="77777777" w:rsidR="00D35E51" w:rsidRPr="007E3E0B" w:rsidRDefault="00D35E51" w:rsidP="009B02F8">
      <w:pPr>
        <w:pStyle w:val="H23"/>
      </w:pPr>
      <w:r w:rsidRPr="007E3E0B">
        <w:tab/>
      </w:r>
      <w:r w:rsidRPr="007E3E0B">
        <w:tab/>
        <w:t xml:space="preserve">The amendment of the Psychiatric Act </w:t>
      </w:r>
    </w:p>
    <w:p w14:paraId="4E775A40" w14:textId="77777777" w:rsidR="009B02F8" w:rsidRPr="007E3E0B" w:rsidRDefault="009B02F8" w:rsidP="009B02F8">
      <w:pPr>
        <w:pStyle w:val="SingleTxt"/>
        <w:keepNext/>
        <w:spacing w:after="0" w:line="120" w:lineRule="exact"/>
        <w:rPr>
          <w:b/>
          <w:sz w:val="10"/>
        </w:rPr>
      </w:pPr>
    </w:p>
    <w:p w14:paraId="53CE2E54" w14:textId="77777777" w:rsidR="00D35E51" w:rsidRPr="007E3E0B" w:rsidRDefault="00D35E51" w:rsidP="004E484C">
      <w:pPr>
        <w:pStyle w:val="SingleTxt"/>
        <w:numPr>
          <w:ilvl w:val="0"/>
          <w:numId w:val="3"/>
        </w:numPr>
        <w:ind w:left="1267" w:right="1267" w:firstLine="0"/>
      </w:pPr>
      <w:r w:rsidRPr="007E3E0B">
        <w:t xml:space="preserve">In May 2015, the Danish Parliament adopted changes to the Danish Psychiatric Act. The aim was to clarify the legal position of minor psychiatric patients. Patients </w:t>
      </w:r>
      <w:r w:rsidRPr="007E3E0B">
        <w:lastRenderedPageBreak/>
        <w:t>aged 15-17 who do not consent to treatment are pursuant to the amendment covered by the Psychiatric Act and are ensured legal safeguards as an adult patient.</w:t>
      </w:r>
    </w:p>
    <w:p w14:paraId="27D427A1" w14:textId="77777777" w:rsidR="00D35E51" w:rsidRPr="007E3E0B" w:rsidRDefault="00D35E51" w:rsidP="004E484C">
      <w:pPr>
        <w:pStyle w:val="SingleTxt"/>
        <w:numPr>
          <w:ilvl w:val="0"/>
          <w:numId w:val="3"/>
        </w:numPr>
        <w:ind w:left="1267" w:right="1267" w:firstLine="0"/>
      </w:pPr>
      <w:r w:rsidRPr="007E3E0B">
        <w:t xml:space="preserve">The Psychiatric Act does not apply to minors under the age of 15, if the custodial parent has provided an informed consent to the treatment of the child. Parents of a minor psychiatric patient must, however, be informed that it is possible to decide not to use coercion against a minor. In these cases the minor will be covered by the Psychiatric Act, if the conditions for use of coercive measures are met. This means that the minor will have access to the same legal safeguards as an adult, i.e. a patient advisor and the right to appeal. </w:t>
      </w:r>
    </w:p>
    <w:p w14:paraId="11012089" w14:textId="77777777" w:rsidR="00D35E51" w:rsidRPr="007E3E0B" w:rsidRDefault="00D35E51" w:rsidP="004E484C">
      <w:pPr>
        <w:pStyle w:val="SingleTxt"/>
        <w:numPr>
          <w:ilvl w:val="0"/>
          <w:numId w:val="3"/>
        </w:numPr>
        <w:ind w:left="1267" w:right="1267" w:firstLine="0"/>
      </w:pPr>
      <w:r w:rsidRPr="007E3E0B">
        <w:t xml:space="preserve">The hospital staff has an obligation to talk to the child shortly after the child has been submitted to coercion. During this conversation the staff will i.e. talk about how the child has experienced the coercion as well as make sure that the child understands the reason for the coercion. </w:t>
      </w:r>
    </w:p>
    <w:p w14:paraId="7349E176" w14:textId="77777777" w:rsidR="009B02F8" w:rsidRPr="007E3E0B" w:rsidRDefault="009B02F8" w:rsidP="009B02F8">
      <w:pPr>
        <w:pStyle w:val="SingleTxt"/>
        <w:spacing w:after="0" w:line="120" w:lineRule="exact"/>
        <w:ind w:right="1267"/>
        <w:rPr>
          <w:sz w:val="10"/>
        </w:rPr>
      </w:pPr>
    </w:p>
    <w:p w14:paraId="745B66D2" w14:textId="77777777" w:rsidR="00D35E51" w:rsidRPr="007E3E0B" w:rsidRDefault="00D35E51" w:rsidP="009B02F8">
      <w:pPr>
        <w:pStyle w:val="H23"/>
      </w:pPr>
      <w:r w:rsidRPr="007E3E0B">
        <w:tab/>
      </w:r>
      <w:r w:rsidRPr="007E3E0B">
        <w:tab/>
        <w:t xml:space="preserve">Psychostimulant drugs </w:t>
      </w:r>
    </w:p>
    <w:p w14:paraId="71848956" w14:textId="77777777" w:rsidR="009B02F8" w:rsidRPr="007E3E0B" w:rsidRDefault="009B02F8" w:rsidP="009B02F8">
      <w:pPr>
        <w:pStyle w:val="SingleTxt"/>
        <w:spacing w:after="0" w:line="120" w:lineRule="exact"/>
        <w:rPr>
          <w:sz w:val="10"/>
        </w:rPr>
      </w:pPr>
    </w:p>
    <w:p w14:paraId="04959C9C" w14:textId="77777777" w:rsidR="00D35E51" w:rsidRPr="007E3E0B" w:rsidRDefault="00D35E51" w:rsidP="004E484C">
      <w:pPr>
        <w:pStyle w:val="SingleTxt"/>
        <w:numPr>
          <w:ilvl w:val="0"/>
          <w:numId w:val="3"/>
        </w:numPr>
        <w:ind w:left="1267" w:right="1267" w:firstLine="0"/>
      </w:pPr>
      <w:r w:rsidRPr="007E3E0B">
        <w:t xml:space="preserve">The Government is not aware of any recent increase in the number of children with learning and behavioural disorders treated with psychostimulant drugs. The number of children with learning and behavioural disorders treated with psychostimulant drugs has been rather stable since 2011 with minor fluctuation over the years. In 2011, 13.1 children pr. 1000 children aged 0-18 have been prescribed psychostimulant drugs. In 2015, 13.0 children pr. 1000 children aged 0-18 years have been prescribed psychostimulant drugs. </w:t>
      </w:r>
    </w:p>
    <w:p w14:paraId="7AA5C397" w14:textId="77777777" w:rsidR="009B02F8" w:rsidRPr="007E3E0B" w:rsidRDefault="009B02F8" w:rsidP="009B02F8">
      <w:pPr>
        <w:pStyle w:val="SingleTxt"/>
        <w:spacing w:after="0" w:line="120" w:lineRule="exact"/>
        <w:ind w:right="1267"/>
        <w:rPr>
          <w:sz w:val="10"/>
        </w:rPr>
      </w:pPr>
    </w:p>
    <w:p w14:paraId="444D7D87" w14:textId="77777777" w:rsidR="009B02F8" w:rsidRPr="007E3E0B" w:rsidRDefault="009B02F8" w:rsidP="009B02F8">
      <w:pPr>
        <w:pStyle w:val="SingleTxt"/>
        <w:spacing w:after="0" w:line="120" w:lineRule="exact"/>
        <w:ind w:right="1267"/>
        <w:rPr>
          <w:sz w:val="10"/>
        </w:rPr>
      </w:pPr>
    </w:p>
    <w:p w14:paraId="6BD57FAE" w14:textId="77777777" w:rsidR="00D35E51" w:rsidRPr="007E3E0B" w:rsidRDefault="00D35E51" w:rsidP="009B02F8">
      <w:pPr>
        <w:pStyle w:val="H1"/>
      </w:pPr>
      <w:r w:rsidRPr="007E3E0B">
        <w:tab/>
      </w:r>
      <w:r w:rsidRPr="007E3E0B">
        <w:tab/>
        <w:t>Para. 8</w:t>
      </w:r>
    </w:p>
    <w:p w14:paraId="789015AB" w14:textId="77777777" w:rsidR="009B02F8" w:rsidRPr="007E3E0B" w:rsidRDefault="009B02F8" w:rsidP="009B02F8">
      <w:pPr>
        <w:pStyle w:val="SingleTxt"/>
        <w:spacing w:after="0" w:line="120" w:lineRule="exact"/>
        <w:rPr>
          <w:b/>
          <w:sz w:val="10"/>
        </w:rPr>
      </w:pPr>
    </w:p>
    <w:p w14:paraId="4A9C2AD8" w14:textId="77777777" w:rsidR="009B02F8" w:rsidRPr="007E3E0B" w:rsidRDefault="009B02F8" w:rsidP="009B02F8">
      <w:pPr>
        <w:pStyle w:val="SingleTxt"/>
        <w:spacing w:after="0" w:line="120" w:lineRule="exact"/>
        <w:rPr>
          <w:b/>
          <w:sz w:val="10"/>
        </w:rPr>
      </w:pPr>
    </w:p>
    <w:p w14:paraId="642485B2" w14:textId="77777777" w:rsidR="00D35E51" w:rsidRPr="007E3E0B" w:rsidRDefault="00D35E51" w:rsidP="009B02F8">
      <w:pPr>
        <w:pStyle w:val="H23"/>
      </w:pPr>
      <w:r w:rsidRPr="007E3E0B">
        <w:tab/>
      </w:r>
      <w:r w:rsidRPr="007E3E0B">
        <w:tab/>
        <w:t>Denmark</w:t>
      </w:r>
    </w:p>
    <w:p w14:paraId="6829E6B6" w14:textId="77777777" w:rsidR="009B02F8" w:rsidRPr="007E3E0B" w:rsidRDefault="009B02F8" w:rsidP="009B02F8">
      <w:pPr>
        <w:pStyle w:val="SingleTxt"/>
        <w:spacing w:after="0" w:line="120" w:lineRule="exact"/>
        <w:rPr>
          <w:b/>
          <w:sz w:val="10"/>
        </w:rPr>
      </w:pPr>
    </w:p>
    <w:p w14:paraId="2A84C749" w14:textId="77777777" w:rsidR="00D35E51" w:rsidRPr="007E3E0B" w:rsidRDefault="00D35E51" w:rsidP="004E484C">
      <w:pPr>
        <w:pStyle w:val="SingleTxt"/>
        <w:numPr>
          <w:ilvl w:val="0"/>
          <w:numId w:val="3"/>
        </w:numPr>
        <w:ind w:left="1267" w:right="1267" w:firstLine="0"/>
      </w:pPr>
      <w:r w:rsidRPr="007E3E0B">
        <w:t xml:space="preserve">The Danish Government believes that education and employment are the most important tools in preventing and combating poverty. Therefore measures within the employment and educational system are central to address the root causes of poverty among families. </w:t>
      </w:r>
    </w:p>
    <w:p w14:paraId="42DDF5F7" w14:textId="77777777" w:rsidR="00D35E51" w:rsidRPr="007E3E0B" w:rsidRDefault="00D35E51" w:rsidP="004E484C">
      <w:pPr>
        <w:pStyle w:val="SingleTxt"/>
        <w:numPr>
          <w:ilvl w:val="0"/>
          <w:numId w:val="3"/>
        </w:numPr>
        <w:ind w:left="1267" w:right="1267" w:firstLine="0"/>
      </w:pPr>
      <w:r w:rsidRPr="007E3E0B">
        <w:t xml:space="preserve">Adults in some families are not able to work or experience unemployment for a longer period of time. The social security system in Denmark provides an income for all families who do not earn an income on the labour market. Furthermore families with children </w:t>
      </w:r>
      <w:r w:rsidR="001D30C0">
        <w:t xml:space="preserve">are guaranteed extra benefits. </w:t>
      </w:r>
    </w:p>
    <w:p w14:paraId="5831D248" w14:textId="77777777" w:rsidR="00D35E51" w:rsidRPr="007E3E0B" w:rsidRDefault="00D35E51" w:rsidP="004E484C">
      <w:pPr>
        <w:pStyle w:val="SingleTxt"/>
        <w:numPr>
          <w:ilvl w:val="0"/>
          <w:numId w:val="3"/>
        </w:numPr>
        <w:ind w:left="1267" w:right="1267" w:firstLine="0"/>
      </w:pPr>
      <w:r w:rsidRPr="007E3E0B">
        <w:t>The Danish Government has launched ten national goals for social mobility which underline the use of evidence based social interv</w:t>
      </w:r>
      <w:r w:rsidR="001D30C0">
        <w:t xml:space="preserve">entions in the municipalities. </w:t>
      </w:r>
      <w:r w:rsidRPr="007E3E0B">
        <w:t xml:space="preserve">The social goals concern education and employment of vulnerable groups and people with disabilities. </w:t>
      </w:r>
    </w:p>
    <w:p w14:paraId="0A5CEDED" w14:textId="77777777" w:rsidR="00D35E51" w:rsidRPr="007E3E0B" w:rsidRDefault="00D35E51" w:rsidP="004E484C">
      <w:pPr>
        <w:pStyle w:val="SingleTxt"/>
        <w:numPr>
          <w:ilvl w:val="0"/>
          <w:numId w:val="3"/>
        </w:numPr>
        <w:ind w:left="1267" w:right="1267" w:firstLine="0"/>
      </w:pPr>
      <w:r w:rsidRPr="007E3E0B">
        <w:t>The Danish Government is publishing an annual report concerning the status on implementation of the Government’s national social goals. The report highlights challenges within the area of social services and contributes to the development of knowledge based policy initiatives aimed at reducing social marginali</w:t>
      </w:r>
      <w:r w:rsidR="00282B55" w:rsidRPr="007E3E0B">
        <w:t>z</w:t>
      </w:r>
      <w:r w:rsidRPr="007E3E0B">
        <w:t>ation and strengthening labour market participation.</w:t>
      </w:r>
    </w:p>
    <w:p w14:paraId="2A204171" w14:textId="77777777" w:rsidR="00D35E51" w:rsidRPr="007E3E0B" w:rsidRDefault="00D35E51" w:rsidP="004E484C">
      <w:pPr>
        <w:pStyle w:val="SingleTxt"/>
        <w:numPr>
          <w:ilvl w:val="0"/>
          <w:numId w:val="3"/>
        </w:numPr>
        <w:ind w:left="1267" w:right="1267" w:firstLine="0"/>
      </w:pPr>
      <w:r w:rsidRPr="007E3E0B">
        <w:t>The Danish Government will strengthen the quality of Early Childhood Education and Care (ECEC) by an increased focus on child well-being and learning and hereby contribute further to breaking the cycle of negative social heritage. A high quality of ECEC is important for children</w:t>
      </w:r>
      <w:r w:rsidR="0000113A">
        <w:t>’</w:t>
      </w:r>
      <w:r w:rsidRPr="007E3E0B">
        <w:t xml:space="preserve">s development and learning, and the Government has hence in April 2017 proposed a new initiative on this subject. </w:t>
      </w:r>
      <w:r w:rsidR="009B02F8" w:rsidRPr="007E3E0B">
        <w:br/>
      </w:r>
      <w:r w:rsidRPr="007E3E0B">
        <w:t xml:space="preserve">DKK 580 million has been allocated to the initiative. </w:t>
      </w:r>
    </w:p>
    <w:p w14:paraId="327B4333" w14:textId="77777777" w:rsidR="009B02F8" w:rsidRPr="007E3E0B" w:rsidRDefault="009B02F8" w:rsidP="009B02F8">
      <w:pPr>
        <w:pStyle w:val="SingleTxt"/>
        <w:spacing w:after="0" w:line="120" w:lineRule="exact"/>
        <w:ind w:right="1267"/>
        <w:rPr>
          <w:sz w:val="10"/>
        </w:rPr>
      </w:pPr>
    </w:p>
    <w:p w14:paraId="3DCDC961" w14:textId="77777777" w:rsidR="00D35E51" w:rsidRPr="007E3E0B" w:rsidRDefault="00D35E51" w:rsidP="009B02F8">
      <w:pPr>
        <w:pStyle w:val="H23"/>
      </w:pPr>
      <w:r w:rsidRPr="007E3E0B">
        <w:tab/>
      </w:r>
      <w:r w:rsidRPr="007E3E0B">
        <w:tab/>
        <w:t xml:space="preserve">Faroe Islands </w:t>
      </w:r>
    </w:p>
    <w:p w14:paraId="1AB35D84" w14:textId="77777777" w:rsidR="009B02F8" w:rsidRPr="007E3E0B" w:rsidRDefault="009B02F8" w:rsidP="009B02F8">
      <w:pPr>
        <w:pStyle w:val="SingleTxt"/>
        <w:spacing w:after="0" w:line="120" w:lineRule="exact"/>
        <w:rPr>
          <w:b/>
          <w:sz w:val="10"/>
        </w:rPr>
      </w:pPr>
    </w:p>
    <w:p w14:paraId="6E174B2C" w14:textId="77777777" w:rsidR="00D35E51" w:rsidRPr="007E3E0B" w:rsidRDefault="00D35E51" w:rsidP="004E484C">
      <w:pPr>
        <w:pStyle w:val="SingleTxt"/>
        <w:numPr>
          <w:ilvl w:val="0"/>
          <w:numId w:val="3"/>
        </w:numPr>
        <w:ind w:left="1267" w:right="1267" w:firstLine="0"/>
      </w:pPr>
      <w:r w:rsidRPr="007E3E0B">
        <w:t xml:space="preserve">According to numbers from Statistics Faroes being a single parent is a significant factor for the risk of poverty in the Faroe Islands. The same conclusion was reached in a government report from 2014 on a Faroese poverty line. </w:t>
      </w:r>
    </w:p>
    <w:p w14:paraId="0EABB5FF" w14:textId="77777777" w:rsidR="00D35E51" w:rsidRPr="007E3E0B" w:rsidRDefault="00D35E51" w:rsidP="004E484C">
      <w:pPr>
        <w:pStyle w:val="SingleTxt"/>
        <w:numPr>
          <w:ilvl w:val="0"/>
          <w:numId w:val="3"/>
        </w:numPr>
        <w:ind w:left="1267" w:right="1267" w:firstLine="0"/>
      </w:pPr>
      <w:r w:rsidRPr="007E3E0B">
        <w:lastRenderedPageBreak/>
        <w:t xml:space="preserve">The challenge of being at risk of poverty in the Faroe Islands has been met by a series of policies </w:t>
      </w:r>
      <w:r w:rsidR="009B02F8" w:rsidRPr="007E3E0B">
        <w:t>—</w:t>
      </w:r>
      <w:r w:rsidRPr="007E3E0B">
        <w:t xml:space="preserve"> both on regional and national level </w:t>
      </w:r>
      <w:r w:rsidR="009B02F8" w:rsidRPr="007E3E0B">
        <w:t>—</w:t>
      </w:r>
      <w:r w:rsidRPr="007E3E0B">
        <w:t xml:space="preserve"> aimed at increasing families’ spending power, especially single parent’s families. </w:t>
      </w:r>
    </w:p>
    <w:p w14:paraId="6C71B766" w14:textId="77777777" w:rsidR="00D35E51" w:rsidRPr="007E3E0B" w:rsidRDefault="00D35E51" w:rsidP="004E484C">
      <w:pPr>
        <w:pStyle w:val="SingleTxt"/>
        <w:numPr>
          <w:ilvl w:val="0"/>
          <w:numId w:val="3"/>
        </w:numPr>
        <w:ind w:left="1267" w:right="1267" w:firstLine="0"/>
      </w:pPr>
      <w:r w:rsidRPr="007E3E0B">
        <w:t xml:space="preserve">In 2015 the allowance for single parents was increased from DKK 6588 to DKK 10000 per child. In 2016 Parliamentary Act no. 160 of 24/12/2015 regarding family allowance was adopted. It supplies low-income families with additional allowances. Single parents receive DKK 18000 per year for one child and a </w:t>
      </w:r>
      <w:r w:rsidR="009B02F8" w:rsidRPr="007E3E0B">
        <w:br/>
      </w:r>
      <w:r w:rsidRPr="007E3E0B">
        <w:t>DKK 5000 add-on for each child after the first. Couples receive DKK 22000 per year plus a DKK 5000 add-</w:t>
      </w:r>
      <w:r w:rsidR="001D30C0">
        <w:t xml:space="preserve">on for the following children. </w:t>
      </w:r>
    </w:p>
    <w:p w14:paraId="6195B3FF" w14:textId="77777777" w:rsidR="00D35E51" w:rsidRPr="007E3E0B" w:rsidRDefault="00D35E51" w:rsidP="004E484C">
      <w:pPr>
        <w:pStyle w:val="SingleTxt"/>
        <w:numPr>
          <w:ilvl w:val="0"/>
          <w:numId w:val="3"/>
        </w:numPr>
        <w:ind w:left="1267" w:right="1267" w:firstLine="0"/>
      </w:pPr>
      <w:r w:rsidRPr="007E3E0B">
        <w:t xml:space="preserve">The Government has also introduced a tax break for people with low incomes in 2016. For a person earning DKK 200000 DKK per year the Government tax was cut by DKK 6700. In 2017 families with children younger than 2 years old will receive DKK </w:t>
      </w:r>
      <w:r w:rsidR="001D30C0">
        <w:t>2700 per year in child benefit.</w:t>
      </w:r>
      <w:r w:rsidRPr="007E3E0B">
        <w:t xml:space="preserve"> The monthly student grant for single parents, who are studying, was increased in 2017. The grant is now also provided </w:t>
      </w:r>
      <w:r w:rsidR="009B02F8" w:rsidRPr="007E3E0B">
        <w:br/>
      </w:r>
      <w:r w:rsidRPr="007E3E0B">
        <w:t>12 months a year rather than 11 months. The changes leave students with an annual income increase of DKK 12700. Additionally, several municipalities have increased their local child allowance and cut down the cost of day care for children.</w:t>
      </w:r>
    </w:p>
    <w:p w14:paraId="472725DD" w14:textId="77777777" w:rsidR="00D35E51" w:rsidRPr="007E3E0B" w:rsidRDefault="00D35E51" w:rsidP="004E484C">
      <w:pPr>
        <w:pStyle w:val="SingleTxt"/>
        <w:numPr>
          <w:ilvl w:val="0"/>
          <w:numId w:val="3"/>
        </w:numPr>
        <w:ind w:left="1267" w:right="1267" w:firstLine="0"/>
      </w:pPr>
      <w:r w:rsidRPr="007E3E0B">
        <w:t>For single parents with one child, who are students or have a low income, the spending power has increased by DKK 30000-40000 a year over the last three years.</w:t>
      </w:r>
    </w:p>
    <w:p w14:paraId="43E45C29" w14:textId="77777777" w:rsidR="00D35E51" w:rsidRDefault="00D35E51" w:rsidP="004E484C">
      <w:pPr>
        <w:pStyle w:val="SingleTxt"/>
        <w:numPr>
          <w:ilvl w:val="0"/>
          <w:numId w:val="3"/>
        </w:numPr>
        <w:ind w:left="1267" w:right="1267" w:firstLine="0"/>
      </w:pPr>
      <w:r w:rsidRPr="007E3E0B">
        <w:t>Public rental housing projects are also currently under construction. Within the coming years 400 new public rental homes are expected to become available.</w:t>
      </w:r>
    </w:p>
    <w:p w14:paraId="2AB078AC" w14:textId="77777777" w:rsidR="003B56FA" w:rsidRPr="003B56FA" w:rsidRDefault="003B56FA" w:rsidP="003B56FA">
      <w:pPr>
        <w:pStyle w:val="SingleTxt"/>
        <w:spacing w:after="0" w:line="120" w:lineRule="exact"/>
        <w:ind w:right="1267"/>
        <w:rPr>
          <w:sz w:val="10"/>
        </w:rPr>
      </w:pPr>
    </w:p>
    <w:p w14:paraId="4F1227EA" w14:textId="77777777" w:rsidR="00D35E51" w:rsidRDefault="00D35E51" w:rsidP="003B56FA">
      <w:pPr>
        <w:pStyle w:val="H23"/>
      </w:pPr>
      <w:r w:rsidRPr="007E3E0B">
        <w:tab/>
      </w:r>
      <w:r w:rsidRPr="007E3E0B">
        <w:tab/>
        <w:t xml:space="preserve">Greenland </w:t>
      </w:r>
    </w:p>
    <w:p w14:paraId="06921626" w14:textId="77777777" w:rsidR="003B56FA" w:rsidRPr="003B56FA" w:rsidRDefault="003B56FA" w:rsidP="003B56FA">
      <w:pPr>
        <w:pStyle w:val="SingleTxt"/>
        <w:spacing w:after="0" w:line="120" w:lineRule="exact"/>
        <w:rPr>
          <w:sz w:val="10"/>
        </w:rPr>
      </w:pPr>
    </w:p>
    <w:p w14:paraId="2D6876FD" w14:textId="77777777" w:rsidR="00D35E51" w:rsidRPr="007E3E0B" w:rsidRDefault="00D35E51" w:rsidP="004E484C">
      <w:pPr>
        <w:pStyle w:val="SingleTxt"/>
        <w:numPr>
          <w:ilvl w:val="0"/>
          <w:numId w:val="3"/>
        </w:numPr>
        <w:ind w:left="1267" w:right="1267" w:firstLine="0"/>
      </w:pPr>
      <w:r w:rsidRPr="007E3E0B">
        <w:t xml:space="preserve">As part of the fight against poverty a social safety net has been established securing children in low-income families through a range of social systems. Child benefit and maintenance, which are child care subsidies, are provided in accordance with social legislation. Furthermore, citizens who are unable to provide for themselves and their families may be granted additional public support; in these calculations special consideration is payed to the children of a family. Housing benefit may also be provided. </w:t>
      </w:r>
    </w:p>
    <w:p w14:paraId="1BA990D1" w14:textId="77777777" w:rsidR="00D35E51" w:rsidRPr="007E3E0B" w:rsidRDefault="00D35E51" w:rsidP="004E484C">
      <w:pPr>
        <w:pStyle w:val="SingleTxt"/>
        <w:numPr>
          <w:ilvl w:val="0"/>
          <w:numId w:val="3"/>
        </w:numPr>
        <w:ind w:left="1267" w:right="1267" w:firstLine="0"/>
      </w:pPr>
      <w:r w:rsidRPr="007E3E0B">
        <w:t>In addition, several services and facilities for marginalised families with young children have been established. Family centres provide family treatment, counselling and guidance as well as family development courses for marginalised families. The aim is to support and help marginali</w:t>
      </w:r>
      <w:r w:rsidR="00347F5E">
        <w:t>z</w:t>
      </w:r>
      <w:r w:rsidRPr="007E3E0B">
        <w:t xml:space="preserve">ed families and in particular to strengthen and develop the parenting role of parents in marginalised families. </w:t>
      </w:r>
      <w:r w:rsidR="00347F5E">
        <w:br/>
      </w:r>
      <w:r w:rsidRPr="007E3E0B">
        <w:t xml:space="preserve">In 2017 there are family centres in the following Greenlandic towns: Qaanaaq, </w:t>
      </w:r>
      <w:proofErr w:type="spellStart"/>
      <w:r w:rsidRPr="007E3E0B">
        <w:t>Upernavik</w:t>
      </w:r>
      <w:proofErr w:type="spellEnd"/>
      <w:r w:rsidRPr="007E3E0B">
        <w:t xml:space="preserve">, </w:t>
      </w:r>
      <w:proofErr w:type="spellStart"/>
      <w:r w:rsidRPr="007E3E0B">
        <w:t>Uummannaq</w:t>
      </w:r>
      <w:proofErr w:type="spellEnd"/>
      <w:r w:rsidRPr="007E3E0B">
        <w:t xml:space="preserve">, </w:t>
      </w:r>
      <w:proofErr w:type="spellStart"/>
      <w:r w:rsidRPr="007E3E0B">
        <w:t>Ilulissat</w:t>
      </w:r>
      <w:proofErr w:type="spellEnd"/>
      <w:r w:rsidRPr="007E3E0B">
        <w:t xml:space="preserve">, </w:t>
      </w:r>
      <w:proofErr w:type="spellStart"/>
      <w:r w:rsidRPr="007E3E0B">
        <w:t>Qasigiannguit</w:t>
      </w:r>
      <w:proofErr w:type="spellEnd"/>
      <w:r w:rsidRPr="007E3E0B">
        <w:t xml:space="preserve">, </w:t>
      </w:r>
      <w:proofErr w:type="spellStart"/>
      <w:r w:rsidRPr="007E3E0B">
        <w:t>Qeqertarsuaq</w:t>
      </w:r>
      <w:proofErr w:type="spellEnd"/>
      <w:r w:rsidRPr="007E3E0B">
        <w:t xml:space="preserve">, </w:t>
      </w:r>
      <w:proofErr w:type="spellStart"/>
      <w:r w:rsidRPr="007E3E0B">
        <w:t>Kangaatsiaq</w:t>
      </w:r>
      <w:proofErr w:type="spellEnd"/>
      <w:r w:rsidRPr="007E3E0B">
        <w:t xml:space="preserve">, </w:t>
      </w:r>
      <w:proofErr w:type="spellStart"/>
      <w:r w:rsidRPr="007E3E0B">
        <w:t>Aasiaat</w:t>
      </w:r>
      <w:proofErr w:type="spellEnd"/>
      <w:r w:rsidRPr="007E3E0B">
        <w:t xml:space="preserve">, </w:t>
      </w:r>
      <w:proofErr w:type="spellStart"/>
      <w:r w:rsidRPr="007E3E0B">
        <w:t>Sisimiut</w:t>
      </w:r>
      <w:proofErr w:type="spellEnd"/>
      <w:r w:rsidRPr="007E3E0B">
        <w:t xml:space="preserve">, </w:t>
      </w:r>
      <w:proofErr w:type="spellStart"/>
      <w:r w:rsidRPr="007E3E0B">
        <w:t>Maniitsoq</w:t>
      </w:r>
      <w:proofErr w:type="spellEnd"/>
      <w:r w:rsidRPr="007E3E0B">
        <w:t xml:space="preserve">, Nuuk, </w:t>
      </w:r>
      <w:proofErr w:type="spellStart"/>
      <w:r w:rsidRPr="007E3E0B">
        <w:t>Paamiut</w:t>
      </w:r>
      <w:proofErr w:type="spellEnd"/>
      <w:r w:rsidRPr="007E3E0B">
        <w:t xml:space="preserve">, </w:t>
      </w:r>
      <w:proofErr w:type="spellStart"/>
      <w:r w:rsidRPr="007E3E0B">
        <w:t>Qaqortoq</w:t>
      </w:r>
      <w:proofErr w:type="spellEnd"/>
      <w:r w:rsidRPr="007E3E0B">
        <w:t xml:space="preserve">, </w:t>
      </w:r>
      <w:proofErr w:type="spellStart"/>
      <w:r w:rsidRPr="007E3E0B">
        <w:t>Na</w:t>
      </w:r>
      <w:r w:rsidR="009B02F8" w:rsidRPr="007E3E0B">
        <w:t>rsaq</w:t>
      </w:r>
      <w:proofErr w:type="spellEnd"/>
      <w:r w:rsidR="009B02F8" w:rsidRPr="007E3E0B">
        <w:t xml:space="preserve">, </w:t>
      </w:r>
      <w:proofErr w:type="spellStart"/>
      <w:r w:rsidR="009B02F8" w:rsidRPr="007E3E0B">
        <w:t>Nanortalik</w:t>
      </w:r>
      <w:proofErr w:type="spellEnd"/>
      <w:r w:rsidR="009B02F8" w:rsidRPr="007E3E0B">
        <w:t xml:space="preserve"> and </w:t>
      </w:r>
      <w:proofErr w:type="spellStart"/>
      <w:r w:rsidR="009B02F8" w:rsidRPr="007E3E0B">
        <w:t>Tasiilaq</w:t>
      </w:r>
      <w:proofErr w:type="spellEnd"/>
      <w:r w:rsidR="009B02F8" w:rsidRPr="007E3E0B">
        <w:t>.</w:t>
      </w:r>
    </w:p>
    <w:p w14:paraId="532571A6" w14:textId="77777777" w:rsidR="00D35E51" w:rsidRPr="007E3E0B" w:rsidRDefault="00D35E51" w:rsidP="004E484C">
      <w:pPr>
        <w:pStyle w:val="SingleTxt"/>
        <w:numPr>
          <w:ilvl w:val="0"/>
          <w:numId w:val="3"/>
        </w:numPr>
        <w:ind w:left="1267" w:right="1267" w:firstLine="0"/>
      </w:pPr>
      <w:r w:rsidRPr="007E3E0B">
        <w:t xml:space="preserve">Based on decision of the parliament in spring of 2015, the Government will at the 2017 Fall Assembly of the Greenlandic Parliament present a report on opportunities to prevent and limit financial inequality and poverty in society and to establish a poverty line. </w:t>
      </w:r>
    </w:p>
    <w:p w14:paraId="5E85D155" w14:textId="77777777" w:rsidR="009B02F8" w:rsidRPr="007E3E0B" w:rsidRDefault="009B02F8" w:rsidP="009B02F8">
      <w:pPr>
        <w:pStyle w:val="SingleTxt"/>
        <w:spacing w:after="0" w:line="120" w:lineRule="exact"/>
        <w:ind w:right="1267"/>
        <w:rPr>
          <w:sz w:val="10"/>
        </w:rPr>
      </w:pPr>
    </w:p>
    <w:p w14:paraId="4EBC9686" w14:textId="77777777" w:rsidR="009B02F8" w:rsidRPr="007E3E0B" w:rsidRDefault="009B02F8" w:rsidP="0019408C">
      <w:pPr>
        <w:pStyle w:val="SingleTxt"/>
        <w:keepNext/>
        <w:keepLines/>
        <w:spacing w:after="0" w:line="120" w:lineRule="exact"/>
        <w:ind w:right="1267"/>
        <w:rPr>
          <w:sz w:val="10"/>
        </w:rPr>
      </w:pPr>
    </w:p>
    <w:p w14:paraId="33E77B0E" w14:textId="77777777" w:rsidR="00D35E51" w:rsidRPr="007E3E0B" w:rsidRDefault="00D35E51" w:rsidP="0019408C">
      <w:pPr>
        <w:pStyle w:val="H1"/>
      </w:pPr>
      <w:r w:rsidRPr="007E3E0B">
        <w:tab/>
      </w:r>
      <w:r w:rsidRPr="007E3E0B">
        <w:tab/>
        <w:t xml:space="preserve">Para. 9 </w:t>
      </w:r>
    </w:p>
    <w:p w14:paraId="5268A2E6" w14:textId="77777777" w:rsidR="009B02F8" w:rsidRPr="007E3E0B" w:rsidRDefault="009B02F8" w:rsidP="0019408C">
      <w:pPr>
        <w:pStyle w:val="SingleTxt"/>
        <w:keepNext/>
        <w:keepLines/>
        <w:spacing w:after="0" w:line="120" w:lineRule="exact"/>
        <w:rPr>
          <w:sz w:val="10"/>
        </w:rPr>
      </w:pPr>
    </w:p>
    <w:p w14:paraId="133E3117" w14:textId="77777777" w:rsidR="009B02F8" w:rsidRPr="007E3E0B" w:rsidRDefault="009B02F8" w:rsidP="0019408C">
      <w:pPr>
        <w:pStyle w:val="SingleTxt"/>
        <w:keepNext/>
        <w:keepLines/>
        <w:spacing w:after="0" w:line="120" w:lineRule="exact"/>
        <w:rPr>
          <w:sz w:val="10"/>
        </w:rPr>
      </w:pPr>
    </w:p>
    <w:p w14:paraId="53EE0989" w14:textId="77777777" w:rsidR="00D35E51" w:rsidRPr="007E3E0B" w:rsidRDefault="00D35E51" w:rsidP="0019408C">
      <w:pPr>
        <w:pStyle w:val="SingleTxt"/>
        <w:keepNext/>
        <w:keepLines/>
        <w:numPr>
          <w:ilvl w:val="0"/>
          <w:numId w:val="3"/>
        </w:numPr>
        <w:ind w:left="1267" w:right="1267" w:firstLine="0"/>
      </w:pPr>
      <w:r w:rsidRPr="007E3E0B">
        <w:t>In 2015, an amendment to the Danish Aliens Act introduced a new temporary subsidiary protection status for refugees who are entitled to asylum due to a general situation in the home country, cf. para. 93 of Denmark</w:t>
      </w:r>
      <w:r w:rsidR="00656A82" w:rsidRPr="007E3E0B">
        <w:t>’</w:t>
      </w:r>
      <w:r w:rsidRPr="007E3E0B">
        <w:t xml:space="preserve">s fifth periodic report. </w:t>
      </w:r>
    </w:p>
    <w:p w14:paraId="6DF09FDD" w14:textId="77777777" w:rsidR="00D35E51" w:rsidRPr="007E3E0B" w:rsidRDefault="00D35E51" w:rsidP="0019408C">
      <w:pPr>
        <w:pStyle w:val="SingleTxt"/>
        <w:keepNext/>
        <w:keepLines/>
        <w:numPr>
          <w:ilvl w:val="0"/>
          <w:numId w:val="3"/>
        </w:numPr>
        <w:ind w:left="1267" w:right="1267" w:firstLine="0"/>
      </w:pPr>
      <w:r w:rsidRPr="007E3E0B">
        <w:t>The regulation on temporary protection status does not apply to refugees who are granted residence permits according to the 1951 Convention Relating to the Status of Refugees, and foreigners who due to individual circumstances are at risk of the death penalty or of being subjected to torture or inhuman or degrading treatment or punishment in case of return to his or her country of origin.</w:t>
      </w:r>
    </w:p>
    <w:p w14:paraId="4331CBFC" w14:textId="77777777" w:rsidR="00D35E51" w:rsidRPr="007E3E0B" w:rsidRDefault="00D35E51" w:rsidP="0019408C">
      <w:pPr>
        <w:pStyle w:val="SingleTxt"/>
        <w:keepNext/>
        <w:keepLines/>
        <w:numPr>
          <w:ilvl w:val="0"/>
          <w:numId w:val="3"/>
        </w:numPr>
        <w:ind w:left="1264" w:firstLine="0"/>
      </w:pPr>
      <w:r w:rsidRPr="007E3E0B">
        <w:t>Pursuant to the 2015 amendment, family reunification will in general not be granted to a foreigner with temporary protection status, whose residence permit had not yet been extended after one year, cf. para. 93 of Denmark</w:t>
      </w:r>
      <w:r w:rsidR="00656A82" w:rsidRPr="007E3E0B">
        <w:t>’</w:t>
      </w:r>
      <w:r w:rsidRPr="007E3E0B">
        <w:t xml:space="preserve">s fifth periodic report. </w:t>
      </w:r>
    </w:p>
    <w:p w14:paraId="686B4F32" w14:textId="77777777" w:rsidR="00D35E51" w:rsidRPr="007E3E0B" w:rsidRDefault="00D35E51" w:rsidP="0019408C">
      <w:pPr>
        <w:pStyle w:val="SingleTxt"/>
        <w:keepNext/>
        <w:keepLines/>
        <w:numPr>
          <w:ilvl w:val="0"/>
          <w:numId w:val="3"/>
        </w:numPr>
        <w:ind w:left="1267" w:right="1267" w:firstLine="0"/>
      </w:pPr>
      <w:r w:rsidRPr="007E3E0B">
        <w:t xml:space="preserve">A further amendment to the family reunification rules in 2016 extended the period in which family reunification to foreigners with a temporary protection status is normally postponed from 1 to 3 years. Exceptions shall be made in all cases, where Denmark’s international obligations so require. </w:t>
      </w:r>
    </w:p>
    <w:p w14:paraId="77CA2A65" w14:textId="77777777" w:rsidR="00D35E51" w:rsidRDefault="00D35E51" w:rsidP="004E484C">
      <w:pPr>
        <w:pStyle w:val="SingleTxt"/>
        <w:numPr>
          <w:ilvl w:val="0"/>
          <w:numId w:val="3"/>
        </w:numPr>
        <w:ind w:left="1267" w:right="1267" w:firstLine="0"/>
      </w:pPr>
      <w:r w:rsidRPr="007E3E0B">
        <w:t>The authorities will perform an individual assessment in each case thereby ensuring observance of Denmark’s international obligations and ensuring that family reunification is granted where individual circumstances dictate it. International obligations may require that family reunification is granted for instance if the person residing in Denmark prior to the departure of his or her home country taken care of a spouse who has a disability or if the person residing in Denmark has critically ill children in the home country. Likewise, cases may arise where the rights of the child may require that family reunification is granted.</w:t>
      </w:r>
    </w:p>
    <w:p w14:paraId="21C960DA" w14:textId="77777777" w:rsidR="003B56FA" w:rsidRPr="003B56FA" w:rsidRDefault="003B56FA" w:rsidP="003B56FA">
      <w:pPr>
        <w:pStyle w:val="SingleTxt"/>
        <w:spacing w:after="0" w:line="120" w:lineRule="exact"/>
        <w:ind w:right="1267"/>
        <w:rPr>
          <w:sz w:val="10"/>
        </w:rPr>
      </w:pPr>
    </w:p>
    <w:p w14:paraId="45953DEC" w14:textId="77777777" w:rsidR="003B56FA" w:rsidRPr="003B56FA" w:rsidRDefault="003B56FA" w:rsidP="003B56FA">
      <w:pPr>
        <w:pStyle w:val="SingleTxt"/>
        <w:spacing w:after="0" w:line="120" w:lineRule="exact"/>
        <w:ind w:right="1267"/>
        <w:rPr>
          <w:sz w:val="10"/>
        </w:rPr>
      </w:pPr>
    </w:p>
    <w:p w14:paraId="09755F74" w14:textId="77777777" w:rsidR="00D35E51" w:rsidRDefault="00D35E51" w:rsidP="003B56FA">
      <w:pPr>
        <w:pStyle w:val="H1"/>
      </w:pPr>
      <w:r w:rsidRPr="007E3E0B">
        <w:tab/>
      </w:r>
      <w:r w:rsidRPr="007E3E0B">
        <w:tab/>
        <w:t>Para. 10</w:t>
      </w:r>
    </w:p>
    <w:p w14:paraId="76DB9B03" w14:textId="77777777" w:rsidR="003B56FA" w:rsidRPr="003B56FA" w:rsidRDefault="003B56FA" w:rsidP="003B56FA">
      <w:pPr>
        <w:pStyle w:val="SingleTxt"/>
        <w:spacing w:after="0" w:line="120" w:lineRule="exact"/>
        <w:rPr>
          <w:sz w:val="10"/>
        </w:rPr>
      </w:pPr>
    </w:p>
    <w:p w14:paraId="61D6B2EE" w14:textId="77777777" w:rsidR="003B56FA" w:rsidRPr="003B56FA" w:rsidRDefault="003B56FA" w:rsidP="003B56FA">
      <w:pPr>
        <w:pStyle w:val="SingleTxt"/>
        <w:spacing w:after="0" w:line="120" w:lineRule="exact"/>
        <w:rPr>
          <w:sz w:val="10"/>
        </w:rPr>
      </w:pPr>
    </w:p>
    <w:p w14:paraId="049B4395" w14:textId="77777777" w:rsidR="00D35E51" w:rsidRPr="007E3E0B" w:rsidRDefault="00D35E51" w:rsidP="004E484C">
      <w:pPr>
        <w:pStyle w:val="SingleTxt"/>
        <w:numPr>
          <w:ilvl w:val="0"/>
          <w:numId w:val="3"/>
        </w:numPr>
        <w:ind w:left="1267" w:right="1267" w:firstLine="0"/>
      </w:pPr>
      <w:r w:rsidRPr="007E3E0B">
        <w:t xml:space="preserve">Upon the arrival of an unaccompanied minor in Denmark, an appropriate adult shall be appointed to safeguard the minor’s interests, including if relevant by providing guidance during the asylum proceedings. Since Denmark’s fourth periodic report a number of legislative changes have been adopted, including an amendment of the Danish Aliens Act making the process for appointing such an appropriate adult to the unaccompanied minor faster and more efficient. </w:t>
      </w:r>
    </w:p>
    <w:p w14:paraId="537C6CEA" w14:textId="77777777" w:rsidR="00D35E51" w:rsidRPr="007E3E0B" w:rsidRDefault="00D35E51" w:rsidP="004E484C">
      <w:pPr>
        <w:pStyle w:val="SingleTxt"/>
        <w:numPr>
          <w:ilvl w:val="0"/>
          <w:numId w:val="3"/>
        </w:numPr>
        <w:ind w:left="1267" w:right="1267" w:firstLine="0"/>
      </w:pPr>
      <w:r w:rsidRPr="007E3E0B">
        <w:t>Additionally, an unaccompanied minor whose asylum application has been refused is furthermore assigned counsel to assist the minor during the appeal proceedings in the Danish Refugee Appeals Board. If the appeal is refused by the Danish Refugee Appeals Board the counsel will remain assigned to provide the unaccompanied minor with professional legal aid even after the asylum process is completed.</w:t>
      </w:r>
    </w:p>
    <w:p w14:paraId="676B3947" w14:textId="77777777" w:rsidR="00D35E51" w:rsidRPr="007E3E0B" w:rsidRDefault="00D35E51" w:rsidP="004E484C">
      <w:pPr>
        <w:pStyle w:val="SingleTxt"/>
        <w:numPr>
          <w:ilvl w:val="0"/>
          <w:numId w:val="3"/>
        </w:numPr>
        <w:ind w:left="1267" w:right="1267" w:firstLine="0"/>
      </w:pPr>
      <w:r w:rsidRPr="007E3E0B">
        <w:t>Accommodation is provided for all unaccompanied minors at special children’s accommodation centres run by the Danish Red Cross. The centres are staffed 24 hours a day. The centres are responsible for knowing the whereabouts of the children and carries out inspections 3 times a day for this purpose. If necessary, the staff may implement stricter security measures, such as checking the presence more frequently or by providing accommodation at another location. If an unaccompanied minor is discovered to be missing, the police will issue a nationwide warrant, and the local authority and the minor’s personal representative will be informed.</w:t>
      </w:r>
    </w:p>
    <w:p w14:paraId="178144B1" w14:textId="77777777" w:rsidR="00D35E51" w:rsidRPr="007E3E0B" w:rsidRDefault="00D35E51" w:rsidP="004E484C">
      <w:pPr>
        <w:pStyle w:val="SingleTxt"/>
        <w:numPr>
          <w:ilvl w:val="0"/>
          <w:numId w:val="3"/>
        </w:numPr>
        <w:ind w:left="1267" w:right="1267" w:firstLine="0"/>
      </w:pPr>
      <w:r w:rsidRPr="007E3E0B">
        <w:t xml:space="preserve">In May 2015, a new National Action Plan to Combat Trafficking in Human Beings was launched. As well as continuing established activities the action plan includes the implementation of new initiatives within the focus areas of </w:t>
      </w:r>
      <w:r w:rsidR="00E46FF5">
        <w:br/>
      </w:r>
      <w:r w:rsidR="00656A82" w:rsidRPr="00E46FF5">
        <w:rPr>
          <w:spacing w:val="2"/>
        </w:rPr>
        <w:t>(</w:t>
      </w:r>
      <w:r w:rsidRPr="00E46FF5">
        <w:rPr>
          <w:spacing w:val="2"/>
        </w:rPr>
        <w:t xml:space="preserve">1) prevention of human trafficking in Denmark and internationally, </w:t>
      </w:r>
      <w:r w:rsidR="00656A82" w:rsidRPr="00E46FF5">
        <w:rPr>
          <w:spacing w:val="2"/>
        </w:rPr>
        <w:t>(</w:t>
      </w:r>
      <w:r w:rsidRPr="00E46FF5">
        <w:rPr>
          <w:spacing w:val="2"/>
        </w:rPr>
        <w:t>2) identification</w:t>
      </w:r>
      <w:r w:rsidRPr="007E3E0B">
        <w:t xml:space="preserve"> </w:t>
      </w:r>
      <w:r w:rsidRPr="00E46FF5">
        <w:rPr>
          <w:spacing w:val="2"/>
        </w:rPr>
        <w:t xml:space="preserve">of and improved support to victims, </w:t>
      </w:r>
      <w:r w:rsidR="00656A82" w:rsidRPr="00E46FF5">
        <w:rPr>
          <w:spacing w:val="2"/>
        </w:rPr>
        <w:t>(</w:t>
      </w:r>
      <w:r w:rsidRPr="00E46FF5">
        <w:rPr>
          <w:spacing w:val="2"/>
        </w:rPr>
        <w:t xml:space="preserve">3) prosecution of traffickers and </w:t>
      </w:r>
      <w:r w:rsidR="00656A82" w:rsidRPr="00E46FF5">
        <w:rPr>
          <w:spacing w:val="2"/>
        </w:rPr>
        <w:t>(</w:t>
      </w:r>
      <w:r w:rsidRPr="00E46FF5">
        <w:rPr>
          <w:spacing w:val="2"/>
        </w:rPr>
        <w:t>4) partnership</w:t>
      </w:r>
      <w:r w:rsidRPr="007E3E0B">
        <w:t xml:space="preserve"> </w:t>
      </w:r>
      <w:r w:rsidRPr="007E3E0B">
        <w:lastRenderedPageBreak/>
        <w:t xml:space="preserve">and coordination. Education and training of officials and other stakeholders is continued and further developed continuously. </w:t>
      </w:r>
    </w:p>
    <w:p w14:paraId="5535035B" w14:textId="77777777" w:rsidR="00656A82" w:rsidRPr="007E3E0B" w:rsidRDefault="00656A82" w:rsidP="00656A82">
      <w:pPr>
        <w:pStyle w:val="SingleTxt"/>
        <w:spacing w:after="0" w:line="120" w:lineRule="exact"/>
        <w:ind w:right="1267"/>
        <w:rPr>
          <w:sz w:val="10"/>
        </w:rPr>
      </w:pPr>
    </w:p>
    <w:p w14:paraId="6DCE97B7" w14:textId="77777777" w:rsidR="00656A82" w:rsidRPr="007E3E0B" w:rsidRDefault="00656A82" w:rsidP="00656A82">
      <w:pPr>
        <w:pStyle w:val="SingleTxt"/>
        <w:spacing w:after="0" w:line="120" w:lineRule="exact"/>
        <w:ind w:right="1267"/>
        <w:rPr>
          <w:sz w:val="10"/>
        </w:rPr>
      </w:pPr>
    </w:p>
    <w:p w14:paraId="299F49A2" w14:textId="77777777" w:rsidR="00D35E51" w:rsidRPr="007E3E0B" w:rsidRDefault="00D35E51" w:rsidP="00656A82">
      <w:pPr>
        <w:pStyle w:val="H1"/>
      </w:pPr>
      <w:r w:rsidRPr="007E3E0B">
        <w:tab/>
      </w:r>
      <w:r w:rsidRPr="007E3E0B">
        <w:tab/>
        <w:t xml:space="preserve">Para. 11 </w:t>
      </w:r>
    </w:p>
    <w:p w14:paraId="5ED892F5" w14:textId="77777777" w:rsidR="00656A82" w:rsidRPr="007E3E0B" w:rsidRDefault="00656A82" w:rsidP="00656A82">
      <w:pPr>
        <w:pStyle w:val="SingleTxt"/>
        <w:spacing w:after="0" w:line="120" w:lineRule="exact"/>
        <w:rPr>
          <w:sz w:val="10"/>
        </w:rPr>
      </w:pPr>
    </w:p>
    <w:p w14:paraId="358AA94E" w14:textId="77777777" w:rsidR="00656A82" w:rsidRPr="007E3E0B" w:rsidRDefault="00656A82" w:rsidP="00656A82">
      <w:pPr>
        <w:pStyle w:val="SingleTxt"/>
        <w:spacing w:after="0" w:line="120" w:lineRule="exact"/>
        <w:rPr>
          <w:sz w:val="10"/>
        </w:rPr>
      </w:pPr>
    </w:p>
    <w:p w14:paraId="238DE92F" w14:textId="77777777" w:rsidR="00D35E51" w:rsidRPr="007E3E0B" w:rsidRDefault="00D35E51" w:rsidP="004E484C">
      <w:pPr>
        <w:pStyle w:val="SingleTxt"/>
        <w:numPr>
          <w:ilvl w:val="0"/>
          <w:numId w:val="3"/>
        </w:numPr>
        <w:ind w:left="1267" w:right="1267" w:firstLine="0"/>
      </w:pPr>
      <w:r w:rsidRPr="007E3E0B">
        <w:t xml:space="preserve">Pursuant to section 7(1) of the Danish Aliens Act, a residence permit will be issued to a refugee who falls within the 1951 Convention Relating to the Status of Refugees. </w:t>
      </w:r>
    </w:p>
    <w:p w14:paraId="16376D5E" w14:textId="77777777" w:rsidR="00D35E51" w:rsidRPr="007E3E0B" w:rsidRDefault="00D35E51" w:rsidP="004E484C">
      <w:pPr>
        <w:pStyle w:val="SingleTxt"/>
        <w:numPr>
          <w:ilvl w:val="0"/>
          <w:numId w:val="3"/>
        </w:numPr>
        <w:ind w:left="1267" w:right="1267" w:firstLine="0"/>
      </w:pPr>
      <w:r w:rsidRPr="007E3E0B">
        <w:t xml:space="preserve">Pursuant to section 7(2) of the Danish Aliens Act, a residence permit will be issued to a refugee who is in risk of the death penalty or being subjected to torture, inhuman or degrading treatment or punishment in case of return to his country of origin (protection status). </w:t>
      </w:r>
    </w:p>
    <w:p w14:paraId="676B78F3" w14:textId="77777777" w:rsidR="00D35E51" w:rsidRPr="007E3E0B" w:rsidRDefault="00D35E51" w:rsidP="004E484C">
      <w:pPr>
        <w:pStyle w:val="SingleTxt"/>
        <w:numPr>
          <w:ilvl w:val="0"/>
          <w:numId w:val="3"/>
        </w:numPr>
        <w:ind w:left="1267" w:right="1267" w:firstLine="0"/>
      </w:pPr>
      <w:r w:rsidRPr="007E3E0B">
        <w:t>Pursuant to section 7(3) of the Danish Aliens Act, a residence permit will be issued to a refugee who is in need of protection due to general violence in the country of origin (temporary subsidiary protection status).</w:t>
      </w:r>
    </w:p>
    <w:p w14:paraId="210BFF43" w14:textId="77777777" w:rsidR="00D35E51" w:rsidRPr="007E3E0B" w:rsidRDefault="00D35E51" w:rsidP="004E484C">
      <w:pPr>
        <w:pStyle w:val="SingleTxt"/>
        <w:numPr>
          <w:ilvl w:val="0"/>
          <w:numId w:val="3"/>
        </w:numPr>
        <w:ind w:left="1267" w:right="1267" w:firstLine="0"/>
      </w:pPr>
      <w:r w:rsidRPr="007E3E0B">
        <w:t>According to the Danish Aliens Act any refusal of an asylum application must be accompanied by a decision as to whether the alien in question can be removed from Denmark if he or she does not voluntarily leave the country. Pursuant to section 31(1) of the Danish Aliens Act, an alien may not be returned to a country where he will be at risk of the death penalty or of being subjected to torture or inhuman or degrading treatment or punishment, or where the alien will not be protected against being sent on to such country (</w:t>
      </w:r>
      <w:r w:rsidR="0000113A">
        <w:t>“</w:t>
      </w:r>
      <w:r w:rsidRPr="007E3E0B">
        <w:t>non-</w:t>
      </w:r>
      <w:proofErr w:type="spellStart"/>
      <w:r w:rsidRPr="007E3E0B">
        <w:t>refoulement</w:t>
      </w:r>
      <w:proofErr w:type="spellEnd"/>
      <w:r w:rsidR="0000113A">
        <w:t>”</w:t>
      </w:r>
      <w:r w:rsidRPr="007E3E0B">
        <w:t>). This provision applies to all asylum seekers and must be applied in accordance with Denmark’s international obligations.</w:t>
      </w:r>
    </w:p>
    <w:p w14:paraId="644C5FEA" w14:textId="77777777" w:rsidR="00D35E51" w:rsidRPr="007E3E0B" w:rsidRDefault="00D35E51" w:rsidP="004E484C">
      <w:pPr>
        <w:pStyle w:val="SingleTxt"/>
        <w:numPr>
          <w:ilvl w:val="0"/>
          <w:numId w:val="3"/>
        </w:numPr>
        <w:ind w:left="1267" w:right="1267" w:firstLine="0"/>
      </w:pPr>
      <w:r w:rsidRPr="00E46FF5">
        <w:rPr>
          <w:spacing w:val="2"/>
        </w:rPr>
        <w:t>To make sure, that the principle of non-</w:t>
      </w:r>
      <w:proofErr w:type="spellStart"/>
      <w:r w:rsidRPr="00E46FF5">
        <w:rPr>
          <w:spacing w:val="2"/>
        </w:rPr>
        <w:t>refoulement</w:t>
      </w:r>
      <w:proofErr w:type="spellEnd"/>
      <w:r w:rsidRPr="00E46FF5">
        <w:rPr>
          <w:spacing w:val="2"/>
        </w:rPr>
        <w:t xml:space="preserve"> is fully respected, the authorities will during the asylum procedure obtain information </w:t>
      </w:r>
      <w:r w:rsidR="00656A82" w:rsidRPr="00E46FF5">
        <w:rPr>
          <w:spacing w:val="2"/>
        </w:rPr>
        <w:t>—</w:t>
      </w:r>
      <w:r w:rsidRPr="00E46FF5">
        <w:rPr>
          <w:spacing w:val="2"/>
        </w:rPr>
        <w:t xml:space="preserve"> e.g. regarding the</w:t>
      </w:r>
      <w:r w:rsidRPr="007E3E0B">
        <w:t xml:space="preserve"> risk of female genital mutilation if relevant </w:t>
      </w:r>
      <w:r w:rsidR="00656A82" w:rsidRPr="007E3E0B">
        <w:t>—</w:t>
      </w:r>
      <w:r w:rsidRPr="007E3E0B">
        <w:t xml:space="preserve"> and assess whether a minor child </w:t>
      </w:r>
      <w:r w:rsidR="00656A82" w:rsidRPr="007E3E0B">
        <w:t>—</w:t>
      </w:r>
      <w:r w:rsidRPr="007E3E0B">
        <w:t xml:space="preserve"> </w:t>
      </w:r>
      <w:r w:rsidRPr="00E46FF5">
        <w:rPr>
          <w:spacing w:val="2"/>
        </w:rPr>
        <w:t xml:space="preserve">accompanied and unaccompanied </w:t>
      </w:r>
      <w:r w:rsidR="00656A82" w:rsidRPr="00E46FF5">
        <w:rPr>
          <w:spacing w:val="2"/>
        </w:rPr>
        <w:t>—</w:t>
      </w:r>
      <w:r w:rsidRPr="00E46FF5">
        <w:rPr>
          <w:spacing w:val="2"/>
        </w:rPr>
        <w:t xml:space="preserve"> has an independent</w:t>
      </w:r>
      <w:r w:rsidR="00656A82" w:rsidRPr="00E46FF5">
        <w:rPr>
          <w:spacing w:val="2"/>
        </w:rPr>
        <w:t xml:space="preserve"> reason to be granted asylum.</w:t>
      </w:r>
      <w:r w:rsidR="00656A82" w:rsidRPr="007E3E0B">
        <w:t xml:space="preserve"> </w:t>
      </w:r>
    </w:p>
    <w:p w14:paraId="61088526" w14:textId="77777777" w:rsidR="00656A82" w:rsidRPr="007E3E0B" w:rsidRDefault="00656A82" w:rsidP="00656A82">
      <w:pPr>
        <w:pStyle w:val="SingleTxt"/>
        <w:spacing w:after="0" w:line="120" w:lineRule="exact"/>
        <w:ind w:right="1267"/>
        <w:rPr>
          <w:sz w:val="10"/>
        </w:rPr>
      </w:pPr>
    </w:p>
    <w:p w14:paraId="1EE8E749" w14:textId="77777777" w:rsidR="00656A82" w:rsidRPr="007E3E0B" w:rsidRDefault="00656A82" w:rsidP="00656A82">
      <w:pPr>
        <w:pStyle w:val="SingleTxt"/>
        <w:spacing w:after="0" w:line="120" w:lineRule="exact"/>
        <w:ind w:right="1267"/>
        <w:rPr>
          <w:sz w:val="10"/>
        </w:rPr>
      </w:pPr>
    </w:p>
    <w:p w14:paraId="67FDA53F" w14:textId="77777777" w:rsidR="00D35E51" w:rsidRPr="007E3E0B" w:rsidRDefault="00D35E51" w:rsidP="00656A82">
      <w:pPr>
        <w:pStyle w:val="H1"/>
      </w:pPr>
      <w:r w:rsidRPr="007E3E0B">
        <w:tab/>
      </w:r>
      <w:r w:rsidRPr="007E3E0B">
        <w:tab/>
        <w:t xml:space="preserve">Para. 12 </w:t>
      </w:r>
    </w:p>
    <w:p w14:paraId="08B957E7" w14:textId="77777777" w:rsidR="00656A82" w:rsidRPr="007E3E0B" w:rsidRDefault="00656A82" w:rsidP="00656A82">
      <w:pPr>
        <w:pStyle w:val="SingleTxt"/>
        <w:spacing w:after="0" w:line="120" w:lineRule="exact"/>
        <w:rPr>
          <w:b/>
          <w:sz w:val="10"/>
        </w:rPr>
      </w:pPr>
    </w:p>
    <w:p w14:paraId="496DEF9E" w14:textId="77777777" w:rsidR="00656A82" w:rsidRPr="007E3E0B" w:rsidRDefault="00656A82" w:rsidP="00656A82">
      <w:pPr>
        <w:pStyle w:val="SingleTxt"/>
        <w:spacing w:after="0" w:line="120" w:lineRule="exact"/>
        <w:rPr>
          <w:b/>
          <w:sz w:val="10"/>
        </w:rPr>
      </w:pPr>
    </w:p>
    <w:p w14:paraId="198E4ACE" w14:textId="77777777" w:rsidR="00D35E51" w:rsidRPr="007E3E0B" w:rsidRDefault="00D35E51" w:rsidP="004E484C">
      <w:pPr>
        <w:pStyle w:val="SingleTxt"/>
        <w:numPr>
          <w:ilvl w:val="0"/>
          <w:numId w:val="3"/>
        </w:numPr>
        <w:ind w:left="1267" w:right="1267" w:firstLine="0"/>
      </w:pPr>
      <w:r w:rsidRPr="007E3E0B">
        <w:t>The Danish Government is currently considering introducing a new system focused on crime prevention for young individuals between the age of 12 and 17. The overall intention is to adopt a proactive approach with responses customised to the specific young person.</w:t>
      </w:r>
    </w:p>
    <w:p w14:paraId="02D8827A" w14:textId="77777777" w:rsidR="00D35E51" w:rsidRPr="007E3E0B" w:rsidRDefault="00D35E51" w:rsidP="004E484C">
      <w:pPr>
        <w:pStyle w:val="SingleTxt"/>
        <w:numPr>
          <w:ilvl w:val="0"/>
          <w:numId w:val="3"/>
        </w:numPr>
        <w:ind w:left="1267" w:right="1267" w:firstLine="0"/>
      </w:pPr>
      <w:r w:rsidRPr="007E3E0B">
        <w:t xml:space="preserve">In light of the recommendation adopted by the Committee on the Rights of the Child on 4 February 2011, Denmark has considered repealing the 2010 amendment which changed the upper limit of prison sentences applicable to persons who were under 18 years when the crime was committed. </w:t>
      </w:r>
    </w:p>
    <w:p w14:paraId="47123A4B" w14:textId="77777777" w:rsidR="00D35E51" w:rsidRPr="007E3E0B" w:rsidRDefault="00D35E51" w:rsidP="004E484C">
      <w:pPr>
        <w:pStyle w:val="SingleTxt"/>
        <w:numPr>
          <w:ilvl w:val="0"/>
          <w:numId w:val="3"/>
        </w:numPr>
        <w:ind w:left="1267" w:right="1267" w:firstLine="0"/>
      </w:pPr>
      <w:r w:rsidRPr="007E3E0B">
        <w:t>Act no. 711 of 25 June 2010 amended the upper limit of prison sentences applicable to persons who were under 18 years when they committed a crime. According to the preparatory works the perpetrator’s young age should in general continue to constitute a mitigating circumstance when determining a sentence for a crime that was committed before the perpetrator had attained the age of 18. The amendment of the Criminal Code is only of importance in cases of particularly aggravated crime, such as homicide, where it may be argued that there are special reasons to emphasise law enforcement considerations. The courts should hence not be precluded from emphasi</w:t>
      </w:r>
      <w:r w:rsidR="00AB5393" w:rsidRPr="007E3E0B">
        <w:t>z</w:t>
      </w:r>
      <w:r w:rsidRPr="007E3E0B">
        <w:t xml:space="preserve">ing law enforcement considerations and in the most serious of cases based on a specific assessment find that a sentence of more than eight years of imprisonment should be imposed on a perpetrator. It should be noted that, a perpetrator who had not attained the age of 18 years when committing a crime may not be sentenced to life in prison. </w:t>
      </w:r>
    </w:p>
    <w:p w14:paraId="21531D07" w14:textId="77777777" w:rsidR="00D35E51" w:rsidRPr="007E3E0B" w:rsidRDefault="00D35E51" w:rsidP="004E484C">
      <w:pPr>
        <w:pStyle w:val="SingleTxt"/>
        <w:numPr>
          <w:ilvl w:val="0"/>
          <w:numId w:val="3"/>
        </w:numPr>
        <w:ind w:left="1267" w:right="1267" w:firstLine="0"/>
      </w:pPr>
      <w:r w:rsidRPr="007E3E0B">
        <w:t>In view of this, Denmark has decided not to repeal the amendment regarding the upper limit for sentencing of person below the age of 18 years.</w:t>
      </w:r>
    </w:p>
    <w:p w14:paraId="0C8D4E7E" w14:textId="77777777" w:rsidR="00D35E51" w:rsidRPr="007E3E0B" w:rsidRDefault="00D35E51" w:rsidP="00656A82">
      <w:pPr>
        <w:pStyle w:val="HCh"/>
      </w:pPr>
      <w:r w:rsidRPr="007E3E0B">
        <w:lastRenderedPageBreak/>
        <w:tab/>
      </w:r>
      <w:r w:rsidRPr="007E3E0B">
        <w:tab/>
        <w:t xml:space="preserve">Part </w:t>
      </w:r>
      <w:r w:rsidR="00657A05">
        <w:t>II</w:t>
      </w:r>
      <w:r w:rsidRPr="007E3E0B">
        <w:t xml:space="preserve"> </w:t>
      </w:r>
    </w:p>
    <w:p w14:paraId="2408ED0D" w14:textId="77777777" w:rsidR="00656A82" w:rsidRPr="007E3E0B" w:rsidRDefault="00656A82" w:rsidP="00656A82">
      <w:pPr>
        <w:pStyle w:val="SingleTxt"/>
        <w:spacing w:after="0" w:line="120" w:lineRule="exact"/>
        <w:rPr>
          <w:b/>
          <w:sz w:val="10"/>
        </w:rPr>
      </w:pPr>
    </w:p>
    <w:p w14:paraId="057AC4D2" w14:textId="77777777" w:rsidR="00656A82" w:rsidRPr="007E3E0B" w:rsidRDefault="00656A82" w:rsidP="00656A82">
      <w:pPr>
        <w:pStyle w:val="SingleTxt"/>
        <w:spacing w:after="0" w:line="120" w:lineRule="exact"/>
        <w:rPr>
          <w:b/>
          <w:sz w:val="10"/>
        </w:rPr>
      </w:pPr>
    </w:p>
    <w:p w14:paraId="51DD6F80" w14:textId="77777777" w:rsidR="00D35E51" w:rsidRPr="007E3E0B" w:rsidRDefault="00D35E51" w:rsidP="00656A82">
      <w:pPr>
        <w:pStyle w:val="H1"/>
      </w:pPr>
      <w:r w:rsidRPr="007E3E0B">
        <w:tab/>
      </w:r>
      <w:r w:rsidRPr="007E3E0B">
        <w:tab/>
        <w:t>Para 13</w:t>
      </w:r>
    </w:p>
    <w:p w14:paraId="370B58B8" w14:textId="77777777" w:rsidR="00656A82" w:rsidRPr="007E3E0B" w:rsidRDefault="00656A82" w:rsidP="00656A82">
      <w:pPr>
        <w:pStyle w:val="SingleTxt"/>
        <w:spacing w:after="0" w:line="120" w:lineRule="exact"/>
        <w:rPr>
          <w:b/>
          <w:sz w:val="10"/>
        </w:rPr>
      </w:pPr>
    </w:p>
    <w:p w14:paraId="49574ECE" w14:textId="77777777" w:rsidR="00656A82" w:rsidRPr="007E3E0B" w:rsidRDefault="00656A82" w:rsidP="00656A82">
      <w:pPr>
        <w:pStyle w:val="SingleTxt"/>
        <w:spacing w:after="0" w:line="120" w:lineRule="exact"/>
        <w:rPr>
          <w:b/>
          <w:sz w:val="10"/>
        </w:rPr>
      </w:pPr>
    </w:p>
    <w:p w14:paraId="35770503" w14:textId="77777777" w:rsidR="00D35E51" w:rsidRPr="007E3E0B" w:rsidRDefault="00D35E51" w:rsidP="00656A82">
      <w:pPr>
        <w:pStyle w:val="H23"/>
      </w:pPr>
      <w:r w:rsidRPr="007E3E0B">
        <w:tab/>
      </w:r>
      <w:r w:rsidRPr="007E3E0B">
        <w:tab/>
        <w:t>Denmark</w:t>
      </w:r>
    </w:p>
    <w:p w14:paraId="32080534" w14:textId="77777777" w:rsidR="00656A82" w:rsidRPr="007E3E0B" w:rsidRDefault="00656A82" w:rsidP="00656A82">
      <w:pPr>
        <w:pStyle w:val="SingleTxt"/>
        <w:spacing w:after="0" w:line="120" w:lineRule="exact"/>
        <w:rPr>
          <w:b/>
          <w:sz w:val="10"/>
        </w:rPr>
      </w:pPr>
    </w:p>
    <w:p w14:paraId="78BC6FCF" w14:textId="77777777" w:rsidR="00D35E51" w:rsidRPr="007E3E0B" w:rsidRDefault="00D35E51" w:rsidP="00656A82">
      <w:pPr>
        <w:pStyle w:val="H4"/>
      </w:pPr>
      <w:r w:rsidRPr="007E3E0B">
        <w:tab/>
      </w:r>
      <w:r w:rsidRPr="007E3E0B">
        <w:tab/>
        <w:t>Criminal law</w:t>
      </w:r>
    </w:p>
    <w:p w14:paraId="701A42D2" w14:textId="77777777" w:rsidR="00656A82" w:rsidRPr="007E3E0B" w:rsidRDefault="00656A82" w:rsidP="00656A82">
      <w:pPr>
        <w:pStyle w:val="SingleTxt"/>
        <w:spacing w:after="0" w:line="120" w:lineRule="exact"/>
        <w:rPr>
          <w:i/>
          <w:sz w:val="10"/>
        </w:rPr>
      </w:pPr>
    </w:p>
    <w:p w14:paraId="3A825E69" w14:textId="77777777" w:rsidR="00D35E51" w:rsidRPr="007E3E0B" w:rsidRDefault="00D35E51" w:rsidP="004E484C">
      <w:pPr>
        <w:pStyle w:val="SingleTxt"/>
        <w:numPr>
          <w:ilvl w:val="0"/>
          <w:numId w:val="3"/>
        </w:numPr>
        <w:ind w:left="1267" w:right="1267" w:firstLine="0"/>
      </w:pPr>
      <w:r w:rsidRPr="007E3E0B">
        <w:t xml:space="preserve">By act no. 167 of 27 February 2016 the provisions regarding video interviewing of children in the Administration of Justice Act were amended in order to expand the use of video interviewing, thus, eliminating the need for the child to testify in court. By act no. 635 of 8 June 2016 the Criminal Code was amended in order to raise the sentencing level for rape and for sexual activity with a child below the age of consent when use is made of a physical or psychological superiority. </w:t>
      </w:r>
    </w:p>
    <w:p w14:paraId="366CC02E" w14:textId="77777777" w:rsidR="00D35E51" w:rsidRPr="007E3E0B" w:rsidRDefault="00D35E51" w:rsidP="00656A82">
      <w:pPr>
        <w:pStyle w:val="H4"/>
      </w:pPr>
      <w:r w:rsidRPr="007E3E0B">
        <w:tab/>
      </w:r>
      <w:r w:rsidRPr="007E3E0B">
        <w:tab/>
        <w:t>Radicali</w:t>
      </w:r>
      <w:r w:rsidR="00282B55" w:rsidRPr="007E3E0B">
        <w:t>z</w:t>
      </w:r>
      <w:r w:rsidRPr="007E3E0B">
        <w:t>ation and extremism</w:t>
      </w:r>
    </w:p>
    <w:p w14:paraId="05157CFB" w14:textId="77777777" w:rsidR="00656A82" w:rsidRPr="007E3E0B" w:rsidRDefault="00656A82" w:rsidP="00656A82">
      <w:pPr>
        <w:spacing w:line="120" w:lineRule="exact"/>
        <w:rPr>
          <w:sz w:val="10"/>
        </w:rPr>
      </w:pPr>
    </w:p>
    <w:p w14:paraId="24685B9D" w14:textId="77777777" w:rsidR="00D35E51" w:rsidRPr="007E3E0B" w:rsidRDefault="00D35E51" w:rsidP="004E484C">
      <w:pPr>
        <w:pStyle w:val="SingleTxt"/>
        <w:numPr>
          <w:ilvl w:val="0"/>
          <w:numId w:val="3"/>
        </w:numPr>
        <w:ind w:left="1267" w:right="1267" w:firstLine="0"/>
      </w:pPr>
      <w:r w:rsidRPr="007E3E0B">
        <w:t>The Government published a new national action plan on preventing and combating radicali</w:t>
      </w:r>
      <w:r w:rsidR="00282B55" w:rsidRPr="007E3E0B">
        <w:t>z</w:t>
      </w:r>
      <w:r w:rsidRPr="007E3E0B">
        <w:t>ation and extremism in October 2016. The plan contains a comprehensive catalogue of 41 new initiatives, including initiatives aimed at strengthening youth resilience against extremism. One of the initiatives is the creation of the Danish Centre for Prevention of Extremism which was established in January 2017. The centre is in charge of providing knowledge-based counselling and skills enhancement services to local actors involved in the general prevention work, including municipalities, crime-preventive collaborations, educational institutions, health care personnel, housing organi</w:t>
      </w:r>
      <w:r w:rsidR="00B4655B" w:rsidRPr="007E3E0B">
        <w:t>z</w:t>
      </w:r>
      <w:r w:rsidRPr="007E3E0B">
        <w:t>ations, NGO’s etc. Its work will be based on systematic gathering of knowledge, experience sharing and the development of prevention methods.</w:t>
      </w:r>
    </w:p>
    <w:p w14:paraId="528F52E0" w14:textId="77777777" w:rsidR="00D35E51" w:rsidRPr="007E3E0B" w:rsidRDefault="00D35E51" w:rsidP="004E484C">
      <w:pPr>
        <w:pStyle w:val="SingleTxt"/>
        <w:numPr>
          <w:ilvl w:val="0"/>
          <w:numId w:val="3"/>
        </w:numPr>
        <w:ind w:left="1267" w:right="1267" w:firstLine="0"/>
        <w:rPr>
          <w:spacing w:val="2"/>
        </w:rPr>
      </w:pPr>
      <w:r w:rsidRPr="007E3E0B">
        <w:rPr>
          <w:spacing w:val="2"/>
        </w:rPr>
        <w:t>One of the initiatives in the Action Plan is to carry out a new digital mapping project anchored within the DSIS and the police with the aim to equip authorities with a better and more adequate, precise and updated picture of the role that social media plays in connection with radicali</w:t>
      </w:r>
      <w:r w:rsidR="00282B55" w:rsidRPr="007E3E0B">
        <w:rPr>
          <w:spacing w:val="2"/>
        </w:rPr>
        <w:t>z</w:t>
      </w:r>
      <w:r w:rsidRPr="007E3E0B">
        <w:rPr>
          <w:spacing w:val="2"/>
        </w:rPr>
        <w:t xml:space="preserve">ation and hate crimes in Denmark. The collected knowledge shall </w:t>
      </w:r>
      <w:proofErr w:type="spellStart"/>
      <w:r w:rsidRPr="007E3E0B">
        <w:rPr>
          <w:spacing w:val="2"/>
        </w:rPr>
        <w:t>i.a</w:t>
      </w:r>
      <w:proofErr w:type="spellEnd"/>
      <w:r w:rsidRPr="007E3E0B">
        <w:rPr>
          <w:spacing w:val="2"/>
        </w:rPr>
        <w:t>. be used to focus and strengthen the preventive efforts carried out by various ministries, agencies, municipalities, the police, civil society etc.</w:t>
      </w:r>
    </w:p>
    <w:p w14:paraId="5F6B4818" w14:textId="77777777" w:rsidR="00D35E51" w:rsidRPr="007E3E0B" w:rsidRDefault="00D35E51" w:rsidP="004E484C">
      <w:pPr>
        <w:pStyle w:val="SingleTxt"/>
        <w:numPr>
          <w:ilvl w:val="0"/>
          <w:numId w:val="3"/>
        </w:numPr>
        <w:ind w:left="1267" w:right="1267" w:firstLine="0"/>
      </w:pPr>
      <w:r w:rsidRPr="007E3E0B">
        <w:t>The Ministry of Education provides advice to schools and school administrators on the prevention of extremism and radicalization. Schools and municipalities are continuously invited to participate in various national events on democracy, citizenship and prevention of radicalization in the school setting. Furthermore materials have been published which provides teachers, pedagogical staff and school leaders with practical tools on preventing marginali</w:t>
      </w:r>
      <w:r w:rsidR="00282B55" w:rsidRPr="007E3E0B">
        <w:t>z</w:t>
      </w:r>
      <w:r w:rsidRPr="007E3E0B">
        <w:t>ation and radicali</w:t>
      </w:r>
      <w:r w:rsidR="00282B55" w:rsidRPr="007E3E0B">
        <w:t>z</w:t>
      </w:r>
      <w:r w:rsidRPr="007E3E0B">
        <w:t>ation. The materials include instructions on how to obtain support in case of specific concerns of radicali</w:t>
      </w:r>
      <w:r w:rsidR="00282B55" w:rsidRPr="007E3E0B">
        <w:t>z</w:t>
      </w:r>
      <w:r w:rsidRPr="007E3E0B">
        <w:t xml:space="preserve">ation. </w:t>
      </w:r>
    </w:p>
    <w:p w14:paraId="31B9B010" w14:textId="77777777" w:rsidR="00972E60" w:rsidRPr="007E3E0B" w:rsidRDefault="00972E60" w:rsidP="00972E60">
      <w:pPr>
        <w:pStyle w:val="SingleTxt"/>
        <w:spacing w:after="0" w:line="120" w:lineRule="exact"/>
        <w:ind w:right="1267"/>
        <w:rPr>
          <w:sz w:val="10"/>
        </w:rPr>
      </w:pPr>
    </w:p>
    <w:p w14:paraId="3BA42C81" w14:textId="77777777" w:rsidR="00D35E51" w:rsidRPr="007E3E0B" w:rsidRDefault="00D35E51" w:rsidP="00972E60">
      <w:pPr>
        <w:pStyle w:val="H4"/>
      </w:pPr>
      <w:r w:rsidRPr="007E3E0B">
        <w:tab/>
      </w:r>
      <w:r w:rsidRPr="007E3E0B">
        <w:tab/>
        <w:t xml:space="preserve">Online sexual abuse </w:t>
      </w:r>
    </w:p>
    <w:p w14:paraId="244C30C6" w14:textId="77777777" w:rsidR="00972E60" w:rsidRPr="007E3E0B" w:rsidRDefault="00972E60" w:rsidP="00972E60">
      <w:pPr>
        <w:pStyle w:val="SingleTxt"/>
        <w:spacing w:after="0" w:line="120" w:lineRule="exact"/>
        <w:rPr>
          <w:i/>
          <w:sz w:val="10"/>
        </w:rPr>
      </w:pPr>
    </w:p>
    <w:p w14:paraId="19F7E297" w14:textId="77777777" w:rsidR="00D35E51" w:rsidRPr="007E3E0B" w:rsidRDefault="00D35E51" w:rsidP="004E484C">
      <w:pPr>
        <w:pStyle w:val="SingleTxt"/>
        <w:numPr>
          <w:ilvl w:val="0"/>
          <w:numId w:val="3"/>
        </w:numPr>
        <w:ind w:left="1267" w:right="1267" w:firstLine="0"/>
      </w:pPr>
      <w:r w:rsidRPr="007E3E0B">
        <w:t>On 3 February 2017 the Government launched a number of initiatives to counter online sexual abuse. The initiatives include prevention, punishment and help for victims. Online sexual abuse will be prevented through social media campaigns, new curricula in upper secondary schools and inspirational resources. A number of initiatives aim to strengthen the efforts of the police and the prosecution in cases of online sexual abuse in order to ensure that victims of online sexual abuse receive the appropriate help and guidance and that the perpetrators are prosecuted. Furthermore, the maximum penalty for invasion of privacy under aggravating circumstances will be increased.</w:t>
      </w:r>
    </w:p>
    <w:p w14:paraId="55BC7958" w14:textId="77777777" w:rsidR="00D35E51" w:rsidRPr="007E3E0B" w:rsidRDefault="00D35E51" w:rsidP="004E484C">
      <w:pPr>
        <w:pStyle w:val="SingleTxt"/>
        <w:numPr>
          <w:ilvl w:val="0"/>
          <w:numId w:val="3"/>
        </w:numPr>
        <w:ind w:left="1267" w:right="1267" w:firstLine="0"/>
      </w:pPr>
      <w:r w:rsidRPr="007E3E0B">
        <w:t xml:space="preserve">On 18 December 2016 the Minister of Justice launched a policy initiative to enhance justice for victims of sexual abuse and in particular child victims. The initiative includes a proposal to abolish the statutes of limitation on criminal liability for offences related to sexual abuse of children as well as proposals to ensure that claims for damages and compensation may always be put forward against authorities </w:t>
      </w:r>
      <w:r w:rsidRPr="007E3E0B">
        <w:lastRenderedPageBreak/>
        <w:t>which have neglected statutory duties in cases concerning sexual abuse of children. Lastly the initiative seeks to increase the compensation that victims of sexual offences are entitled to and to make it easier to request such compensation from the State. A bill containing the proposals is expected to be introduced in the Danish Parliament this year.</w:t>
      </w:r>
    </w:p>
    <w:p w14:paraId="3A88118A" w14:textId="77777777" w:rsidR="00972E60" w:rsidRPr="007E3E0B" w:rsidRDefault="00972E60" w:rsidP="00972E60">
      <w:pPr>
        <w:pStyle w:val="SingleTxt"/>
        <w:spacing w:after="0" w:line="120" w:lineRule="exact"/>
        <w:ind w:right="1267"/>
        <w:rPr>
          <w:sz w:val="10"/>
        </w:rPr>
      </w:pPr>
    </w:p>
    <w:p w14:paraId="1115BC8B" w14:textId="77777777" w:rsidR="00D35E51" w:rsidRPr="007E3E0B" w:rsidRDefault="00D35E51" w:rsidP="00972E60">
      <w:pPr>
        <w:pStyle w:val="H4"/>
      </w:pPr>
      <w:r w:rsidRPr="007E3E0B">
        <w:tab/>
      </w:r>
      <w:r w:rsidRPr="007E3E0B">
        <w:tab/>
        <w:t>Anti-bullying</w:t>
      </w:r>
    </w:p>
    <w:p w14:paraId="09EED912" w14:textId="77777777" w:rsidR="00972E60" w:rsidRPr="007E3E0B" w:rsidRDefault="00972E60" w:rsidP="00972E60">
      <w:pPr>
        <w:pStyle w:val="SingleTxt"/>
        <w:spacing w:after="0" w:line="120" w:lineRule="exact"/>
        <w:rPr>
          <w:i/>
          <w:sz w:val="10"/>
        </w:rPr>
      </w:pPr>
    </w:p>
    <w:p w14:paraId="2B0A4056" w14:textId="77777777" w:rsidR="00D35E51" w:rsidRPr="007E3E0B" w:rsidRDefault="00D35E51" w:rsidP="004E484C">
      <w:pPr>
        <w:pStyle w:val="SingleTxt"/>
        <w:numPr>
          <w:ilvl w:val="0"/>
          <w:numId w:val="3"/>
        </w:numPr>
        <w:ind w:left="1267" w:right="1267" w:firstLine="0"/>
      </w:pPr>
      <w:r w:rsidRPr="007E3E0B">
        <w:t>The Government in cooperation with organi</w:t>
      </w:r>
      <w:r w:rsidR="00B4655B" w:rsidRPr="007E3E0B">
        <w:t>z</w:t>
      </w:r>
      <w:r w:rsidRPr="007E3E0B">
        <w:t>ations representing children launched in 2016 a national action plan concerning anti-bullying which is currently under implementation. The aim of the action plan is to prevent and combat bullying in day care, primary, lower secondary and secondary schools. The action plan includes recommendations to parents, school councils, teachers, pedagogical staff, schools leaders, municipalities, organi</w:t>
      </w:r>
      <w:r w:rsidR="00B4655B" w:rsidRPr="007E3E0B">
        <w:t>z</w:t>
      </w:r>
      <w:r w:rsidRPr="007E3E0B">
        <w:t xml:space="preserve">ations and the Government to prevent and combat bullying. The recommendations directed at the state level include strengthening legislation, focus on anti-bullying strategies, establishing a supervisory, advisory and review body against bullying, strengthening of the skills of professionals and preventing sharing of offensive pictures online. </w:t>
      </w:r>
      <w:r w:rsidR="00972E60" w:rsidRPr="007E3E0B">
        <w:br/>
      </w:r>
      <w:r w:rsidRPr="007E3E0B">
        <w:t xml:space="preserve">DKK 42.8 million has been allocated in 2017 to combat bullying. </w:t>
      </w:r>
    </w:p>
    <w:p w14:paraId="4352F0F1" w14:textId="77777777" w:rsidR="00972E60" w:rsidRPr="007E3E0B" w:rsidRDefault="00972E60" w:rsidP="00972E60">
      <w:pPr>
        <w:pStyle w:val="SingleTxt"/>
        <w:spacing w:after="0" w:line="120" w:lineRule="exact"/>
        <w:ind w:right="1267"/>
        <w:rPr>
          <w:sz w:val="10"/>
        </w:rPr>
      </w:pPr>
    </w:p>
    <w:p w14:paraId="5FF23540" w14:textId="77777777" w:rsidR="00D35E51" w:rsidRPr="007E3E0B" w:rsidRDefault="00D35E51" w:rsidP="00972E60">
      <w:pPr>
        <w:pStyle w:val="H4"/>
      </w:pPr>
      <w:r w:rsidRPr="007E3E0B">
        <w:tab/>
      </w:r>
      <w:r w:rsidRPr="007E3E0B">
        <w:tab/>
        <w:t xml:space="preserve">Family reunification </w:t>
      </w:r>
    </w:p>
    <w:p w14:paraId="69F1C113" w14:textId="77777777" w:rsidR="00972E60" w:rsidRPr="007E3E0B" w:rsidRDefault="00972E60" w:rsidP="00972E60">
      <w:pPr>
        <w:pStyle w:val="SingleTxt"/>
        <w:spacing w:after="0" w:line="120" w:lineRule="exact"/>
        <w:rPr>
          <w:i/>
          <w:sz w:val="10"/>
        </w:rPr>
      </w:pPr>
    </w:p>
    <w:p w14:paraId="7A88D429" w14:textId="77777777" w:rsidR="00D35E51" w:rsidRPr="007E3E0B" w:rsidRDefault="00D35E51" w:rsidP="004E484C">
      <w:pPr>
        <w:pStyle w:val="SingleTxt"/>
        <w:numPr>
          <w:ilvl w:val="0"/>
          <w:numId w:val="3"/>
        </w:numPr>
        <w:ind w:left="1267" w:right="1267" w:firstLine="0"/>
      </w:pPr>
      <w:r w:rsidRPr="007E3E0B">
        <w:t xml:space="preserve">In June 2016, the rules in the Aliens’ Act on family reunification with children were amended as a follow-up to the judgement delivered by the Court of Justice of the European Union on 12 April 2016 in case C-561/14, </w:t>
      </w:r>
      <w:proofErr w:type="spellStart"/>
      <w:r w:rsidRPr="007E3E0B">
        <w:t>Genc</w:t>
      </w:r>
      <w:proofErr w:type="spellEnd"/>
      <w:r w:rsidRPr="007E3E0B">
        <w:t xml:space="preserve"> v </w:t>
      </w:r>
      <w:proofErr w:type="spellStart"/>
      <w:r w:rsidRPr="007E3E0B">
        <w:t>Integrationsministeriet</w:t>
      </w:r>
      <w:proofErr w:type="spellEnd"/>
      <w:r w:rsidRPr="007E3E0B">
        <w:t xml:space="preserve">. Prior to the amendment, family reunification between a third-country national residing in Denmark and his or her child above the </w:t>
      </w:r>
      <w:r w:rsidR="001D30C0">
        <w:br/>
      </w:r>
      <w:r w:rsidRPr="007E3E0B">
        <w:t>age of 6 was subject to the condition that the child had or had the possibility of establishing sufficient ties with Denmark to enable him or her successfully to integrate. The rule applied when the child and the other parent resided in the State of origin or in another State, and the application for family reunification was submitted more than two years from the date on which the parent residing in Denmark obtained a permanent residence permit or a residence permit with a possibility of permanent residence. The two year deadline has now been abolished. Thus, the integration requirement is now a condition which applies to all applications for family reunification with a child, regardless of the time for submitting the application. Still, the rule only applies if the other parent lives outside Denmark with the child and the child is more than 8 years old. Moreover, special circumstances may mean that the condition does not have to be met.</w:t>
      </w:r>
    </w:p>
    <w:p w14:paraId="6E401610" w14:textId="77777777" w:rsidR="007169E6" w:rsidRPr="007E3E0B" w:rsidRDefault="007169E6" w:rsidP="007169E6">
      <w:pPr>
        <w:pStyle w:val="SingleTxt"/>
        <w:spacing w:after="0" w:line="120" w:lineRule="exact"/>
        <w:ind w:right="1267"/>
        <w:rPr>
          <w:sz w:val="10"/>
        </w:rPr>
      </w:pPr>
    </w:p>
    <w:p w14:paraId="2B9B56AE" w14:textId="77777777" w:rsidR="00D35E51" w:rsidRPr="007E3E0B" w:rsidRDefault="00D35E51" w:rsidP="007169E6">
      <w:pPr>
        <w:pStyle w:val="H4"/>
      </w:pPr>
      <w:r w:rsidRPr="007E3E0B">
        <w:tab/>
      </w:r>
      <w:r w:rsidRPr="007E3E0B">
        <w:tab/>
        <w:t>Housing of underage spouses and partners in the asylum system</w:t>
      </w:r>
    </w:p>
    <w:p w14:paraId="01591639" w14:textId="77777777" w:rsidR="00E46FF5" w:rsidRPr="007E3E0B" w:rsidRDefault="00E46FF5" w:rsidP="00E46FF5">
      <w:pPr>
        <w:pStyle w:val="SingleTxt"/>
        <w:spacing w:after="0" w:line="120" w:lineRule="exact"/>
        <w:ind w:right="1267"/>
        <w:rPr>
          <w:sz w:val="10"/>
        </w:rPr>
      </w:pPr>
    </w:p>
    <w:p w14:paraId="51B64759" w14:textId="77777777" w:rsidR="00D35E51" w:rsidRPr="007E3E0B" w:rsidRDefault="00D35E51" w:rsidP="004E484C">
      <w:pPr>
        <w:pStyle w:val="SingleTxt"/>
        <w:numPr>
          <w:ilvl w:val="0"/>
          <w:numId w:val="3"/>
        </w:numPr>
        <w:ind w:left="1267" w:right="1267" w:firstLine="0"/>
      </w:pPr>
      <w:r w:rsidRPr="007E3E0B">
        <w:t xml:space="preserve">On 10 February 2016, the Government issued new directions regarding housing of underage spouses and partners in the asylum system. The new directions do not concern asylum seeking couples where both partners are above the age of 18, which is the age of majority in </w:t>
      </w:r>
      <w:r w:rsidR="007E3E0B" w:rsidRPr="007E3E0B">
        <w:t>Denmark. The</w:t>
      </w:r>
      <w:r w:rsidRPr="007E3E0B">
        <w:t xml:space="preserve"> new directions imply that underage spouses and partners shall </w:t>
      </w:r>
      <w:r w:rsidR="00972E60" w:rsidRPr="007E3E0B">
        <w:t>—</w:t>
      </w:r>
      <w:r w:rsidRPr="007E3E0B">
        <w:t xml:space="preserve"> as a starting point </w:t>
      </w:r>
      <w:r w:rsidR="00972E60" w:rsidRPr="007E3E0B">
        <w:t>—</w:t>
      </w:r>
      <w:r w:rsidRPr="007E3E0B">
        <w:t xml:space="preserve"> be housed separately from their spouse or partner in the asylum system. The housing directions aim namely to better ensure that the housing in the asylum system does not contribute to maintaining a minor in a forced marriage or relationship and to prevent infringements of the rules on the age of consent and illegal coercion. An individual assessment must always be carried out. In all cases, where Denmark’s international obligations require that exception shall be made, the spouses or partners shall be housed together.</w:t>
      </w:r>
    </w:p>
    <w:p w14:paraId="58DBF57A" w14:textId="77777777" w:rsidR="00972E60" w:rsidRPr="007E3E0B" w:rsidRDefault="00972E60" w:rsidP="00972E60">
      <w:pPr>
        <w:pStyle w:val="SingleTxt"/>
        <w:spacing w:after="0" w:line="120" w:lineRule="exact"/>
        <w:ind w:right="1267"/>
        <w:rPr>
          <w:sz w:val="10"/>
        </w:rPr>
      </w:pPr>
    </w:p>
    <w:p w14:paraId="09652DF4" w14:textId="77777777" w:rsidR="00D35E51" w:rsidRPr="007E3E0B" w:rsidRDefault="00D35E51" w:rsidP="003B56FA">
      <w:pPr>
        <w:pStyle w:val="H4"/>
      </w:pPr>
      <w:r w:rsidRPr="007E3E0B">
        <w:tab/>
      </w:r>
      <w:r w:rsidRPr="007E3E0B">
        <w:tab/>
        <w:t>Proposal regarding peace and order at accommodation centres for</w:t>
      </w:r>
      <w:r w:rsidR="00972E60" w:rsidRPr="007E3E0B">
        <w:br/>
      </w:r>
      <w:r w:rsidRPr="007E3E0B">
        <w:t>unaccompanied minors</w:t>
      </w:r>
    </w:p>
    <w:p w14:paraId="09A09AF2" w14:textId="77777777" w:rsidR="00972E60" w:rsidRPr="007E3E0B" w:rsidRDefault="00972E60" w:rsidP="003B56FA">
      <w:pPr>
        <w:pStyle w:val="SingleTxt"/>
        <w:keepNext/>
        <w:spacing w:after="0" w:line="120" w:lineRule="exact"/>
        <w:rPr>
          <w:i/>
          <w:sz w:val="10"/>
        </w:rPr>
      </w:pPr>
    </w:p>
    <w:p w14:paraId="7164FD51" w14:textId="77777777" w:rsidR="00D35E51" w:rsidRPr="007E3E0B" w:rsidRDefault="00D35E51" w:rsidP="004E484C">
      <w:pPr>
        <w:pStyle w:val="SingleTxt"/>
        <w:numPr>
          <w:ilvl w:val="0"/>
          <w:numId w:val="3"/>
        </w:numPr>
        <w:ind w:left="1267" w:right="1267" w:firstLine="0"/>
      </w:pPr>
      <w:r w:rsidRPr="007E3E0B">
        <w:t xml:space="preserve">On 26 April 2017 the Government presented a bill to Parliament regarding peace and order at accommodation centres for unaccompanied minors. The bill contains a number of initiatives, including house rules at the accommodation centres, the possibility for the staff to use force and in severe cases, where the minor requires </w:t>
      </w:r>
      <w:r w:rsidRPr="007E3E0B">
        <w:lastRenderedPageBreak/>
        <w:t xml:space="preserve">special attention, the possibility to place unaccompanied minors in social institutions. The bill is still under review but is expected to be adopted in early </w:t>
      </w:r>
      <w:r w:rsidR="007169E6" w:rsidRPr="007E3E0B">
        <w:br/>
      </w:r>
      <w:r w:rsidRPr="007E3E0B">
        <w:t xml:space="preserve">June 2017. </w:t>
      </w:r>
    </w:p>
    <w:p w14:paraId="4A571099" w14:textId="77777777" w:rsidR="00972E60" w:rsidRPr="007E3E0B" w:rsidRDefault="00972E60" w:rsidP="00972E60">
      <w:pPr>
        <w:pStyle w:val="SingleTxt"/>
        <w:spacing w:after="0" w:line="120" w:lineRule="exact"/>
        <w:ind w:right="1267"/>
        <w:rPr>
          <w:sz w:val="10"/>
        </w:rPr>
      </w:pPr>
    </w:p>
    <w:p w14:paraId="0924A74F" w14:textId="77777777" w:rsidR="00D35E51" w:rsidRPr="007E3E0B" w:rsidRDefault="00D35E51" w:rsidP="00972E60">
      <w:pPr>
        <w:pStyle w:val="H23"/>
      </w:pPr>
      <w:r w:rsidRPr="007E3E0B">
        <w:tab/>
      </w:r>
      <w:r w:rsidRPr="007E3E0B">
        <w:tab/>
        <w:t>Greenland</w:t>
      </w:r>
    </w:p>
    <w:p w14:paraId="5E33407D" w14:textId="77777777" w:rsidR="00972E60" w:rsidRPr="007E3E0B" w:rsidRDefault="00972E60" w:rsidP="00972E60">
      <w:pPr>
        <w:pStyle w:val="SingleTxt"/>
        <w:spacing w:after="0" w:line="120" w:lineRule="exact"/>
        <w:rPr>
          <w:b/>
          <w:sz w:val="10"/>
        </w:rPr>
      </w:pPr>
    </w:p>
    <w:p w14:paraId="6F3DDD7D" w14:textId="77777777" w:rsidR="00D35E51" w:rsidRPr="007E3E0B" w:rsidRDefault="00D35E51" w:rsidP="00972E60">
      <w:pPr>
        <w:pStyle w:val="H4"/>
      </w:pPr>
      <w:r w:rsidRPr="007E3E0B">
        <w:tab/>
      </w:r>
      <w:r w:rsidRPr="007E3E0B">
        <w:tab/>
        <w:t>Regulation on management and organi</w:t>
      </w:r>
      <w:r w:rsidR="00B4655B" w:rsidRPr="007E3E0B">
        <w:t>z</w:t>
      </w:r>
      <w:r w:rsidRPr="007E3E0B">
        <w:t>ation of the social system</w:t>
      </w:r>
    </w:p>
    <w:p w14:paraId="3366FBB2" w14:textId="77777777" w:rsidR="00972E60" w:rsidRPr="007E3E0B" w:rsidRDefault="00972E60" w:rsidP="00972E60">
      <w:pPr>
        <w:pStyle w:val="SingleTxt"/>
        <w:spacing w:after="0" w:line="120" w:lineRule="exact"/>
        <w:rPr>
          <w:i/>
          <w:sz w:val="10"/>
        </w:rPr>
      </w:pPr>
    </w:p>
    <w:p w14:paraId="10D2BC1A" w14:textId="77777777" w:rsidR="00D35E51" w:rsidRPr="007E3E0B" w:rsidRDefault="00D35E51" w:rsidP="004E484C">
      <w:pPr>
        <w:pStyle w:val="SingleTxt"/>
        <w:numPr>
          <w:ilvl w:val="0"/>
          <w:numId w:val="3"/>
        </w:numPr>
        <w:ind w:left="1267" w:right="1267" w:firstLine="0"/>
      </w:pPr>
      <w:r w:rsidRPr="007E3E0B">
        <w:t>The Greenlandic Parliament regulation on management and organi</w:t>
      </w:r>
      <w:r w:rsidR="00B4655B" w:rsidRPr="007E3E0B">
        <w:t>z</w:t>
      </w:r>
      <w:r w:rsidRPr="007E3E0B">
        <w:t xml:space="preserve">ation of the social system was amended in 2016. The act provides a legal basis for suspending a municipality’s management of the social code of practice. Suspension may concern the entire or parts of the social code of practice or established fields of responsibility. Suspension requires that the municipal council to a significant extent has failed to fulfil the obligations of the municipality or the rights of the citizens. Following decisions of suspension, the competence of the municipal council can be transferred to the Government. </w:t>
      </w:r>
    </w:p>
    <w:p w14:paraId="7F86DC27" w14:textId="77777777" w:rsidR="00D35E51" w:rsidRPr="007E3E0B" w:rsidRDefault="00D35E51" w:rsidP="004E484C">
      <w:pPr>
        <w:pStyle w:val="SingleTxt"/>
        <w:numPr>
          <w:ilvl w:val="0"/>
          <w:numId w:val="3"/>
        </w:numPr>
        <w:ind w:left="1267" w:right="1267" w:firstLine="0"/>
      </w:pPr>
      <w:r w:rsidRPr="007E3E0B">
        <w:t xml:space="preserve">A bill for a parliament act on child support will be presented at </w:t>
      </w:r>
      <w:r w:rsidR="001D30C0">
        <w:br/>
      </w:r>
      <w:r w:rsidRPr="007E3E0B">
        <w:t xml:space="preserve">the 2017 Spring Assembly of the parliament. The bill is a reform of the support provided to children and their families and to adolescents in rehabilitation. Support for children and their families is based on an overall assessment of the needs of the </w:t>
      </w:r>
      <w:bookmarkStart w:id="0" w:name="_GoBack"/>
      <w:bookmarkEnd w:id="0"/>
      <w:r w:rsidRPr="007E3E0B">
        <w:t>child and gives children equal rights to support, understood as the necessary support adjusted to the individual needs of the child. Within a series of areas, the bill implements the U</w:t>
      </w:r>
      <w:r w:rsidR="001E4E7F" w:rsidRPr="007E3E0B">
        <w:t>nited Nations</w:t>
      </w:r>
      <w:r w:rsidRPr="007E3E0B">
        <w:t xml:space="preserve"> Convention of the Rights of the Child, including the child’s right to be heard in his or her own cases, the right to appeal in his or her own cases, the right to a lay representative etc. It appears from the bill that the act will enter into force on 1 July 2017. </w:t>
      </w:r>
    </w:p>
    <w:p w14:paraId="73B8B289" w14:textId="77777777" w:rsidR="00972E60" w:rsidRPr="007E3E0B" w:rsidRDefault="00972E60" w:rsidP="00972E60">
      <w:pPr>
        <w:pStyle w:val="SingleTxt"/>
        <w:spacing w:after="0" w:line="120" w:lineRule="exact"/>
        <w:ind w:right="1267"/>
        <w:rPr>
          <w:sz w:val="10"/>
        </w:rPr>
      </w:pPr>
    </w:p>
    <w:p w14:paraId="0FA6210B" w14:textId="77777777" w:rsidR="00D35E51" w:rsidRPr="007E3E0B" w:rsidRDefault="00D35E51" w:rsidP="00972E60">
      <w:pPr>
        <w:pStyle w:val="H4"/>
      </w:pPr>
      <w:r w:rsidRPr="007E3E0B">
        <w:tab/>
      </w:r>
      <w:r w:rsidRPr="007E3E0B">
        <w:tab/>
        <w:t>National Board of Social Services</w:t>
      </w:r>
    </w:p>
    <w:p w14:paraId="734E4C6E" w14:textId="77777777" w:rsidR="00972E60" w:rsidRPr="007E3E0B" w:rsidRDefault="00972E60" w:rsidP="00972E60">
      <w:pPr>
        <w:pStyle w:val="SingleTxt"/>
        <w:spacing w:after="0" w:line="120" w:lineRule="exact"/>
        <w:rPr>
          <w:i/>
          <w:sz w:val="10"/>
        </w:rPr>
      </w:pPr>
    </w:p>
    <w:p w14:paraId="1DD702F6" w14:textId="77777777" w:rsidR="00D35E51" w:rsidRPr="007E3E0B" w:rsidRDefault="00D35E51" w:rsidP="004E484C">
      <w:pPr>
        <w:pStyle w:val="SingleTxt"/>
        <w:numPr>
          <w:ilvl w:val="0"/>
          <w:numId w:val="3"/>
        </w:numPr>
        <w:ind w:left="1267" w:right="1267" w:firstLine="0"/>
      </w:pPr>
      <w:r w:rsidRPr="007E3E0B">
        <w:t xml:space="preserve">In 2017 the Greenlandic Government established a National Board of Social Services, which falls under the Ministry of Social Affairs, Family, Gender Equality and Justice. The National Board of Social Services will run and strengthen the </w:t>
      </w:r>
      <w:r w:rsidR="001D30C0">
        <w:br/>
      </w:r>
      <w:r w:rsidRPr="007E3E0B">
        <w:t>24-hour care centres and support the Greenlandic municipalities in g</w:t>
      </w:r>
      <w:r w:rsidR="001D30C0">
        <w:t xml:space="preserve">eneral within the social area. </w:t>
      </w:r>
    </w:p>
    <w:p w14:paraId="5C995987" w14:textId="77777777" w:rsidR="00972E60" w:rsidRPr="007E3E0B" w:rsidRDefault="00972E60" w:rsidP="00972E60">
      <w:pPr>
        <w:pStyle w:val="SingleTxt"/>
        <w:spacing w:after="0" w:line="120" w:lineRule="exact"/>
        <w:ind w:right="1267"/>
        <w:rPr>
          <w:sz w:val="10"/>
        </w:rPr>
      </w:pPr>
    </w:p>
    <w:p w14:paraId="020C78CC" w14:textId="77777777" w:rsidR="00D35E51" w:rsidRPr="007E3E0B" w:rsidRDefault="00D35E51" w:rsidP="00972E60">
      <w:pPr>
        <w:pStyle w:val="H4"/>
      </w:pPr>
      <w:r w:rsidRPr="007E3E0B">
        <w:tab/>
      </w:r>
      <w:r w:rsidRPr="007E3E0B">
        <w:tab/>
        <w:t>Social supervisory body</w:t>
      </w:r>
    </w:p>
    <w:p w14:paraId="3382DB0A" w14:textId="77777777" w:rsidR="00972E60" w:rsidRPr="007E3E0B" w:rsidRDefault="00972E60" w:rsidP="00972E60">
      <w:pPr>
        <w:pStyle w:val="SingleTxt"/>
        <w:spacing w:after="0" w:line="120" w:lineRule="exact"/>
        <w:rPr>
          <w:i/>
          <w:sz w:val="10"/>
        </w:rPr>
      </w:pPr>
    </w:p>
    <w:p w14:paraId="3E19D990" w14:textId="77777777" w:rsidR="00D35E51" w:rsidRPr="002577B1" w:rsidRDefault="00D35E51" w:rsidP="004E484C">
      <w:pPr>
        <w:pStyle w:val="SingleTxt"/>
        <w:numPr>
          <w:ilvl w:val="0"/>
          <w:numId w:val="3"/>
        </w:numPr>
        <w:ind w:left="1267" w:right="1267" w:firstLine="0"/>
        <w:rPr>
          <w:spacing w:val="2"/>
        </w:rPr>
      </w:pPr>
      <w:r w:rsidRPr="002577B1">
        <w:rPr>
          <w:spacing w:val="2"/>
        </w:rPr>
        <w:t xml:space="preserve">In 2016 an independent supervisory body was established under the auspices of the Ministry of Social Affairs, Family, Gender Equality and Justice. The supervisory body is responsible for performing sectoral control with the social area in the municipalities, including settlements, and for supervising all 24-hour care centres. </w:t>
      </w:r>
    </w:p>
    <w:p w14:paraId="00BC4C5F" w14:textId="77777777" w:rsidR="00972E60" w:rsidRPr="007E3E0B" w:rsidRDefault="00972E60" w:rsidP="00972E60">
      <w:pPr>
        <w:pStyle w:val="SingleTxt"/>
        <w:spacing w:after="0" w:line="120" w:lineRule="exact"/>
        <w:ind w:right="1267"/>
        <w:rPr>
          <w:sz w:val="10"/>
        </w:rPr>
      </w:pPr>
    </w:p>
    <w:p w14:paraId="52CA90EF" w14:textId="77777777" w:rsidR="00D35E51" w:rsidRPr="007E3E0B" w:rsidRDefault="00D35E51" w:rsidP="00972E60">
      <w:pPr>
        <w:pStyle w:val="H4"/>
      </w:pPr>
      <w:r w:rsidRPr="007E3E0B">
        <w:tab/>
      </w:r>
      <w:r w:rsidRPr="007E3E0B">
        <w:tab/>
        <w:t>Strategy and action plan against violence</w:t>
      </w:r>
    </w:p>
    <w:p w14:paraId="4026F20C" w14:textId="77777777" w:rsidR="00972E60" w:rsidRPr="007E3E0B" w:rsidRDefault="00972E60" w:rsidP="00972E60">
      <w:pPr>
        <w:pStyle w:val="SingleTxt"/>
        <w:spacing w:after="0" w:line="120" w:lineRule="exact"/>
        <w:rPr>
          <w:i/>
          <w:sz w:val="10"/>
        </w:rPr>
      </w:pPr>
    </w:p>
    <w:p w14:paraId="312097C4" w14:textId="77777777" w:rsidR="00D35E51" w:rsidRPr="007E3E0B" w:rsidRDefault="00D35E51" w:rsidP="004E484C">
      <w:pPr>
        <w:pStyle w:val="SingleTxt"/>
        <w:numPr>
          <w:ilvl w:val="0"/>
          <w:numId w:val="3"/>
        </w:numPr>
        <w:ind w:left="1267" w:right="1267" w:firstLine="0"/>
      </w:pPr>
      <w:r w:rsidRPr="007E3E0B">
        <w:t>In 2016, as part of the effort to implement the Government’s strategy and action plan against violence 2014-2017, the Ministry of Social Affairs, Family, Gender Equality and Justice made the treatment offer “</w:t>
      </w:r>
      <w:proofErr w:type="spellStart"/>
      <w:r w:rsidRPr="007E3E0B">
        <w:t>Alliaq</w:t>
      </w:r>
      <w:proofErr w:type="spellEnd"/>
      <w:r w:rsidRPr="007E3E0B">
        <w:t xml:space="preserve">” available to individuals with problems with violence and aggression towards their partner. </w:t>
      </w:r>
    </w:p>
    <w:p w14:paraId="4A6B1923" w14:textId="77777777" w:rsidR="00972E60" w:rsidRPr="007E3E0B" w:rsidRDefault="00972E60" w:rsidP="00972E60">
      <w:pPr>
        <w:pStyle w:val="SingleTxt"/>
        <w:spacing w:after="0" w:line="120" w:lineRule="exact"/>
        <w:ind w:right="1267"/>
        <w:rPr>
          <w:sz w:val="10"/>
        </w:rPr>
      </w:pPr>
    </w:p>
    <w:p w14:paraId="09B032E1" w14:textId="77777777" w:rsidR="00D35E51" w:rsidRPr="007E3E0B" w:rsidRDefault="00D35E51" w:rsidP="003B56FA">
      <w:pPr>
        <w:pStyle w:val="H4"/>
      </w:pPr>
      <w:r w:rsidRPr="007E3E0B">
        <w:tab/>
      </w:r>
      <w:r w:rsidRPr="007E3E0B">
        <w:tab/>
        <w:t xml:space="preserve">Optional Protocol regarding the sale of children, child prostitution and </w:t>
      </w:r>
      <w:r w:rsidR="00972E60" w:rsidRPr="007E3E0B">
        <w:br/>
      </w:r>
      <w:r w:rsidRPr="007E3E0B">
        <w:t>child pornography</w:t>
      </w:r>
    </w:p>
    <w:p w14:paraId="479C8913" w14:textId="77777777" w:rsidR="00972E60" w:rsidRPr="007E3E0B" w:rsidRDefault="00972E60" w:rsidP="003B56FA">
      <w:pPr>
        <w:pStyle w:val="SingleTxt"/>
        <w:keepNext/>
        <w:spacing w:after="0" w:line="120" w:lineRule="exact"/>
        <w:rPr>
          <w:i/>
          <w:sz w:val="10"/>
        </w:rPr>
      </w:pPr>
    </w:p>
    <w:p w14:paraId="5B43859A" w14:textId="77777777" w:rsidR="00D35E51" w:rsidRPr="007E3E0B" w:rsidRDefault="00D35E51" w:rsidP="004E484C">
      <w:pPr>
        <w:pStyle w:val="SingleTxt"/>
        <w:numPr>
          <w:ilvl w:val="0"/>
          <w:numId w:val="3"/>
        </w:numPr>
        <w:ind w:left="1267" w:right="1267" w:firstLine="0"/>
      </w:pPr>
      <w:r w:rsidRPr="007E3E0B">
        <w:t>On 10 October 2016 Greenland accepted the optional protocol to the U</w:t>
      </w:r>
      <w:r w:rsidR="001E4E7F" w:rsidRPr="007E3E0B">
        <w:t xml:space="preserve">nited </w:t>
      </w:r>
      <w:r w:rsidRPr="007E3E0B">
        <w:t>N</w:t>
      </w:r>
      <w:r w:rsidR="001E4E7F" w:rsidRPr="007E3E0B">
        <w:t>ations</w:t>
      </w:r>
      <w:r w:rsidRPr="007E3E0B">
        <w:t xml:space="preserve"> Convention on the Rights of the Child regarding the sale of children, child prostitution and child pornography. </w:t>
      </w:r>
    </w:p>
    <w:p w14:paraId="48694DC5" w14:textId="77777777" w:rsidR="00D35E51" w:rsidRPr="007E3E0B" w:rsidRDefault="00D35E51" w:rsidP="00E46FF5">
      <w:pPr>
        <w:pStyle w:val="HCh"/>
      </w:pPr>
      <w:r w:rsidRPr="007E3E0B">
        <w:lastRenderedPageBreak/>
        <w:tab/>
      </w:r>
      <w:r w:rsidRPr="007E3E0B">
        <w:tab/>
        <w:t>Part III</w:t>
      </w:r>
    </w:p>
    <w:p w14:paraId="0AD95CD4" w14:textId="77777777" w:rsidR="00972E60" w:rsidRPr="007E3E0B" w:rsidRDefault="00972E60" w:rsidP="00E46FF5">
      <w:pPr>
        <w:pStyle w:val="SingleTxt"/>
        <w:keepNext/>
        <w:spacing w:after="0" w:line="120" w:lineRule="exact"/>
        <w:rPr>
          <w:b/>
          <w:sz w:val="10"/>
        </w:rPr>
      </w:pPr>
    </w:p>
    <w:p w14:paraId="4FCAF7D2" w14:textId="77777777" w:rsidR="00972E60" w:rsidRPr="007E3E0B" w:rsidRDefault="00972E60" w:rsidP="00E46FF5">
      <w:pPr>
        <w:pStyle w:val="SingleTxt"/>
        <w:keepNext/>
        <w:spacing w:after="0" w:line="120" w:lineRule="exact"/>
        <w:rPr>
          <w:b/>
          <w:sz w:val="10"/>
        </w:rPr>
      </w:pPr>
    </w:p>
    <w:p w14:paraId="38922614" w14:textId="77777777" w:rsidR="00D35E51" w:rsidRPr="007E3E0B" w:rsidRDefault="00D35E51" w:rsidP="00E46FF5">
      <w:pPr>
        <w:pStyle w:val="H1"/>
      </w:pPr>
      <w:r w:rsidRPr="007E3E0B">
        <w:tab/>
      </w:r>
      <w:r w:rsidRPr="007E3E0B">
        <w:tab/>
        <w:t xml:space="preserve">Para 14 </w:t>
      </w:r>
    </w:p>
    <w:p w14:paraId="59CBB198" w14:textId="77777777" w:rsidR="00972E60" w:rsidRPr="007E3E0B" w:rsidRDefault="00972E60" w:rsidP="00E46FF5">
      <w:pPr>
        <w:pStyle w:val="SingleTxt"/>
        <w:keepNext/>
        <w:spacing w:after="0" w:line="120" w:lineRule="exact"/>
        <w:rPr>
          <w:b/>
          <w:sz w:val="10"/>
        </w:rPr>
      </w:pPr>
    </w:p>
    <w:p w14:paraId="7668F65F" w14:textId="77777777" w:rsidR="00972E60" w:rsidRPr="007E3E0B" w:rsidRDefault="00972E60" w:rsidP="00E46FF5">
      <w:pPr>
        <w:pStyle w:val="SingleTxt"/>
        <w:keepNext/>
        <w:spacing w:after="0" w:line="120" w:lineRule="exact"/>
        <w:rPr>
          <w:b/>
          <w:sz w:val="10"/>
        </w:rPr>
      </w:pPr>
    </w:p>
    <w:p w14:paraId="33C098C4" w14:textId="77777777" w:rsidR="00D35E51" w:rsidRPr="007E3E0B" w:rsidRDefault="00D35E51" w:rsidP="00E46FF5">
      <w:pPr>
        <w:pStyle w:val="H23"/>
      </w:pPr>
      <w:r w:rsidRPr="007E3E0B">
        <w:tab/>
      </w:r>
      <w:r w:rsidRPr="007E3E0B">
        <w:tab/>
        <w:t>Denmark</w:t>
      </w:r>
    </w:p>
    <w:p w14:paraId="7EB17396" w14:textId="77777777" w:rsidR="00972E60" w:rsidRPr="007E3E0B" w:rsidRDefault="00972E60" w:rsidP="00E46FF5">
      <w:pPr>
        <w:pStyle w:val="SingleTxt"/>
        <w:keepNext/>
        <w:spacing w:after="0" w:line="120" w:lineRule="exact"/>
        <w:rPr>
          <w:b/>
          <w:sz w:val="10"/>
        </w:rPr>
      </w:pPr>
    </w:p>
    <w:p w14:paraId="78AC4045" w14:textId="77777777" w:rsidR="00D35E51" w:rsidRPr="007E3E0B" w:rsidRDefault="008A0913" w:rsidP="00E46FF5">
      <w:pPr>
        <w:pStyle w:val="H23"/>
      </w:pPr>
      <w:r w:rsidRPr="007E3E0B">
        <w:tab/>
      </w:r>
      <w:r w:rsidRPr="007E3E0B">
        <w:tab/>
      </w:r>
      <w:r w:rsidR="00D35E51" w:rsidRPr="007E3E0B">
        <w:t>Family and/or child allowances, conditional cash transfer systems</w:t>
      </w:r>
    </w:p>
    <w:p w14:paraId="032A7DCC" w14:textId="77777777" w:rsidR="00DD3754" w:rsidRPr="007E3E0B" w:rsidRDefault="00DD3754" w:rsidP="008A0913">
      <w:pPr>
        <w:pStyle w:val="SingleTxt"/>
        <w:spacing w:after="0" w:line="120" w:lineRule="exact"/>
        <w:rPr>
          <w:b/>
          <w:sz w:val="10"/>
        </w:rPr>
      </w:pPr>
    </w:p>
    <w:tbl>
      <w:tblPr>
        <w:tblW w:w="7371"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2180"/>
        <w:gridCol w:w="700"/>
        <w:gridCol w:w="714"/>
        <w:gridCol w:w="728"/>
        <w:gridCol w:w="503"/>
        <w:gridCol w:w="532"/>
        <w:gridCol w:w="518"/>
        <w:gridCol w:w="490"/>
        <w:gridCol w:w="455"/>
        <w:gridCol w:w="551"/>
      </w:tblGrid>
      <w:tr w:rsidR="006B2EC2" w:rsidRPr="007E3E0B" w14:paraId="0607A380" w14:textId="77777777" w:rsidTr="006B2EC2">
        <w:trPr>
          <w:tblHeader/>
        </w:trPr>
        <w:tc>
          <w:tcPr>
            <w:tcW w:w="2180" w:type="dxa"/>
            <w:tcBorders>
              <w:top w:val="single" w:sz="4" w:space="0" w:color="auto"/>
              <w:bottom w:val="single" w:sz="12" w:space="0" w:color="auto"/>
            </w:tcBorders>
            <w:shd w:val="clear" w:color="auto" w:fill="auto"/>
            <w:noWrap/>
            <w:vAlign w:val="bottom"/>
          </w:tcPr>
          <w:p w14:paraId="1028AFCA" w14:textId="77777777" w:rsidR="008A0913" w:rsidRPr="007E3E0B" w:rsidRDefault="008A0913" w:rsidP="003A2345">
            <w:pPr>
              <w:suppressAutoHyphens w:val="0"/>
              <w:spacing w:before="80" w:after="80" w:line="160" w:lineRule="atLeast"/>
              <w:rPr>
                <w:rFonts w:eastAsia="Times New Roman"/>
                <w:bCs/>
                <w:i/>
                <w:spacing w:val="0"/>
                <w:w w:val="100"/>
                <w:kern w:val="0"/>
                <w:sz w:val="16"/>
              </w:rPr>
            </w:pPr>
          </w:p>
        </w:tc>
        <w:tc>
          <w:tcPr>
            <w:tcW w:w="2142" w:type="dxa"/>
            <w:gridSpan w:val="3"/>
            <w:tcBorders>
              <w:top w:val="single" w:sz="4" w:space="0" w:color="auto"/>
              <w:bottom w:val="single" w:sz="12" w:space="0" w:color="auto"/>
            </w:tcBorders>
            <w:shd w:val="clear" w:color="auto" w:fill="auto"/>
            <w:noWrap/>
            <w:vAlign w:val="bottom"/>
          </w:tcPr>
          <w:p w14:paraId="03EC801A" w14:textId="77777777" w:rsidR="008A0913" w:rsidRPr="007E3E0B" w:rsidRDefault="008A0913" w:rsidP="003A2345">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DKK millions, </w:t>
            </w:r>
            <w:r w:rsidRPr="007E3E0B">
              <w:rPr>
                <w:rFonts w:eastAsia="Times New Roman"/>
                <w:bCs/>
                <w:i/>
                <w:spacing w:val="0"/>
                <w:w w:val="100"/>
                <w:kern w:val="0"/>
                <w:sz w:val="14"/>
                <w:szCs w:val="14"/>
              </w:rPr>
              <w:br/>
              <w:t>2017-price and wage level</w:t>
            </w:r>
          </w:p>
        </w:tc>
        <w:tc>
          <w:tcPr>
            <w:tcW w:w="1553" w:type="dxa"/>
            <w:gridSpan w:val="3"/>
            <w:tcBorders>
              <w:top w:val="single" w:sz="4" w:space="0" w:color="auto"/>
              <w:bottom w:val="single" w:sz="12" w:space="0" w:color="auto"/>
            </w:tcBorders>
            <w:shd w:val="clear" w:color="auto" w:fill="auto"/>
            <w:noWrap/>
            <w:vAlign w:val="bottom"/>
          </w:tcPr>
          <w:p w14:paraId="22FB13E7" w14:textId="77777777" w:rsidR="008A0913" w:rsidRPr="007E3E0B" w:rsidRDefault="008A0913" w:rsidP="003A2345">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Pr="007E3E0B">
              <w:rPr>
                <w:rFonts w:eastAsia="Times New Roman"/>
                <w:bCs/>
                <w:i/>
                <w:spacing w:val="0"/>
                <w:w w:val="100"/>
                <w:kern w:val="0"/>
                <w:sz w:val="14"/>
                <w:szCs w:val="14"/>
              </w:rPr>
              <w:br/>
              <w:t>total public expenditure</w:t>
            </w:r>
          </w:p>
        </w:tc>
        <w:tc>
          <w:tcPr>
            <w:tcW w:w="1496" w:type="dxa"/>
            <w:gridSpan w:val="3"/>
            <w:tcBorders>
              <w:top w:val="single" w:sz="4" w:space="0" w:color="auto"/>
              <w:bottom w:val="single" w:sz="12" w:space="0" w:color="auto"/>
            </w:tcBorders>
            <w:shd w:val="clear" w:color="auto" w:fill="auto"/>
            <w:noWrap/>
            <w:vAlign w:val="bottom"/>
          </w:tcPr>
          <w:p w14:paraId="15375013" w14:textId="77777777" w:rsidR="008A0913" w:rsidRPr="007E3E0B" w:rsidRDefault="008A0913" w:rsidP="00504476">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Pr="007E3E0B">
              <w:rPr>
                <w:rFonts w:eastAsia="Times New Roman"/>
                <w:bCs/>
                <w:i/>
                <w:spacing w:val="0"/>
                <w:w w:val="100"/>
                <w:kern w:val="0"/>
                <w:sz w:val="14"/>
                <w:szCs w:val="14"/>
              </w:rPr>
              <w:br/>
              <w:t>gross national product</w:t>
            </w:r>
          </w:p>
        </w:tc>
      </w:tr>
      <w:tr w:rsidR="00282245" w:rsidRPr="007E3E0B" w14:paraId="4D147D83" w14:textId="77777777" w:rsidTr="006B2EC2">
        <w:tc>
          <w:tcPr>
            <w:tcW w:w="2180" w:type="dxa"/>
            <w:tcBorders>
              <w:top w:val="single" w:sz="12" w:space="0" w:color="auto"/>
            </w:tcBorders>
            <w:shd w:val="clear" w:color="auto" w:fill="auto"/>
            <w:noWrap/>
          </w:tcPr>
          <w:p w14:paraId="6E181A9F" w14:textId="77777777" w:rsidR="008A0913" w:rsidRPr="007E3E0B" w:rsidRDefault="008A0913" w:rsidP="003A2345">
            <w:pPr>
              <w:suppressAutoHyphens w:val="0"/>
              <w:spacing w:before="40" w:after="40" w:line="210" w:lineRule="atLeast"/>
              <w:rPr>
                <w:rFonts w:eastAsia="Times New Roman"/>
                <w:bCs/>
                <w:spacing w:val="0"/>
                <w:w w:val="100"/>
                <w:kern w:val="0"/>
                <w:sz w:val="18"/>
              </w:rPr>
            </w:pPr>
          </w:p>
        </w:tc>
        <w:tc>
          <w:tcPr>
            <w:tcW w:w="700" w:type="dxa"/>
            <w:tcBorders>
              <w:top w:val="single" w:sz="12" w:space="0" w:color="auto"/>
            </w:tcBorders>
            <w:shd w:val="clear" w:color="auto" w:fill="auto"/>
            <w:noWrap/>
            <w:vAlign w:val="bottom"/>
            <w:hideMark/>
          </w:tcPr>
          <w:p w14:paraId="2DC23DA6"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714" w:type="dxa"/>
            <w:tcBorders>
              <w:top w:val="single" w:sz="12" w:space="0" w:color="auto"/>
            </w:tcBorders>
            <w:shd w:val="clear" w:color="auto" w:fill="auto"/>
            <w:noWrap/>
            <w:vAlign w:val="bottom"/>
            <w:hideMark/>
          </w:tcPr>
          <w:p w14:paraId="0FC3D4C3"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728" w:type="dxa"/>
            <w:tcBorders>
              <w:top w:val="single" w:sz="12" w:space="0" w:color="auto"/>
            </w:tcBorders>
            <w:shd w:val="clear" w:color="auto" w:fill="auto"/>
            <w:noWrap/>
            <w:vAlign w:val="bottom"/>
            <w:hideMark/>
          </w:tcPr>
          <w:p w14:paraId="66C5ECF1"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503" w:type="dxa"/>
            <w:tcBorders>
              <w:top w:val="single" w:sz="12" w:space="0" w:color="auto"/>
            </w:tcBorders>
            <w:shd w:val="clear" w:color="auto" w:fill="auto"/>
            <w:noWrap/>
            <w:vAlign w:val="bottom"/>
            <w:hideMark/>
          </w:tcPr>
          <w:p w14:paraId="521FCAEB"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532" w:type="dxa"/>
            <w:tcBorders>
              <w:top w:val="single" w:sz="12" w:space="0" w:color="auto"/>
            </w:tcBorders>
            <w:shd w:val="clear" w:color="auto" w:fill="auto"/>
            <w:noWrap/>
            <w:vAlign w:val="bottom"/>
            <w:hideMark/>
          </w:tcPr>
          <w:p w14:paraId="28B86C65"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518" w:type="dxa"/>
            <w:tcBorders>
              <w:top w:val="single" w:sz="12" w:space="0" w:color="auto"/>
            </w:tcBorders>
            <w:shd w:val="clear" w:color="auto" w:fill="auto"/>
            <w:noWrap/>
            <w:vAlign w:val="bottom"/>
            <w:hideMark/>
          </w:tcPr>
          <w:p w14:paraId="46231C0F"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490" w:type="dxa"/>
            <w:tcBorders>
              <w:top w:val="single" w:sz="12" w:space="0" w:color="auto"/>
            </w:tcBorders>
            <w:shd w:val="clear" w:color="auto" w:fill="auto"/>
            <w:noWrap/>
            <w:vAlign w:val="bottom"/>
            <w:hideMark/>
          </w:tcPr>
          <w:p w14:paraId="4BF83C39"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455" w:type="dxa"/>
            <w:tcBorders>
              <w:top w:val="single" w:sz="12" w:space="0" w:color="auto"/>
            </w:tcBorders>
            <w:shd w:val="clear" w:color="auto" w:fill="auto"/>
            <w:vAlign w:val="bottom"/>
          </w:tcPr>
          <w:p w14:paraId="0D2B2935"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551" w:type="dxa"/>
            <w:tcBorders>
              <w:top w:val="single" w:sz="12" w:space="0" w:color="auto"/>
            </w:tcBorders>
            <w:shd w:val="clear" w:color="auto" w:fill="auto"/>
            <w:vAlign w:val="bottom"/>
          </w:tcPr>
          <w:p w14:paraId="4BD88934"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r>
      <w:tr w:rsidR="00282245" w:rsidRPr="007E3E0B" w14:paraId="2B2F2823" w14:textId="77777777" w:rsidTr="006B2EC2">
        <w:tc>
          <w:tcPr>
            <w:tcW w:w="2180" w:type="dxa"/>
            <w:shd w:val="clear" w:color="auto" w:fill="auto"/>
            <w:hideMark/>
          </w:tcPr>
          <w:p w14:paraId="261FDA77" w14:textId="77777777" w:rsidR="008A0913" w:rsidRPr="007E3E0B" w:rsidRDefault="008A0913" w:rsidP="003A2345">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Child and youth benefit</w:t>
            </w:r>
          </w:p>
        </w:tc>
        <w:tc>
          <w:tcPr>
            <w:tcW w:w="700" w:type="dxa"/>
            <w:shd w:val="clear" w:color="auto" w:fill="auto"/>
            <w:noWrap/>
            <w:vAlign w:val="bottom"/>
            <w:hideMark/>
          </w:tcPr>
          <w:p w14:paraId="2F0CD2D6"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14.757</w:t>
            </w:r>
          </w:p>
        </w:tc>
        <w:tc>
          <w:tcPr>
            <w:tcW w:w="714" w:type="dxa"/>
            <w:shd w:val="clear" w:color="auto" w:fill="auto"/>
            <w:noWrap/>
            <w:vAlign w:val="bottom"/>
            <w:hideMark/>
          </w:tcPr>
          <w:p w14:paraId="1A0119C9"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14.663</w:t>
            </w:r>
          </w:p>
        </w:tc>
        <w:tc>
          <w:tcPr>
            <w:tcW w:w="728" w:type="dxa"/>
            <w:shd w:val="clear" w:color="auto" w:fill="auto"/>
            <w:noWrap/>
            <w:vAlign w:val="bottom"/>
            <w:hideMark/>
          </w:tcPr>
          <w:p w14:paraId="3746F6C8"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14.662</w:t>
            </w:r>
          </w:p>
        </w:tc>
        <w:tc>
          <w:tcPr>
            <w:tcW w:w="503" w:type="dxa"/>
            <w:shd w:val="clear" w:color="auto" w:fill="auto"/>
            <w:noWrap/>
            <w:vAlign w:val="bottom"/>
          </w:tcPr>
          <w:p w14:paraId="38762A6D"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2,8</w:t>
            </w:r>
          </w:p>
        </w:tc>
        <w:tc>
          <w:tcPr>
            <w:tcW w:w="532" w:type="dxa"/>
            <w:shd w:val="clear" w:color="auto" w:fill="auto"/>
            <w:noWrap/>
            <w:vAlign w:val="bottom"/>
          </w:tcPr>
          <w:p w14:paraId="28467449"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2,7</w:t>
            </w:r>
          </w:p>
        </w:tc>
        <w:tc>
          <w:tcPr>
            <w:tcW w:w="518" w:type="dxa"/>
            <w:shd w:val="clear" w:color="auto" w:fill="auto"/>
            <w:noWrap/>
            <w:vAlign w:val="bottom"/>
          </w:tcPr>
          <w:p w14:paraId="31E7E272"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2,7</w:t>
            </w:r>
          </w:p>
        </w:tc>
        <w:tc>
          <w:tcPr>
            <w:tcW w:w="490" w:type="dxa"/>
            <w:shd w:val="clear" w:color="auto" w:fill="auto"/>
            <w:noWrap/>
            <w:vAlign w:val="bottom"/>
          </w:tcPr>
          <w:p w14:paraId="27E705A9"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0,7</w:t>
            </w:r>
          </w:p>
        </w:tc>
        <w:tc>
          <w:tcPr>
            <w:tcW w:w="455" w:type="dxa"/>
            <w:shd w:val="clear" w:color="auto" w:fill="auto"/>
            <w:vAlign w:val="bottom"/>
          </w:tcPr>
          <w:p w14:paraId="64D0DA7E"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0,7</w:t>
            </w:r>
          </w:p>
        </w:tc>
        <w:tc>
          <w:tcPr>
            <w:tcW w:w="551" w:type="dxa"/>
            <w:shd w:val="clear" w:color="auto" w:fill="auto"/>
            <w:vAlign w:val="bottom"/>
          </w:tcPr>
          <w:p w14:paraId="3B5AF328" w14:textId="77777777" w:rsidR="008A0913" w:rsidRPr="007E3E0B" w:rsidRDefault="008A0913" w:rsidP="003A234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0,7</w:t>
            </w:r>
          </w:p>
        </w:tc>
      </w:tr>
      <w:tr w:rsidR="00282245" w:rsidRPr="007E3E0B" w14:paraId="7687E224" w14:textId="77777777" w:rsidTr="006B2EC2">
        <w:tc>
          <w:tcPr>
            <w:tcW w:w="2180" w:type="dxa"/>
            <w:tcBorders>
              <w:bottom w:val="single" w:sz="4" w:space="0" w:color="auto"/>
            </w:tcBorders>
            <w:shd w:val="clear" w:color="auto" w:fill="auto"/>
            <w:hideMark/>
          </w:tcPr>
          <w:p w14:paraId="4B23A20D" w14:textId="77777777" w:rsidR="008A0913" w:rsidRPr="007E3E0B" w:rsidRDefault="008A0913" w:rsidP="003A2345">
            <w:pPr>
              <w:suppressAutoHyphens w:val="0"/>
              <w:spacing w:before="40" w:after="81" w:line="210" w:lineRule="atLeast"/>
              <w:rPr>
                <w:rFonts w:eastAsia="Times New Roman"/>
                <w:spacing w:val="0"/>
                <w:w w:val="100"/>
                <w:kern w:val="0"/>
                <w:sz w:val="17"/>
                <w:szCs w:val="17"/>
              </w:rPr>
            </w:pPr>
            <w:r w:rsidRPr="007E3E0B">
              <w:rPr>
                <w:rFonts w:eastAsia="Times New Roman"/>
                <w:spacing w:val="0"/>
                <w:w w:val="100"/>
                <w:kern w:val="0"/>
                <w:sz w:val="17"/>
                <w:szCs w:val="17"/>
              </w:rPr>
              <w:t>Child benefits</w:t>
            </w:r>
          </w:p>
        </w:tc>
        <w:tc>
          <w:tcPr>
            <w:tcW w:w="700" w:type="dxa"/>
            <w:tcBorders>
              <w:bottom w:val="single" w:sz="4" w:space="0" w:color="auto"/>
            </w:tcBorders>
            <w:shd w:val="clear" w:color="auto" w:fill="auto"/>
            <w:noWrap/>
            <w:vAlign w:val="bottom"/>
            <w:hideMark/>
          </w:tcPr>
          <w:p w14:paraId="310CB6AC"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3.004</w:t>
            </w:r>
          </w:p>
        </w:tc>
        <w:tc>
          <w:tcPr>
            <w:tcW w:w="714" w:type="dxa"/>
            <w:tcBorders>
              <w:bottom w:val="single" w:sz="4" w:space="0" w:color="auto"/>
            </w:tcBorders>
            <w:shd w:val="clear" w:color="auto" w:fill="auto"/>
            <w:noWrap/>
            <w:vAlign w:val="bottom"/>
            <w:hideMark/>
          </w:tcPr>
          <w:p w14:paraId="4FC8B82E"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3.078</w:t>
            </w:r>
          </w:p>
        </w:tc>
        <w:tc>
          <w:tcPr>
            <w:tcW w:w="728" w:type="dxa"/>
            <w:tcBorders>
              <w:bottom w:val="single" w:sz="4" w:space="0" w:color="auto"/>
            </w:tcBorders>
            <w:shd w:val="clear" w:color="auto" w:fill="auto"/>
            <w:noWrap/>
            <w:vAlign w:val="bottom"/>
            <w:hideMark/>
          </w:tcPr>
          <w:p w14:paraId="624E926D"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3.066</w:t>
            </w:r>
          </w:p>
        </w:tc>
        <w:tc>
          <w:tcPr>
            <w:tcW w:w="503" w:type="dxa"/>
            <w:tcBorders>
              <w:bottom w:val="single" w:sz="4" w:space="0" w:color="auto"/>
            </w:tcBorders>
            <w:shd w:val="clear" w:color="auto" w:fill="auto"/>
            <w:noWrap/>
            <w:vAlign w:val="bottom"/>
          </w:tcPr>
          <w:p w14:paraId="7B545801"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0,6</w:t>
            </w:r>
          </w:p>
        </w:tc>
        <w:tc>
          <w:tcPr>
            <w:tcW w:w="532" w:type="dxa"/>
            <w:tcBorders>
              <w:bottom w:val="single" w:sz="4" w:space="0" w:color="auto"/>
            </w:tcBorders>
            <w:shd w:val="clear" w:color="auto" w:fill="auto"/>
            <w:noWrap/>
            <w:vAlign w:val="bottom"/>
          </w:tcPr>
          <w:p w14:paraId="6DC11A98"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0,6</w:t>
            </w:r>
          </w:p>
        </w:tc>
        <w:tc>
          <w:tcPr>
            <w:tcW w:w="518" w:type="dxa"/>
            <w:tcBorders>
              <w:bottom w:val="single" w:sz="4" w:space="0" w:color="auto"/>
            </w:tcBorders>
            <w:shd w:val="clear" w:color="auto" w:fill="auto"/>
            <w:noWrap/>
            <w:vAlign w:val="bottom"/>
          </w:tcPr>
          <w:p w14:paraId="2426195B"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0,6</w:t>
            </w:r>
          </w:p>
        </w:tc>
        <w:tc>
          <w:tcPr>
            <w:tcW w:w="490" w:type="dxa"/>
            <w:tcBorders>
              <w:bottom w:val="single" w:sz="4" w:space="0" w:color="auto"/>
            </w:tcBorders>
            <w:shd w:val="clear" w:color="auto" w:fill="auto"/>
            <w:noWrap/>
            <w:vAlign w:val="bottom"/>
          </w:tcPr>
          <w:p w14:paraId="64A76D55"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0,1</w:t>
            </w:r>
          </w:p>
        </w:tc>
        <w:tc>
          <w:tcPr>
            <w:tcW w:w="455" w:type="dxa"/>
            <w:tcBorders>
              <w:bottom w:val="single" w:sz="4" w:space="0" w:color="auto"/>
            </w:tcBorders>
            <w:shd w:val="clear" w:color="auto" w:fill="auto"/>
            <w:vAlign w:val="bottom"/>
          </w:tcPr>
          <w:p w14:paraId="061A3557"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0,1</w:t>
            </w:r>
          </w:p>
        </w:tc>
        <w:tc>
          <w:tcPr>
            <w:tcW w:w="551" w:type="dxa"/>
            <w:tcBorders>
              <w:bottom w:val="single" w:sz="4" w:space="0" w:color="auto"/>
            </w:tcBorders>
            <w:shd w:val="clear" w:color="auto" w:fill="auto"/>
            <w:vAlign w:val="bottom"/>
          </w:tcPr>
          <w:p w14:paraId="367D0DD1" w14:textId="77777777" w:rsidR="008A0913" w:rsidRPr="007E3E0B" w:rsidRDefault="008A0913" w:rsidP="003A2345">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0,1</w:t>
            </w:r>
          </w:p>
        </w:tc>
      </w:tr>
      <w:tr w:rsidR="00282245" w:rsidRPr="007E3E0B" w14:paraId="52A61E0D" w14:textId="77777777" w:rsidTr="006B2EC2">
        <w:tc>
          <w:tcPr>
            <w:tcW w:w="2180" w:type="dxa"/>
            <w:tcBorders>
              <w:top w:val="single" w:sz="4" w:space="0" w:color="auto"/>
              <w:bottom w:val="single" w:sz="12" w:space="0" w:color="auto"/>
            </w:tcBorders>
            <w:shd w:val="clear" w:color="auto" w:fill="auto"/>
            <w:hideMark/>
          </w:tcPr>
          <w:p w14:paraId="55FB6966" w14:textId="77777777" w:rsidR="008A0913" w:rsidRPr="007E3E0B" w:rsidRDefault="008A0913" w:rsidP="003A2345">
            <w:pPr>
              <w:suppressAutoHyphens w:val="0"/>
              <w:spacing w:before="80" w:after="80" w:line="210" w:lineRule="atLeast"/>
              <w:rPr>
                <w:rFonts w:eastAsia="Times New Roman"/>
                <w:bCs/>
                <w:spacing w:val="0"/>
                <w:w w:val="100"/>
                <w:kern w:val="0"/>
                <w:sz w:val="17"/>
                <w:szCs w:val="17"/>
              </w:rPr>
            </w:pPr>
            <w:r w:rsidRPr="007E3E0B">
              <w:rPr>
                <w:rFonts w:eastAsia="Times New Roman"/>
                <w:bCs/>
                <w:spacing w:val="0"/>
                <w:w w:val="100"/>
                <w:kern w:val="0"/>
                <w:sz w:val="17"/>
                <w:szCs w:val="17"/>
              </w:rPr>
              <w:t>Total</w:t>
            </w:r>
          </w:p>
        </w:tc>
        <w:tc>
          <w:tcPr>
            <w:tcW w:w="700" w:type="dxa"/>
            <w:tcBorders>
              <w:top w:val="single" w:sz="4" w:space="0" w:color="auto"/>
              <w:bottom w:val="single" w:sz="12" w:space="0" w:color="auto"/>
            </w:tcBorders>
            <w:shd w:val="clear" w:color="auto" w:fill="auto"/>
            <w:noWrap/>
            <w:vAlign w:val="bottom"/>
          </w:tcPr>
          <w:p w14:paraId="290764AB"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17.761</w:t>
            </w:r>
          </w:p>
        </w:tc>
        <w:tc>
          <w:tcPr>
            <w:tcW w:w="714" w:type="dxa"/>
            <w:tcBorders>
              <w:top w:val="single" w:sz="4" w:space="0" w:color="auto"/>
              <w:bottom w:val="single" w:sz="12" w:space="0" w:color="auto"/>
            </w:tcBorders>
            <w:shd w:val="clear" w:color="auto" w:fill="auto"/>
            <w:noWrap/>
            <w:vAlign w:val="bottom"/>
          </w:tcPr>
          <w:p w14:paraId="1BADBC34"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17.741</w:t>
            </w:r>
          </w:p>
        </w:tc>
        <w:tc>
          <w:tcPr>
            <w:tcW w:w="728" w:type="dxa"/>
            <w:tcBorders>
              <w:top w:val="single" w:sz="4" w:space="0" w:color="auto"/>
              <w:bottom w:val="single" w:sz="12" w:space="0" w:color="auto"/>
            </w:tcBorders>
            <w:shd w:val="clear" w:color="auto" w:fill="auto"/>
            <w:noWrap/>
            <w:vAlign w:val="bottom"/>
          </w:tcPr>
          <w:p w14:paraId="7319E6B0"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17.728</w:t>
            </w:r>
          </w:p>
        </w:tc>
        <w:tc>
          <w:tcPr>
            <w:tcW w:w="503" w:type="dxa"/>
            <w:tcBorders>
              <w:top w:val="single" w:sz="4" w:space="0" w:color="auto"/>
              <w:bottom w:val="single" w:sz="12" w:space="0" w:color="auto"/>
            </w:tcBorders>
            <w:shd w:val="clear" w:color="auto" w:fill="auto"/>
            <w:noWrap/>
            <w:vAlign w:val="bottom"/>
          </w:tcPr>
          <w:p w14:paraId="43B3D8EF"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3,3</w:t>
            </w:r>
          </w:p>
        </w:tc>
        <w:tc>
          <w:tcPr>
            <w:tcW w:w="532" w:type="dxa"/>
            <w:tcBorders>
              <w:top w:val="single" w:sz="4" w:space="0" w:color="auto"/>
              <w:bottom w:val="single" w:sz="12" w:space="0" w:color="auto"/>
            </w:tcBorders>
            <w:shd w:val="clear" w:color="auto" w:fill="auto"/>
            <w:noWrap/>
            <w:vAlign w:val="bottom"/>
          </w:tcPr>
          <w:p w14:paraId="65963159"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3,3</w:t>
            </w:r>
          </w:p>
        </w:tc>
        <w:tc>
          <w:tcPr>
            <w:tcW w:w="518" w:type="dxa"/>
            <w:tcBorders>
              <w:top w:val="single" w:sz="4" w:space="0" w:color="auto"/>
              <w:bottom w:val="single" w:sz="12" w:space="0" w:color="auto"/>
            </w:tcBorders>
            <w:shd w:val="clear" w:color="auto" w:fill="auto"/>
            <w:noWrap/>
            <w:vAlign w:val="bottom"/>
          </w:tcPr>
          <w:p w14:paraId="4DF00C15"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3,3</w:t>
            </w:r>
          </w:p>
        </w:tc>
        <w:tc>
          <w:tcPr>
            <w:tcW w:w="490" w:type="dxa"/>
            <w:tcBorders>
              <w:top w:val="single" w:sz="4" w:space="0" w:color="auto"/>
              <w:bottom w:val="single" w:sz="12" w:space="0" w:color="auto"/>
            </w:tcBorders>
            <w:shd w:val="clear" w:color="auto" w:fill="auto"/>
            <w:noWrap/>
            <w:vAlign w:val="bottom"/>
          </w:tcPr>
          <w:p w14:paraId="0D0C58EC"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0,9</w:t>
            </w:r>
          </w:p>
        </w:tc>
        <w:tc>
          <w:tcPr>
            <w:tcW w:w="455" w:type="dxa"/>
            <w:tcBorders>
              <w:top w:val="single" w:sz="4" w:space="0" w:color="auto"/>
              <w:bottom w:val="single" w:sz="12" w:space="0" w:color="auto"/>
            </w:tcBorders>
            <w:shd w:val="clear" w:color="auto" w:fill="auto"/>
            <w:vAlign w:val="bottom"/>
          </w:tcPr>
          <w:p w14:paraId="2DBC20AA"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0,8</w:t>
            </w:r>
          </w:p>
        </w:tc>
        <w:tc>
          <w:tcPr>
            <w:tcW w:w="551" w:type="dxa"/>
            <w:tcBorders>
              <w:top w:val="single" w:sz="4" w:space="0" w:color="auto"/>
              <w:bottom w:val="single" w:sz="12" w:space="0" w:color="auto"/>
            </w:tcBorders>
            <w:shd w:val="clear" w:color="auto" w:fill="auto"/>
            <w:vAlign w:val="bottom"/>
          </w:tcPr>
          <w:p w14:paraId="253DE5D0" w14:textId="77777777" w:rsidR="008A0913" w:rsidRPr="007E3E0B" w:rsidRDefault="008A0913" w:rsidP="003A2345">
            <w:pPr>
              <w:suppressAutoHyphens w:val="0"/>
              <w:spacing w:before="80" w:after="8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0,8</w:t>
            </w:r>
          </w:p>
        </w:tc>
      </w:tr>
    </w:tbl>
    <w:p w14:paraId="49DBA91F" w14:textId="77777777" w:rsidR="008A0913" w:rsidRPr="004233BE" w:rsidRDefault="008A0913" w:rsidP="00E46FF5">
      <w:pPr>
        <w:pStyle w:val="SingleTxt"/>
        <w:rPr>
          <w:sz w:val="17"/>
          <w:szCs w:val="17"/>
        </w:rPr>
      </w:pPr>
      <w:r w:rsidRPr="004233BE">
        <w:rPr>
          <w:sz w:val="17"/>
          <w:szCs w:val="17"/>
        </w:rPr>
        <w:t>Public expenditure regarding family and/or child allowances, conditional cash transfer systems</w:t>
      </w:r>
    </w:p>
    <w:p w14:paraId="0AF3E048" w14:textId="77777777" w:rsidR="004233BE" w:rsidRPr="002577B1" w:rsidRDefault="008A0913" w:rsidP="002577B1">
      <w:pPr>
        <w:pStyle w:val="H23"/>
        <w:spacing w:line="120" w:lineRule="exact"/>
        <w:rPr>
          <w:sz w:val="10"/>
        </w:rPr>
      </w:pPr>
      <w:r w:rsidRPr="007E3E0B">
        <w:tab/>
      </w:r>
      <w:r w:rsidRPr="007E3E0B">
        <w:tab/>
      </w:r>
    </w:p>
    <w:p w14:paraId="48EFF1B6" w14:textId="77777777" w:rsidR="002577B1" w:rsidRPr="002577B1" w:rsidRDefault="002577B1" w:rsidP="002577B1">
      <w:pPr>
        <w:pStyle w:val="SingleTxt"/>
        <w:spacing w:after="0" w:line="120" w:lineRule="exact"/>
        <w:rPr>
          <w:sz w:val="10"/>
        </w:rPr>
      </w:pPr>
    </w:p>
    <w:p w14:paraId="3818BEDD" w14:textId="77777777" w:rsidR="008A0913" w:rsidRPr="007E3E0B" w:rsidRDefault="004233BE" w:rsidP="008A0913">
      <w:pPr>
        <w:pStyle w:val="H23"/>
      </w:pPr>
      <w:r>
        <w:tab/>
      </w:r>
      <w:r>
        <w:tab/>
      </w:r>
      <w:r w:rsidR="008A0913" w:rsidRPr="007E3E0B">
        <w:t>Health services, in particular primary health services</w:t>
      </w:r>
    </w:p>
    <w:p w14:paraId="285F05C5" w14:textId="77777777" w:rsidR="008A0913" w:rsidRPr="007E3E0B" w:rsidRDefault="008A0913" w:rsidP="008A0913">
      <w:pPr>
        <w:pStyle w:val="SingleTxt"/>
        <w:spacing w:after="0" w:line="120" w:lineRule="exact"/>
        <w:rPr>
          <w:b/>
          <w:sz w:val="10"/>
        </w:rPr>
      </w:pPr>
    </w:p>
    <w:tbl>
      <w:tblPr>
        <w:tblW w:w="7371" w:type="dxa"/>
        <w:tblInd w:w="1264" w:type="dxa"/>
        <w:tblBorders>
          <w:top w:val="single" w:sz="4" w:space="0" w:color="auto"/>
        </w:tblBorders>
        <w:tblCellMar>
          <w:left w:w="0" w:type="dxa"/>
          <w:right w:w="0" w:type="dxa"/>
        </w:tblCellMar>
        <w:tblLook w:val="04A0" w:firstRow="1" w:lastRow="0" w:firstColumn="1" w:lastColumn="0" w:noHBand="0" w:noVBand="1"/>
      </w:tblPr>
      <w:tblGrid>
        <w:gridCol w:w="2169"/>
        <w:gridCol w:w="716"/>
        <w:gridCol w:w="716"/>
        <w:gridCol w:w="716"/>
        <w:gridCol w:w="520"/>
        <w:gridCol w:w="520"/>
        <w:gridCol w:w="520"/>
        <w:gridCol w:w="498"/>
        <w:gridCol w:w="498"/>
        <w:gridCol w:w="498"/>
      </w:tblGrid>
      <w:tr w:rsidR="00DD3754" w:rsidRPr="007E3E0B" w14:paraId="326B6116" w14:textId="77777777" w:rsidTr="00504476">
        <w:trPr>
          <w:trHeight w:val="240"/>
          <w:tblHeader/>
        </w:trPr>
        <w:tc>
          <w:tcPr>
            <w:tcW w:w="0" w:type="auto"/>
            <w:tcBorders>
              <w:top w:val="single" w:sz="4" w:space="0" w:color="auto"/>
              <w:bottom w:val="single" w:sz="12" w:space="0" w:color="auto"/>
            </w:tcBorders>
            <w:shd w:val="clear" w:color="auto" w:fill="auto"/>
            <w:noWrap/>
            <w:vAlign w:val="bottom"/>
          </w:tcPr>
          <w:p w14:paraId="606D161B" w14:textId="77777777" w:rsidR="00DD3754" w:rsidRPr="007E3E0B" w:rsidRDefault="00DD3754" w:rsidP="00504476">
            <w:pPr>
              <w:suppressAutoHyphens w:val="0"/>
              <w:spacing w:before="80" w:after="80" w:line="160" w:lineRule="atLeast"/>
              <w:rPr>
                <w:rFonts w:eastAsia="Times New Roman"/>
                <w:bCs/>
                <w:i/>
                <w:spacing w:val="0"/>
                <w:w w:val="100"/>
                <w:kern w:val="0"/>
                <w:sz w:val="14"/>
                <w:szCs w:val="14"/>
              </w:rPr>
            </w:pPr>
          </w:p>
        </w:tc>
        <w:tc>
          <w:tcPr>
            <w:tcW w:w="0" w:type="auto"/>
            <w:gridSpan w:val="3"/>
            <w:tcBorders>
              <w:top w:val="single" w:sz="4" w:space="0" w:color="auto"/>
              <w:bottom w:val="single" w:sz="12" w:space="0" w:color="auto"/>
            </w:tcBorders>
            <w:shd w:val="clear" w:color="auto" w:fill="auto"/>
            <w:noWrap/>
            <w:vAlign w:val="bottom"/>
          </w:tcPr>
          <w:p w14:paraId="53F5E4D8" w14:textId="77777777" w:rsidR="00DD3754" w:rsidRPr="007E3E0B" w:rsidRDefault="00DD3754" w:rsidP="00504476">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DKK millions, </w:t>
            </w:r>
            <w:r w:rsidR="00504476" w:rsidRPr="007E3E0B">
              <w:rPr>
                <w:rFonts w:eastAsia="Times New Roman"/>
                <w:bCs/>
                <w:i/>
                <w:spacing w:val="0"/>
                <w:w w:val="100"/>
                <w:kern w:val="0"/>
                <w:sz w:val="14"/>
                <w:szCs w:val="14"/>
              </w:rPr>
              <w:br/>
            </w:r>
            <w:r w:rsidRPr="007E3E0B">
              <w:rPr>
                <w:rFonts w:eastAsia="Times New Roman"/>
                <w:bCs/>
                <w:i/>
                <w:spacing w:val="0"/>
                <w:w w:val="100"/>
                <w:kern w:val="0"/>
                <w:sz w:val="14"/>
                <w:szCs w:val="14"/>
              </w:rPr>
              <w:t>2017-price and wage level</w:t>
            </w:r>
          </w:p>
        </w:tc>
        <w:tc>
          <w:tcPr>
            <w:tcW w:w="0" w:type="auto"/>
            <w:gridSpan w:val="3"/>
            <w:tcBorders>
              <w:top w:val="single" w:sz="4" w:space="0" w:color="auto"/>
              <w:bottom w:val="single" w:sz="12" w:space="0" w:color="auto"/>
            </w:tcBorders>
            <w:shd w:val="clear" w:color="auto" w:fill="auto"/>
            <w:noWrap/>
            <w:vAlign w:val="bottom"/>
          </w:tcPr>
          <w:p w14:paraId="1B5926E9" w14:textId="77777777" w:rsidR="00DD3754" w:rsidRPr="007E3E0B" w:rsidRDefault="00DD3754" w:rsidP="00504476">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504476" w:rsidRPr="007E3E0B">
              <w:rPr>
                <w:rFonts w:eastAsia="Times New Roman"/>
                <w:bCs/>
                <w:i/>
                <w:spacing w:val="0"/>
                <w:w w:val="100"/>
                <w:kern w:val="0"/>
                <w:sz w:val="14"/>
                <w:szCs w:val="14"/>
              </w:rPr>
              <w:br/>
            </w:r>
            <w:r w:rsidRPr="007E3E0B">
              <w:rPr>
                <w:rFonts w:eastAsia="Times New Roman"/>
                <w:bCs/>
                <w:i/>
                <w:spacing w:val="0"/>
                <w:w w:val="100"/>
                <w:kern w:val="0"/>
                <w:sz w:val="14"/>
                <w:szCs w:val="14"/>
              </w:rPr>
              <w:t>total public expenditure</w:t>
            </w:r>
          </w:p>
        </w:tc>
        <w:tc>
          <w:tcPr>
            <w:tcW w:w="0" w:type="auto"/>
            <w:gridSpan w:val="3"/>
            <w:tcBorders>
              <w:top w:val="single" w:sz="4" w:space="0" w:color="auto"/>
              <w:bottom w:val="single" w:sz="12" w:space="0" w:color="auto"/>
            </w:tcBorders>
            <w:shd w:val="clear" w:color="auto" w:fill="auto"/>
            <w:noWrap/>
            <w:vAlign w:val="bottom"/>
          </w:tcPr>
          <w:p w14:paraId="46367676" w14:textId="77777777" w:rsidR="00DD3754" w:rsidRPr="007E3E0B" w:rsidRDefault="00DD3754" w:rsidP="00504476">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Percentage of</w:t>
            </w:r>
            <w:r w:rsidR="00504476" w:rsidRPr="007E3E0B">
              <w:rPr>
                <w:rFonts w:eastAsia="Times New Roman"/>
                <w:bCs/>
                <w:i/>
                <w:spacing w:val="0"/>
                <w:w w:val="100"/>
                <w:kern w:val="0"/>
                <w:sz w:val="14"/>
                <w:szCs w:val="14"/>
              </w:rPr>
              <w:br/>
            </w:r>
            <w:r w:rsidRPr="007E3E0B">
              <w:rPr>
                <w:rFonts w:eastAsia="Times New Roman"/>
                <w:bCs/>
                <w:i/>
                <w:spacing w:val="0"/>
                <w:w w:val="100"/>
                <w:kern w:val="0"/>
                <w:sz w:val="14"/>
                <w:szCs w:val="14"/>
              </w:rPr>
              <w:t>gross national product</w:t>
            </w:r>
          </w:p>
        </w:tc>
      </w:tr>
      <w:tr w:rsidR="00DD3754" w:rsidRPr="007E3E0B" w14:paraId="47F3BA3C" w14:textId="77777777" w:rsidTr="00504476">
        <w:trPr>
          <w:trHeight w:val="240"/>
        </w:trPr>
        <w:tc>
          <w:tcPr>
            <w:tcW w:w="0" w:type="auto"/>
            <w:tcBorders>
              <w:top w:val="single" w:sz="12" w:space="0" w:color="auto"/>
            </w:tcBorders>
            <w:shd w:val="clear" w:color="auto" w:fill="auto"/>
            <w:noWrap/>
          </w:tcPr>
          <w:p w14:paraId="5C786920" w14:textId="77777777" w:rsidR="00DD3754" w:rsidRPr="007E3E0B" w:rsidRDefault="00DD3754" w:rsidP="009A1DB5">
            <w:pPr>
              <w:suppressAutoHyphens w:val="0"/>
              <w:spacing w:before="40" w:after="40" w:line="220" w:lineRule="exact"/>
              <w:rPr>
                <w:rFonts w:eastAsia="Times New Roman"/>
                <w:bCs/>
                <w:spacing w:val="0"/>
                <w:w w:val="100"/>
                <w:kern w:val="0"/>
                <w:sz w:val="17"/>
                <w:szCs w:val="17"/>
              </w:rPr>
            </w:pPr>
          </w:p>
        </w:tc>
        <w:tc>
          <w:tcPr>
            <w:tcW w:w="0" w:type="auto"/>
            <w:tcBorders>
              <w:top w:val="single" w:sz="12" w:space="0" w:color="auto"/>
            </w:tcBorders>
            <w:shd w:val="clear" w:color="auto" w:fill="auto"/>
            <w:noWrap/>
            <w:vAlign w:val="bottom"/>
            <w:hideMark/>
          </w:tcPr>
          <w:p w14:paraId="1265CC31"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noWrap/>
            <w:vAlign w:val="bottom"/>
            <w:hideMark/>
          </w:tcPr>
          <w:p w14:paraId="665725ED"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noWrap/>
            <w:vAlign w:val="bottom"/>
            <w:hideMark/>
          </w:tcPr>
          <w:p w14:paraId="3856E2CB"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0" w:type="auto"/>
            <w:tcBorders>
              <w:top w:val="single" w:sz="12" w:space="0" w:color="auto"/>
            </w:tcBorders>
            <w:shd w:val="clear" w:color="auto" w:fill="auto"/>
            <w:noWrap/>
            <w:vAlign w:val="bottom"/>
            <w:hideMark/>
          </w:tcPr>
          <w:p w14:paraId="78475C96"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noWrap/>
            <w:vAlign w:val="bottom"/>
            <w:hideMark/>
          </w:tcPr>
          <w:p w14:paraId="64B7D456"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noWrap/>
            <w:vAlign w:val="bottom"/>
            <w:hideMark/>
          </w:tcPr>
          <w:p w14:paraId="7B59CC2B"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0" w:type="auto"/>
            <w:tcBorders>
              <w:top w:val="single" w:sz="12" w:space="0" w:color="auto"/>
            </w:tcBorders>
            <w:shd w:val="clear" w:color="auto" w:fill="auto"/>
            <w:noWrap/>
            <w:vAlign w:val="bottom"/>
            <w:hideMark/>
          </w:tcPr>
          <w:p w14:paraId="3EFA8129"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vAlign w:val="bottom"/>
          </w:tcPr>
          <w:p w14:paraId="2B39DF55"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vAlign w:val="bottom"/>
          </w:tcPr>
          <w:p w14:paraId="663986C2"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r>
      <w:tr w:rsidR="00DD3754" w:rsidRPr="007E3E0B" w14:paraId="2A9157AE" w14:textId="77777777" w:rsidTr="00504476">
        <w:trPr>
          <w:trHeight w:val="240"/>
        </w:trPr>
        <w:tc>
          <w:tcPr>
            <w:tcW w:w="0" w:type="auto"/>
            <w:shd w:val="clear" w:color="auto" w:fill="auto"/>
            <w:hideMark/>
          </w:tcPr>
          <w:p w14:paraId="6C3C7001" w14:textId="77777777" w:rsidR="00DD3754" w:rsidRPr="007E3E0B" w:rsidRDefault="00DD3754" w:rsidP="009A1DB5">
            <w:pPr>
              <w:suppressAutoHyphens w:val="0"/>
              <w:spacing w:before="40" w:after="40" w:line="220" w:lineRule="exact"/>
              <w:rPr>
                <w:rFonts w:eastAsia="Times New Roman"/>
                <w:spacing w:val="0"/>
                <w:w w:val="100"/>
                <w:kern w:val="0"/>
                <w:sz w:val="17"/>
                <w:szCs w:val="17"/>
              </w:rPr>
            </w:pPr>
            <w:r w:rsidRPr="007E3E0B">
              <w:rPr>
                <w:rFonts w:eastAsia="Times New Roman"/>
                <w:spacing w:val="0"/>
                <w:w w:val="100"/>
                <w:kern w:val="0"/>
                <w:sz w:val="17"/>
                <w:szCs w:val="17"/>
              </w:rPr>
              <w:t>Health expenditure in total</w:t>
            </w:r>
          </w:p>
        </w:tc>
        <w:tc>
          <w:tcPr>
            <w:tcW w:w="0" w:type="auto"/>
            <w:shd w:val="clear" w:color="auto" w:fill="auto"/>
            <w:noWrap/>
            <w:vAlign w:val="bottom"/>
            <w:hideMark/>
          </w:tcPr>
          <w:p w14:paraId="65A1B8E4"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159.773</w:t>
            </w:r>
          </w:p>
        </w:tc>
        <w:tc>
          <w:tcPr>
            <w:tcW w:w="0" w:type="auto"/>
            <w:shd w:val="clear" w:color="auto" w:fill="auto"/>
            <w:noWrap/>
            <w:vAlign w:val="bottom"/>
            <w:hideMark/>
          </w:tcPr>
          <w:p w14:paraId="083EFDA4"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162.737</w:t>
            </w:r>
          </w:p>
        </w:tc>
        <w:tc>
          <w:tcPr>
            <w:tcW w:w="0" w:type="auto"/>
            <w:shd w:val="clear" w:color="auto" w:fill="auto"/>
            <w:noWrap/>
            <w:vAlign w:val="bottom"/>
            <w:hideMark/>
          </w:tcPr>
          <w:p w14:paraId="739524E3"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164.079</w:t>
            </w:r>
          </w:p>
        </w:tc>
        <w:tc>
          <w:tcPr>
            <w:tcW w:w="0" w:type="auto"/>
            <w:shd w:val="clear" w:color="auto" w:fill="auto"/>
            <w:noWrap/>
            <w:vAlign w:val="bottom"/>
          </w:tcPr>
          <w:p w14:paraId="3BB50E07"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29,8</w:t>
            </w:r>
          </w:p>
        </w:tc>
        <w:tc>
          <w:tcPr>
            <w:tcW w:w="0" w:type="auto"/>
            <w:shd w:val="clear" w:color="auto" w:fill="auto"/>
            <w:noWrap/>
            <w:vAlign w:val="bottom"/>
          </w:tcPr>
          <w:p w14:paraId="2BE7FC3C"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30,2</w:t>
            </w:r>
          </w:p>
        </w:tc>
        <w:tc>
          <w:tcPr>
            <w:tcW w:w="0" w:type="auto"/>
            <w:shd w:val="clear" w:color="auto" w:fill="auto"/>
            <w:noWrap/>
            <w:vAlign w:val="bottom"/>
          </w:tcPr>
          <w:p w14:paraId="7DC44D87"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30,6</w:t>
            </w:r>
          </w:p>
        </w:tc>
        <w:tc>
          <w:tcPr>
            <w:tcW w:w="0" w:type="auto"/>
            <w:shd w:val="clear" w:color="auto" w:fill="auto"/>
            <w:noWrap/>
            <w:vAlign w:val="bottom"/>
          </w:tcPr>
          <w:p w14:paraId="6EDF3C09"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7,7</w:t>
            </w:r>
          </w:p>
        </w:tc>
        <w:tc>
          <w:tcPr>
            <w:tcW w:w="0" w:type="auto"/>
            <w:shd w:val="clear" w:color="auto" w:fill="auto"/>
            <w:vAlign w:val="bottom"/>
          </w:tcPr>
          <w:p w14:paraId="050F1930"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7,8</w:t>
            </w:r>
          </w:p>
        </w:tc>
        <w:tc>
          <w:tcPr>
            <w:tcW w:w="0" w:type="auto"/>
            <w:shd w:val="clear" w:color="auto" w:fill="auto"/>
            <w:vAlign w:val="bottom"/>
          </w:tcPr>
          <w:p w14:paraId="2F45F9EA" w14:textId="77777777" w:rsidR="00DD3754" w:rsidRPr="007E3E0B" w:rsidRDefault="00DD3754" w:rsidP="009A1DB5">
            <w:pPr>
              <w:suppressAutoHyphens w:val="0"/>
              <w:spacing w:before="40" w:after="40" w:line="220" w:lineRule="exact"/>
              <w:ind w:left="113"/>
              <w:jc w:val="right"/>
              <w:rPr>
                <w:rFonts w:eastAsia="Times New Roman"/>
                <w:bCs/>
                <w:spacing w:val="0"/>
                <w:w w:val="100"/>
                <w:kern w:val="0"/>
                <w:sz w:val="17"/>
                <w:szCs w:val="17"/>
              </w:rPr>
            </w:pPr>
            <w:r w:rsidRPr="007E3E0B">
              <w:rPr>
                <w:rFonts w:eastAsia="Times New Roman"/>
                <w:bCs/>
                <w:spacing w:val="0"/>
                <w:w w:val="100"/>
                <w:kern w:val="0"/>
                <w:sz w:val="17"/>
                <w:szCs w:val="17"/>
              </w:rPr>
              <w:t>7,8</w:t>
            </w:r>
          </w:p>
        </w:tc>
      </w:tr>
      <w:tr w:rsidR="00DD3754" w:rsidRPr="007E3E0B" w14:paraId="20F84090" w14:textId="77777777" w:rsidTr="0076378A">
        <w:trPr>
          <w:trHeight w:val="240"/>
        </w:trPr>
        <w:tc>
          <w:tcPr>
            <w:tcW w:w="0" w:type="auto"/>
            <w:tcBorders>
              <w:bottom w:val="single" w:sz="4" w:space="0" w:color="auto"/>
            </w:tcBorders>
            <w:shd w:val="clear" w:color="auto" w:fill="auto"/>
            <w:hideMark/>
          </w:tcPr>
          <w:p w14:paraId="24DD879A" w14:textId="77777777" w:rsidR="00DD3754" w:rsidRPr="007E3E0B" w:rsidRDefault="00504476" w:rsidP="009A1DB5">
            <w:pPr>
              <w:suppressAutoHyphens w:val="0"/>
              <w:spacing w:before="40" w:after="81" w:line="210" w:lineRule="atLeast"/>
              <w:rPr>
                <w:rFonts w:eastAsia="Times New Roman"/>
                <w:iCs/>
                <w:spacing w:val="0"/>
                <w:w w:val="100"/>
                <w:kern w:val="0"/>
                <w:sz w:val="17"/>
                <w:szCs w:val="17"/>
              </w:rPr>
            </w:pPr>
            <w:r w:rsidRPr="007E3E0B">
              <w:rPr>
                <w:rFonts w:eastAsia="Times New Roman"/>
                <w:iCs/>
                <w:spacing w:val="0"/>
                <w:w w:val="100"/>
                <w:kern w:val="0"/>
                <w:sz w:val="17"/>
                <w:szCs w:val="17"/>
              </w:rPr>
              <w:t>I</w:t>
            </w:r>
            <w:r w:rsidR="00DD3754" w:rsidRPr="007E3E0B">
              <w:rPr>
                <w:rFonts w:eastAsia="Times New Roman"/>
                <w:iCs/>
                <w:spacing w:val="0"/>
                <w:w w:val="100"/>
                <w:kern w:val="0"/>
                <w:sz w:val="17"/>
                <w:szCs w:val="17"/>
              </w:rPr>
              <w:t>ncluding primary health care</w:t>
            </w:r>
          </w:p>
        </w:tc>
        <w:tc>
          <w:tcPr>
            <w:tcW w:w="0" w:type="auto"/>
            <w:tcBorders>
              <w:bottom w:val="single" w:sz="4" w:space="0" w:color="auto"/>
            </w:tcBorders>
            <w:shd w:val="clear" w:color="auto" w:fill="auto"/>
            <w:noWrap/>
            <w:vAlign w:val="bottom"/>
            <w:hideMark/>
          </w:tcPr>
          <w:p w14:paraId="61A7ED2B"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28.919</w:t>
            </w:r>
          </w:p>
        </w:tc>
        <w:tc>
          <w:tcPr>
            <w:tcW w:w="0" w:type="auto"/>
            <w:tcBorders>
              <w:bottom w:val="single" w:sz="4" w:space="0" w:color="auto"/>
            </w:tcBorders>
            <w:shd w:val="clear" w:color="auto" w:fill="auto"/>
            <w:noWrap/>
            <w:vAlign w:val="bottom"/>
            <w:hideMark/>
          </w:tcPr>
          <w:p w14:paraId="02427CBE"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29.234</w:t>
            </w:r>
          </w:p>
        </w:tc>
        <w:tc>
          <w:tcPr>
            <w:tcW w:w="0" w:type="auto"/>
            <w:tcBorders>
              <w:bottom w:val="single" w:sz="4" w:space="0" w:color="auto"/>
            </w:tcBorders>
            <w:shd w:val="clear" w:color="auto" w:fill="auto"/>
            <w:noWrap/>
            <w:vAlign w:val="bottom"/>
            <w:hideMark/>
          </w:tcPr>
          <w:p w14:paraId="4BB82AA3"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29.581</w:t>
            </w:r>
          </w:p>
        </w:tc>
        <w:tc>
          <w:tcPr>
            <w:tcW w:w="0" w:type="auto"/>
            <w:tcBorders>
              <w:bottom w:val="single" w:sz="4" w:space="0" w:color="auto"/>
            </w:tcBorders>
            <w:shd w:val="clear" w:color="auto" w:fill="auto"/>
            <w:noWrap/>
            <w:vAlign w:val="bottom"/>
          </w:tcPr>
          <w:p w14:paraId="73489019"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5,4</w:t>
            </w:r>
          </w:p>
        </w:tc>
        <w:tc>
          <w:tcPr>
            <w:tcW w:w="0" w:type="auto"/>
            <w:tcBorders>
              <w:bottom w:val="single" w:sz="4" w:space="0" w:color="auto"/>
            </w:tcBorders>
            <w:shd w:val="clear" w:color="auto" w:fill="auto"/>
            <w:noWrap/>
            <w:vAlign w:val="bottom"/>
          </w:tcPr>
          <w:p w14:paraId="41CCFA9B"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5,4</w:t>
            </w:r>
          </w:p>
        </w:tc>
        <w:tc>
          <w:tcPr>
            <w:tcW w:w="0" w:type="auto"/>
            <w:tcBorders>
              <w:bottom w:val="single" w:sz="4" w:space="0" w:color="auto"/>
            </w:tcBorders>
            <w:shd w:val="clear" w:color="auto" w:fill="auto"/>
            <w:noWrap/>
            <w:vAlign w:val="bottom"/>
          </w:tcPr>
          <w:p w14:paraId="6FB6D8F5"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5,5</w:t>
            </w:r>
          </w:p>
        </w:tc>
        <w:tc>
          <w:tcPr>
            <w:tcW w:w="0" w:type="auto"/>
            <w:tcBorders>
              <w:bottom w:val="single" w:sz="4" w:space="0" w:color="auto"/>
            </w:tcBorders>
            <w:shd w:val="clear" w:color="auto" w:fill="auto"/>
            <w:noWrap/>
            <w:vAlign w:val="bottom"/>
          </w:tcPr>
          <w:p w14:paraId="54AE283D"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w:t>
            </w:r>
          </w:p>
        </w:tc>
        <w:tc>
          <w:tcPr>
            <w:tcW w:w="0" w:type="auto"/>
            <w:tcBorders>
              <w:bottom w:val="single" w:sz="4" w:space="0" w:color="auto"/>
            </w:tcBorders>
            <w:shd w:val="clear" w:color="auto" w:fill="auto"/>
            <w:vAlign w:val="bottom"/>
          </w:tcPr>
          <w:p w14:paraId="384A821B"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w:t>
            </w:r>
          </w:p>
        </w:tc>
        <w:tc>
          <w:tcPr>
            <w:tcW w:w="0" w:type="auto"/>
            <w:tcBorders>
              <w:bottom w:val="single" w:sz="4" w:space="0" w:color="auto"/>
            </w:tcBorders>
            <w:shd w:val="clear" w:color="auto" w:fill="auto"/>
            <w:vAlign w:val="bottom"/>
          </w:tcPr>
          <w:p w14:paraId="1D6E0666"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w:t>
            </w:r>
          </w:p>
        </w:tc>
      </w:tr>
      <w:tr w:rsidR="00DD3754" w:rsidRPr="007E3E0B" w14:paraId="669070E5" w14:textId="77777777" w:rsidTr="0076378A">
        <w:trPr>
          <w:trHeight w:val="240"/>
        </w:trPr>
        <w:tc>
          <w:tcPr>
            <w:tcW w:w="0" w:type="auto"/>
            <w:tcBorders>
              <w:top w:val="single" w:sz="4" w:space="0" w:color="auto"/>
              <w:bottom w:val="single" w:sz="12" w:space="0" w:color="auto"/>
            </w:tcBorders>
            <w:shd w:val="clear" w:color="auto" w:fill="auto"/>
            <w:hideMark/>
          </w:tcPr>
          <w:p w14:paraId="6ED18F0E" w14:textId="77777777" w:rsidR="00DD3754" w:rsidRPr="007E3E0B" w:rsidRDefault="00DD3754" w:rsidP="009A1DB5">
            <w:pPr>
              <w:suppressAutoHyphens w:val="0"/>
              <w:spacing w:before="81" w:after="81" w:line="210" w:lineRule="atLeast"/>
              <w:rPr>
                <w:rFonts w:eastAsia="Times New Roman"/>
                <w:bCs/>
                <w:spacing w:val="0"/>
                <w:w w:val="100"/>
                <w:kern w:val="0"/>
                <w:sz w:val="17"/>
                <w:szCs w:val="17"/>
              </w:rPr>
            </w:pPr>
            <w:r w:rsidRPr="007E3E0B">
              <w:rPr>
                <w:rFonts w:eastAsia="Times New Roman"/>
                <w:bCs/>
                <w:spacing w:val="0"/>
                <w:w w:val="100"/>
                <w:kern w:val="0"/>
                <w:sz w:val="17"/>
                <w:szCs w:val="17"/>
              </w:rPr>
              <w:t>Total</w:t>
            </w:r>
          </w:p>
        </w:tc>
        <w:tc>
          <w:tcPr>
            <w:tcW w:w="0" w:type="auto"/>
            <w:tcBorders>
              <w:top w:val="single" w:sz="4" w:space="0" w:color="auto"/>
              <w:bottom w:val="single" w:sz="12" w:space="0" w:color="auto"/>
            </w:tcBorders>
            <w:shd w:val="clear" w:color="auto" w:fill="auto"/>
            <w:noWrap/>
            <w:vAlign w:val="bottom"/>
          </w:tcPr>
          <w:p w14:paraId="7869F582"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159.773</w:t>
            </w:r>
          </w:p>
        </w:tc>
        <w:tc>
          <w:tcPr>
            <w:tcW w:w="0" w:type="auto"/>
            <w:tcBorders>
              <w:top w:val="single" w:sz="4" w:space="0" w:color="auto"/>
              <w:bottom w:val="single" w:sz="12" w:space="0" w:color="auto"/>
            </w:tcBorders>
            <w:shd w:val="clear" w:color="auto" w:fill="auto"/>
            <w:noWrap/>
            <w:vAlign w:val="bottom"/>
          </w:tcPr>
          <w:p w14:paraId="13FC6BF3"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162.737</w:t>
            </w:r>
          </w:p>
        </w:tc>
        <w:tc>
          <w:tcPr>
            <w:tcW w:w="0" w:type="auto"/>
            <w:tcBorders>
              <w:top w:val="single" w:sz="4" w:space="0" w:color="auto"/>
              <w:bottom w:val="single" w:sz="12" w:space="0" w:color="auto"/>
            </w:tcBorders>
            <w:shd w:val="clear" w:color="auto" w:fill="auto"/>
            <w:noWrap/>
            <w:vAlign w:val="bottom"/>
          </w:tcPr>
          <w:p w14:paraId="55C5F629"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164.079</w:t>
            </w:r>
          </w:p>
        </w:tc>
        <w:tc>
          <w:tcPr>
            <w:tcW w:w="0" w:type="auto"/>
            <w:tcBorders>
              <w:top w:val="single" w:sz="4" w:space="0" w:color="auto"/>
              <w:bottom w:val="single" w:sz="12" w:space="0" w:color="auto"/>
            </w:tcBorders>
            <w:shd w:val="clear" w:color="auto" w:fill="auto"/>
            <w:noWrap/>
            <w:vAlign w:val="bottom"/>
          </w:tcPr>
          <w:p w14:paraId="2681552B"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29,8</w:t>
            </w:r>
          </w:p>
        </w:tc>
        <w:tc>
          <w:tcPr>
            <w:tcW w:w="0" w:type="auto"/>
            <w:tcBorders>
              <w:top w:val="single" w:sz="4" w:space="0" w:color="auto"/>
              <w:bottom w:val="single" w:sz="12" w:space="0" w:color="auto"/>
            </w:tcBorders>
            <w:shd w:val="clear" w:color="auto" w:fill="auto"/>
            <w:noWrap/>
            <w:vAlign w:val="bottom"/>
          </w:tcPr>
          <w:p w14:paraId="4AAD1708"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30,2</w:t>
            </w:r>
          </w:p>
        </w:tc>
        <w:tc>
          <w:tcPr>
            <w:tcW w:w="0" w:type="auto"/>
            <w:tcBorders>
              <w:top w:val="single" w:sz="4" w:space="0" w:color="auto"/>
              <w:bottom w:val="single" w:sz="12" w:space="0" w:color="auto"/>
            </w:tcBorders>
            <w:shd w:val="clear" w:color="auto" w:fill="auto"/>
            <w:noWrap/>
            <w:vAlign w:val="bottom"/>
          </w:tcPr>
          <w:p w14:paraId="6D596186"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30,6</w:t>
            </w:r>
          </w:p>
        </w:tc>
        <w:tc>
          <w:tcPr>
            <w:tcW w:w="0" w:type="auto"/>
            <w:tcBorders>
              <w:top w:val="single" w:sz="4" w:space="0" w:color="auto"/>
              <w:bottom w:val="single" w:sz="12" w:space="0" w:color="auto"/>
            </w:tcBorders>
            <w:shd w:val="clear" w:color="auto" w:fill="auto"/>
            <w:noWrap/>
            <w:vAlign w:val="bottom"/>
          </w:tcPr>
          <w:p w14:paraId="18FF46CC"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7,7</w:t>
            </w:r>
          </w:p>
        </w:tc>
        <w:tc>
          <w:tcPr>
            <w:tcW w:w="0" w:type="auto"/>
            <w:tcBorders>
              <w:top w:val="single" w:sz="4" w:space="0" w:color="auto"/>
              <w:bottom w:val="single" w:sz="12" w:space="0" w:color="auto"/>
            </w:tcBorders>
            <w:shd w:val="clear" w:color="auto" w:fill="auto"/>
            <w:vAlign w:val="bottom"/>
          </w:tcPr>
          <w:p w14:paraId="144BAFFE"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7,8</w:t>
            </w:r>
          </w:p>
        </w:tc>
        <w:tc>
          <w:tcPr>
            <w:tcW w:w="0" w:type="auto"/>
            <w:tcBorders>
              <w:top w:val="single" w:sz="4" w:space="0" w:color="auto"/>
              <w:bottom w:val="single" w:sz="12" w:space="0" w:color="auto"/>
            </w:tcBorders>
            <w:shd w:val="clear" w:color="auto" w:fill="auto"/>
            <w:vAlign w:val="bottom"/>
          </w:tcPr>
          <w:p w14:paraId="36AB595F"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7,8</w:t>
            </w:r>
          </w:p>
        </w:tc>
      </w:tr>
    </w:tbl>
    <w:p w14:paraId="4E47E3CC" w14:textId="77777777" w:rsidR="00DD3754" w:rsidRPr="007E3E0B" w:rsidRDefault="00DD3754" w:rsidP="004233BE">
      <w:pPr>
        <w:pStyle w:val="SingleTxt"/>
        <w:spacing w:before="81" w:after="0" w:line="120" w:lineRule="exact"/>
        <w:rPr>
          <w:b/>
          <w:sz w:val="10"/>
        </w:rPr>
      </w:pPr>
    </w:p>
    <w:p w14:paraId="36FAE473" w14:textId="77777777" w:rsidR="00504476" w:rsidRPr="007E3E0B" w:rsidRDefault="00504476" w:rsidP="00504476">
      <w:pPr>
        <w:pStyle w:val="SingleTxt"/>
        <w:spacing w:after="0" w:line="120" w:lineRule="exact"/>
        <w:rPr>
          <w:b/>
          <w:sz w:val="10"/>
        </w:rPr>
      </w:pPr>
    </w:p>
    <w:p w14:paraId="521AD35D" w14:textId="77777777" w:rsidR="00DD3754" w:rsidRPr="007E3E0B" w:rsidRDefault="00504476" w:rsidP="00504476">
      <w:pPr>
        <w:pStyle w:val="H23"/>
      </w:pPr>
      <w:r w:rsidRPr="007E3E0B">
        <w:tab/>
      </w:r>
      <w:r w:rsidRPr="007E3E0B">
        <w:tab/>
      </w:r>
      <w:r w:rsidR="00DD3754" w:rsidRPr="007E3E0B">
        <w:t>Early childhood development (care and education)</w:t>
      </w:r>
    </w:p>
    <w:p w14:paraId="6A2B6A7A" w14:textId="77777777" w:rsidR="00FE6B99" w:rsidRPr="007E3E0B" w:rsidRDefault="00FE6B99" w:rsidP="00FE6B99">
      <w:pPr>
        <w:pStyle w:val="SingleTxt"/>
        <w:spacing w:after="0" w:line="120" w:lineRule="exact"/>
        <w:rPr>
          <w:sz w:val="10"/>
        </w:rPr>
      </w:pPr>
    </w:p>
    <w:p w14:paraId="1EA0C667" w14:textId="77777777" w:rsidR="00DD3754" w:rsidRPr="007E3E0B" w:rsidRDefault="00504476" w:rsidP="00504476">
      <w:pPr>
        <w:pStyle w:val="H23"/>
      </w:pPr>
      <w:r w:rsidRPr="007E3E0B">
        <w:tab/>
      </w:r>
      <w:r w:rsidRPr="007E3E0B">
        <w:tab/>
      </w:r>
      <w:r w:rsidR="00DD3754" w:rsidRPr="007E3E0B">
        <w:t>Annual municipal expenses on early childhood development</w:t>
      </w:r>
    </w:p>
    <w:p w14:paraId="18E82F78" w14:textId="77777777" w:rsidR="00DD3754" w:rsidRPr="007E3E0B" w:rsidRDefault="00DD3754" w:rsidP="00504476">
      <w:pPr>
        <w:pStyle w:val="SingleTxt"/>
        <w:spacing w:after="0" w:line="120" w:lineRule="exact"/>
        <w:rPr>
          <w:b/>
          <w:bCs/>
          <w:sz w:val="10"/>
        </w:rPr>
      </w:pPr>
    </w:p>
    <w:tbl>
      <w:tblPr>
        <w:tblW w:w="7371" w:type="dxa"/>
        <w:tblInd w:w="1264" w:type="dxa"/>
        <w:tblBorders>
          <w:top w:val="single" w:sz="4" w:space="0" w:color="auto"/>
        </w:tblBorders>
        <w:tblCellMar>
          <w:left w:w="0" w:type="dxa"/>
          <w:right w:w="0" w:type="dxa"/>
        </w:tblCellMar>
        <w:tblLook w:val="04A0" w:firstRow="1" w:lastRow="0" w:firstColumn="1" w:lastColumn="0" w:noHBand="0" w:noVBand="1"/>
      </w:tblPr>
      <w:tblGrid>
        <w:gridCol w:w="2360"/>
        <w:gridCol w:w="636"/>
        <w:gridCol w:w="635"/>
        <w:gridCol w:w="635"/>
        <w:gridCol w:w="529"/>
        <w:gridCol w:w="529"/>
        <w:gridCol w:w="529"/>
        <w:gridCol w:w="506"/>
        <w:gridCol w:w="506"/>
        <w:gridCol w:w="506"/>
      </w:tblGrid>
      <w:tr w:rsidR="00DD3754" w:rsidRPr="007E3E0B" w14:paraId="5C3C66D6" w14:textId="77777777" w:rsidTr="00FE6B99">
        <w:trPr>
          <w:trHeight w:val="240"/>
          <w:tblHeader/>
        </w:trPr>
        <w:tc>
          <w:tcPr>
            <w:tcW w:w="0" w:type="auto"/>
            <w:tcBorders>
              <w:top w:val="single" w:sz="4" w:space="0" w:color="auto"/>
              <w:bottom w:val="single" w:sz="12" w:space="0" w:color="auto"/>
            </w:tcBorders>
            <w:shd w:val="clear" w:color="auto" w:fill="auto"/>
            <w:noWrap/>
            <w:vAlign w:val="bottom"/>
          </w:tcPr>
          <w:p w14:paraId="1E71BE1A" w14:textId="77777777" w:rsidR="00DD3754" w:rsidRPr="007E3E0B" w:rsidRDefault="00DD3754" w:rsidP="00504476">
            <w:pPr>
              <w:suppressAutoHyphens w:val="0"/>
              <w:spacing w:before="80" w:after="80" w:line="160" w:lineRule="atLeast"/>
              <w:rPr>
                <w:rFonts w:eastAsia="Times New Roman"/>
                <w:bCs/>
                <w:i/>
                <w:spacing w:val="0"/>
                <w:w w:val="100"/>
                <w:kern w:val="0"/>
                <w:sz w:val="14"/>
                <w:szCs w:val="14"/>
              </w:rPr>
            </w:pPr>
          </w:p>
        </w:tc>
        <w:tc>
          <w:tcPr>
            <w:tcW w:w="0" w:type="auto"/>
            <w:gridSpan w:val="3"/>
            <w:tcBorders>
              <w:top w:val="single" w:sz="4" w:space="0" w:color="auto"/>
              <w:bottom w:val="single" w:sz="12" w:space="0" w:color="auto"/>
            </w:tcBorders>
            <w:shd w:val="clear" w:color="auto" w:fill="auto"/>
            <w:noWrap/>
            <w:vAlign w:val="bottom"/>
          </w:tcPr>
          <w:p w14:paraId="0C96A512" w14:textId="77777777" w:rsidR="00DD3754" w:rsidRPr="007E3E0B" w:rsidRDefault="00DD3754" w:rsidP="00FE6B99">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DKK millions, </w:t>
            </w:r>
            <w:r w:rsidR="00FE6B99" w:rsidRPr="007E3E0B">
              <w:rPr>
                <w:rFonts w:eastAsia="Times New Roman"/>
                <w:bCs/>
                <w:i/>
                <w:spacing w:val="0"/>
                <w:w w:val="100"/>
                <w:kern w:val="0"/>
                <w:sz w:val="14"/>
                <w:szCs w:val="14"/>
              </w:rPr>
              <w:br/>
            </w:r>
            <w:r w:rsidRPr="007E3E0B">
              <w:rPr>
                <w:rFonts w:eastAsia="Times New Roman"/>
                <w:bCs/>
                <w:i/>
                <w:spacing w:val="0"/>
                <w:w w:val="100"/>
                <w:kern w:val="0"/>
                <w:sz w:val="14"/>
                <w:szCs w:val="14"/>
              </w:rPr>
              <w:t>2017-price and wage level</w:t>
            </w:r>
          </w:p>
        </w:tc>
        <w:tc>
          <w:tcPr>
            <w:tcW w:w="0" w:type="auto"/>
            <w:gridSpan w:val="3"/>
            <w:tcBorders>
              <w:top w:val="single" w:sz="4" w:space="0" w:color="auto"/>
              <w:bottom w:val="single" w:sz="12" w:space="0" w:color="auto"/>
            </w:tcBorders>
            <w:shd w:val="clear" w:color="auto" w:fill="auto"/>
            <w:noWrap/>
            <w:vAlign w:val="bottom"/>
          </w:tcPr>
          <w:p w14:paraId="0A474ACE" w14:textId="77777777" w:rsidR="00DD3754" w:rsidRPr="007E3E0B" w:rsidRDefault="00DD3754" w:rsidP="00FE6B99">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FE6B99" w:rsidRPr="007E3E0B">
              <w:rPr>
                <w:rFonts w:eastAsia="Times New Roman"/>
                <w:bCs/>
                <w:i/>
                <w:spacing w:val="0"/>
                <w:w w:val="100"/>
                <w:kern w:val="0"/>
                <w:sz w:val="14"/>
                <w:szCs w:val="14"/>
              </w:rPr>
              <w:br/>
            </w:r>
            <w:r w:rsidRPr="007E3E0B">
              <w:rPr>
                <w:rFonts w:eastAsia="Times New Roman"/>
                <w:bCs/>
                <w:i/>
                <w:spacing w:val="0"/>
                <w:w w:val="100"/>
                <w:kern w:val="0"/>
                <w:sz w:val="14"/>
                <w:szCs w:val="14"/>
              </w:rPr>
              <w:t>total public expenditure</w:t>
            </w:r>
          </w:p>
        </w:tc>
        <w:tc>
          <w:tcPr>
            <w:tcW w:w="0" w:type="auto"/>
            <w:gridSpan w:val="3"/>
            <w:tcBorders>
              <w:top w:val="single" w:sz="4" w:space="0" w:color="auto"/>
              <w:bottom w:val="single" w:sz="12" w:space="0" w:color="auto"/>
            </w:tcBorders>
            <w:shd w:val="clear" w:color="auto" w:fill="auto"/>
            <w:noWrap/>
            <w:vAlign w:val="bottom"/>
          </w:tcPr>
          <w:p w14:paraId="6C0D7B34" w14:textId="77777777" w:rsidR="00DD3754" w:rsidRPr="007E3E0B" w:rsidRDefault="00DD3754" w:rsidP="00FE6B99">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FE6B99" w:rsidRPr="007E3E0B">
              <w:rPr>
                <w:rFonts w:eastAsia="Times New Roman"/>
                <w:bCs/>
                <w:i/>
                <w:spacing w:val="0"/>
                <w:w w:val="100"/>
                <w:kern w:val="0"/>
                <w:sz w:val="14"/>
                <w:szCs w:val="14"/>
              </w:rPr>
              <w:br/>
            </w:r>
            <w:r w:rsidRPr="007E3E0B">
              <w:rPr>
                <w:rFonts w:eastAsia="Times New Roman"/>
                <w:bCs/>
                <w:i/>
                <w:spacing w:val="0"/>
                <w:w w:val="100"/>
                <w:kern w:val="0"/>
                <w:sz w:val="14"/>
                <w:szCs w:val="14"/>
              </w:rPr>
              <w:t>gross national product</w:t>
            </w:r>
          </w:p>
        </w:tc>
      </w:tr>
      <w:tr w:rsidR="00DD3754" w:rsidRPr="007E3E0B" w14:paraId="1251703E" w14:textId="77777777" w:rsidTr="00FE6B99">
        <w:trPr>
          <w:trHeight w:val="240"/>
        </w:trPr>
        <w:tc>
          <w:tcPr>
            <w:tcW w:w="0" w:type="auto"/>
            <w:tcBorders>
              <w:top w:val="single" w:sz="12" w:space="0" w:color="auto"/>
            </w:tcBorders>
            <w:shd w:val="clear" w:color="auto" w:fill="auto"/>
            <w:noWrap/>
          </w:tcPr>
          <w:p w14:paraId="1441FDC8" w14:textId="77777777" w:rsidR="00DD3754" w:rsidRPr="007E3E0B" w:rsidRDefault="00DD3754" w:rsidP="009A1DB5">
            <w:pPr>
              <w:suppressAutoHyphens w:val="0"/>
              <w:spacing w:before="40" w:after="40" w:line="210" w:lineRule="atLeast"/>
              <w:rPr>
                <w:rFonts w:eastAsia="Times New Roman"/>
                <w:bCs/>
                <w:spacing w:val="0"/>
                <w:w w:val="100"/>
                <w:kern w:val="0"/>
                <w:sz w:val="17"/>
                <w:szCs w:val="17"/>
              </w:rPr>
            </w:pPr>
          </w:p>
        </w:tc>
        <w:tc>
          <w:tcPr>
            <w:tcW w:w="0" w:type="auto"/>
            <w:tcBorders>
              <w:top w:val="single" w:sz="12" w:space="0" w:color="auto"/>
            </w:tcBorders>
            <w:shd w:val="clear" w:color="auto" w:fill="auto"/>
            <w:noWrap/>
            <w:vAlign w:val="bottom"/>
            <w:hideMark/>
          </w:tcPr>
          <w:p w14:paraId="42B1938F"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noWrap/>
            <w:vAlign w:val="bottom"/>
            <w:hideMark/>
          </w:tcPr>
          <w:p w14:paraId="3176ADBE"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noWrap/>
            <w:vAlign w:val="bottom"/>
            <w:hideMark/>
          </w:tcPr>
          <w:p w14:paraId="30F40EDE"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0" w:type="auto"/>
            <w:tcBorders>
              <w:top w:val="single" w:sz="12" w:space="0" w:color="auto"/>
            </w:tcBorders>
            <w:shd w:val="clear" w:color="auto" w:fill="auto"/>
            <w:noWrap/>
            <w:vAlign w:val="bottom"/>
            <w:hideMark/>
          </w:tcPr>
          <w:p w14:paraId="1DEB2102"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noWrap/>
            <w:vAlign w:val="bottom"/>
            <w:hideMark/>
          </w:tcPr>
          <w:p w14:paraId="605E12B4"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noWrap/>
            <w:vAlign w:val="bottom"/>
            <w:hideMark/>
          </w:tcPr>
          <w:p w14:paraId="14008073"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0" w:type="auto"/>
            <w:tcBorders>
              <w:top w:val="single" w:sz="12" w:space="0" w:color="auto"/>
            </w:tcBorders>
            <w:shd w:val="clear" w:color="auto" w:fill="auto"/>
            <w:noWrap/>
            <w:vAlign w:val="bottom"/>
            <w:hideMark/>
          </w:tcPr>
          <w:p w14:paraId="724C7552"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vAlign w:val="bottom"/>
          </w:tcPr>
          <w:p w14:paraId="7A3DB7CE"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vAlign w:val="bottom"/>
          </w:tcPr>
          <w:p w14:paraId="2CC16521"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r>
      <w:tr w:rsidR="00DD3754" w:rsidRPr="007E3E0B" w14:paraId="6BB8FCB0" w14:textId="77777777" w:rsidTr="00B3262E">
        <w:trPr>
          <w:trHeight w:val="240"/>
        </w:trPr>
        <w:tc>
          <w:tcPr>
            <w:tcW w:w="0" w:type="auto"/>
            <w:tcBorders>
              <w:bottom w:val="single" w:sz="4" w:space="0" w:color="auto"/>
            </w:tcBorders>
            <w:shd w:val="clear" w:color="auto" w:fill="auto"/>
          </w:tcPr>
          <w:p w14:paraId="594BB86A" w14:textId="77777777" w:rsidR="00DD3754" w:rsidRPr="007E3E0B" w:rsidRDefault="00FE6B99" w:rsidP="009A1DB5">
            <w:pPr>
              <w:suppressAutoHyphens w:val="0"/>
              <w:spacing w:before="40" w:after="81" w:line="210" w:lineRule="atLeast"/>
              <w:rPr>
                <w:rFonts w:eastAsia="Times New Roman"/>
                <w:spacing w:val="0"/>
                <w:w w:val="100"/>
                <w:kern w:val="0"/>
                <w:sz w:val="17"/>
                <w:szCs w:val="17"/>
              </w:rPr>
            </w:pPr>
            <w:r w:rsidRPr="007E3E0B">
              <w:rPr>
                <w:rFonts w:eastAsia="Times New Roman"/>
                <w:spacing w:val="0"/>
                <w:w w:val="100"/>
                <w:kern w:val="0"/>
                <w:sz w:val="17"/>
                <w:szCs w:val="17"/>
              </w:rPr>
              <w:t xml:space="preserve">Operating expenses </w:t>
            </w:r>
            <w:r w:rsidRPr="007E3E0B">
              <w:rPr>
                <w:rFonts w:eastAsia="Times New Roman"/>
                <w:spacing w:val="0"/>
                <w:w w:val="100"/>
                <w:kern w:val="0"/>
                <w:sz w:val="17"/>
                <w:szCs w:val="17"/>
              </w:rPr>
              <w:br/>
              <w:t xml:space="preserve">(exclusive </w:t>
            </w:r>
            <w:r w:rsidR="00DD3754" w:rsidRPr="007E3E0B">
              <w:rPr>
                <w:rFonts w:eastAsia="Times New Roman"/>
                <w:spacing w:val="0"/>
                <w:w w:val="100"/>
                <w:kern w:val="0"/>
                <w:sz w:val="17"/>
                <w:szCs w:val="17"/>
              </w:rPr>
              <w:t>of parental payment)</w:t>
            </w:r>
          </w:p>
        </w:tc>
        <w:tc>
          <w:tcPr>
            <w:tcW w:w="0" w:type="auto"/>
            <w:tcBorders>
              <w:bottom w:val="single" w:sz="4" w:space="0" w:color="auto"/>
            </w:tcBorders>
            <w:shd w:val="clear" w:color="auto" w:fill="auto"/>
            <w:noWrap/>
            <w:vAlign w:val="bottom"/>
          </w:tcPr>
          <w:p w14:paraId="48EE95B2"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27.834     </w:t>
            </w:r>
          </w:p>
        </w:tc>
        <w:tc>
          <w:tcPr>
            <w:tcW w:w="0" w:type="auto"/>
            <w:tcBorders>
              <w:bottom w:val="single" w:sz="4" w:space="0" w:color="auto"/>
            </w:tcBorders>
            <w:shd w:val="clear" w:color="auto" w:fill="auto"/>
            <w:noWrap/>
            <w:vAlign w:val="bottom"/>
          </w:tcPr>
          <w:p w14:paraId="03F1A9AE"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28.578     </w:t>
            </w:r>
          </w:p>
        </w:tc>
        <w:tc>
          <w:tcPr>
            <w:tcW w:w="0" w:type="auto"/>
            <w:tcBorders>
              <w:bottom w:val="single" w:sz="4" w:space="0" w:color="auto"/>
            </w:tcBorders>
            <w:shd w:val="clear" w:color="auto" w:fill="auto"/>
            <w:noWrap/>
            <w:vAlign w:val="bottom"/>
          </w:tcPr>
          <w:p w14:paraId="69072DC8"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28.357     </w:t>
            </w:r>
          </w:p>
        </w:tc>
        <w:tc>
          <w:tcPr>
            <w:tcW w:w="0" w:type="auto"/>
            <w:tcBorders>
              <w:bottom w:val="single" w:sz="4" w:space="0" w:color="auto"/>
            </w:tcBorders>
            <w:shd w:val="clear" w:color="auto" w:fill="auto"/>
            <w:noWrap/>
            <w:vAlign w:val="bottom"/>
          </w:tcPr>
          <w:p w14:paraId="53744CFD"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5,2</w:t>
            </w:r>
          </w:p>
        </w:tc>
        <w:tc>
          <w:tcPr>
            <w:tcW w:w="0" w:type="auto"/>
            <w:tcBorders>
              <w:bottom w:val="single" w:sz="4" w:space="0" w:color="auto"/>
            </w:tcBorders>
            <w:shd w:val="clear" w:color="auto" w:fill="auto"/>
            <w:noWrap/>
            <w:vAlign w:val="bottom"/>
          </w:tcPr>
          <w:p w14:paraId="2FBA5F00"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5,3     </w:t>
            </w:r>
          </w:p>
        </w:tc>
        <w:tc>
          <w:tcPr>
            <w:tcW w:w="0" w:type="auto"/>
            <w:tcBorders>
              <w:bottom w:val="single" w:sz="4" w:space="0" w:color="auto"/>
            </w:tcBorders>
            <w:shd w:val="clear" w:color="auto" w:fill="auto"/>
            <w:noWrap/>
            <w:vAlign w:val="bottom"/>
          </w:tcPr>
          <w:p w14:paraId="1BDB5BB8"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5,3</w:t>
            </w:r>
          </w:p>
        </w:tc>
        <w:tc>
          <w:tcPr>
            <w:tcW w:w="0" w:type="auto"/>
            <w:tcBorders>
              <w:bottom w:val="single" w:sz="4" w:space="0" w:color="auto"/>
            </w:tcBorders>
            <w:shd w:val="clear" w:color="auto" w:fill="auto"/>
            <w:noWrap/>
            <w:vAlign w:val="bottom"/>
          </w:tcPr>
          <w:p w14:paraId="495A57B8"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1,3     </w:t>
            </w:r>
          </w:p>
        </w:tc>
        <w:tc>
          <w:tcPr>
            <w:tcW w:w="0" w:type="auto"/>
            <w:tcBorders>
              <w:bottom w:val="single" w:sz="4" w:space="0" w:color="auto"/>
            </w:tcBorders>
            <w:shd w:val="clear" w:color="auto" w:fill="auto"/>
            <w:vAlign w:val="bottom"/>
          </w:tcPr>
          <w:p w14:paraId="29E3F853"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w:t>
            </w:r>
          </w:p>
        </w:tc>
        <w:tc>
          <w:tcPr>
            <w:tcW w:w="0" w:type="auto"/>
            <w:tcBorders>
              <w:bottom w:val="single" w:sz="4" w:space="0" w:color="auto"/>
            </w:tcBorders>
            <w:shd w:val="clear" w:color="auto" w:fill="auto"/>
            <w:vAlign w:val="bottom"/>
          </w:tcPr>
          <w:p w14:paraId="29BA50C2" w14:textId="77777777" w:rsidR="00DD3754" w:rsidRPr="007E3E0B" w:rsidRDefault="00DD3754"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w:t>
            </w:r>
          </w:p>
        </w:tc>
      </w:tr>
      <w:tr w:rsidR="00DD3754" w:rsidRPr="007E3E0B" w14:paraId="036E1257" w14:textId="77777777" w:rsidTr="00B3262E">
        <w:trPr>
          <w:trHeight w:val="240"/>
        </w:trPr>
        <w:tc>
          <w:tcPr>
            <w:tcW w:w="0" w:type="auto"/>
            <w:tcBorders>
              <w:top w:val="single" w:sz="4" w:space="0" w:color="auto"/>
              <w:bottom w:val="single" w:sz="12" w:space="0" w:color="auto"/>
            </w:tcBorders>
            <w:shd w:val="clear" w:color="auto" w:fill="auto"/>
            <w:hideMark/>
          </w:tcPr>
          <w:p w14:paraId="32C2E074" w14:textId="77777777" w:rsidR="00DD3754" w:rsidRPr="007E3E0B" w:rsidRDefault="00DD3754" w:rsidP="009A1DB5">
            <w:pPr>
              <w:suppressAutoHyphens w:val="0"/>
              <w:spacing w:before="81" w:after="81" w:line="210" w:lineRule="atLeast"/>
              <w:rPr>
                <w:rFonts w:eastAsia="Times New Roman"/>
                <w:bCs/>
                <w:spacing w:val="0"/>
                <w:w w:val="100"/>
                <w:kern w:val="0"/>
                <w:sz w:val="17"/>
                <w:szCs w:val="17"/>
              </w:rPr>
            </w:pPr>
            <w:r w:rsidRPr="007E3E0B">
              <w:rPr>
                <w:rFonts w:eastAsia="Times New Roman"/>
                <w:bCs/>
                <w:spacing w:val="0"/>
                <w:w w:val="100"/>
                <w:kern w:val="0"/>
                <w:sz w:val="17"/>
                <w:szCs w:val="17"/>
              </w:rPr>
              <w:t>Total</w:t>
            </w:r>
          </w:p>
        </w:tc>
        <w:tc>
          <w:tcPr>
            <w:tcW w:w="0" w:type="auto"/>
            <w:tcBorders>
              <w:top w:val="single" w:sz="4" w:space="0" w:color="auto"/>
              <w:bottom w:val="single" w:sz="12" w:space="0" w:color="auto"/>
            </w:tcBorders>
            <w:shd w:val="clear" w:color="auto" w:fill="auto"/>
            <w:noWrap/>
            <w:vAlign w:val="bottom"/>
          </w:tcPr>
          <w:p w14:paraId="792986FF"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27.834     </w:t>
            </w:r>
          </w:p>
        </w:tc>
        <w:tc>
          <w:tcPr>
            <w:tcW w:w="0" w:type="auto"/>
            <w:tcBorders>
              <w:top w:val="single" w:sz="4" w:space="0" w:color="auto"/>
              <w:bottom w:val="single" w:sz="12" w:space="0" w:color="auto"/>
            </w:tcBorders>
            <w:shd w:val="clear" w:color="auto" w:fill="auto"/>
            <w:noWrap/>
            <w:vAlign w:val="bottom"/>
          </w:tcPr>
          <w:p w14:paraId="492CE211"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28.578     </w:t>
            </w:r>
          </w:p>
        </w:tc>
        <w:tc>
          <w:tcPr>
            <w:tcW w:w="0" w:type="auto"/>
            <w:tcBorders>
              <w:top w:val="single" w:sz="4" w:space="0" w:color="auto"/>
              <w:bottom w:val="single" w:sz="12" w:space="0" w:color="auto"/>
            </w:tcBorders>
            <w:shd w:val="clear" w:color="auto" w:fill="auto"/>
            <w:noWrap/>
            <w:vAlign w:val="bottom"/>
          </w:tcPr>
          <w:p w14:paraId="59E982B6" w14:textId="77777777" w:rsidR="00DD3754" w:rsidRPr="007E3E0B" w:rsidRDefault="0000113A" w:rsidP="0000113A">
            <w:pPr>
              <w:suppressAutoHyphens w:val="0"/>
              <w:spacing w:before="81" w:after="81" w:line="210" w:lineRule="atLeast"/>
              <w:ind w:left="113"/>
              <w:jc w:val="right"/>
              <w:rPr>
                <w:rFonts w:eastAsia="Times New Roman"/>
                <w:bCs/>
                <w:spacing w:val="0"/>
                <w:w w:val="100"/>
                <w:kern w:val="0"/>
                <w:sz w:val="17"/>
                <w:szCs w:val="17"/>
              </w:rPr>
            </w:pPr>
            <w:r>
              <w:rPr>
                <w:rFonts w:eastAsia="Times New Roman"/>
                <w:bCs/>
                <w:spacing w:val="0"/>
                <w:w w:val="100"/>
                <w:kern w:val="0"/>
                <w:sz w:val="17"/>
                <w:szCs w:val="17"/>
              </w:rPr>
              <w:t xml:space="preserve">28.357 </w:t>
            </w:r>
            <w:r w:rsidR="00DD3754" w:rsidRPr="007E3E0B">
              <w:rPr>
                <w:rFonts w:eastAsia="Times New Roman"/>
                <w:bCs/>
                <w:spacing w:val="0"/>
                <w:w w:val="100"/>
                <w:kern w:val="0"/>
                <w:sz w:val="17"/>
                <w:szCs w:val="17"/>
              </w:rPr>
              <w:t xml:space="preserve"> </w:t>
            </w:r>
          </w:p>
        </w:tc>
        <w:tc>
          <w:tcPr>
            <w:tcW w:w="0" w:type="auto"/>
            <w:tcBorders>
              <w:top w:val="single" w:sz="4" w:space="0" w:color="auto"/>
              <w:bottom w:val="single" w:sz="12" w:space="0" w:color="auto"/>
            </w:tcBorders>
            <w:shd w:val="clear" w:color="auto" w:fill="auto"/>
            <w:noWrap/>
            <w:vAlign w:val="bottom"/>
          </w:tcPr>
          <w:p w14:paraId="6E486677"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5,2</w:t>
            </w:r>
          </w:p>
        </w:tc>
        <w:tc>
          <w:tcPr>
            <w:tcW w:w="0" w:type="auto"/>
            <w:tcBorders>
              <w:top w:val="single" w:sz="4" w:space="0" w:color="auto"/>
              <w:bottom w:val="single" w:sz="12" w:space="0" w:color="auto"/>
            </w:tcBorders>
            <w:shd w:val="clear" w:color="auto" w:fill="auto"/>
            <w:noWrap/>
            <w:vAlign w:val="bottom"/>
          </w:tcPr>
          <w:p w14:paraId="6A8FE813"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5,3     </w:t>
            </w:r>
          </w:p>
        </w:tc>
        <w:tc>
          <w:tcPr>
            <w:tcW w:w="0" w:type="auto"/>
            <w:tcBorders>
              <w:top w:val="single" w:sz="4" w:space="0" w:color="auto"/>
              <w:bottom w:val="single" w:sz="12" w:space="0" w:color="auto"/>
            </w:tcBorders>
            <w:shd w:val="clear" w:color="auto" w:fill="auto"/>
            <w:noWrap/>
            <w:vAlign w:val="bottom"/>
          </w:tcPr>
          <w:p w14:paraId="2DC7230E"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5,3</w:t>
            </w:r>
          </w:p>
        </w:tc>
        <w:tc>
          <w:tcPr>
            <w:tcW w:w="0" w:type="auto"/>
            <w:tcBorders>
              <w:top w:val="single" w:sz="4" w:space="0" w:color="auto"/>
              <w:bottom w:val="single" w:sz="12" w:space="0" w:color="auto"/>
            </w:tcBorders>
            <w:shd w:val="clear" w:color="auto" w:fill="auto"/>
            <w:noWrap/>
            <w:vAlign w:val="bottom"/>
          </w:tcPr>
          <w:p w14:paraId="4B98971E"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1,3     </w:t>
            </w:r>
          </w:p>
        </w:tc>
        <w:tc>
          <w:tcPr>
            <w:tcW w:w="0" w:type="auto"/>
            <w:tcBorders>
              <w:top w:val="single" w:sz="4" w:space="0" w:color="auto"/>
              <w:bottom w:val="single" w:sz="12" w:space="0" w:color="auto"/>
            </w:tcBorders>
            <w:shd w:val="clear" w:color="auto" w:fill="auto"/>
            <w:vAlign w:val="bottom"/>
          </w:tcPr>
          <w:p w14:paraId="37EA3B3B"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w:t>
            </w:r>
          </w:p>
        </w:tc>
        <w:tc>
          <w:tcPr>
            <w:tcW w:w="0" w:type="auto"/>
            <w:tcBorders>
              <w:top w:val="single" w:sz="4" w:space="0" w:color="auto"/>
              <w:bottom w:val="single" w:sz="12" w:space="0" w:color="auto"/>
            </w:tcBorders>
            <w:shd w:val="clear" w:color="auto" w:fill="auto"/>
            <w:vAlign w:val="bottom"/>
          </w:tcPr>
          <w:p w14:paraId="2FEF1E67" w14:textId="77777777" w:rsidR="00DD3754" w:rsidRPr="007E3E0B" w:rsidRDefault="00DD3754" w:rsidP="009A1DB5">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1,4</w:t>
            </w:r>
          </w:p>
        </w:tc>
      </w:tr>
    </w:tbl>
    <w:p w14:paraId="30C23A92" w14:textId="77777777" w:rsidR="00DD3754" w:rsidRPr="004233BE" w:rsidRDefault="00DD3754" w:rsidP="004233BE">
      <w:pPr>
        <w:pStyle w:val="SingleTxt"/>
        <w:spacing w:after="0" w:line="120" w:lineRule="exact"/>
        <w:rPr>
          <w:sz w:val="10"/>
        </w:rPr>
      </w:pPr>
    </w:p>
    <w:p w14:paraId="264DB7E6" w14:textId="77777777" w:rsidR="004233BE" w:rsidRPr="007E3E0B" w:rsidRDefault="004233BE" w:rsidP="00FE6B99">
      <w:pPr>
        <w:pStyle w:val="SingleTxt"/>
        <w:spacing w:after="0" w:line="120" w:lineRule="exact"/>
        <w:rPr>
          <w:sz w:val="10"/>
        </w:rPr>
      </w:pPr>
    </w:p>
    <w:p w14:paraId="0E94C9A0" w14:textId="77777777" w:rsidR="00DD3754" w:rsidRPr="007E3E0B" w:rsidRDefault="00FE6B99" w:rsidP="00FE6B99">
      <w:pPr>
        <w:pStyle w:val="H23"/>
      </w:pPr>
      <w:r w:rsidRPr="007E3E0B">
        <w:tab/>
      </w:r>
      <w:r w:rsidRPr="007E3E0B">
        <w:tab/>
      </w:r>
      <w:r w:rsidR="00DD3754" w:rsidRPr="007E3E0B">
        <w:t xml:space="preserve">Education (primary, secondary), vocational education and training, </w:t>
      </w:r>
      <w:r w:rsidR="004233BE">
        <w:br/>
      </w:r>
      <w:r w:rsidR="00DD3754" w:rsidRPr="007E3E0B">
        <w:t>special education</w:t>
      </w:r>
    </w:p>
    <w:p w14:paraId="7D07B525" w14:textId="77777777" w:rsidR="00FE6B99" w:rsidRPr="007E3E0B" w:rsidRDefault="00FE6B99" w:rsidP="00FE6B99">
      <w:pPr>
        <w:pStyle w:val="SingleTxt"/>
        <w:spacing w:after="0" w:line="120" w:lineRule="exact"/>
        <w:rPr>
          <w:sz w:val="10"/>
        </w:rPr>
      </w:pPr>
    </w:p>
    <w:p w14:paraId="2BBD4B39" w14:textId="77777777" w:rsidR="00DD3754" w:rsidRPr="007E3E0B" w:rsidRDefault="00FE6B99" w:rsidP="00FE6B99">
      <w:pPr>
        <w:pStyle w:val="H23"/>
      </w:pPr>
      <w:r w:rsidRPr="007E3E0B">
        <w:tab/>
      </w:r>
      <w:r w:rsidRPr="007E3E0B">
        <w:tab/>
      </w:r>
      <w:r w:rsidR="00DD3754" w:rsidRPr="007E3E0B">
        <w:t>Annual expenditure by educational institutions</w:t>
      </w:r>
    </w:p>
    <w:p w14:paraId="17FB8A13" w14:textId="77777777" w:rsidR="00DD3754" w:rsidRPr="007E3E0B" w:rsidRDefault="00DD3754" w:rsidP="00FE6B99">
      <w:pPr>
        <w:pStyle w:val="SingleTxt"/>
        <w:spacing w:after="0" w:line="120" w:lineRule="exact"/>
        <w:rPr>
          <w:sz w:val="10"/>
        </w:rPr>
      </w:pPr>
    </w:p>
    <w:tbl>
      <w:tblPr>
        <w:tblW w:w="7371" w:type="dxa"/>
        <w:tblInd w:w="1264" w:type="dxa"/>
        <w:tblBorders>
          <w:top w:val="single" w:sz="4" w:space="0" w:color="auto"/>
        </w:tblBorders>
        <w:tblCellMar>
          <w:left w:w="0" w:type="dxa"/>
          <w:right w:w="0" w:type="dxa"/>
        </w:tblCellMar>
        <w:tblLook w:val="04A0" w:firstRow="1" w:lastRow="0" w:firstColumn="1" w:lastColumn="0" w:noHBand="0" w:noVBand="1"/>
      </w:tblPr>
      <w:tblGrid>
        <w:gridCol w:w="2153"/>
        <w:gridCol w:w="732"/>
        <w:gridCol w:w="638"/>
        <w:gridCol w:w="731"/>
        <w:gridCol w:w="531"/>
        <w:gridCol w:w="531"/>
        <w:gridCol w:w="531"/>
        <w:gridCol w:w="508"/>
        <w:gridCol w:w="508"/>
        <w:gridCol w:w="508"/>
      </w:tblGrid>
      <w:tr w:rsidR="00C00EC7" w:rsidRPr="007E3E0B" w14:paraId="6AC4516C" w14:textId="77777777" w:rsidTr="00E62D4C">
        <w:trPr>
          <w:tblHeader/>
        </w:trPr>
        <w:tc>
          <w:tcPr>
            <w:tcW w:w="0" w:type="auto"/>
            <w:tcBorders>
              <w:top w:val="single" w:sz="4" w:space="0" w:color="auto"/>
              <w:bottom w:val="single" w:sz="12" w:space="0" w:color="auto"/>
            </w:tcBorders>
            <w:shd w:val="clear" w:color="auto" w:fill="auto"/>
            <w:noWrap/>
            <w:vAlign w:val="bottom"/>
          </w:tcPr>
          <w:p w14:paraId="27ECAF81" w14:textId="77777777" w:rsidR="00C00EC7" w:rsidRPr="007E3E0B" w:rsidRDefault="00C00EC7" w:rsidP="003E5344">
            <w:pPr>
              <w:suppressAutoHyphens w:val="0"/>
              <w:spacing w:before="80" w:after="80" w:line="160" w:lineRule="atLeast"/>
              <w:rPr>
                <w:rFonts w:eastAsia="Times New Roman"/>
                <w:bCs/>
                <w:i/>
                <w:spacing w:val="0"/>
                <w:w w:val="100"/>
                <w:kern w:val="0"/>
                <w:sz w:val="14"/>
                <w:szCs w:val="14"/>
              </w:rPr>
            </w:pPr>
          </w:p>
        </w:tc>
        <w:tc>
          <w:tcPr>
            <w:tcW w:w="0" w:type="auto"/>
            <w:gridSpan w:val="3"/>
            <w:tcBorders>
              <w:top w:val="single" w:sz="4" w:space="0" w:color="auto"/>
              <w:bottom w:val="single" w:sz="12" w:space="0" w:color="auto"/>
            </w:tcBorders>
            <w:shd w:val="clear" w:color="auto" w:fill="auto"/>
            <w:noWrap/>
            <w:vAlign w:val="bottom"/>
          </w:tcPr>
          <w:p w14:paraId="3E15AEF8" w14:textId="77777777" w:rsidR="00C00EC7" w:rsidRPr="007E3E0B" w:rsidRDefault="00C00EC7" w:rsidP="003E5344">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DKK millions, </w:t>
            </w:r>
            <w:r w:rsidR="003E5344" w:rsidRPr="007E3E0B">
              <w:rPr>
                <w:rFonts w:eastAsia="Times New Roman"/>
                <w:bCs/>
                <w:i/>
                <w:spacing w:val="0"/>
                <w:w w:val="100"/>
                <w:kern w:val="0"/>
                <w:sz w:val="14"/>
                <w:szCs w:val="14"/>
              </w:rPr>
              <w:br/>
            </w:r>
            <w:r w:rsidRPr="007E3E0B">
              <w:rPr>
                <w:rFonts w:eastAsia="Times New Roman"/>
                <w:bCs/>
                <w:i/>
                <w:spacing w:val="0"/>
                <w:w w:val="100"/>
                <w:kern w:val="0"/>
                <w:sz w:val="14"/>
                <w:szCs w:val="14"/>
              </w:rPr>
              <w:t>2017-price and wage level</w:t>
            </w:r>
          </w:p>
        </w:tc>
        <w:tc>
          <w:tcPr>
            <w:tcW w:w="0" w:type="auto"/>
            <w:gridSpan w:val="3"/>
            <w:tcBorders>
              <w:top w:val="single" w:sz="4" w:space="0" w:color="auto"/>
              <w:bottom w:val="single" w:sz="12" w:space="0" w:color="auto"/>
            </w:tcBorders>
            <w:shd w:val="clear" w:color="auto" w:fill="auto"/>
            <w:noWrap/>
            <w:vAlign w:val="bottom"/>
          </w:tcPr>
          <w:p w14:paraId="60E64864" w14:textId="77777777" w:rsidR="00C00EC7" w:rsidRPr="007E3E0B" w:rsidRDefault="00C00EC7" w:rsidP="003E5344">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3E5344" w:rsidRPr="007E3E0B">
              <w:rPr>
                <w:rFonts w:eastAsia="Times New Roman"/>
                <w:bCs/>
                <w:i/>
                <w:spacing w:val="0"/>
                <w:w w:val="100"/>
                <w:kern w:val="0"/>
                <w:sz w:val="14"/>
                <w:szCs w:val="14"/>
              </w:rPr>
              <w:br/>
            </w:r>
            <w:r w:rsidRPr="007E3E0B">
              <w:rPr>
                <w:rFonts w:eastAsia="Times New Roman"/>
                <w:bCs/>
                <w:i/>
                <w:spacing w:val="0"/>
                <w:w w:val="100"/>
                <w:kern w:val="0"/>
                <w:sz w:val="14"/>
                <w:szCs w:val="14"/>
              </w:rPr>
              <w:t>total public expenditure</w:t>
            </w:r>
          </w:p>
        </w:tc>
        <w:tc>
          <w:tcPr>
            <w:tcW w:w="0" w:type="auto"/>
            <w:gridSpan w:val="3"/>
            <w:tcBorders>
              <w:top w:val="single" w:sz="4" w:space="0" w:color="auto"/>
              <w:bottom w:val="single" w:sz="12" w:space="0" w:color="auto"/>
            </w:tcBorders>
            <w:shd w:val="clear" w:color="auto" w:fill="auto"/>
            <w:noWrap/>
            <w:vAlign w:val="bottom"/>
          </w:tcPr>
          <w:p w14:paraId="7D741E88" w14:textId="77777777" w:rsidR="00C00EC7" w:rsidRPr="007E3E0B" w:rsidRDefault="00C00EC7" w:rsidP="003E5344">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Percentage of</w:t>
            </w:r>
            <w:r w:rsidR="003E5344" w:rsidRPr="007E3E0B">
              <w:rPr>
                <w:rFonts w:eastAsia="Times New Roman"/>
                <w:bCs/>
                <w:i/>
                <w:spacing w:val="0"/>
                <w:w w:val="100"/>
                <w:kern w:val="0"/>
                <w:sz w:val="14"/>
                <w:szCs w:val="14"/>
              </w:rPr>
              <w:br/>
            </w:r>
            <w:r w:rsidRPr="007E3E0B">
              <w:rPr>
                <w:rFonts w:eastAsia="Times New Roman"/>
                <w:bCs/>
                <w:i/>
                <w:spacing w:val="0"/>
                <w:w w:val="100"/>
                <w:kern w:val="0"/>
                <w:sz w:val="14"/>
                <w:szCs w:val="14"/>
              </w:rPr>
              <w:t>gross national product</w:t>
            </w:r>
          </w:p>
        </w:tc>
      </w:tr>
      <w:tr w:rsidR="00C00EC7" w:rsidRPr="007E3E0B" w14:paraId="4BB7BB9B" w14:textId="77777777" w:rsidTr="00E62D4C">
        <w:tc>
          <w:tcPr>
            <w:tcW w:w="0" w:type="auto"/>
            <w:tcBorders>
              <w:top w:val="single" w:sz="12" w:space="0" w:color="auto"/>
            </w:tcBorders>
            <w:shd w:val="clear" w:color="auto" w:fill="auto"/>
            <w:noWrap/>
          </w:tcPr>
          <w:p w14:paraId="08748C8E" w14:textId="77777777" w:rsidR="00C00EC7" w:rsidRPr="007E3E0B" w:rsidRDefault="00C00EC7" w:rsidP="009A1DB5">
            <w:pPr>
              <w:suppressAutoHyphens w:val="0"/>
              <w:spacing w:before="40" w:after="40" w:line="210" w:lineRule="atLeast"/>
              <w:rPr>
                <w:rFonts w:eastAsia="Times New Roman"/>
                <w:bCs/>
                <w:spacing w:val="0"/>
                <w:w w:val="100"/>
                <w:kern w:val="0"/>
                <w:sz w:val="17"/>
                <w:szCs w:val="17"/>
              </w:rPr>
            </w:pPr>
          </w:p>
        </w:tc>
        <w:tc>
          <w:tcPr>
            <w:tcW w:w="0" w:type="auto"/>
            <w:tcBorders>
              <w:top w:val="single" w:sz="12" w:space="0" w:color="auto"/>
            </w:tcBorders>
            <w:shd w:val="clear" w:color="auto" w:fill="auto"/>
            <w:noWrap/>
            <w:vAlign w:val="bottom"/>
            <w:hideMark/>
          </w:tcPr>
          <w:p w14:paraId="7A40E1D9"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2011</w:t>
            </w:r>
          </w:p>
        </w:tc>
        <w:tc>
          <w:tcPr>
            <w:tcW w:w="0" w:type="auto"/>
            <w:tcBorders>
              <w:top w:val="single" w:sz="12" w:space="0" w:color="auto"/>
            </w:tcBorders>
            <w:shd w:val="clear" w:color="auto" w:fill="auto"/>
            <w:noWrap/>
            <w:vAlign w:val="bottom"/>
            <w:hideMark/>
          </w:tcPr>
          <w:p w14:paraId="26253FDD"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2012 </w:t>
            </w:r>
          </w:p>
        </w:tc>
        <w:tc>
          <w:tcPr>
            <w:tcW w:w="0" w:type="auto"/>
            <w:tcBorders>
              <w:top w:val="single" w:sz="12" w:space="0" w:color="auto"/>
            </w:tcBorders>
            <w:shd w:val="clear" w:color="auto" w:fill="auto"/>
            <w:noWrap/>
            <w:vAlign w:val="bottom"/>
            <w:hideMark/>
          </w:tcPr>
          <w:p w14:paraId="7E0FC8D7"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2013 </w:t>
            </w:r>
          </w:p>
        </w:tc>
        <w:tc>
          <w:tcPr>
            <w:tcW w:w="0" w:type="auto"/>
            <w:tcBorders>
              <w:top w:val="single" w:sz="12" w:space="0" w:color="auto"/>
            </w:tcBorders>
            <w:shd w:val="clear" w:color="auto" w:fill="auto"/>
            <w:noWrap/>
            <w:vAlign w:val="bottom"/>
            <w:hideMark/>
          </w:tcPr>
          <w:p w14:paraId="3E98CBDA"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2011</w:t>
            </w:r>
          </w:p>
        </w:tc>
        <w:tc>
          <w:tcPr>
            <w:tcW w:w="0" w:type="auto"/>
            <w:tcBorders>
              <w:top w:val="single" w:sz="12" w:space="0" w:color="auto"/>
            </w:tcBorders>
            <w:shd w:val="clear" w:color="auto" w:fill="auto"/>
            <w:noWrap/>
            <w:vAlign w:val="bottom"/>
            <w:hideMark/>
          </w:tcPr>
          <w:p w14:paraId="06D14BD5"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2012 </w:t>
            </w:r>
          </w:p>
        </w:tc>
        <w:tc>
          <w:tcPr>
            <w:tcW w:w="0" w:type="auto"/>
            <w:tcBorders>
              <w:top w:val="single" w:sz="12" w:space="0" w:color="auto"/>
            </w:tcBorders>
            <w:shd w:val="clear" w:color="auto" w:fill="auto"/>
            <w:noWrap/>
            <w:vAlign w:val="bottom"/>
            <w:hideMark/>
          </w:tcPr>
          <w:p w14:paraId="2656D17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2013 </w:t>
            </w:r>
          </w:p>
        </w:tc>
        <w:tc>
          <w:tcPr>
            <w:tcW w:w="0" w:type="auto"/>
            <w:tcBorders>
              <w:top w:val="single" w:sz="12" w:space="0" w:color="auto"/>
            </w:tcBorders>
            <w:shd w:val="clear" w:color="auto" w:fill="auto"/>
            <w:noWrap/>
            <w:vAlign w:val="bottom"/>
            <w:hideMark/>
          </w:tcPr>
          <w:p w14:paraId="6BAFA191"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2011</w:t>
            </w:r>
          </w:p>
        </w:tc>
        <w:tc>
          <w:tcPr>
            <w:tcW w:w="0" w:type="auto"/>
            <w:tcBorders>
              <w:top w:val="single" w:sz="12" w:space="0" w:color="auto"/>
            </w:tcBorders>
            <w:shd w:val="clear" w:color="auto" w:fill="auto"/>
            <w:vAlign w:val="bottom"/>
          </w:tcPr>
          <w:p w14:paraId="4BD62CDD"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2012 </w:t>
            </w:r>
          </w:p>
        </w:tc>
        <w:tc>
          <w:tcPr>
            <w:tcW w:w="0" w:type="auto"/>
            <w:tcBorders>
              <w:top w:val="single" w:sz="12" w:space="0" w:color="auto"/>
            </w:tcBorders>
            <w:shd w:val="clear" w:color="auto" w:fill="auto"/>
            <w:vAlign w:val="bottom"/>
          </w:tcPr>
          <w:p w14:paraId="7283F76B"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2013 </w:t>
            </w:r>
          </w:p>
        </w:tc>
      </w:tr>
      <w:tr w:rsidR="00C00EC7" w:rsidRPr="007E3E0B" w14:paraId="1B359D2F" w14:textId="77777777" w:rsidTr="00E62D4C">
        <w:tc>
          <w:tcPr>
            <w:tcW w:w="0" w:type="auto"/>
            <w:shd w:val="clear" w:color="auto" w:fill="auto"/>
          </w:tcPr>
          <w:p w14:paraId="62A50D56" w14:textId="77777777" w:rsidR="00C00EC7" w:rsidRPr="007E3E0B" w:rsidRDefault="00C00EC7" w:rsidP="009A1DB5">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Pre-primary education</w:t>
            </w:r>
          </w:p>
        </w:tc>
        <w:tc>
          <w:tcPr>
            <w:tcW w:w="0" w:type="auto"/>
            <w:shd w:val="clear" w:color="auto" w:fill="auto"/>
            <w:noWrap/>
            <w:vAlign w:val="bottom"/>
          </w:tcPr>
          <w:p w14:paraId="70FD88E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27.380</w:t>
            </w:r>
          </w:p>
        </w:tc>
        <w:tc>
          <w:tcPr>
            <w:tcW w:w="0" w:type="auto"/>
            <w:shd w:val="clear" w:color="auto" w:fill="auto"/>
            <w:noWrap/>
            <w:vAlign w:val="bottom"/>
          </w:tcPr>
          <w:p w14:paraId="497954D7"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24.640</w:t>
            </w:r>
          </w:p>
        </w:tc>
        <w:tc>
          <w:tcPr>
            <w:tcW w:w="0" w:type="auto"/>
            <w:shd w:val="clear" w:color="auto" w:fill="auto"/>
            <w:noWrap/>
            <w:vAlign w:val="bottom"/>
          </w:tcPr>
          <w:p w14:paraId="4EB896F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26.238</w:t>
            </w:r>
          </w:p>
        </w:tc>
        <w:tc>
          <w:tcPr>
            <w:tcW w:w="0" w:type="auto"/>
            <w:shd w:val="clear" w:color="auto" w:fill="auto"/>
            <w:noWrap/>
            <w:vAlign w:val="bottom"/>
          </w:tcPr>
          <w:p w14:paraId="1A8574C7"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5,1</w:t>
            </w:r>
          </w:p>
        </w:tc>
        <w:tc>
          <w:tcPr>
            <w:tcW w:w="0" w:type="auto"/>
            <w:shd w:val="clear" w:color="auto" w:fill="auto"/>
            <w:noWrap/>
            <w:vAlign w:val="bottom"/>
          </w:tcPr>
          <w:p w14:paraId="0CDDBC5B"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4,6</w:t>
            </w:r>
          </w:p>
        </w:tc>
        <w:tc>
          <w:tcPr>
            <w:tcW w:w="0" w:type="auto"/>
            <w:shd w:val="clear" w:color="auto" w:fill="auto"/>
            <w:noWrap/>
            <w:vAlign w:val="bottom"/>
          </w:tcPr>
          <w:p w14:paraId="318F9C2B"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4,9</w:t>
            </w:r>
          </w:p>
        </w:tc>
        <w:tc>
          <w:tcPr>
            <w:tcW w:w="0" w:type="auto"/>
            <w:shd w:val="clear" w:color="auto" w:fill="auto"/>
            <w:noWrap/>
            <w:vAlign w:val="bottom"/>
          </w:tcPr>
          <w:p w14:paraId="6D66DE6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1,3</w:t>
            </w:r>
          </w:p>
        </w:tc>
        <w:tc>
          <w:tcPr>
            <w:tcW w:w="0" w:type="auto"/>
            <w:shd w:val="clear" w:color="auto" w:fill="auto"/>
            <w:vAlign w:val="bottom"/>
          </w:tcPr>
          <w:p w14:paraId="1E7026BC"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1,2</w:t>
            </w:r>
          </w:p>
        </w:tc>
        <w:tc>
          <w:tcPr>
            <w:tcW w:w="0" w:type="auto"/>
            <w:shd w:val="clear" w:color="auto" w:fill="auto"/>
            <w:vAlign w:val="bottom"/>
          </w:tcPr>
          <w:p w14:paraId="4F8ACF0A"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1,2</w:t>
            </w:r>
          </w:p>
        </w:tc>
      </w:tr>
      <w:tr w:rsidR="00C00EC7" w:rsidRPr="007E3E0B" w14:paraId="21168E42" w14:textId="77777777" w:rsidTr="00E62D4C">
        <w:tc>
          <w:tcPr>
            <w:tcW w:w="0" w:type="auto"/>
            <w:shd w:val="clear" w:color="auto" w:fill="auto"/>
          </w:tcPr>
          <w:p w14:paraId="72DBD2C9" w14:textId="77777777" w:rsidR="00C00EC7" w:rsidRPr="007E3E0B" w:rsidRDefault="00C00EC7" w:rsidP="009A1DB5">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Primary education</w:t>
            </w:r>
          </w:p>
        </w:tc>
        <w:tc>
          <w:tcPr>
            <w:tcW w:w="0" w:type="auto"/>
            <w:shd w:val="clear" w:color="auto" w:fill="auto"/>
            <w:noWrap/>
            <w:vAlign w:val="bottom"/>
          </w:tcPr>
          <w:p w14:paraId="76326A7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38.895</w:t>
            </w:r>
          </w:p>
        </w:tc>
        <w:tc>
          <w:tcPr>
            <w:tcW w:w="0" w:type="auto"/>
            <w:shd w:val="clear" w:color="auto" w:fill="auto"/>
            <w:noWrap/>
            <w:vAlign w:val="bottom"/>
          </w:tcPr>
          <w:p w14:paraId="072C5F2F"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44.069</w:t>
            </w:r>
          </w:p>
        </w:tc>
        <w:tc>
          <w:tcPr>
            <w:tcW w:w="0" w:type="auto"/>
            <w:shd w:val="clear" w:color="auto" w:fill="auto"/>
            <w:noWrap/>
            <w:vAlign w:val="bottom"/>
          </w:tcPr>
          <w:p w14:paraId="4C4C47D8"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43.230</w:t>
            </w:r>
          </w:p>
        </w:tc>
        <w:tc>
          <w:tcPr>
            <w:tcW w:w="0" w:type="auto"/>
            <w:shd w:val="clear" w:color="auto" w:fill="auto"/>
            <w:noWrap/>
            <w:vAlign w:val="bottom"/>
          </w:tcPr>
          <w:p w14:paraId="256D0508"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7,2</w:t>
            </w:r>
          </w:p>
        </w:tc>
        <w:tc>
          <w:tcPr>
            <w:tcW w:w="0" w:type="auto"/>
            <w:shd w:val="clear" w:color="auto" w:fill="auto"/>
            <w:noWrap/>
            <w:vAlign w:val="bottom"/>
          </w:tcPr>
          <w:p w14:paraId="6266DC65"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8,2</w:t>
            </w:r>
          </w:p>
        </w:tc>
        <w:tc>
          <w:tcPr>
            <w:tcW w:w="0" w:type="auto"/>
            <w:shd w:val="clear" w:color="auto" w:fill="auto"/>
            <w:noWrap/>
            <w:vAlign w:val="bottom"/>
          </w:tcPr>
          <w:p w14:paraId="1F21FC64"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8,1</w:t>
            </w:r>
          </w:p>
        </w:tc>
        <w:tc>
          <w:tcPr>
            <w:tcW w:w="0" w:type="auto"/>
            <w:shd w:val="clear" w:color="auto" w:fill="auto"/>
            <w:noWrap/>
            <w:vAlign w:val="bottom"/>
          </w:tcPr>
          <w:p w14:paraId="75DC38C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1,9</w:t>
            </w:r>
          </w:p>
        </w:tc>
        <w:tc>
          <w:tcPr>
            <w:tcW w:w="0" w:type="auto"/>
            <w:shd w:val="clear" w:color="auto" w:fill="auto"/>
            <w:vAlign w:val="bottom"/>
          </w:tcPr>
          <w:p w14:paraId="1C7C24AF"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2,1</w:t>
            </w:r>
          </w:p>
        </w:tc>
        <w:tc>
          <w:tcPr>
            <w:tcW w:w="0" w:type="auto"/>
            <w:shd w:val="clear" w:color="auto" w:fill="auto"/>
            <w:vAlign w:val="bottom"/>
          </w:tcPr>
          <w:p w14:paraId="61980C2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2,1</w:t>
            </w:r>
          </w:p>
        </w:tc>
      </w:tr>
      <w:tr w:rsidR="00C00EC7" w:rsidRPr="007E3E0B" w14:paraId="16B109B3" w14:textId="77777777" w:rsidTr="00E62D4C">
        <w:tc>
          <w:tcPr>
            <w:tcW w:w="0" w:type="auto"/>
            <w:shd w:val="clear" w:color="auto" w:fill="auto"/>
          </w:tcPr>
          <w:p w14:paraId="795C30E5" w14:textId="77777777" w:rsidR="00C00EC7" w:rsidRPr="007E3E0B" w:rsidRDefault="00C00EC7" w:rsidP="009A1DB5">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Lower secondary education</w:t>
            </w:r>
          </w:p>
        </w:tc>
        <w:tc>
          <w:tcPr>
            <w:tcW w:w="0" w:type="auto"/>
            <w:shd w:val="clear" w:color="auto" w:fill="auto"/>
            <w:noWrap/>
            <w:vAlign w:val="bottom"/>
          </w:tcPr>
          <w:p w14:paraId="60CCC6DD"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23.305</w:t>
            </w:r>
          </w:p>
        </w:tc>
        <w:tc>
          <w:tcPr>
            <w:tcW w:w="0" w:type="auto"/>
            <w:shd w:val="clear" w:color="auto" w:fill="auto"/>
            <w:noWrap/>
            <w:vAlign w:val="bottom"/>
          </w:tcPr>
          <w:p w14:paraId="2AF5E7ED"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23.796</w:t>
            </w:r>
          </w:p>
        </w:tc>
        <w:tc>
          <w:tcPr>
            <w:tcW w:w="0" w:type="auto"/>
            <w:shd w:val="clear" w:color="auto" w:fill="auto"/>
            <w:noWrap/>
            <w:vAlign w:val="bottom"/>
          </w:tcPr>
          <w:p w14:paraId="36CF2832"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23.283</w:t>
            </w:r>
          </w:p>
        </w:tc>
        <w:tc>
          <w:tcPr>
            <w:tcW w:w="0" w:type="auto"/>
            <w:shd w:val="clear" w:color="auto" w:fill="auto"/>
            <w:noWrap/>
            <w:vAlign w:val="bottom"/>
          </w:tcPr>
          <w:p w14:paraId="4445C960"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4,3</w:t>
            </w:r>
          </w:p>
        </w:tc>
        <w:tc>
          <w:tcPr>
            <w:tcW w:w="0" w:type="auto"/>
            <w:shd w:val="clear" w:color="auto" w:fill="auto"/>
            <w:noWrap/>
            <w:vAlign w:val="bottom"/>
          </w:tcPr>
          <w:p w14:paraId="444B3F17"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4,4</w:t>
            </w:r>
          </w:p>
        </w:tc>
        <w:tc>
          <w:tcPr>
            <w:tcW w:w="0" w:type="auto"/>
            <w:shd w:val="clear" w:color="auto" w:fill="auto"/>
            <w:noWrap/>
            <w:vAlign w:val="bottom"/>
          </w:tcPr>
          <w:p w14:paraId="15C03FA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4,4</w:t>
            </w:r>
          </w:p>
        </w:tc>
        <w:tc>
          <w:tcPr>
            <w:tcW w:w="0" w:type="auto"/>
            <w:shd w:val="clear" w:color="auto" w:fill="auto"/>
            <w:noWrap/>
            <w:vAlign w:val="bottom"/>
          </w:tcPr>
          <w:p w14:paraId="0B57C66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1,1</w:t>
            </w:r>
          </w:p>
        </w:tc>
        <w:tc>
          <w:tcPr>
            <w:tcW w:w="0" w:type="auto"/>
            <w:shd w:val="clear" w:color="auto" w:fill="auto"/>
            <w:vAlign w:val="bottom"/>
          </w:tcPr>
          <w:p w14:paraId="41628514"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1,1</w:t>
            </w:r>
          </w:p>
        </w:tc>
        <w:tc>
          <w:tcPr>
            <w:tcW w:w="0" w:type="auto"/>
            <w:shd w:val="clear" w:color="auto" w:fill="auto"/>
            <w:vAlign w:val="bottom"/>
          </w:tcPr>
          <w:p w14:paraId="7B98242F"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1,1</w:t>
            </w:r>
          </w:p>
        </w:tc>
      </w:tr>
      <w:tr w:rsidR="00C00EC7" w:rsidRPr="007E3E0B" w14:paraId="0352D0CF" w14:textId="77777777" w:rsidTr="00E62D4C">
        <w:tc>
          <w:tcPr>
            <w:tcW w:w="0" w:type="auto"/>
            <w:shd w:val="clear" w:color="auto" w:fill="auto"/>
          </w:tcPr>
          <w:p w14:paraId="20CDDDCA" w14:textId="77777777" w:rsidR="00C00EC7" w:rsidRPr="007E3E0B" w:rsidRDefault="00C00EC7" w:rsidP="009A1DB5">
            <w:pPr>
              <w:suppressAutoHyphens w:val="0"/>
              <w:spacing w:before="40" w:after="40" w:line="210" w:lineRule="atLeast"/>
              <w:rPr>
                <w:rFonts w:eastAsia="Times New Roman"/>
                <w:iCs/>
                <w:spacing w:val="0"/>
                <w:w w:val="100"/>
                <w:kern w:val="0"/>
                <w:sz w:val="17"/>
                <w:szCs w:val="17"/>
              </w:rPr>
            </w:pPr>
            <w:r w:rsidRPr="007E3E0B">
              <w:rPr>
                <w:rFonts w:eastAsia="Times New Roman"/>
                <w:iCs/>
                <w:spacing w:val="0"/>
                <w:w w:val="100"/>
                <w:kern w:val="0"/>
                <w:sz w:val="17"/>
                <w:szCs w:val="17"/>
              </w:rPr>
              <w:t>Upper secondary education</w:t>
            </w:r>
          </w:p>
        </w:tc>
        <w:tc>
          <w:tcPr>
            <w:tcW w:w="0" w:type="auto"/>
            <w:shd w:val="clear" w:color="auto" w:fill="auto"/>
            <w:noWrap/>
            <w:vAlign w:val="bottom"/>
          </w:tcPr>
          <w:p w14:paraId="14C245FC"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36.418</w:t>
            </w:r>
          </w:p>
        </w:tc>
        <w:tc>
          <w:tcPr>
            <w:tcW w:w="0" w:type="auto"/>
            <w:shd w:val="clear" w:color="auto" w:fill="auto"/>
            <w:noWrap/>
            <w:vAlign w:val="bottom"/>
          </w:tcPr>
          <w:p w14:paraId="7C037F7A"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32.502</w:t>
            </w:r>
          </w:p>
        </w:tc>
        <w:tc>
          <w:tcPr>
            <w:tcW w:w="0" w:type="auto"/>
            <w:shd w:val="clear" w:color="auto" w:fill="auto"/>
            <w:noWrap/>
            <w:vAlign w:val="bottom"/>
          </w:tcPr>
          <w:p w14:paraId="2D3E6E99"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33.058</w:t>
            </w:r>
          </w:p>
        </w:tc>
        <w:tc>
          <w:tcPr>
            <w:tcW w:w="0" w:type="auto"/>
            <w:shd w:val="clear" w:color="auto" w:fill="auto"/>
            <w:noWrap/>
            <w:vAlign w:val="bottom"/>
          </w:tcPr>
          <w:p w14:paraId="4F25A00C"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6,8</w:t>
            </w:r>
          </w:p>
        </w:tc>
        <w:tc>
          <w:tcPr>
            <w:tcW w:w="0" w:type="auto"/>
            <w:shd w:val="clear" w:color="auto" w:fill="auto"/>
            <w:noWrap/>
            <w:vAlign w:val="bottom"/>
          </w:tcPr>
          <w:p w14:paraId="7179DC99"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6,1</w:t>
            </w:r>
          </w:p>
        </w:tc>
        <w:tc>
          <w:tcPr>
            <w:tcW w:w="0" w:type="auto"/>
            <w:shd w:val="clear" w:color="auto" w:fill="auto"/>
            <w:noWrap/>
            <w:vAlign w:val="bottom"/>
          </w:tcPr>
          <w:p w14:paraId="6B10DD87"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6,2</w:t>
            </w:r>
          </w:p>
        </w:tc>
        <w:tc>
          <w:tcPr>
            <w:tcW w:w="0" w:type="auto"/>
            <w:shd w:val="clear" w:color="auto" w:fill="auto"/>
            <w:noWrap/>
            <w:vAlign w:val="bottom"/>
          </w:tcPr>
          <w:p w14:paraId="010F7F4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1,8</w:t>
            </w:r>
          </w:p>
        </w:tc>
        <w:tc>
          <w:tcPr>
            <w:tcW w:w="0" w:type="auto"/>
            <w:shd w:val="clear" w:color="auto" w:fill="auto"/>
            <w:vAlign w:val="bottom"/>
          </w:tcPr>
          <w:p w14:paraId="4A937F2B"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1,6</w:t>
            </w:r>
          </w:p>
        </w:tc>
        <w:tc>
          <w:tcPr>
            <w:tcW w:w="0" w:type="auto"/>
            <w:shd w:val="clear" w:color="auto" w:fill="auto"/>
            <w:vAlign w:val="bottom"/>
          </w:tcPr>
          <w:p w14:paraId="1782786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1,6</w:t>
            </w:r>
          </w:p>
        </w:tc>
      </w:tr>
      <w:tr w:rsidR="00C00EC7" w:rsidRPr="007E3E0B" w14:paraId="3C88C8E4" w14:textId="77777777" w:rsidTr="00E62D4C">
        <w:tc>
          <w:tcPr>
            <w:tcW w:w="0" w:type="auto"/>
            <w:shd w:val="clear" w:color="auto" w:fill="auto"/>
          </w:tcPr>
          <w:p w14:paraId="1B213532" w14:textId="77777777" w:rsidR="00C00EC7" w:rsidRPr="007E3E0B" w:rsidRDefault="00C00EC7" w:rsidP="009A1DB5">
            <w:pPr>
              <w:suppressAutoHyphens w:val="0"/>
              <w:spacing w:before="40" w:after="40" w:line="210" w:lineRule="atLeast"/>
              <w:rPr>
                <w:rFonts w:eastAsia="Times New Roman"/>
                <w:iCs/>
                <w:spacing w:val="0"/>
                <w:w w:val="100"/>
                <w:kern w:val="0"/>
                <w:sz w:val="17"/>
                <w:szCs w:val="17"/>
              </w:rPr>
            </w:pPr>
            <w:r w:rsidRPr="007E3E0B">
              <w:rPr>
                <w:rFonts w:eastAsia="Times New Roman"/>
                <w:iCs/>
                <w:spacing w:val="0"/>
                <w:w w:val="100"/>
                <w:kern w:val="0"/>
                <w:sz w:val="17"/>
                <w:szCs w:val="17"/>
              </w:rPr>
              <w:t>All tertiary education</w:t>
            </w:r>
          </w:p>
        </w:tc>
        <w:tc>
          <w:tcPr>
            <w:tcW w:w="0" w:type="auto"/>
            <w:shd w:val="clear" w:color="auto" w:fill="auto"/>
            <w:noWrap/>
            <w:vAlign w:val="bottom"/>
          </w:tcPr>
          <w:p w14:paraId="64028825"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48.597</w:t>
            </w:r>
          </w:p>
        </w:tc>
        <w:tc>
          <w:tcPr>
            <w:tcW w:w="0" w:type="auto"/>
            <w:shd w:val="clear" w:color="auto" w:fill="auto"/>
            <w:noWrap/>
            <w:vAlign w:val="bottom"/>
          </w:tcPr>
          <w:p w14:paraId="502DE12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n/a</w:t>
            </w:r>
          </w:p>
        </w:tc>
        <w:tc>
          <w:tcPr>
            <w:tcW w:w="0" w:type="auto"/>
            <w:shd w:val="clear" w:color="auto" w:fill="auto"/>
            <w:noWrap/>
            <w:vAlign w:val="bottom"/>
          </w:tcPr>
          <w:p w14:paraId="0B22D28F"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46.742</w:t>
            </w:r>
          </w:p>
        </w:tc>
        <w:tc>
          <w:tcPr>
            <w:tcW w:w="0" w:type="auto"/>
            <w:shd w:val="clear" w:color="auto" w:fill="auto"/>
            <w:noWrap/>
            <w:vAlign w:val="bottom"/>
          </w:tcPr>
          <w:p w14:paraId="51F47F6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9,1</w:t>
            </w:r>
          </w:p>
        </w:tc>
        <w:tc>
          <w:tcPr>
            <w:tcW w:w="0" w:type="auto"/>
            <w:shd w:val="clear" w:color="auto" w:fill="auto"/>
            <w:noWrap/>
            <w:vAlign w:val="bottom"/>
          </w:tcPr>
          <w:p w14:paraId="2BC983BE"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n/a</w:t>
            </w:r>
          </w:p>
        </w:tc>
        <w:tc>
          <w:tcPr>
            <w:tcW w:w="0" w:type="auto"/>
            <w:shd w:val="clear" w:color="auto" w:fill="auto"/>
            <w:noWrap/>
            <w:vAlign w:val="bottom"/>
          </w:tcPr>
          <w:p w14:paraId="6CCFCF4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8,8</w:t>
            </w:r>
          </w:p>
        </w:tc>
        <w:tc>
          <w:tcPr>
            <w:tcW w:w="0" w:type="auto"/>
            <w:shd w:val="clear" w:color="auto" w:fill="auto"/>
            <w:noWrap/>
            <w:vAlign w:val="bottom"/>
          </w:tcPr>
          <w:p w14:paraId="7B4F22DD"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2,3</w:t>
            </w:r>
          </w:p>
        </w:tc>
        <w:tc>
          <w:tcPr>
            <w:tcW w:w="0" w:type="auto"/>
            <w:shd w:val="clear" w:color="auto" w:fill="auto"/>
            <w:vAlign w:val="bottom"/>
          </w:tcPr>
          <w:p w14:paraId="25F97D49"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n/a</w:t>
            </w:r>
          </w:p>
        </w:tc>
        <w:tc>
          <w:tcPr>
            <w:tcW w:w="0" w:type="auto"/>
            <w:shd w:val="clear" w:color="auto" w:fill="auto"/>
            <w:vAlign w:val="bottom"/>
          </w:tcPr>
          <w:p w14:paraId="6F481CE1"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2,2</w:t>
            </w:r>
          </w:p>
        </w:tc>
      </w:tr>
      <w:tr w:rsidR="00C00EC7" w:rsidRPr="007E3E0B" w14:paraId="37765EA9" w14:textId="77777777" w:rsidTr="00E62D4C">
        <w:tc>
          <w:tcPr>
            <w:tcW w:w="0" w:type="auto"/>
            <w:tcBorders>
              <w:bottom w:val="single" w:sz="12" w:space="0" w:color="auto"/>
            </w:tcBorders>
            <w:shd w:val="clear" w:color="auto" w:fill="auto"/>
            <w:hideMark/>
          </w:tcPr>
          <w:p w14:paraId="668FB50F" w14:textId="77777777" w:rsidR="00C00EC7" w:rsidRPr="007E3E0B" w:rsidRDefault="00C00EC7" w:rsidP="009A1DB5">
            <w:pPr>
              <w:suppressAutoHyphens w:val="0"/>
              <w:spacing w:before="40" w:after="40" w:line="210" w:lineRule="atLeast"/>
              <w:rPr>
                <w:rFonts w:eastAsia="Times New Roman"/>
                <w:bCs/>
                <w:spacing w:val="0"/>
                <w:w w:val="100"/>
                <w:kern w:val="0"/>
                <w:sz w:val="17"/>
                <w:szCs w:val="17"/>
              </w:rPr>
            </w:pPr>
            <w:r w:rsidRPr="007E3E0B">
              <w:rPr>
                <w:rFonts w:eastAsia="Times New Roman"/>
                <w:bCs/>
                <w:spacing w:val="0"/>
                <w:w w:val="100"/>
                <w:kern w:val="0"/>
                <w:sz w:val="17"/>
                <w:szCs w:val="17"/>
              </w:rPr>
              <w:t>Primary to tertiary education</w:t>
            </w:r>
          </w:p>
        </w:tc>
        <w:tc>
          <w:tcPr>
            <w:tcW w:w="0" w:type="auto"/>
            <w:tcBorders>
              <w:bottom w:val="single" w:sz="12" w:space="0" w:color="auto"/>
            </w:tcBorders>
            <w:shd w:val="clear" w:color="auto" w:fill="auto"/>
            <w:noWrap/>
            <w:vAlign w:val="bottom"/>
          </w:tcPr>
          <w:p w14:paraId="3221DF4F"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174.594</w:t>
            </w:r>
          </w:p>
        </w:tc>
        <w:tc>
          <w:tcPr>
            <w:tcW w:w="0" w:type="auto"/>
            <w:tcBorders>
              <w:bottom w:val="single" w:sz="12" w:space="0" w:color="auto"/>
            </w:tcBorders>
            <w:shd w:val="clear" w:color="auto" w:fill="auto"/>
            <w:noWrap/>
            <w:vAlign w:val="bottom"/>
          </w:tcPr>
          <w:p w14:paraId="5880B1E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n/a</w:t>
            </w:r>
          </w:p>
        </w:tc>
        <w:tc>
          <w:tcPr>
            <w:tcW w:w="0" w:type="auto"/>
            <w:tcBorders>
              <w:bottom w:val="single" w:sz="12" w:space="0" w:color="auto"/>
            </w:tcBorders>
            <w:shd w:val="clear" w:color="auto" w:fill="auto"/>
            <w:noWrap/>
            <w:vAlign w:val="bottom"/>
          </w:tcPr>
          <w:p w14:paraId="5C3549A6"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172.551</w:t>
            </w:r>
          </w:p>
        </w:tc>
        <w:tc>
          <w:tcPr>
            <w:tcW w:w="0" w:type="auto"/>
            <w:tcBorders>
              <w:bottom w:val="single" w:sz="12" w:space="0" w:color="auto"/>
            </w:tcBorders>
            <w:shd w:val="clear" w:color="auto" w:fill="auto"/>
            <w:noWrap/>
            <w:vAlign w:val="bottom"/>
          </w:tcPr>
          <w:p w14:paraId="03574CA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32,5</w:t>
            </w:r>
          </w:p>
        </w:tc>
        <w:tc>
          <w:tcPr>
            <w:tcW w:w="0" w:type="auto"/>
            <w:tcBorders>
              <w:bottom w:val="single" w:sz="12" w:space="0" w:color="auto"/>
            </w:tcBorders>
            <w:shd w:val="clear" w:color="auto" w:fill="auto"/>
            <w:noWrap/>
            <w:vAlign w:val="bottom"/>
          </w:tcPr>
          <w:p w14:paraId="4723A8D6"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n/a</w:t>
            </w:r>
          </w:p>
        </w:tc>
        <w:tc>
          <w:tcPr>
            <w:tcW w:w="0" w:type="auto"/>
            <w:tcBorders>
              <w:bottom w:val="single" w:sz="12" w:space="0" w:color="auto"/>
            </w:tcBorders>
            <w:shd w:val="clear" w:color="auto" w:fill="auto"/>
            <w:noWrap/>
            <w:vAlign w:val="bottom"/>
          </w:tcPr>
          <w:p w14:paraId="3E10E63F"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32,4</w:t>
            </w:r>
          </w:p>
        </w:tc>
        <w:tc>
          <w:tcPr>
            <w:tcW w:w="0" w:type="auto"/>
            <w:tcBorders>
              <w:bottom w:val="single" w:sz="12" w:space="0" w:color="auto"/>
            </w:tcBorders>
            <w:shd w:val="clear" w:color="auto" w:fill="auto"/>
            <w:noWrap/>
            <w:vAlign w:val="bottom"/>
          </w:tcPr>
          <w:p w14:paraId="295DC3D3"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8,4</w:t>
            </w:r>
          </w:p>
        </w:tc>
        <w:tc>
          <w:tcPr>
            <w:tcW w:w="0" w:type="auto"/>
            <w:tcBorders>
              <w:bottom w:val="single" w:sz="12" w:space="0" w:color="auto"/>
            </w:tcBorders>
            <w:shd w:val="clear" w:color="auto" w:fill="auto"/>
            <w:vAlign w:val="bottom"/>
          </w:tcPr>
          <w:p w14:paraId="0D2E2D54"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n/a</w:t>
            </w:r>
          </w:p>
        </w:tc>
        <w:tc>
          <w:tcPr>
            <w:tcW w:w="0" w:type="auto"/>
            <w:tcBorders>
              <w:bottom w:val="single" w:sz="12" w:space="0" w:color="auto"/>
            </w:tcBorders>
            <w:shd w:val="clear" w:color="auto" w:fill="auto"/>
            <w:vAlign w:val="bottom"/>
          </w:tcPr>
          <w:p w14:paraId="3F8DA16B" w14:textId="77777777" w:rsidR="00C00EC7" w:rsidRPr="007E3E0B" w:rsidRDefault="00C00EC7" w:rsidP="009A1DB5">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8,2</w:t>
            </w:r>
          </w:p>
        </w:tc>
      </w:tr>
    </w:tbl>
    <w:p w14:paraId="531A5C99" w14:textId="77777777" w:rsidR="00C00EC7" w:rsidRPr="007E3E0B" w:rsidRDefault="00C00EC7" w:rsidP="002577B1">
      <w:pPr>
        <w:pStyle w:val="SingleTxt"/>
        <w:spacing w:line="210" w:lineRule="exact"/>
        <w:ind w:left="1548" w:hanging="284"/>
        <w:rPr>
          <w:sz w:val="17"/>
          <w:szCs w:val="17"/>
        </w:rPr>
      </w:pPr>
      <w:r w:rsidRPr="007E3E0B">
        <w:rPr>
          <w:i/>
          <w:sz w:val="17"/>
          <w:szCs w:val="17"/>
        </w:rPr>
        <w:t>Sources</w:t>
      </w:r>
      <w:r w:rsidRPr="007E3E0B">
        <w:rPr>
          <w:sz w:val="17"/>
          <w:szCs w:val="17"/>
        </w:rPr>
        <w:t>: Education at a Glance 2014 (2011-data), Education at a Glance 2015 (2012-data), Education at a Glance 2016 (2013-data).</w:t>
      </w:r>
    </w:p>
    <w:p w14:paraId="355F464E" w14:textId="77777777" w:rsidR="00C00EC7" w:rsidRPr="007E3E0B" w:rsidRDefault="003E5344" w:rsidP="006E67C9">
      <w:pPr>
        <w:pStyle w:val="H23"/>
      </w:pPr>
      <w:r w:rsidRPr="007E3E0B">
        <w:lastRenderedPageBreak/>
        <w:tab/>
      </w:r>
      <w:r w:rsidRPr="007E3E0B">
        <w:tab/>
      </w:r>
      <w:r w:rsidR="00C00EC7" w:rsidRPr="007E3E0B">
        <w:t>Child protection measures, including the prevention of violence, child labour and sexual exploitation, and rehabilitation programmes</w:t>
      </w:r>
    </w:p>
    <w:p w14:paraId="2318E751" w14:textId="77777777" w:rsidR="003E5344" w:rsidRPr="007E3E0B" w:rsidRDefault="003E5344" w:rsidP="006E67C9">
      <w:pPr>
        <w:pStyle w:val="SingleTxt"/>
        <w:keepNext/>
        <w:spacing w:after="0" w:line="120" w:lineRule="exact"/>
        <w:rPr>
          <w:b/>
          <w:sz w:val="10"/>
        </w:rPr>
      </w:pPr>
    </w:p>
    <w:p w14:paraId="0D6EE51F" w14:textId="77777777" w:rsidR="00C00EC7" w:rsidRPr="007E3E0B" w:rsidRDefault="003E5344" w:rsidP="006E67C9">
      <w:pPr>
        <w:pStyle w:val="H23"/>
      </w:pPr>
      <w:r w:rsidRPr="007E3E0B">
        <w:tab/>
      </w:r>
      <w:r w:rsidRPr="007E3E0B">
        <w:tab/>
      </w:r>
      <w:r w:rsidR="00C00EC7" w:rsidRPr="007E3E0B">
        <w:t>Total net public expenditure on vulnerable children and young people</w:t>
      </w:r>
    </w:p>
    <w:p w14:paraId="72588FCE" w14:textId="77777777" w:rsidR="00C00EC7" w:rsidRPr="007E3E0B" w:rsidRDefault="00C00EC7" w:rsidP="003E5344">
      <w:pPr>
        <w:pStyle w:val="SingleTxt"/>
        <w:spacing w:after="0" w:line="120" w:lineRule="exact"/>
        <w:rPr>
          <w:sz w:val="10"/>
        </w:rPr>
      </w:pPr>
    </w:p>
    <w:tbl>
      <w:tblPr>
        <w:tblW w:w="7371" w:type="dxa"/>
        <w:tblInd w:w="1264" w:type="dxa"/>
        <w:tblBorders>
          <w:top w:val="single" w:sz="4" w:space="0" w:color="auto"/>
        </w:tblBorders>
        <w:tblCellMar>
          <w:left w:w="0" w:type="dxa"/>
          <w:right w:w="0" w:type="dxa"/>
        </w:tblCellMar>
        <w:tblLook w:val="04A0" w:firstRow="1" w:lastRow="0" w:firstColumn="1" w:lastColumn="0" w:noHBand="0" w:noVBand="1"/>
      </w:tblPr>
      <w:tblGrid>
        <w:gridCol w:w="2787"/>
        <w:gridCol w:w="581"/>
        <w:gridCol w:w="581"/>
        <w:gridCol w:w="581"/>
        <w:gridCol w:w="484"/>
        <w:gridCol w:w="484"/>
        <w:gridCol w:w="484"/>
        <w:gridCol w:w="463"/>
        <w:gridCol w:w="463"/>
        <w:gridCol w:w="463"/>
      </w:tblGrid>
      <w:tr w:rsidR="00282245" w:rsidRPr="007E3E0B" w14:paraId="4597C09A" w14:textId="77777777" w:rsidTr="00DC15EB">
        <w:trPr>
          <w:tblHeader/>
        </w:trPr>
        <w:tc>
          <w:tcPr>
            <w:tcW w:w="0" w:type="auto"/>
            <w:tcBorders>
              <w:top w:val="single" w:sz="4" w:space="0" w:color="auto"/>
              <w:bottom w:val="single" w:sz="12" w:space="0" w:color="auto"/>
            </w:tcBorders>
            <w:shd w:val="clear" w:color="auto" w:fill="auto"/>
            <w:noWrap/>
            <w:vAlign w:val="bottom"/>
          </w:tcPr>
          <w:p w14:paraId="4A91BEDB" w14:textId="77777777" w:rsidR="00C00EC7" w:rsidRPr="007E3E0B" w:rsidRDefault="00C00EC7" w:rsidP="004233BE">
            <w:pPr>
              <w:suppressAutoHyphens w:val="0"/>
              <w:spacing w:before="80" w:after="80" w:line="160" w:lineRule="atLeast"/>
              <w:rPr>
                <w:rFonts w:eastAsia="Times New Roman"/>
                <w:bCs/>
                <w:i/>
                <w:spacing w:val="0"/>
                <w:w w:val="100"/>
                <w:kern w:val="0"/>
                <w:sz w:val="14"/>
                <w:szCs w:val="14"/>
              </w:rPr>
            </w:pPr>
          </w:p>
        </w:tc>
        <w:tc>
          <w:tcPr>
            <w:tcW w:w="0" w:type="auto"/>
            <w:gridSpan w:val="3"/>
            <w:tcBorders>
              <w:top w:val="single" w:sz="4" w:space="0" w:color="auto"/>
              <w:bottom w:val="single" w:sz="12" w:space="0" w:color="auto"/>
            </w:tcBorders>
            <w:shd w:val="clear" w:color="auto" w:fill="auto"/>
            <w:noWrap/>
            <w:vAlign w:val="bottom"/>
          </w:tcPr>
          <w:p w14:paraId="5453BC7C" w14:textId="77777777" w:rsidR="00C00EC7" w:rsidRPr="007E3E0B" w:rsidRDefault="00C00EC7" w:rsidP="004233BE">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DKK millions, </w:t>
            </w:r>
            <w:r w:rsidR="00B931EC" w:rsidRPr="007E3E0B">
              <w:rPr>
                <w:rFonts w:eastAsia="Times New Roman"/>
                <w:bCs/>
                <w:i/>
                <w:spacing w:val="0"/>
                <w:w w:val="100"/>
                <w:kern w:val="0"/>
                <w:sz w:val="14"/>
                <w:szCs w:val="14"/>
              </w:rPr>
              <w:br/>
            </w:r>
            <w:r w:rsidRPr="007E3E0B">
              <w:rPr>
                <w:rFonts w:eastAsia="Times New Roman"/>
                <w:bCs/>
                <w:i/>
                <w:spacing w:val="0"/>
                <w:w w:val="100"/>
                <w:kern w:val="0"/>
                <w:sz w:val="14"/>
                <w:szCs w:val="14"/>
              </w:rPr>
              <w:t>2017-price and wage level</w:t>
            </w:r>
          </w:p>
        </w:tc>
        <w:tc>
          <w:tcPr>
            <w:tcW w:w="0" w:type="auto"/>
            <w:gridSpan w:val="3"/>
            <w:tcBorders>
              <w:top w:val="single" w:sz="4" w:space="0" w:color="auto"/>
              <w:bottom w:val="single" w:sz="12" w:space="0" w:color="auto"/>
            </w:tcBorders>
            <w:shd w:val="clear" w:color="auto" w:fill="auto"/>
            <w:noWrap/>
            <w:vAlign w:val="bottom"/>
          </w:tcPr>
          <w:p w14:paraId="2B72D496" w14:textId="77777777" w:rsidR="00C00EC7" w:rsidRPr="007E3E0B" w:rsidRDefault="00C00EC7" w:rsidP="004233BE">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B931EC" w:rsidRPr="007E3E0B">
              <w:rPr>
                <w:rFonts w:eastAsia="Times New Roman"/>
                <w:bCs/>
                <w:i/>
                <w:spacing w:val="0"/>
                <w:w w:val="100"/>
                <w:kern w:val="0"/>
                <w:sz w:val="14"/>
                <w:szCs w:val="14"/>
              </w:rPr>
              <w:br/>
            </w:r>
            <w:r w:rsidRPr="007E3E0B">
              <w:rPr>
                <w:rFonts w:eastAsia="Times New Roman"/>
                <w:bCs/>
                <w:i/>
                <w:spacing w:val="0"/>
                <w:w w:val="100"/>
                <w:kern w:val="0"/>
                <w:sz w:val="14"/>
                <w:szCs w:val="14"/>
              </w:rPr>
              <w:t>total public expenditure</w:t>
            </w:r>
          </w:p>
        </w:tc>
        <w:tc>
          <w:tcPr>
            <w:tcW w:w="0" w:type="auto"/>
            <w:gridSpan w:val="3"/>
            <w:tcBorders>
              <w:top w:val="single" w:sz="4" w:space="0" w:color="auto"/>
              <w:bottom w:val="single" w:sz="12" w:space="0" w:color="auto"/>
            </w:tcBorders>
            <w:shd w:val="clear" w:color="auto" w:fill="auto"/>
            <w:noWrap/>
            <w:vAlign w:val="bottom"/>
          </w:tcPr>
          <w:p w14:paraId="6F525BC6" w14:textId="77777777" w:rsidR="00C00EC7" w:rsidRPr="007E3E0B" w:rsidRDefault="00C00EC7" w:rsidP="004233BE">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B931EC" w:rsidRPr="007E3E0B">
              <w:rPr>
                <w:rFonts w:eastAsia="Times New Roman"/>
                <w:bCs/>
                <w:i/>
                <w:spacing w:val="0"/>
                <w:w w:val="100"/>
                <w:kern w:val="0"/>
                <w:sz w:val="14"/>
                <w:szCs w:val="14"/>
              </w:rPr>
              <w:br/>
            </w:r>
            <w:r w:rsidRPr="007E3E0B">
              <w:rPr>
                <w:rFonts w:eastAsia="Times New Roman"/>
                <w:bCs/>
                <w:i/>
                <w:spacing w:val="0"/>
                <w:w w:val="100"/>
                <w:kern w:val="0"/>
                <w:sz w:val="14"/>
                <w:szCs w:val="14"/>
              </w:rPr>
              <w:t>gross national product</w:t>
            </w:r>
          </w:p>
        </w:tc>
      </w:tr>
      <w:tr w:rsidR="004F1494" w:rsidRPr="007E3E0B" w14:paraId="4DB30F51" w14:textId="77777777" w:rsidTr="00DC15EB">
        <w:tc>
          <w:tcPr>
            <w:tcW w:w="0" w:type="auto"/>
            <w:tcBorders>
              <w:top w:val="single" w:sz="12" w:space="0" w:color="auto"/>
            </w:tcBorders>
            <w:shd w:val="clear" w:color="auto" w:fill="auto"/>
            <w:noWrap/>
          </w:tcPr>
          <w:p w14:paraId="69C4AF95" w14:textId="77777777" w:rsidR="00C00EC7" w:rsidRPr="007E3E0B" w:rsidRDefault="00C00EC7" w:rsidP="00B931EC">
            <w:pPr>
              <w:suppressAutoHyphens w:val="0"/>
              <w:spacing w:before="40" w:after="40" w:line="210" w:lineRule="atLeast"/>
              <w:rPr>
                <w:rFonts w:eastAsia="Times New Roman"/>
                <w:bCs/>
                <w:spacing w:val="0"/>
                <w:w w:val="100"/>
                <w:kern w:val="0"/>
                <w:sz w:val="17"/>
                <w:szCs w:val="16"/>
              </w:rPr>
            </w:pPr>
          </w:p>
        </w:tc>
        <w:tc>
          <w:tcPr>
            <w:tcW w:w="0" w:type="auto"/>
            <w:tcBorders>
              <w:top w:val="single" w:sz="12" w:space="0" w:color="auto"/>
            </w:tcBorders>
            <w:shd w:val="clear" w:color="auto" w:fill="auto"/>
            <w:noWrap/>
            <w:vAlign w:val="bottom"/>
            <w:hideMark/>
          </w:tcPr>
          <w:p w14:paraId="3990C697"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2014</w:t>
            </w:r>
          </w:p>
        </w:tc>
        <w:tc>
          <w:tcPr>
            <w:tcW w:w="0" w:type="auto"/>
            <w:tcBorders>
              <w:top w:val="single" w:sz="12" w:space="0" w:color="auto"/>
            </w:tcBorders>
            <w:shd w:val="clear" w:color="auto" w:fill="auto"/>
            <w:noWrap/>
            <w:vAlign w:val="bottom"/>
            <w:hideMark/>
          </w:tcPr>
          <w:p w14:paraId="021F5212"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2015</w:t>
            </w:r>
          </w:p>
        </w:tc>
        <w:tc>
          <w:tcPr>
            <w:tcW w:w="0" w:type="auto"/>
            <w:tcBorders>
              <w:top w:val="single" w:sz="12" w:space="0" w:color="auto"/>
            </w:tcBorders>
            <w:shd w:val="clear" w:color="auto" w:fill="auto"/>
            <w:noWrap/>
            <w:vAlign w:val="bottom"/>
            <w:hideMark/>
          </w:tcPr>
          <w:p w14:paraId="069C2D65"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2016</w:t>
            </w:r>
          </w:p>
        </w:tc>
        <w:tc>
          <w:tcPr>
            <w:tcW w:w="0" w:type="auto"/>
            <w:tcBorders>
              <w:top w:val="single" w:sz="12" w:space="0" w:color="auto"/>
            </w:tcBorders>
            <w:shd w:val="clear" w:color="auto" w:fill="auto"/>
            <w:noWrap/>
            <w:vAlign w:val="bottom"/>
            <w:hideMark/>
          </w:tcPr>
          <w:p w14:paraId="30863FA8"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2014</w:t>
            </w:r>
          </w:p>
        </w:tc>
        <w:tc>
          <w:tcPr>
            <w:tcW w:w="0" w:type="auto"/>
            <w:tcBorders>
              <w:top w:val="single" w:sz="12" w:space="0" w:color="auto"/>
            </w:tcBorders>
            <w:shd w:val="clear" w:color="auto" w:fill="auto"/>
            <w:noWrap/>
            <w:vAlign w:val="bottom"/>
            <w:hideMark/>
          </w:tcPr>
          <w:p w14:paraId="2944D0D6"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2015</w:t>
            </w:r>
          </w:p>
        </w:tc>
        <w:tc>
          <w:tcPr>
            <w:tcW w:w="0" w:type="auto"/>
            <w:tcBorders>
              <w:top w:val="single" w:sz="12" w:space="0" w:color="auto"/>
            </w:tcBorders>
            <w:shd w:val="clear" w:color="auto" w:fill="auto"/>
            <w:noWrap/>
            <w:vAlign w:val="bottom"/>
            <w:hideMark/>
          </w:tcPr>
          <w:p w14:paraId="500C70E7"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2016</w:t>
            </w:r>
          </w:p>
        </w:tc>
        <w:tc>
          <w:tcPr>
            <w:tcW w:w="0" w:type="auto"/>
            <w:tcBorders>
              <w:top w:val="single" w:sz="12" w:space="0" w:color="auto"/>
            </w:tcBorders>
            <w:shd w:val="clear" w:color="auto" w:fill="auto"/>
            <w:noWrap/>
            <w:vAlign w:val="bottom"/>
            <w:hideMark/>
          </w:tcPr>
          <w:p w14:paraId="0854373C"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2014</w:t>
            </w:r>
          </w:p>
        </w:tc>
        <w:tc>
          <w:tcPr>
            <w:tcW w:w="0" w:type="auto"/>
            <w:tcBorders>
              <w:top w:val="single" w:sz="12" w:space="0" w:color="auto"/>
            </w:tcBorders>
            <w:shd w:val="clear" w:color="auto" w:fill="auto"/>
            <w:vAlign w:val="bottom"/>
          </w:tcPr>
          <w:p w14:paraId="21D7A468"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2015</w:t>
            </w:r>
          </w:p>
        </w:tc>
        <w:tc>
          <w:tcPr>
            <w:tcW w:w="0" w:type="auto"/>
            <w:tcBorders>
              <w:top w:val="single" w:sz="12" w:space="0" w:color="auto"/>
            </w:tcBorders>
            <w:shd w:val="clear" w:color="auto" w:fill="auto"/>
            <w:vAlign w:val="bottom"/>
          </w:tcPr>
          <w:p w14:paraId="68CAF8AE"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2016</w:t>
            </w:r>
          </w:p>
        </w:tc>
      </w:tr>
      <w:tr w:rsidR="004F1494" w:rsidRPr="007E3E0B" w14:paraId="29E8BFFB" w14:textId="77777777" w:rsidTr="00DC15EB">
        <w:tc>
          <w:tcPr>
            <w:tcW w:w="0" w:type="auto"/>
            <w:shd w:val="clear" w:color="auto" w:fill="auto"/>
          </w:tcPr>
          <w:p w14:paraId="695F63AD" w14:textId="77777777" w:rsidR="00C00EC7" w:rsidRPr="007E3E0B" w:rsidRDefault="00C00EC7" w:rsidP="009A1DB5">
            <w:pPr>
              <w:suppressAutoHyphens w:val="0"/>
              <w:spacing w:before="40" w:after="40" w:line="210" w:lineRule="atLeast"/>
              <w:rPr>
                <w:rFonts w:eastAsia="Times New Roman"/>
                <w:spacing w:val="0"/>
                <w:w w:val="100"/>
                <w:kern w:val="0"/>
                <w:sz w:val="17"/>
                <w:szCs w:val="16"/>
              </w:rPr>
            </w:pPr>
            <w:r w:rsidRPr="007E3E0B">
              <w:rPr>
                <w:rFonts w:eastAsia="Times New Roman"/>
                <w:spacing w:val="0"/>
                <w:w w:val="100"/>
                <w:kern w:val="0"/>
                <w:sz w:val="17"/>
                <w:szCs w:val="16"/>
              </w:rPr>
              <w:t>Special day-care and special club facilities (for children with disabilities)</w:t>
            </w:r>
          </w:p>
        </w:tc>
        <w:tc>
          <w:tcPr>
            <w:tcW w:w="0" w:type="auto"/>
            <w:shd w:val="clear" w:color="auto" w:fill="auto"/>
            <w:noWrap/>
            <w:vAlign w:val="bottom"/>
          </w:tcPr>
          <w:p w14:paraId="0B7FC81B"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999</w:t>
            </w:r>
          </w:p>
        </w:tc>
        <w:tc>
          <w:tcPr>
            <w:tcW w:w="0" w:type="auto"/>
            <w:shd w:val="clear" w:color="auto" w:fill="auto"/>
            <w:noWrap/>
            <w:vAlign w:val="bottom"/>
          </w:tcPr>
          <w:p w14:paraId="402C68A2"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920</w:t>
            </w:r>
          </w:p>
        </w:tc>
        <w:tc>
          <w:tcPr>
            <w:tcW w:w="0" w:type="auto"/>
            <w:shd w:val="clear" w:color="auto" w:fill="auto"/>
            <w:noWrap/>
            <w:vAlign w:val="bottom"/>
          </w:tcPr>
          <w:p w14:paraId="02B6EADE"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891</w:t>
            </w:r>
          </w:p>
        </w:tc>
        <w:tc>
          <w:tcPr>
            <w:tcW w:w="0" w:type="auto"/>
            <w:shd w:val="clear" w:color="auto" w:fill="auto"/>
            <w:noWrap/>
            <w:vAlign w:val="bottom"/>
          </w:tcPr>
          <w:p w14:paraId="3E5CFC39"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0,2</w:t>
            </w:r>
          </w:p>
        </w:tc>
        <w:tc>
          <w:tcPr>
            <w:tcW w:w="0" w:type="auto"/>
            <w:shd w:val="clear" w:color="auto" w:fill="auto"/>
            <w:noWrap/>
            <w:vAlign w:val="bottom"/>
          </w:tcPr>
          <w:p w14:paraId="1044EBAE"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0,2</w:t>
            </w:r>
          </w:p>
        </w:tc>
        <w:tc>
          <w:tcPr>
            <w:tcW w:w="0" w:type="auto"/>
            <w:shd w:val="clear" w:color="auto" w:fill="auto"/>
            <w:noWrap/>
            <w:vAlign w:val="bottom"/>
          </w:tcPr>
          <w:p w14:paraId="3F123BF1"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0,2</w:t>
            </w:r>
          </w:p>
        </w:tc>
        <w:tc>
          <w:tcPr>
            <w:tcW w:w="0" w:type="auto"/>
            <w:shd w:val="clear" w:color="auto" w:fill="auto"/>
            <w:noWrap/>
            <w:vAlign w:val="bottom"/>
          </w:tcPr>
          <w:p w14:paraId="39925C33"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0,0</w:t>
            </w:r>
          </w:p>
        </w:tc>
        <w:tc>
          <w:tcPr>
            <w:tcW w:w="0" w:type="auto"/>
            <w:shd w:val="clear" w:color="auto" w:fill="auto"/>
            <w:vAlign w:val="bottom"/>
          </w:tcPr>
          <w:p w14:paraId="3EE7ED97"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0,0</w:t>
            </w:r>
          </w:p>
        </w:tc>
        <w:tc>
          <w:tcPr>
            <w:tcW w:w="0" w:type="auto"/>
            <w:shd w:val="clear" w:color="auto" w:fill="auto"/>
            <w:vAlign w:val="bottom"/>
          </w:tcPr>
          <w:p w14:paraId="62928442"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0,0</w:t>
            </w:r>
          </w:p>
        </w:tc>
      </w:tr>
      <w:tr w:rsidR="004F1494" w:rsidRPr="007E3E0B" w14:paraId="4E59F142" w14:textId="77777777" w:rsidTr="00DC15EB">
        <w:tc>
          <w:tcPr>
            <w:tcW w:w="0" w:type="auto"/>
            <w:shd w:val="clear" w:color="auto" w:fill="auto"/>
          </w:tcPr>
          <w:p w14:paraId="6119B827" w14:textId="77777777" w:rsidR="00C00EC7" w:rsidRPr="007E3E0B" w:rsidRDefault="00C00EC7" w:rsidP="00B931EC">
            <w:pPr>
              <w:suppressAutoHyphens w:val="0"/>
              <w:spacing w:before="40" w:after="40" w:line="210" w:lineRule="atLeast"/>
              <w:rPr>
                <w:rFonts w:eastAsia="Times New Roman"/>
                <w:spacing w:val="0"/>
                <w:w w:val="100"/>
                <w:kern w:val="0"/>
                <w:sz w:val="17"/>
                <w:szCs w:val="16"/>
              </w:rPr>
            </w:pPr>
            <w:r w:rsidRPr="007E3E0B">
              <w:rPr>
                <w:rFonts w:eastAsia="Times New Roman"/>
                <w:spacing w:val="0"/>
                <w:w w:val="100"/>
                <w:kern w:val="0"/>
                <w:sz w:val="17"/>
                <w:szCs w:val="16"/>
              </w:rPr>
              <w:t>Foster homes (family) and privately run institutions</w:t>
            </w:r>
          </w:p>
        </w:tc>
        <w:tc>
          <w:tcPr>
            <w:tcW w:w="0" w:type="auto"/>
            <w:shd w:val="clear" w:color="auto" w:fill="auto"/>
            <w:noWrap/>
            <w:vAlign w:val="bottom"/>
          </w:tcPr>
          <w:p w14:paraId="32BAA44F"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6.312</w:t>
            </w:r>
          </w:p>
        </w:tc>
        <w:tc>
          <w:tcPr>
            <w:tcW w:w="0" w:type="auto"/>
            <w:shd w:val="clear" w:color="auto" w:fill="auto"/>
            <w:noWrap/>
            <w:vAlign w:val="bottom"/>
          </w:tcPr>
          <w:p w14:paraId="3D3E3301"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6.358</w:t>
            </w:r>
          </w:p>
        </w:tc>
        <w:tc>
          <w:tcPr>
            <w:tcW w:w="0" w:type="auto"/>
            <w:shd w:val="clear" w:color="auto" w:fill="auto"/>
            <w:noWrap/>
            <w:vAlign w:val="bottom"/>
          </w:tcPr>
          <w:p w14:paraId="16379212"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6.379</w:t>
            </w:r>
          </w:p>
        </w:tc>
        <w:tc>
          <w:tcPr>
            <w:tcW w:w="0" w:type="auto"/>
            <w:shd w:val="clear" w:color="auto" w:fill="auto"/>
            <w:noWrap/>
            <w:vAlign w:val="bottom"/>
          </w:tcPr>
          <w:p w14:paraId="6CEB74CF"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1,2</w:t>
            </w:r>
          </w:p>
        </w:tc>
        <w:tc>
          <w:tcPr>
            <w:tcW w:w="0" w:type="auto"/>
            <w:shd w:val="clear" w:color="auto" w:fill="auto"/>
            <w:noWrap/>
            <w:vAlign w:val="bottom"/>
          </w:tcPr>
          <w:p w14:paraId="1FED12DA"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1,2</w:t>
            </w:r>
          </w:p>
        </w:tc>
        <w:tc>
          <w:tcPr>
            <w:tcW w:w="0" w:type="auto"/>
            <w:shd w:val="clear" w:color="auto" w:fill="auto"/>
            <w:noWrap/>
            <w:vAlign w:val="bottom"/>
          </w:tcPr>
          <w:p w14:paraId="64F8ED2A"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1,2</w:t>
            </w:r>
          </w:p>
        </w:tc>
        <w:tc>
          <w:tcPr>
            <w:tcW w:w="0" w:type="auto"/>
            <w:shd w:val="clear" w:color="auto" w:fill="auto"/>
            <w:noWrap/>
            <w:vAlign w:val="bottom"/>
          </w:tcPr>
          <w:p w14:paraId="3CAF5866"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0,3</w:t>
            </w:r>
          </w:p>
        </w:tc>
        <w:tc>
          <w:tcPr>
            <w:tcW w:w="0" w:type="auto"/>
            <w:shd w:val="clear" w:color="auto" w:fill="auto"/>
            <w:vAlign w:val="bottom"/>
          </w:tcPr>
          <w:p w14:paraId="2DDF095D"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0,3</w:t>
            </w:r>
          </w:p>
        </w:tc>
        <w:tc>
          <w:tcPr>
            <w:tcW w:w="0" w:type="auto"/>
            <w:shd w:val="clear" w:color="auto" w:fill="auto"/>
            <w:vAlign w:val="bottom"/>
          </w:tcPr>
          <w:p w14:paraId="6076F320"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0,3</w:t>
            </w:r>
          </w:p>
        </w:tc>
      </w:tr>
      <w:tr w:rsidR="004F1494" w:rsidRPr="007E3E0B" w14:paraId="04BE9FA8" w14:textId="77777777" w:rsidTr="00DC15EB">
        <w:tc>
          <w:tcPr>
            <w:tcW w:w="0" w:type="auto"/>
            <w:shd w:val="clear" w:color="auto" w:fill="auto"/>
          </w:tcPr>
          <w:p w14:paraId="6B895AA0" w14:textId="77777777" w:rsidR="00C00EC7" w:rsidRPr="007E3E0B" w:rsidRDefault="00C00EC7" w:rsidP="00B931EC">
            <w:pPr>
              <w:suppressAutoHyphens w:val="0"/>
              <w:spacing w:before="40" w:after="40" w:line="210" w:lineRule="atLeast"/>
              <w:rPr>
                <w:rFonts w:eastAsia="Times New Roman"/>
                <w:spacing w:val="0"/>
                <w:w w:val="100"/>
                <w:kern w:val="0"/>
                <w:sz w:val="17"/>
                <w:szCs w:val="16"/>
              </w:rPr>
            </w:pPr>
            <w:r w:rsidRPr="007E3E0B">
              <w:rPr>
                <w:rFonts w:eastAsia="Times New Roman"/>
                <w:spacing w:val="0"/>
                <w:w w:val="100"/>
                <w:kern w:val="0"/>
                <w:sz w:val="17"/>
                <w:szCs w:val="16"/>
              </w:rPr>
              <w:t>Preventive measures</w:t>
            </w:r>
          </w:p>
        </w:tc>
        <w:tc>
          <w:tcPr>
            <w:tcW w:w="0" w:type="auto"/>
            <w:shd w:val="clear" w:color="auto" w:fill="auto"/>
            <w:noWrap/>
            <w:vAlign w:val="bottom"/>
          </w:tcPr>
          <w:p w14:paraId="0F668A50"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4.600</w:t>
            </w:r>
          </w:p>
        </w:tc>
        <w:tc>
          <w:tcPr>
            <w:tcW w:w="0" w:type="auto"/>
            <w:shd w:val="clear" w:color="auto" w:fill="auto"/>
            <w:noWrap/>
            <w:vAlign w:val="bottom"/>
          </w:tcPr>
          <w:p w14:paraId="6BD4DEF9"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5.103</w:t>
            </w:r>
          </w:p>
        </w:tc>
        <w:tc>
          <w:tcPr>
            <w:tcW w:w="0" w:type="auto"/>
            <w:shd w:val="clear" w:color="auto" w:fill="auto"/>
            <w:noWrap/>
            <w:vAlign w:val="bottom"/>
          </w:tcPr>
          <w:p w14:paraId="607AF456"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5.370</w:t>
            </w:r>
          </w:p>
        </w:tc>
        <w:tc>
          <w:tcPr>
            <w:tcW w:w="0" w:type="auto"/>
            <w:shd w:val="clear" w:color="auto" w:fill="auto"/>
            <w:noWrap/>
            <w:vAlign w:val="bottom"/>
          </w:tcPr>
          <w:p w14:paraId="67FC6713"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0,9</w:t>
            </w:r>
          </w:p>
        </w:tc>
        <w:tc>
          <w:tcPr>
            <w:tcW w:w="0" w:type="auto"/>
            <w:shd w:val="clear" w:color="auto" w:fill="auto"/>
            <w:noWrap/>
            <w:vAlign w:val="bottom"/>
          </w:tcPr>
          <w:p w14:paraId="590B29F4"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0,9</w:t>
            </w:r>
          </w:p>
        </w:tc>
        <w:tc>
          <w:tcPr>
            <w:tcW w:w="0" w:type="auto"/>
            <w:shd w:val="clear" w:color="auto" w:fill="auto"/>
            <w:noWrap/>
            <w:vAlign w:val="bottom"/>
          </w:tcPr>
          <w:p w14:paraId="1C555E9E"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1,0</w:t>
            </w:r>
          </w:p>
        </w:tc>
        <w:tc>
          <w:tcPr>
            <w:tcW w:w="0" w:type="auto"/>
            <w:shd w:val="clear" w:color="auto" w:fill="auto"/>
            <w:noWrap/>
            <w:vAlign w:val="bottom"/>
          </w:tcPr>
          <w:p w14:paraId="121B993C"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0,2</w:t>
            </w:r>
          </w:p>
        </w:tc>
        <w:tc>
          <w:tcPr>
            <w:tcW w:w="0" w:type="auto"/>
            <w:shd w:val="clear" w:color="auto" w:fill="auto"/>
            <w:vAlign w:val="bottom"/>
          </w:tcPr>
          <w:p w14:paraId="47D2515D"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0,2</w:t>
            </w:r>
          </w:p>
        </w:tc>
        <w:tc>
          <w:tcPr>
            <w:tcW w:w="0" w:type="auto"/>
            <w:shd w:val="clear" w:color="auto" w:fill="auto"/>
            <w:vAlign w:val="bottom"/>
          </w:tcPr>
          <w:p w14:paraId="6A8829F6"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0,3</w:t>
            </w:r>
          </w:p>
        </w:tc>
      </w:tr>
      <w:tr w:rsidR="004F1494" w:rsidRPr="007E3E0B" w14:paraId="13F71F0B" w14:textId="77777777" w:rsidTr="00DC15EB">
        <w:tc>
          <w:tcPr>
            <w:tcW w:w="0" w:type="auto"/>
            <w:shd w:val="clear" w:color="auto" w:fill="auto"/>
          </w:tcPr>
          <w:p w14:paraId="1FFFA8FB" w14:textId="77777777" w:rsidR="00C00EC7" w:rsidRPr="007E3E0B" w:rsidRDefault="00C00EC7" w:rsidP="00B931EC">
            <w:pPr>
              <w:suppressAutoHyphens w:val="0"/>
              <w:spacing w:before="40" w:after="40" w:line="210" w:lineRule="atLeast"/>
              <w:rPr>
                <w:rFonts w:eastAsia="Times New Roman"/>
                <w:spacing w:val="0"/>
                <w:w w:val="100"/>
                <w:kern w:val="0"/>
                <w:sz w:val="17"/>
                <w:szCs w:val="16"/>
              </w:rPr>
            </w:pPr>
            <w:r w:rsidRPr="007E3E0B">
              <w:rPr>
                <w:rFonts w:eastAsia="Times New Roman"/>
                <w:spacing w:val="0"/>
                <w:w w:val="100"/>
                <w:kern w:val="0"/>
                <w:sz w:val="17"/>
                <w:szCs w:val="16"/>
              </w:rPr>
              <w:t>Residential institutions (publicly owned)</w:t>
            </w:r>
          </w:p>
        </w:tc>
        <w:tc>
          <w:tcPr>
            <w:tcW w:w="0" w:type="auto"/>
            <w:shd w:val="clear" w:color="auto" w:fill="auto"/>
            <w:noWrap/>
            <w:vAlign w:val="bottom"/>
          </w:tcPr>
          <w:p w14:paraId="2E025A76"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3.101</w:t>
            </w:r>
          </w:p>
        </w:tc>
        <w:tc>
          <w:tcPr>
            <w:tcW w:w="0" w:type="auto"/>
            <w:shd w:val="clear" w:color="auto" w:fill="auto"/>
            <w:noWrap/>
            <w:vAlign w:val="bottom"/>
          </w:tcPr>
          <w:p w14:paraId="2B5519F7"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2.895</w:t>
            </w:r>
          </w:p>
        </w:tc>
        <w:tc>
          <w:tcPr>
            <w:tcW w:w="0" w:type="auto"/>
            <w:shd w:val="clear" w:color="auto" w:fill="auto"/>
            <w:noWrap/>
            <w:vAlign w:val="bottom"/>
          </w:tcPr>
          <w:p w14:paraId="7AD1DBF0"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2.762</w:t>
            </w:r>
          </w:p>
        </w:tc>
        <w:tc>
          <w:tcPr>
            <w:tcW w:w="0" w:type="auto"/>
            <w:shd w:val="clear" w:color="auto" w:fill="auto"/>
            <w:noWrap/>
            <w:vAlign w:val="bottom"/>
          </w:tcPr>
          <w:p w14:paraId="5FEF83C4"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0,6</w:t>
            </w:r>
          </w:p>
        </w:tc>
        <w:tc>
          <w:tcPr>
            <w:tcW w:w="0" w:type="auto"/>
            <w:shd w:val="clear" w:color="auto" w:fill="auto"/>
            <w:noWrap/>
            <w:vAlign w:val="bottom"/>
          </w:tcPr>
          <w:p w14:paraId="029EE088"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0,5</w:t>
            </w:r>
          </w:p>
        </w:tc>
        <w:tc>
          <w:tcPr>
            <w:tcW w:w="0" w:type="auto"/>
            <w:shd w:val="clear" w:color="auto" w:fill="auto"/>
            <w:noWrap/>
            <w:vAlign w:val="bottom"/>
          </w:tcPr>
          <w:p w14:paraId="24186B38"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0,5</w:t>
            </w:r>
          </w:p>
        </w:tc>
        <w:tc>
          <w:tcPr>
            <w:tcW w:w="0" w:type="auto"/>
            <w:shd w:val="clear" w:color="auto" w:fill="auto"/>
            <w:noWrap/>
            <w:vAlign w:val="bottom"/>
          </w:tcPr>
          <w:p w14:paraId="57D60475"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0,1</w:t>
            </w:r>
          </w:p>
        </w:tc>
        <w:tc>
          <w:tcPr>
            <w:tcW w:w="0" w:type="auto"/>
            <w:shd w:val="clear" w:color="auto" w:fill="auto"/>
            <w:vAlign w:val="bottom"/>
          </w:tcPr>
          <w:p w14:paraId="4875E76D"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0,1</w:t>
            </w:r>
          </w:p>
        </w:tc>
        <w:tc>
          <w:tcPr>
            <w:tcW w:w="0" w:type="auto"/>
            <w:shd w:val="clear" w:color="auto" w:fill="auto"/>
            <w:vAlign w:val="bottom"/>
          </w:tcPr>
          <w:p w14:paraId="6E3C2227" w14:textId="77777777" w:rsidR="00C00EC7" w:rsidRPr="007E3E0B" w:rsidRDefault="00C00EC7" w:rsidP="00B931EC">
            <w:pPr>
              <w:suppressAutoHyphens w:val="0"/>
              <w:spacing w:before="40" w:after="40"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0,1</w:t>
            </w:r>
          </w:p>
        </w:tc>
      </w:tr>
      <w:tr w:rsidR="004F1494" w:rsidRPr="007E3E0B" w14:paraId="2DEA9D8B" w14:textId="77777777" w:rsidTr="00DC15EB">
        <w:tc>
          <w:tcPr>
            <w:tcW w:w="0" w:type="auto"/>
            <w:tcBorders>
              <w:bottom w:val="single" w:sz="4" w:space="0" w:color="auto"/>
            </w:tcBorders>
            <w:shd w:val="clear" w:color="auto" w:fill="auto"/>
          </w:tcPr>
          <w:p w14:paraId="0A6E99A1" w14:textId="77777777" w:rsidR="00C00EC7" w:rsidRPr="007E3E0B" w:rsidRDefault="00C00EC7" w:rsidP="006E67C9">
            <w:pPr>
              <w:suppressAutoHyphens w:val="0"/>
              <w:spacing w:before="40" w:after="81" w:line="210" w:lineRule="atLeast"/>
              <w:rPr>
                <w:rFonts w:eastAsia="Times New Roman"/>
                <w:spacing w:val="0"/>
                <w:w w:val="100"/>
                <w:kern w:val="0"/>
                <w:sz w:val="17"/>
                <w:szCs w:val="16"/>
              </w:rPr>
            </w:pPr>
            <w:r w:rsidRPr="007E3E0B">
              <w:rPr>
                <w:rFonts w:eastAsia="Times New Roman"/>
                <w:spacing w:val="0"/>
                <w:w w:val="100"/>
                <w:kern w:val="0"/>
                <w:sz w:val="17"/>
                <w:szCs w:val="16"/>
              </w:rPr>
              <w:t>Secure residential institutions</w:t>
            </w:r>
          </w:p>
        </w:tc>
        <w:tc>
          <w:tcPr>
            <w:tcW w:w="0" w:type="auto"/>
            <w:tcBorders>
              <w:bottom w:val="single" w:sz="4" w:space="0" w:color="auto"/>
            </w:tcBorders>
            <w:shd w:val="clear" w:color="auto" w:fill="auto"/>
            <w:noWrap/>
            <w:vAlign w:val="bottom"/>
          </w:tcPr>
          <w:p w14:paraId="5008648B"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313</w:t>
            </w:r>
          </w:p>
        </w:tc>
        <w:tc>
          <w:tcPr>
            <w:tcW w:w="0" w:type="auto"/>
            <w:tcBorders>
              <w:bottom w:val="single" w:sz="4" w:space="0" w:color="auto"/>
            </w:tcBorders>
            <w:shd w:val="clear" w:color="auto" w:fill="auto"/>
            <w:noWrap/>
            <w:vAlign w:val="bottom"/>
          </w:tcPr>
          <w:p w14:paraId="6D060508"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325</w:t>
            </w:r>
          </w:p>
        </w:tc>
        <w:tc>
          <w:tcPr>
            <w:tcW w:w="0" w:type="auto"/>
            <w:tcBorders>
              <w:bottom w:val="single" w:sz="4" w:space="0" w:color="auto"/>
            </w:tcBorders>
            <w:shd w:val="clear" w:color="auto" w:fill="auto"/>
            <w:noWrap/>
            <w:vAlign w:val="bottom"/>
          </w:tcPr>
          <w:p w14:paraId="1AFBEA43"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301</w:t>
            </w:r>
          </w:p>
        </w:tc>
        <w:tc>
          <w:tcPr>
            <w:tcW w:w="0" w:type="auto"/>
            <w:tcBorders>
              <w:bottom w:val="single" w:sz="4" w:space="0" w:color="auto"/>
            </w:tcBorders>
            <w:shd w:val="clear" w:color="auto" w:fill="auto"/>
            <w:noWrap/>
            <w:vAlign w:val="bottom"/>
          </w:tcPr>
          <w:p w14:paraId="4D56C49C"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0,1</w:t>
            </w:r>
          </w:p>
        </w:tc>
        <w:tc>
          <w:tcPr>
            <w:tcW w:w="0" w:type="auto"/>
            <w:tcBorders>
              <w:bottom w:val="single" w:sz="4" w:space="0" w:color="auto"/>
            </w:tcBorders>
            <w:shd w:val="clear" w:color="auto" w:fill="auto"/>
            <w:noWrap/>
            <w:vAlign w:val="bottom"/>
          </w:tcPr>
          <w:p w14:paraId="14C17E53"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0,1</w:t>
            </w:r>
          </w:p>
        </w:tc>
        <w:tc>
          <w:tcPr>
            <w:tcW w:w="0" w:type="auto"/>
            <w:tcBorders>
              <w:bottom w:val="single" w:sz="4" w:space="0" w:color="auto"/>
            </w:tcBorders>
            <w:shd w:val="clear" w:color="auto" w:fill="auto"/>
            <w:noWrap/>
            <w:vAlign w:val="bottom"/>
          </w:tcPr>
          <w:p w14:paraId="5E17EDF9"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0,1</w:t>
            </w:r>
          </w:p>
        </w:tc>
        <w:tc>
          <w:tcPr>
            <w:tcW w:w="0" w:type="auto"/>
            <w:tcBorders>
              <w:bottom w:val="single" w:sz="4" w:space="0" w:color="auto"/>
            </w:tcBorders>
            <w:shd w:val="clear" w:color="auto" w:fill="auto"/>
            <w:noWrap/>
            <w:vAlign w:val="bottom"/>
          </w:tcPr>
          <w:p w14:paraId="57114FA8"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0,0</w:t>
            </w:r>
          </w:p>
        </w:tc>
        <w:tc>
          <w:tcPr>
            <w:tcW w:w="0" w:type="auto"/>
            <w:tcBorders>
              <w:bottom w:val="single" w:sz="4" w:space="0" w:color="auto"/>
            </w:tcBorders>
            <w:shd w:val="clear" w:color="auto" w:fill="auto"/>
            <w:vAlign w:val="bottom"/>
          </w:tcPr>
          <w:p w14:paraId="4E29D6F1"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0,0</w:t>
            </w:r>
          </w:p>
        </w:tc>
        <w:tc>
          <w:tcPr>
            <w:tcW w:w="0" w:type="auto"/>
            <w:tcBorders>
              <w:bottom w:val="single" w:sz="4" w:space="0" w:color="auto"/>
            </w:tcBorders>
            <w:shd w:val="clear" w:color="auto" w:fill="auto"/>
            <w:vAlign w:val="bottom"/>
          </w:tcPr>
          <w:p w14:paraId="3627BF82"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0,0</w:t>
            </w:r>
          </w:p>
        </w:tc>
      </w:tr>
      <w:tr w:rsidR="004F1494" w:rsidRPr="007E3E0B" w14:paraId="3D7126CB" w14:textId="77777777" w:rsidTr="00DC15EB">
        <w:tc>
          <w:tcPr>
            <w:tcW w:w="0" w:type="auto"/>
            <w:tcBorders>
              <w:top w:val="single" w:sz="4" w:space="0" w:color="auto"/>
              <w:bottom w:val="single" w:sz="12" w:space="0" w:color="auto"/>
            </w:tcBorders>
            <w:shd w:val="clear" w:color="auto" w:fill="auto"/>
            <w:hideMark/>
          </w:tcPr>
          <w:p w14:paraId="1CAAA3A2" w14:textId="77777777" w:rsidR="00C00EC7" w:rsidRPr="007E3E0B" w:rsidRDefault="00C00EC7" w:rsidP="004233BE">
            <w:pPr>
              <w:suppressAutoHyphens w:val="0"/>
              <w:spacing w:before="40" w:after="81" w:line="210" w:lineRule="atLeast"/>
              <w:rPr>
                <w:rFonts w:eastAsia="Times New Roman"/>
                <w:bCs/>
                <w:spacing w:val="0"/>
                <w:w w:val="100"/>
                <w:kern w:val="0"/>
                <w:sz w:val="17"/>
                <w:szCs w:val="16"/>
              </w:rPr>
            </w:pPr>
            <w:r w:rsidRPr="007E3E0B">
              <w:rPr>
                <w:rFonts w:eastAsia="Times New Roman"/>
                <w:bCs/>
                <w:spacing w:val="0"/>
                <w:w w:val="100"/>
                <w:kern w:val="0"/>
                <w:sz w:val="17"/>
                <w:szCs w:val="16"/>
              </w:rPr>
              <w:t>Total</w:t>
            </w:r>
          </w:p>
        </w:tc>
        <w:tc>
          <w:tcPr>
            <w:tcW w:w="0" w:type="auto"/>
            <w:tcBorders>
              <w:top w:val="single" w:sz="4" w:space="0" w:color="auto"/>
              <w:bottom w:val="single" w:sz="12" w:space="0" w:color="auto"/>
            </w:tcBorders>
            <w:shd w:val="clear" w:color="auto" w:fill="auto"/>
            <w:noWrap/>
            <w:vAlign w:val="bottom"/>
          </w:tcPr>
          <w:p w14:paraId="595431ED"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15.325</w:t>
            </w:r>
          </w:p>
        </w:tc>
        <w:tc>
          <w:tcPr>
            <w:tcW w:w="0" w:type="auto"/>
            <w:tcBorders>
              <w:top w:val="single" w:sz="4" w:space="0" w:color="auto"/>
              <w:bottom w:val="single" w:sz="12" w:space="0" w:color="auto"/>
            </w:tcBorders>
            <w:shd w:val="clear" w:color="auto" w:fill="auto"/>
            <w:noWrap/>
            <w:vAlign w:val="bottom"/>
          </w:tcPr>
          <w:p w14:paraId="0E0C3428"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15.602</w:t>
            </w:r>
          </w:p>
        </w:tc>
        <w:tc>
          <w:tcPr>
            <w:tcW w:w="0" w:type="auto"/>
            <w:tcBorders>
              <w:top w:val="single" w:sz="4" w:space="0" w:color="auto"/>
              <w:bottom w:val="single" w:sz="12" w:space="0" w:color="auto"/>
            </w:tcBorders>
            <w:shd w:val="clear" w:color="auto" w:fill="auto"/>
            <w:noWrap/>
            <w:vAlign w:val="bottom"/>
          </w:tcPr>
          <w:p w14:paraId="05399AF5"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15.703</w:t>
            </w:r>
          </w:p>
        </w:tc>
        <w:tc>
          <w:tcPr>
            <w:tcW w:w="0" w:type="auto"/>
            <w:tcBorders>
              <w:top w:val="single" w:sz="4" w:space="0" w:color="auto"/>
              <w:bottom w:val="single" w:sz="12" w:space="0" w:color="auto"/>
            </w:tcBorders>
            <w:shd w:val="clear" w:color="auto" w:fill="auto"/>
            <w:noWrap/>
            <w:vAlign w:val="bottom"/>
          </w:tcPr>
          <w:p w14:paraId="0DFA53DE"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2,9</w:t>
            </w:r>
          </w:p>
        </w:tc>
        <w:tc>
          <w:tcPr>
            <w:tcW w:w="0" w:type="auto"/>
            <w:tcBorders>
              <w:top w:val="single" w:sz="4" w:space="0" w:color="auto"/>
              <w:bottom w:val="single" w:sz="12" w:space="0" w:color="auto"/>
            </w:tcBorders>
            <w:shd w:val="clear" w:color="auto" w:fill="auto"/>
            <w:noWrap/>
            <w:vAlign w:val="bottom"/>
          </w:tcPr>
          <w:p w14:paraId="57701B3A"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2,9</w:t>
            </w:r>
          </w:p>
        </w:tc>
        <w:tc>
          <w:tcPr>
            <w:tcW w:w="0" w:type="auto"/>
            <w:tcBorders>
              <w:top w:val="single" w:sz="4" w:space="0" w:color="auto"/>
              <w:bottom w:val="single" w:sz="12" w:space="0" w:color="auto"/>
            </w:tcBorders>
            <w:shd w:val="clear" w:color="auto" w:fill="auto"/>
            <w:noWrap/>
            <w:vAlign w:val="bottom"/>
          </w:tcPr>
          <w:p w14:paraId="02D16707"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2,9</w:t>
            </w:r>
          </w:p>
        </w:tc>
        <w:tc>
          <w:tcPr>
            <w:tcW w:w="0" w:type="auto"/>
            <w:tcBorders>
              <w:top w:val="single" w:sz="4" w:space="0" w:color="auto"/>
              <w:bottom w:val="single" w:sz="12" w:space="0" w:color="auto"/>
            </w:tcBorders>
            <w:shd w:val="clear" w:color="auto" w:fill="auto"/>
            <w:noWrap/>
            <w:vAlign w:val="bottom"/>
          </w:tcPr>
          <w:p w14:paraId="366A1AAF"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0,7</w:t>
            </w:r>
          </w:p>
        </w:tc>
        <w:tc>
          <w:tcPr>
            <w:tcW w:w="0" w:type="auto"/>
            <w:tcBorders>
              <w:top w:val="single" w:sz="4" w:space="0" w:color="auto"/>
              <w:bottom w:val="single" w:sz="12" w:space="0" w:color="auto"/>
            </w:tcBorders>
            <w:shd w:val="clear" w:color="auto" w:fill="auto"/>
            <w:vAlign w:val="bottom"/>
          </w:tcPr>
          <w:p w14:paraId="1F8E8CB0"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0,7</w:t>
            </w:r>
          </w:p>
        </w:tc>
        <w:tc>
          <w:tcPr>
            <w:tcW w:w="0" w:type="auto"/>
            <w:tcBorders>
              <w:top w:val="single" w:sz="4" w:space="0" w:color="auto"/>
              <w:bottom w:val="single" w:sz="12" w:space="0" w:color="auto"/>
            </w:tcBorders>
            <w:shd w:val="clear" w:color="auto" w:fill="auto"/>
            <w:vAlign w:val="bottom"/>
          </w:tcPr>
          <w:p w14:paraId="3AB7EFA4" w14:textId="77777777" w:rsidR="00C00EC7" w:rsidRPr="007E3E0B" w:rsidRDefault="00C00EC7" w:rsidP="004233BE">
            <w:pPr>
              <w:suppressAutoHyphens w:val="0"/>
              <w:spacing w:before="40" w:after="81" w:line="210" w:lineRule="atLeast"/>
              <w:ind w:left="113"/>
              <w:jc w:val="right"/>
              <w:rPr>
                <w:rFonts w:eastAsia="Times New Roman"/>
                <w:bCs/>
                <w:spacing w:val="0"/>
                <w:w w:val="100"/>
                <w:kern w:val="0"/>
                <w:sz w:val="17"/>
                <w:szCs w:val="16"/>
              </w:rPr>
            </w:pPr>
            <w:r w:rsidRPr="007E3E0B">
              <w:rPr>
                <w:rFonts w:eastAsia="Times New Roman"/>
                <w:bCs/>
                <w:spacing w:val="0"/>
                <w:w w:val="100"/>
                <w:kern w:val="0"/>
                <w:sz w:val="17"/>
                <w:szCs w:val="16"/>
              </w:rPr>
              <w:t>0,7</w:t>
            </w:r>
          </w:p>
        </w:tc>
      </w:tr>
    </w:tbl>
    <w:p w14:paraId="38EA06C6" w14:textId="77777777" w:rsidR="00C00EC7" w:rsidRPr="004233BE" w:rsidRDefault="00C00EC7" w:rsidP="004233BE">
      <w:pPr>
        <w:pStyle w:val="SingleTxt"/>
        <w:spacing w:after="0" w:line="120" w:lineRule="exact"/>
        <w:rPr>
          <w:sz w:val="10"/>
        </w:rPr>
      </w:pPr>
    </w:p>
    <w:p w14:paraId="0512A948" w14:textId="77777777" w:rsidR="004233BE" w:rsidRPr="004233BE" w:rsidRDefault="004233BE" w:rsidP="004233BE">
      <w:pPr>
        <w:pStyle w:val="SingleTxt"/>
        <w:spacing w:after="0" w:line="120" w:lineRule="exact"/>
        <w:rPr>
          <w:sz w:val="10"/>
        </w:rPr>
      </w:pPr>
    </w:p>
    <w:p w14:paraId="37F4F058" w14:textId="77777777" w:rsidR="00C00EC7" w:rsidRPr="007E3E0B" w:rsidRDefault="004233BE" w:rsidP="004233BE">
      <w:pPr>
        <w:pStyle w:val="H23"/>
      </w:pPr>
      <w:r>
        <w:tab/>
      </w:r>
      <w:r>
        <w:tab/>
      </w:r>
      <w:r w:rsidR="00C00EC7" w:rsidRPr="007E3E0B">
        <w:t>Child protection measures, including the prevention of violence, child labour and sexual exploitation, and rehabilitation programmes</w:t>
      </w:r>
    </w:p>
    <w:p w14:paraId="4AB53ADB" w14:textId="77777777" w:rsidR="00C00EC7" w:rsidRPr="004233BE" w:rsidRDefault="00C00EC7" w:rsidP="004233BE">
      <w:pPr>
        <w:pStyle w:val="SingleTxt"/>
        <w:spacing w:after="0" w:line="120" w:lineRule="exact"/>
        <w:rPr>
          <w:sz w:val="10"/>
        </w:rPr>
      </w:pPr>
    </w:p>
    <w:tbl>
      <w:tblPr>
        <w:tblW w:w="7371" w:type="dxa"/>
        <w:tblInd w:w="1264" w:type="dxa"/>
        <w:tblBorders>
          <w:top w:val="single" w:sz="4" w:space="0" w:color="auto"/>
        </w:tblBorders>
        <w:tblCellMar>
          <w:left w:w="0" w:type="dxa"/>
          <w:right w:w="0" w:type="dxa"/>
        </w:tblCellMar>
        <w:tblLook w:val="04A0" w:firstRow="1" w:lastRow="0" w:firstColumn="1" w:lastColumn="0" w:noHBand="0" w:noVBand="1"/>
      </w:tblPr>
      <w:tblGrid>
        <w:gridCol w:w="2927"/>
        <w:gridCol w:w="535"/>
        <w:gridCol w:w="534"/>
        <w:gridCol w:w="534"/>
        <w:gridCol w:w="484"/>
        <w:gridCol w:w="484"/>
        <w:gridCol w:w="484"/>
        <w:gridCol w:w="463"/>
        <w:gridCol w:w="463"/>
        <w:gridCol w:w="463"/>
      </w:tblGrid>
      <w:tr w:rsidR="00C00EC7" w:rsidRPr="007E3E0B" w14:paraId="6CE5E612" w14:textId="77777777" w:rsidTr="00DC15EB">
        <w:trPr>
          <w:trHeight w:val="240"/>
          <w:tblHeader/>
        </w:trPr>
        <w:tc>
          <w:tcPr>
            <w:tcW w:w="0" w:type="auto"/>
            <w:tcBorders>
              <w:top w:val="single" w:sz="4" w:space="0" w:color="auto"/>
              <w:bottom w:val="single" w:sz="12" w:space="0" w:color="auto"/>
            </w:tcBorders>
            <w:shd w:val="clear" w:color="auto" w:fill="auto"/>
            <w:noWrap/>
            <w:vAlign w:val="bottom"/>
          </w:tcPr>
          <w:p w14:paraId="259FCA10" w14:textId="77777777" w:rsidR="00C00EC7" w:rsidRPr="007E3E0B" w:rsidRDefault="00C00EC7" w:rsidP="004233BE">
            <w:pPr>
              <w:suppressAutoHyphens w:val="0"/>
              <w:spacing w:before="80" w:after="80" w:line="160" w:lineRule="atLeast"/>
              <w:rPr>
                <w:rFonts w:eastAsia="Times New Roman"/>
                <w:bCs/>
                <w:i/>
                <w:spacing w:val="0"/>
                <w:w w:val="100"/>
                <w:kern w:val="0"/>
                <w:sz w:val="14"/>
                <w:szCs w:val="14"/>
              </w:rPr>
            </w:pPr>
          </w:p>
        </w:tc>
        <w:tc>
          <w:tcPr>
            <w:tcW w:w="0" w:type="auto"/>
            <w:gridSpan w:val="3"/>
            <w:tcBorders>
              <w:top w:val="single" w:sz="4" w:space="0" w:color="auto"/>
              <w:bottom w:val="single" w:sz="12" w:space="0" w:color="auto"/>
            </w:tcBorders>
            <w:shd w:val="clear" w:color="auto" w:fill="auto"/>
            <w:noWrap/>
            <w:vAlign w:val="bottom"/>
          </w:tcPr>
          <w:p w14:paraId="7E178DDE" w14:textId="77777777" w:rsidR="00C00EC7" w:rsidRPr="007E3E0B" w:rsidRDefault="00C00EC7" w:rsidP="00657A05">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DKK millions, </w:t>
            </w:r>
            <w:r w:rsidR="00A7047F">
              <w:rPr>
                <w:rFonts w:eastAsia="Times New Roman"/>
                <w:bCs/>
                <w:i/>
                <w:spacing w:val="0"/>
                <w:w w:val="100"/>
                <w:kern w:val="0"/>
                <w:sz w:val="14"/>
                <w:szCs w:val="14"/>
              </w:rPr>
              <w:br/>
            </w:r>
            <w:r w:rsidRPr="007E3E0B">
              <w:rPr>
                <w:rFonts w:eastAsia="Times New Roman"/>
                <w:bCs/>
                <w:i/>
                <w:spacing w:val="0"/>
                <w:w w:val="100"/>
                <w:kern w:val="0"/>
                <w:sz w:val="14"/>
                <w:szCs w:val="14"/>
              </w:rPr>
              <w:t>2017-price and wage level</w:t>
            </w:r>
          </w:p>
        </w:tc>
        <w:tc>
          <w:tcPr>
            <w:tcW w:w="0" w:type="auto"/>
            <w:gridSpan w:val="3"/>
            <w:tcBorders>
              <w:top w:val="single" w:sz="4" w:space="0" w:color="auto"/>
              <w:bottom w:val="single" w:sz="12" w:space="0" w:color="auto"/>
            </w:tcBorders>
            <w:shd w:val="clear" w:color="auto" w:fill="auto"/>
            <w:noWrap/>
            <w:vAlign w:val="bottom"/>
          </w:tcPr>
          <w:p w14:paraId="68AA777B" w14:textId="77777777" w:rsidR="00C00EC7" w:rsidRPr="007E3E0B" w:rsidRDefault="00C00EC7" w:rsidP="00657A05">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6E67C9" w:rsidRPr="007E3E0B">
              <w:rPr>
                <w:rFonts w:eastAsia="Times New Roman"/>
                <w:bCs/>
                <w:i/>
                <w:spacing w:val="0"/>
                <w:w w:val="100"/>
                <w:kern w:val="0"/>
                <w:sz w:val="14"/>
                <w:szCs w:val="14"/>
              </w:rPr>
              <w:br/>
            </w:r>
            <w:r w:rsidRPr="007E3E0B">
              <w:rPr>
                <w:rFonts w:eastAsia="Times New Roman"/>
                <w:bCs/>
                <w:i/>
                <w:spacing w:val="0"/>
                <w:w w:val="100"/>
                <w:kern w:val="0"/>
                <w:sz w:val="14"/>
                <w:szCs w:val="14"/>
              </w:rPr>
              <w:t>total public expenditure</w:t>
            </w:r>
          </w:p>
        </w:tc>
        <w:tc>
          <w:tcPr>
            <w:tcW w:w="0" w:type="auto"/>
            <w:gridSpan w:val="3"/>
            <w:tcBorders>
              <w:top w:val="single" w:sz="4" w:space="0" w:color="auto"/>
              <w:bottom w:val="single" w:sz="12" w:space="0" w:color="auto"/>
            </w:tcBorders>
            <w:shd w:val="clear" w:color="auto" w:fill="auto"/>
            <w:noWrap/>
            <w:vAlign w:val="bottom"/>
          </w:tcPr>
          <w:p w14:paraId="6EB69102" w14:textId="77777777" w:rsidR="00C00EC7" w:rsidRPr="007E3E0B" w:rsidRDefault="00C00EC7" w:rsidP="00657A05">
            <w:pPr>
              <w:suppressAutoHyphens w:val="0"/>
              <w:spacing w:before="80" w:after="80" w:line="160" w:lineRule="atLeast"/>
              <w:ind w:left="113"/>
              <w:jc w:val="center"/>
              <w:rPr>
                <w:rFonts w:eastAsia="Times New Roman"/>
                <w:bCs/>
                <w:i/>
                <w:spacing w:val="0"/>
                <w:w w:val="100"/>
                <w:kern w:val="0"/>
                <w:sz w:val="14"/>
                <w:szCs w:val="14"/>
              </w:rPr>
            </w:pPr>
            <w:r w:rsidRPr="007E3E0B">
              <w:rPr>
                <w:rFonts w:eastAsia="Times New Roman"/>
                <w:bCs/>
                <w:i/>
                <w:spacing w:val="0"/>
                <w:w w:val="100"/>
                <w:kern w:val="0"/>
                <w:sz w:val="14"/>
                <w:szCs w:val="14"/>
              </w:rPr>
              <w:t xml:space="preserve">Percentage of </w:t>
            </w:r>
            <w:r w:rsidR="006E67C9" w:rsidRPr="007E3E0B">
              <w:rPr>
                <w:rFonts w:eastAsia="Times New Roman"/>
                <w:bCs/>
                <w:i/>
                <w:spacing w:val="0"/>
                <w:w w:val="100"/>
                <w:kern w:val="0"/>
                <w:sz w:val="14"/>
                <w:szCs w:val="14"/>
              </w:rPr>
              <w:br/>
            </w:r>
            <w:r w:rsidRPr="007E3E0B">
              <w:rPr>
                <w:rFonts w:eastAsia="Times New Roman"/>
                <w:bCs/>
                <w:i/>
                <w:spacing w:val="0"/>
                <w:w w:val="100"/>
                <w:kern w:val="0"/>
                <w:sz w:val="14"/>
                <w:szCs w:val="14"/>
              </w:rPr>
              <w:t>gross national product</w:t>
            </w:r>
          </w:p>
        </w:tc>
      </w:tr>
      <w:tr w:rsidR="00C00EC7" w:rsidRPr="007E3E0B" w14:paraId="61A9A587" w14:textId="77777777" w:rsidTr="00DC15EB">
        <w:trPr>
          <w:trHeight w:val="240"/>
        </w:trPr>
        <w:tc>
          <w:tcPr>
            <w:tcW w:w="0" w:type="auto"/>
            <w:tcBorders>
              <w:top w:val="single" w:sz="12" w:space="0" w:color="auto"/>
            </w:tcBorders>
            <w:shd w:val="clear" w:color="auto" w:fill="auto"/>
            <w:noWrap/>
          </w:tcPr>
          <w:p w14:paraId="4AB8338E" w14:textId="77777777" w:rsidR="00C00EC7" w:rsidRPr="007E3E0B" w:rsidRDefault="00C00EC7" w:rsidP="006E67C9">
            <w:pPr>
              <w:suppressAutoHyphens w:val="0"/>
              <w:spacing w:before="40" w:after="40" w:line="210" w:lineRule="atLeast"/>
              <w:rPr>
                <w:rFonts w:eastAsia="Times New Roman"/>
                <w:bCs/>
                <w:spacing w:val="0"/>
                <w:w w:val="100"/>
                <w:kern w:val="0"/>
                <w:sz w:val="17"/>
                <w:szCs w:val="17"/>
              </w:rPr>
            </w:pPr>
          </w:p>
        </w:tc>
        <w:tc>
          <w:tcPr>
            <w:tcW w:w="0" w:type="auto"/>
            <w:tcBorders>
              <w:top w:val="single" w:sz="12" w:space="0" w:color="auto"/>
            </w:tcBorders>
            <w:shd w:val="clear" w:color="auto" w:fill="auto"/>
            <w:noWrap/>
            <w:vAlign w:val="bottom"/>
            <w:hideMark/>
          </w:tcPr>
          <w:p w14:paraId="179EA189"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noWrap/>
            <w:vAlign w:val="bottom"/>
            <w:hideMark/>
          </w:tcPr>
          <w:p w14:paraId="3BA7BB2B"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noWrap/>
            <w:vAlign w:val="bottom"/>
            <w:hideMark/>
          </w:tcPr>
          <w:p w14:paraId="2CC43584"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0" w:type="auto"/>
            <w:tcBorders>
              <w:top w:val="single" w:sz="12" w:space="0" w:color="auto"/>
            </w:tcBorders>
            <w:shd w:val="clear" w:color="auto" w:fill="auto"/>
            <w:noWrap/>
            <w:vAlign w:val="bottom"/>
            <w:hideMark/>
          </w:tcPr>
          <w:p w14:paraId="7E45DB12"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noWrap/>
            <w:vAlign w:val="bottom"/>
            <w:hideMark/>
          </w:tcPr>
          <w:p w14:paraId="58F244BD"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noWrap/>
            <w:vAlign w:val="bottom"/>
            <w:hideMark/>
          </w:tcPr>
          <w:p w14:paraId="6143E298"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c>
          <w:tcPr>
            <w:tcW w:w="0" w:type="auto"/>
            <w:tcBorders>
              <w:top w:val="single" w:sz="12" w:space="0" w:color="auto"/>
            </w:tcBorders>
            <w:shd w:val="clear" w:color="auto" w:fill="auto"/>
            <w:noWrap/>
            <w:vAlign w:val="bottom"/>
            <w:hideMark/>
          </w:tcPr>
          <w:p w14:paraId="0458DC8E"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2014</w:t>
            </w:r>
          </w:p>
        </w:tc>
        <w:tc>
          <w:tcPr>
            <w:tcW w:w="0" w:type="auto"/>
            <w:tcBorders>
              <w:top w:val="single" w:sz="12" w:space="0" w:color="auto"/>
            </w:tcBorders>
            <w:shd w:val="clear" w:color="auto" w:fill="auto"/>
            <w:vAlign w:val="bottom"/>
          </w:tcPr>
          <w:p w14:paraId="6011E650"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2015</w:t>
            </w:r>
          </w:p>
        </w:tc>
        <w:tc>
          <w:tcPr>
            <w:tcW w:w="0" w:type="auto"/>
            <w:tcBorders>
              <w:top w:val="single" w:sz="12" w:space="0" w:color="auto"/>
            </w:tcBorders>
            <w:shd w:val="clear" w:color="auto" w:fill="auto"/>
            <w:vAlign w:val="bottom"/>
          </w:tcPr>
          <w:p w14:paraId="29BD63C7"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2016</w:t>
            </w:r>
          </w:p>
        </w:tc>
      </w:tr>
      <w:tr w:rsidR="00C00EC7" w:rsidRPr="007E3E0B" w14:paraId="35DFCEF0" w14:textId="77777777" w:rsidTr="00DC15EB">
        <w:trPr>
          <w:trHeight w:val="240"/>
        </w:trPr>
        <w:tc>
          <w:tcPr>
            <w:tcW w:w="0" w:type="auto"/>
            <w:shd w:val="clear" w:color="auto" w:fill="auto"/>
          </w:tcPr>
          <w:p w14:paraId="44401CE3" w14:textId="77777777" w:rsidR="00C00EC7" w:rsidRPr="007E3E0B" w:rsidRDefault="00C00EC7" w:rsidP="006E67C9">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Children</w:t>
            </w:r>
            <w:r w:rsidR="006E67C9" w:rsidRPr="007E3E0B">
              <w:rPr>
                <w:rFonts w:eastAsia="Times New Roman"/>
                <w:spacing w:val="0"/>
                <w:w w:val="100"/>
                <w:kern w:val="0"/>
                <w:sz w:val="17"/>
                <w:szCs w:val="17"/>
              </w:rPr>
              <w:t>’</w:t>
            </w:r>
            <w:r w:rsidRPr="007E3E0B">
              <w:rPr>
                <w:rFonts w:eastAsia="Times New Roman"/>
                <w:spacing w:val="0"/>
                <w:w w:val="100"/>
                <w:kern w:val="0"/>
                <w:sz w:val="17"/>
                <w:szCs w:val="17"/>
              </w:rPr>
              <w:t xml:space="preserve">s officers (who are to focus on e.g. children visiting in prison) </w:t>
            </w:r>
          </w:p>
        </w:tc>
        <w:tc>
          <w:tcPr>
            <w:tcW w:w="0" w:type="auto"/>
            <w:shd w:val="clear" w:color="auto" w:fill="auto"/>
            <w:noWrap/>
            <w:vAlign w:val="bottom"/>
          </w:tcPr>
          <w:p w14:paraId="6AA0F911"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w:t>
            </w:r>
          </w:p>
        </w:tc>
        <w:tc>
          <w:tcPr>
            <w:tcW w:w="0" w:type="auto"/>
            <w:shd w:val="clear" w:color="auto" w:fill="auto"/>
            <w:noWrap/>
            <w:vAlign w:val="bottom"/>
          </w:tcPr>
          <w:p w14:paraId="3C8001C1"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w:t>
            </w:r>
          </w:p>
        </w:tc>
        <w:tc>
          <w:tcPr>
            <w:tcW w:w="0" w:type="auto"/>
            <w:shd w:val="clear" w:color="auto" w:fill="auto"/>
            <w:noWrap/>
            <w:vAlign w:val="bottom"/>
          </w:tcPr>
          <w:p w14:paraId="15D01744"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4</w:t>
            </w:r>
          </w:p>
        </w:tc>
        <w:tc>
          <w:tcPr>
            <w:tcW w:w="0" w:type="auto"/>
            <w:shd w:val="clear" w:color="auto" w:fill="auto"/>
            <w:noWrap/>
            <w:vAlign w:val="bottom"/>
          </w:tcPr>
          <w:p w14:paraId="6B19507C"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45319B82"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1B27AAD0"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5BD0A635"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vAlign w:val="bottom"/>
          </w:tcPr>
          <w:p w14:paraId="6E852561"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vAlign w:val="bottom"/>
          </w:tcPr>
          <w:p w14:paraId="04F7EA2F"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r>
      <w:tr w:rsidR="00C00EC7" w:rsidRPr="007E3E0B" w14:paraId="1CAB5C01" w14:textId="77777777" w:rsidTr="00DC15EB">
        <w:trPr>
          <w:trHeight w:val="240"/>
        </w:trPr>
        <w:tc>
          <w:tcPr>
            <w:tcW w:w="0" w:type="auto"/>
            <w:shd w:val="clear" w:color="auto" w:fill="auto"/>
          </w:tcPr>
          <w:p w14:paraId="66129A10" w14:textId="77777777" w:rsidR="00C00EC7" w:rsidRPr="007E3E0B" w:rsidRDefault="00C00EC7" w:rsidP="006E67C9">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 xml:space="preserve">Family house attached to </w:t>
            </w:r>
            <w:proofErr w:type="spellStart"/>
            <w:r w:rsidRPr="007E3E0B">
              <w:rPr>
                <w:rFonts w:eastAsia="Times New Roman"/>
                <w:spacing w:val="0"/>
                <w:w w:val="100"/>
                <w:kern w:val="0"/>
                <w:sz w:val="17"/>
                <w:szCs w:val="17"/>
              </w:rPr>
              <w:t>Engelsborg</w:t>
            </w:r>
            <w:proofErr w:type="spellEnd"/>
            <w:r w:rsidRPr="007E3E0B">
              <w:rPr>
                <w:rFonts w:eastAsia="Times New Roman"/>
                <w:spacing w:val="0"/>
                <w:w w:val="100"/>
                <w:kern w:val="0"/>
                <w:sz w:val="17"/>
                <w:szCs w:val="17"/>
              </w:rPr>
              <w:t xml:space="preserve"> Halfway House</w:t>
            </w:r>
          </w:p>
        </w:tc>
        <w:tc>
          <w:tcPr>
            <w:tcW w:w="0" w:type="auto"/>
            <w:shd w:val="clear" w:color="auto" w:fill="auto"/>
            <w:noWrap/>
            <w:vAlign w:val="bottom"/>
          </w:tcPr>
          <w:p w14:paraId="72AD3F96"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w:t>
            </w:r>
          </w:p>
        </w:tc>
        <w:tc>
          <w:tcPr>
            <w:tcW w:w="0" w:type="auto"/>
            <w:shd w:val="clear" w:color="auto" w:fill="auto"/>
            <w:noWrap/>
            <w:vAlign w:val="bottom"/>
          </w:tcPr>
          <w:p w14:paraId="7B6D4D48"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w:t>
            </w:r>
          </w:p>
        </w:tc>
        <w:tc>
          <w:tcPr>
            <w:tcW w:w="0" w:type="auto"/>
            <w:shd w:val="clear" w:color="auto" w:fill="auto"/>
            <w:noWrap/>
            <w:vAlign w:val="bottom"/>
          </w:tcPr>
          <w:p w14:paraId="2B3AC3A9"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w:t>
            </w:r>
          </w:p>
        </w:tc>
        <w:tc>
          <w:tcPr>
            <w:tcW w:w="0" w:type="auto"/>
            <w:shd w:val="clear" w:color="auto" w:fill="auto"/>
            <w:noWrap/>
            <w:vAlign w:val="bottom"/>
          </w:tcPr>
          <w:p w14:paraId="0870F1A8"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6FF3638A"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673E9719"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67377E8F"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vAlign w:val="bottom"/>
          </w:tcPr>
          <w:p w14:paraId="56FF240A"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vAlign w:val="bottom"/>
          </w:tcPr>
          <w:p w14:paraId="151689A6"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r>
      <w:tr w:rsidR="00C00EC7" w:rsidRPr="007E3E0B" w14:paraId="2A9068E7" w14:textId="77777777" w:rsidTr="00DC15EB">
        <w:trPr>
          <w:trHeight w:val="240"/>
        </w:trPr>
        <w:tc>
          <w:tcPr>
            <w:tcW w:w="0" w:type="auto"/>
            <w:shd w:val="clear" w:color="auto" w:fill="auto"/>
          </w:tcPr>
          <w:p w14:paraId="74F55CC4" w14:textId="77777777" w:rsidR="00C00EC7" w:rsidRPr="007E3E0B" w:rsidRDefault="00C00EC7" w:rsidP="006E67C9">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 xml:space="preserve">Special unit for young offenders in </w:t>
            </w:r>
            <w:proofErr w:type="spellStart"/>
            <w:r w:rsidRPr="007E3E0B">
              <w:rPr>
                <w:rFonts w:eastAsia="Times New Roman"/>
                <w:spacing w:val="0"/>
                <w:w w:val="100"/>
                <w:kern w:val="0"/>
                <w:sz w:val="17"/>
                <w:szCs w:val="17"/>
              </w:rPr>
              <w:t>Jyderup</w:t>
            </w:r>
            <w:proofErr w:type="spellEnd"/>
            <w:r w:rsidRPr="007E3E0B">
              <w:rPr>
                <w:rFonts w:eastAsia="Times New Roman"/>
                <w:spacing w:val="0"/>
                <w:w w:val="100"/>
                <w:kern w:val="0"/>
                <w:sz w:val="17"/>
                <w:szCs w:val="17"/>
              </w:rPr>
              <w:t xml:space="preserve"> State Prison</w:t>
            </w:r>
          </w:p>
        </w:tc>
        <w:tc>
          <w:tcPr>
            <w:tcW w:w="0" w:type="auto"/>
            <w:shd w:val="clear" w:color="auto" w:fill="auto"/>
            <w:noWrap/>
            <w:vAlign w:val="bottom"/>
          </w:tcPr>
          <w:p w14:paraId="03F4B335"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6</w:t>
            </w:r>
          </w:p>
        </w:tc>
        <w:tc>
          <w:tcPr>
            <w:tcW w:w="0" w:type="auto"/>
            <w:shd w:val="clear" w:color="auto" w:fill="auto"/>
            <w:noWrap/>
            <w:vAlign w:val="bottom"/>
          </w:tcPr>
          <w:p w14:paraId="5D8BB039"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6</w:t>
            </w:r>
          </w:p>
        </w:tc>
        <w:tc>
          <w:tcPr>
            <w:tcW w:w="0" w:type="auto"/>
            <w:shd w:val="clear" w:color="auto" w:fill="auto"/>
            <w:noWrap/>
            <w:vAlign w:val="bottom"/>
          </w:tcPr>
          <w:p w14:paraId="52F46ED8"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6</w:t>
            </w:r>
          </w:p>
        </w:tc>
        <w:tc>
          <w:tcPr>
            <w:tcW w:w="0" w:type="auto"/>
            <w:shd w:val="clear" w:color="auto" w:fill="auto"/>
            <w:noWrap/>
            <w:vAlign w:val="bottom"/>
          </w:tcPr>
          <w:p w14:paraId="064D4324"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5D157A6B"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1C063982"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noWrap/>
            <w:vAlign w:val="bottom"/>
          </w:tcPr>
          <w:p w14:paraId="35D8F383"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vAlign w:val="bottom"/>
          </w:tcPr>
          <w:p w14:paraId="5F02C6C6"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shd w:val="clear" w:color="auto" w:fill="auto"/>
            <w:vAlign w:val="bottom"/>
          </w:tcPr>
          <w:p w14:paraId="08908023" w14:textId="77777777" w:rsidR="00C00EC7" w:rsidRPr="007E3E0B" w:rsidRDefault="00C00EC7" w:rsidP="006E67C9">
            <w:pPr>
              <w:suppressAutoHyphens w:val="0"/>
              <w:spacing w:before="40" w:after="40"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r>
      <w:tr w:rsidR="00C00EC7" w:rsidRPr="007E3E0B" w14:paraId="36287DC2" w14:textId="77777777" w:rsidTr="00DC15EB">
        <w:trPr>
          <w:trHeight w:val="240"/>
        </w:trPr>
        <w:tc>
          <w:tcPr>
            <w:tcW w:w="0" w:type="auto"/>
            <w:tcBorders>
              <w:bottom w:val="single" w:sz="4" w:space="0" w:color="auto"/>
            </w:tcBorders>
            <w:shd w:val="clear" w:color="auto" w:fill="auto"/>
          </w:tcPr>
          <w:p w14:paraId="01152383" w14:textId="77777777" w:rsidR="00C00EC7" w:rsidRPr="007E3E0B" w:rsidRDefault="00C00EC7" w:rsidP="006E67C9">
            <w:pPr>
              <w:suppressAutoHyphens w:val="0"/>
              <w:spacing w:before="40" w:after="81" w:line="210" w:lineRule="atLeast"/>
              <w:rPr>
                <w:rFonts w:eastAsia="Times New Roman"/>
                <w:bCs/>
                <w:spacing w:val="0"/>
                <w:w w:val="100"/>
                <w:kern w:val="0"/>
                <w:sz w:val="17"/>
                <w:szCs w:val="17"/>
              </w:rPr>
            </w:pPr>
            <w:r w:rsidRPr="007E3E0B">
              <w:rPr>
                <w:rFonts w:eastAsia="Times New Roman"/>
                <w:spacing w:val="0"/>
                <w:w w:val="100"/>
                <w:kern w:val="0"/>
                <w:sz w:val="17"/>
                <w:szCs w:val="17"/>
              </w:rPr>
              <w:t>Family house attached to Hammer Bakker Halfway House</w:t>
            </w:r>
          </w:p>
        </w:tc>
        <w:tc>
          <w:tcPr>
            <w:tcW w:w="0" w:type="auto"/>
            <w:tcBorders>
              <w:bottom w:val="single" w:sz="4" w:space="0" w:color="auto"/>
            </w:tcBorders>
            <w:shd w:val="clear" w:color="auto" w:fill="auto"/>
            <w:noWrap/>
            <w:vAlign w:val="bottom"/>
          </w:tcPr>
          <w:p w14:paraId="230017E8"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w:t>
            </w:r>
          </w:p>
        </w:tc>
        <w:tc>
          <w:tcPr>
            <w:tcW w:w="0" w:type="auto"/>
            <w:tcBorders>
              <w:bottom w:val="single" w:sz="4" w:space="0" w:color="auto"/>
            </w:tcBorders>
            <w:shd w:val="clear" w:color="auto" w:fill="auto"/>
            <w:noWrap/>
            <w:vAlign w:val="bottom"/>
          </w:tcPr>
          <w:p w14:paraId="55A1E56A"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w:t>
            </w:r>
          </w:p>
        </w:tc>
        <w:tc>
          <w:tcPr>
            <w:tcW w:w="0" w:type="auto"/>
            <w:tcBorders>
              <w:bottom w:val="single" w:sz="4" w:space="0" w:color="auto"/>
            </w:tcBorders>
            <w:shd w:val="clear" w:color="auto" w:fill="auto"/>
            <w:noWrap/>
            <w:vAlign w:val="bottom"/>
          </w:tcPr>
          <w:p w14:paraId="3EEAF973"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3</w:t>
            </w:r>
          </w:p>
        </w:tc>
        <w:tc>
          <w:tcPr>
            <w:tcW w:w="0" w:type="auto"/>
            <w:tcBorders>
              <w:bottom w:val="single" w:sz="4" w:space="0" w:color="auto"/>
            </w:tcBorders>
            <w:shd w:val="clear" w:color="auto" w:fill="auto"/>
            <w:noWrap/>
            <w:vAlign w:val="bottom"/>
          </w:tcPr>
          <w:p w14:paraId="57707C27"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bottom w:val="single" w:sz="4" w:space="0" w:color="auto"/>
            </w:tcBorders>
            <w:shd w:val="clear" w:color="auto" w:fill="auto"/>
            <w:noWrap/>
            <w:vAlign w:val="bottom"/>
          </w:tcPr>
          <w:p w14:paraId="1157DA09"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bottom w:val="single" w:sz="4" w:space="0" w:color="auto"/>
            </w:tcBorders>
            <w:shd w:val="clear" w:color="auto" w:fill="auto"/>
            <w:noWrap/>
            <w:vAlign w:val="bottom"/>
          </w:tcPr>
          <w:p w14:paraId="72543407"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bottom w:val="single" w:sz="4" w:space="0" w:color="auto"/>
            </w:tcBorders>
            <w:shd w:val="clear" w:color="auto" w:fill="auto"/>
            <w:noWrap/>
            <w:vAlign w:val="bottom"/>
          </w:tcPr>
          <w:p w14:paraId="235CE98E"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bottom w:val="single" w:sz="4" w:space="0" w:color="auto"/>
            </w:tcBorders>
            <w:shd w:val="clear" w:color="auto" w:fill="auto"/>
            <w:vAlign w:val="bottom"/>
          </w:tcPr>
          <w:p w14:paraId="3E78AD8D"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bottom w:val="single" w:sz="4" w:space="0" w:color="auto"/>
            </w:tcBorders>
            <w:shd w:val="clear" w:color="auto" w:fill="auto"/>
            <w:vAlign w:val="bottom"/>
          </w:tcPr>
          <w:p w14:paraId="36A6C035" w14:textId="77777777" w:rsidR="00C00EC7" w:rsidRPr="007E3E0B" w:rsidRDefault="00C00EC7" w:rsidP="006E67C9">
            <w:pPr>
              <w:suppressAutoHyphens w:val="0"/>
              <w:spacing w:before="40"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r>
      <w:tr w:rsidR="00C00EC7" w:rsidRPr="007E3E0B" w14:paraId="03523988" w14:textId="77777777" w:rsidTr="00DC15EB">
        <w:trPr>
          <w:trHeight w:val="240"/>
        </w:trPr>
        <w:tc>
          <w:tcPr>
            <w:tcW w:w="0" w:type="auto"/>
            <w:tcBorders>
              <w:top w:val="single" w:sz="4" w:space="0" w:color="auto"/>
              <w:bottom w:val="single" w:sz="12" w:space="0" w:color="auto"/>
            </w:tcBorders>
            <w:shd w:val="clear" w:color="auto" w:fill="auto"/>
            <w:hideMark/>
          </w:tcPr>
          <w:p w14:paraId="4A6D4069" w14:textId="77777777" w:rsidR="00C00EC7" w:rsidRPr="007E3E0B" w:rsidRDefault="00C00EC7" w:rsidP="006E67C9">
            <w:pPr>
              <w:suppressAutoHyphens w:val="0"/>
              <w:spacing w:before="81" w:after="81" w:line="210" w:lineRule="atLeast"/>
              <w:rPr>
                <w:rFonts w:eastAsia="Times New Roman"/>
                <w:bCs/>
                <w:spacing w:val="0"/>
                <w:w w:val="100"/>
                <w:kern w:val="0"/>
                <w:sz w:val="17"/>
                <w:szCs w:val="17"/>
              </w:rPr>
            </w:pPr>
            <w:r w:rsidRPr="007E3E0B">
              <w:rPr>
                <w:rFonts w:eastAsia="Times New Roman"/>
                <w:bCs/>
                <w:spacing w:val="0"/>
                <w:w w:val="100"/>
                <w:kern w:val="0"/>
                <w:sz w:val="17"/>
                <w:szCs w:val="17"/>
              </w:rPr>
              <w:t>Total</w:t>
            </w:r>
          </w:p>
        </w:tc>
        <w:tc>
          <w:tcPr>
            <w:tcW w:w="0" w:type="auto"/>
            <w:tcBorders>
              <w:top w:val="single" w:sz="4" w:space="0" w:color="auto"/>
              <w:bottom w:val="single" w:sz="12" w:space="0" w:color="auto"/>
            </w:tcBorders>
            <w:shd w:val="clear" w:color="auto" w:fill="auto"/>
            <w:noWrap/>
            <w:vAlign w:val="bottom"/>
          </w:tcPr>
          <w:p w14:paraId="5C4CDA2E"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13</w:t>
            </w:r>
          </w:p>
        </w:tc>
        <w:tc>
          <w:tcPr>
            <w:tcW w:w="0" w:type="auto"/>
            <w:tcBorders>
              <w:top w:val="single" w:sz="4" w:space="0" w:color="auto"/>
              <w:bottom w:val="single" w:sz="12" w:space="0" w:color="auto"/>
            </w:tcBorders>
            <w:shd w:val="clear" w:color="auto" w:fill="auto"/>
            <w:noWrap/>
            <w:vAlign w:val="bottom"/>
          </w:tcPr>
          <w:p w14:paraId="0B5AEEFB"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17</w:t>
            </w:r>
          </w:p>
        </w:tc>
        <w:tc>
          <w:tcPr>
            <w:tcW w:w="0" w:type="auto"/>
            <w:tcBorders>
              <w:top w:val="single" w:sz="4" w:space="0" w:color="auto"/>
              <w:bottom w:val="single" w:sz="12" w:space="0" w:color="auto"/>
            </w:tcBorders>
            <w:shd w:val="clear" w:color="auto" w:fill="auto"/>
            <w:noWrap/>
            <w:vAlign w:val="bottom"/>
          </w:tcPr>
          <w:p w14:paraId="3A8EC59C"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16</w:t>
            </w:r>
          </w:p>
        </w:tc>
        <w:tc>
          <w:tcPr>
            <w:tcW w:w="0" w:type="auto"/>
            <w:tcBorders>
              <w:top w:val="single" w:sz="4" w:space="0" w:color="auto"/>
              <w:bottom w:val="single" w:sz="12" w:space="0" w:color="auto"/>
            </w:tcBorders>
            <w:shd w:val="clear" w:color="auto" w:fill="auto"/>
            <w:noWrap/>
            <w:vAlign w:val="bottom"/>
          </w:tcPr>
          <w:p w14:paraId="123FD4E1"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top w:val="single" w:sz="4" w:space="0" w:color="auto"/>
              <w:bottom w:val="single" w:sz="12" w:space="0" w:color="auto"/>
            </w:tcBorders>
            <w:shd w:val="clear" w:color="auto" w:fill="auto"/>
            <w:noWrap/>
            <w:vAlign w:val="bottom"/>
          </w:tcPr>
          <w:p w14:paraId="35D68219"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top w:val="single" w:sz="4" w:space="0" w:color="auto"/>
              <w:bottom w:val="single" w:sz="12" w:space="0" w:color="auto"/>
            </w:tcBorders>
            <w:shd w:val="clear" w:color="auto" w:fill="auto"/>
            <w:noWrap/>
            <w:vAlign w:val="bottom"/>
          </w:tcPr>
          <w:p w14:paraId="0149C211"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top w:val="single" w:sz="4" w:space="0" w:color="auto"/>
              <w:bottom w:val="single" w:sz="12" w:space="0" w:color="auto"/>
            </w:tcBorders>
            <w:shd w:val="clear" w:color="auto" w:fill="auto"/>
            <w:noWrap/>
            <w:vAlign w:val="bottom"/>
          </w:tcPr>
          <w:p w14:paraId="05A6B682"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top w:val="single" w:sz="4" w:space="0" w:color="auto"/>
              <w:bottom w:val="single" w:sz="12" w:space="0" w:color="auto"/>
            </w:tcBorders>
            <w:shd w:val="clear" w:color="auto" w:fill="auto"/>
            <w:vAlign w:val="bottom"/>
          </w:tcPr>
          <w:p w14:paraId="67B452C5"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c>
          <w:tcPr>
            <w:tcW w:w="0" w:type="auto"/>
            <w:tcBorders>
              <w:top w:val="single" w:sz="4" w:space="0" w:color="auto"/>
              <w:bottom w:val="single" w:sz="12" w:space="0" w:color="auto"/>
            </w:tcBorders>
            <w:shd w:val="clear" w:color="auto" w:fill="auto"/>
            <w:vAlign w:val="bottom"/>
          </w:tcPr>
          <w:p w14:paraId="0BD84816" w14:textId="77777777" w:rsidR="00C00EC7" w:rsidRPr="007E3E0B" w:rsidRDefault="00C00EC7" w:rsidP="006E67C9">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0,0</w:t>
            </w:r>
          </w:p>
        </w:tc>
      </w:tr>
    </w:tbl>
    <w:p w14:paraId="0475B91A" w14:textId="77777777" w:rsidR="00C00EC7" w:rsidRPr="00E46FF5" w:rsidRDefault="00C00EC7" w:rsidP="00E46FF5">
      <w:pPr>
        <w:pStyle w:val="SingleTxt"/>
        <w:spacing w:after="0" w:line="120" w:lineRule="exact"/>
        <w:rPr>
          <w:sz w:val="10"/>
        </w:rPr>
      </w:pPr>
    </w:p>
    <w:p w14:paraId="334AD1BF" w14:textId="77777777" w:rsidR="00E46FF5" w:rsidRPr="007E3E0B" w:rsidRDefault="00E46FF5" w:rsidP="006E67C9">
      <w:pPr>
        <w:pStyle w:val="SingleTxt"/>
        <w:spacing w:after="0" w:line="120" w:lineRule="exact"/>
        <w:rPr>
          <w:sz w:val="10"/>
        </w:rPr>
      </w:pPr>
    </w:p>
    <w:p w14:paraId="585D58CE" w14:textId="77777777" w:rsidR="00C00EC7" w:rsidRPr="007E3E0B" w:rsidRDefault="00C00EC7" w:rsidP="006E67C9">
      <w:pPr>
        <w:pStyle w:val="H23"/>
      </w:pPr>
      <w:r w:rsidRPr="007E3E0B">
        <w:tab/>
      </w:r>
      <w:r w:rsidRPr="007E3E0B">
        <w:tab/>
        <w:t>Greenland</w:t>
      </w:r>
    </w:p>
    <w:p w14:paraId="1024ABEC" w14:textId="77777777" w:rsidR="006E67C9" w:rsidRPr="007E3E0B" w:rsidRDefault="006E67C9" w:rsidP="006E67C9">
      <w:pPr>
        <w:pStyle w:val="SingleTxt"/>
        <w:spacing w:after="0" w:line="120" w:lineRule="exact"/>
        <w:rPr>
          <w:sz w:val="10"/>
        </w:rPr>
      </w:pPr>
    </w:p>
    <w:p w14:paraId="69E426B1" w14:textId="77777777" w:rsidR="00C00EC7" w:rsidRPr="007E3E0B" w:rsidRDefault="006E67C9" w:rsidP="006E67C9">
      <w:pPr>
        <w:pStyle w:val="H23"/>
      </w:pPr>
      <w:r w:rsidRPr="007E3E0B">
        <w:tab/>
      </w:r>
      <w:r w:rsidRPr="007E3E0B">
        <w:tab/>
      </w:r>
      <w:r w:rsidR="00C00EC7" w:rsidRPr="007E3E0B">
        <w:t xml:space="preserve">Total budgeted costs (MDDK) concerning children and adolescents in the municipalities and the Greenlandic Self-Government within social affairs </w:t>
      </w:r>
      <w:r w:rsidRPr="007E3E0B">
        <w:br/>
      </w:r>
      <w:r w:rsidR="00C00EC7" w:rsidRPr="007E3E0B">
        <w:t>and education</w:t>
      </w:r>
    </w:p>
    <w:p w14:paraId="70AD49B6" w14:textId="77777777" w:rsidR="00C00EC7" w:rsidRPr="007E3E0B" w:rsidRDefault="00C00EC7" w:rsidP="006E67C9">
      <w:pPr>
        <w:pStyle w:val="SingleTxt"/>
        <w:spacing w:after="0" w:line="120" w:lineRule="exact"/>
        <w:rPr>
          <w:sz w:val="10"/>
        </w:rPr>
      </w:pPr>
    </w:p>
    <w:tbl>
      <w:tblPr>
        <w:tblW w:w="7370" w:type="dxa"/>
        <w:tblInd w:w="1264" w:type="dxa"/>
        <w:tblBorders>
          <w:top w:val="single" w:sz="4" w:space="0" w:color="auto"/>
        </w:tblBorders>
        <w:tblCellMar>
          <w:left w:w="0" w:type="dxa"/>
          <w:right w:w="0" w:type="dxa"/>
        </w:tblCellMar>
        <w:tblLook w:val="04A0" w:firstRow="1" w:lastRow="0" w:firstColumn="1" w:lastColumn="0" w:noHBand="0" w:noVBand="1"/>
      </w:tblPr>
      <w:tblGrid>
        <w:gridCol w:w="4350"/>
        <w:gridCol w:w="3020"/>
      </w:tblGrid>
      <w:tr w:rsidR="00C00EC7" w:rsidRPr="007E3E0B" w14:paraId="4B004CAA" w14:textId="77777777" w:rsidTr="00A0380C">
        <w:trPr>
          <w:trHeight w:val="240"/>
          <w:tblHeader/>
        </w:trPr>
        <w:tc>
          <w:tcPr>
            <w:tcW w:w="2951" w:type="pct"/>
            <w:tcBorders>
              <w:top w:val="single" w:sz="4" w:space="0" w:color="auto"/>
              <w:bottom w:val="single" w:sz="12" w:space="0" w:color="auto"/>
            </w:tcBorders>
            <w:shd w:val="clear" w:color="auto" w:fill="auto"/>
            <w:noWrap/>
            <w:vAlign w:val="bottom"/>
            <w:hideMark/>
          </w:tcPr>
          <w:p w14:paraId="42F1BD29" w14:textId="77777777" w:rsidR="00C00EC7" w:rsidRPr="007E3E0B" w:rsidRDefault="00C00EC7" w:rsidP="006E67C9">
            <w:pPr>
              <w:suppressAutoHyphens w:val="0"/>
              <w:spacing w:before="80" w:after="80" w:line="160" w:lineRule="atLeast"/>
              <w:rPr>
                <w:rFonts w:eastAsia="Times New Roman"/>
                <w:bCs/>
                <w:i/>
                <w:spacing w:val="0"/>
                <w:w w:val="100"/>
                <w:kern w:val="0"/>
                <w:sz w:val="14"/>
                <w:szCs w:val="14"/>
              </w:rPr>
            </w:pPr>
            <w:r w:rsidRPr="007E3E0B">
              <w:rPr>
                <w:rFonts w:eastAsia="Times New Roman"/>
                <w:bCs/>
                <w:i/>
                <w:spacing w:val="0"/>
                <w:w w:val="100"/>
                <w:kern w:val="0"/>
                <w:sz w:val="14"/>
                <w:szCs w:val="14"/>
              </w:rPr>
              <w:t>Total costs</w:t>
            </w:r>
          </w:p>
        </w:tc>
        <w:tc>
          <w:tcPr>
            <w:tcW w:w="2049" w:type="pct"/>
            <w:tcBorders>
              <w:top w:val="single" w:sz="4" w:space="0" w:color="auto"/>
              <w:bottom w:val="single" w:sz="12" w:space="0" w:color="auto"/>
            </w:tcBorders>
            <w:shd w:val="clear" w:color="auto" w:fill="auto"/>
            <w:noWrap/>
            <w:vAlign w:val="bottom"/>
            <w:hideMark/>
          </w:tcPr>
          <w:p w14:paraId="4EF2930E" w14:textId="77777777" w:rsidR="00C00EC7" w:rsidRPr="007E3E0B" w:rsidRDefault="00C00EC7" w:rsidP="006E67C9">
            <w:pPr>
              <w:suppressAutoHyphens w:val="0"/>
              <w:spacing w:before="80" w:after="80" w:line="160" w:lineRule="atLeast"/>
              <w:ind w:left="113"/>
              <w:jc w:val="right"/>
              <w:rPr>
                <w:rFonts w:eastAsia="Times New Roman"/>
                <w:bCs/>
                <w:i/>
                <w:spacing w:val="0"/>
                <w:w w:val="100"/>
                <w:kern w:val="0"/>
                <w:sz w:val="14"/>
                <w:szCs w:val="14"/>
              </w:rPr>
            </w:pPr>
            <w:r w:rsidRPr="007E3E0B">
              <w:rPr>
                <w:rFonts w:eastAsia="Times New Roman"/>
                <w:bCs/>
                <w:i/>
                <w:spacing w:val="0"/>
                <w:w w:val="100"/>
                <w:kern w:val="0"/>
                <w:sz w:val="14"/>
                <w:szCs w:val="14"/>
              </w:rPr>
              <w:t>2015</w:t>
            </w:r>
          </w:p>
        </w:tc>
      </w:tr>
      <w:tr w:rsidR="00C00EC7" w:rsidRPr="007E3E0B" w14:paraId="0603B158" w14:textId="77777777" w:rsidTr="00A0380C">
        <w:trPr>
          <w:trHeight w:val="240"/>
        </w:trPr>
        <w:tc>
          <w:tcPr>
            <w:tcW w:w="2951" w:type="pct"/>
            <w:tcBorders>
              <w:top w:val="single" w:sz="12" w:space="0" w:color="auto"/>
            </w:tcBorders>
            <w:shd w:val="clear" w:color="auto" w:fill="auto"/>
            <w:noWrap/>
            <w:hideMark/>
          </w:tcPr>
          <w:p w14:paraId="6589E1A9" w14:textId="77777777" w:rsidR="00C00EC7" w:rsidRPr="007E3E0B" w:rsidRDefault="00C00EC7" w:rsidP="00A0380C">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 xml:space="preserve">Municipalities </w:t>
            </w:r>
          </w:p>
        </w:tc>
        <w:tc>
          <w:tcPr>
            <w:tcW w:w="2049" w:type="pct"/>
            <w:tcBorders>
              <w:top w:val="single" w:sz="12" w:space="0" w:color="auto"/>
            </w:tcBorders>
            <w:shd w:val="clear" w:color="auto" w:fill="auto"/>
            <w:noWrap/>
            <w:vAlign w:val="bottom"/>
            <w:hideMark/>
          </w:tcPr>
          <w:p w14:paraId="75A2EA4E" w14:textId="77777777" w:rsidR="00C00EC7" w:rsidRPr="007E3E0B" w:rsidRDefault="00C00EC7" w:rsidP="00A0380C">
            <w:pPr>
              <w:suppressAutoHyphens w:val="0"/>
              <w:spacing w:before="40" w:after="40" w:line="210" w:lineRule="atLeast"/>
              <w:ind w:left="113"/>
              <w:jc w:val="right"/>
              <w:rPr>
                <w:rFonts w:eastAsia="Times New Roman"/>
                <w:spacing w:val="0"/>
                <w:w w:val="100"/>
                <w:kern w:val="0"/>
                <w:sz w:val="17"/>
                <w:szCs w:val="17"/>
              </w:rPr>
            </w:pPr>
            <w:r w:rsidRPr="007E3E0B">
              <w:rPr>
                <w:rFonts w:eastAsia="Times New Roman"/>
                <w:spacing w:val="0"/>
                <w:w w:val="100"/>
                <w:kern w:val="0"/>
                <w:sz w:val="17"/>
                <w:szCs w:val="17"/>
              </w:rPr>
              <w:t xml:space="preserve">1,670.1 </w:t>
            </w:r>
          </w:p>
        </w:tc>
      </w:tr>
      <w:tr w:rsidR="00C00EC7" w:rsidRPr="007E3E0B" w14:paraId="30FAEEF1" w14:textId="77777777" w:rsidTr="00A0380C">
        <w:trPr>
          <w:trHeight w:val="240"/>
        </w:trPr>
        <w:tc>
          <w:tcPr>
            <w:tcW w:w="2951" w:type="pct"/>
            <w:shd w:val="clear" w:color="auto" w:fill="auto"/>
            <w:noWrap/>
            <w:hideMark/>
          </w:tcPr>
          <w:p w14:paraId="56B72BF3" w14:textId="77777777" w:rsidR="00C00EC7" w:rsidRPr="007E3E0B" w:rsidRDefault="00C00EC7" w:rsidP="00A0380C">
            <w:pPr>
              <w:suppressAutoHyphens w:val="0"/>
              <w:spacing w:before="40" w:after="40" w:line="210" w:lineRule="atLeast"/>
              <w:rPr>
                <w:rFonts w:eastAsia="Times New Roman"/>
                <w:spacing w:val="0"/>
                <w:w w:val="100"/>
                <w:kern w:val="0"/>
                <w:sz w:val="17"/>
                <w:szCs w:val="17"/>
              </w:rPr>
            </w:pPr>
            <w:r w:rsidRPr="007E3E0B">
              <w:rPr>
                <w:rFonts w:eastAsia="Times New Roman"/>
                <w:spacing w:val="0"/>
                <w:w w:val="100"/>
                <w:kern w:val="0"/>
                <w:sz w:val="17"/>
                <w:szCs w:val="17"/>
              </w:rPr>
              <w:t>Self-Government – social affairs</w:t>
            </w:r>
          </w:p>
        </w:tc>
        <w:tc>
          <w:tcPr>
            <w:tcW w:w="2049" w:type="pct"/>
            <w:shd w:val="clear" w:color="auto" w:fill="auto"/>
            <w:noWrap/>
            <w:vAlign w:val="bottom"/>
            <w:hideMark/>
          </w:tcPr>
          <w:p w14:paraId="4C1DDED8" w14:textId="77777777" w:rsidR="00C00EC7" w:rsidRPr="007E3E0B" w:rsidRDefault="00C00EC7" w:rsidP="00A0380C">
            <w:pPr>
              <w:suppressAutoHyphens w:val="0"/>
              <w:spacing w:before="40" w:after="40" w:line="210" w:lineRule="atLeast"/>
              <w:ind w:left="113"/>
              <w:jc w:val="right"/>
              <w:rPr>
                <w:rFonts w:eastAsia="Times New Roman"/>
                <w:spacing w:val="0"/>
                <w:w w:val="100"/>
                <w:kern w:val="0"/>
                <w:sz w:val="17"/>
                <w:szCs w:val="17"/>
              </w:rPr>
            </w:pPr>
            <w:r w:rsidRPr="007E3E0B">
              <w:rPr>
                <w:rFonts w:eastAsia="Times New Roman"/>
                <w:spacing w:val="0"/>
                <w:w w:val="100"/>
                <w:kern w:val="0"/>
                <w:sz w:val="17"/>
                <w:szCs w:val="17"/>
              </w:rPr>
              <w:t xml:space="preserve">293,2 </w:t>
            </w:r>
          </w:p>
        </w:tc>
      </w:tr>
      <w:tr w:rsidR="00C00EC7" w:rsidRPr="007E3E0B" w14:paraId="140BD829" w14:textId="77777777" w:rsidTr="00A0380C">
        <w:trPr>
          <w:trHeight w:val="240"/>
        </w:trPr>
        <w:tc>
          <w:tcPr>
            <w:tcW w:w="2951" w:type="pct"/>
            <w:tcBorders>
              <w:bottom w:val="single" w:sz="4" w:space="0" w:color="auto"/>
            </w:tcBorders>
            <w:shd w:val="clear" w:color="auto" w:fill="auto"/>
            <w:noWrap/>
            <w:hideMark/>
          </w:tcPr>
          <w:p w14:paraId="25AD71AA" w14:textId="77777777" w:rsidR="00C00EC7" w:rsidRPr="007E3E0B" w:rsidRDefault="00C00EC7" w:rsidP="00A0380C">
            <w:pPr>
              <w:suppressAutoHyphens w:val="0"/>
              <w:spacing w:before="40" w:after="81" w:line="210" w:lineRule="atLeast"/>
              <w:rPr>
                <w:rFonts w:eastAsia="Times New Roman"/>
                <w:spacing w:val="0"/>
                <w:w w:val="100"/>
                <w:kern w:val="0"/>
                <w:sz w:val="17"/>
                <w:szCs w:val="17"/>
              </w:rPr>
            </w:pPr>
            <w:r w:rsidRPr="007E3E0B">
              <w:rPr>
                <w:rFonts w:eastAsia="Times New Roman"/>
                <w:spacing w:val="0"/>
                <w:w w:val="100"/>
                <w:kern w:val="0"/>
                <w:sz w:val="17"/>
                <w:szCs w:val="17"/>
              </w:rPr>
              <w:t>Self-Government – education</w:t>
            </w:r>
          </w:p>
        </w:tc>
        <w:tc>
          <w:tcPr>
            <w:tcW w:w="2049" w:type="pct"/>
            <w:tcBorders>
              <w:bottom w:val="single" w:sz="4" w:space="0" w:color="auto"/>
            </w:tcBorders>
            <w:shd w:val="clear" w:color="auto" w:fill="auto"/>
            <w:noWrap/>
            <w:vAlign w:val="bottom"/>
            <w:hideMark/>
          </w:tcPr>
          <w:p w14:paraId="09EE3FA2" w14:textId="77777777" w:rsidR="00C00EC7" w:rsidRPr="007E3E0B" w:rsidRDefault="00C00EC7" w:rsidP="00A0380C">
            <w:pPr>
              <w:suppressAutoHyphens w:val="0"/>
              <w:spacing w:before="40" w:after="81" w:line="210" w:lineRule="atLeast"/>
              <w:ind w:left="113"/>
              <w:jc w:val="right"/>
              <w:rPr>
                <w:rFonts w:eastAsia="Times New Roman"/>
                <w:spacing w:val="0"/>
                <w:w w:val="100"/>
                <w:kern w:val="0"/>
                <w:sz w:val="17"/>
                <w:szCs w:val="17"/>
              </w:rPr>
            </w:pPr>
            <w:r w:rsidRPr="007E3E0B">
              <w:rPr>
                <w:rFonts w:eastAsia="Times New Roman"/>
                <w:spacing w:val="0"/>
                <w:w w:val="100"/>
                <w:kern w:val="0"/>
                <w:sz w:val="17"/>
                <w:szCs w:val="17"/>
              </w:rPr>
              <w:t xml:space="preserve">643,2 </w:t>
            </w:r>
          </w:p>
        </w:tc>
      </w:tr>
      <w:tr w:rsidR="00C00EC7" w:rsidRPr="007E3E0B" w14:paraId="77FC903F" w14:textId="77777777" w:rsidTr="00A0380C">
        <w:trPr>
          <w:trHeight w:val="240"/>
        </w:trPr>
        <w:tc>
          <w:tcPr>
            <w:tcW w:w="2951" w:type="pct"/>
            <w:tcBorders>
              <w:top w:val="single" w:sz="4" w:space="0" w:color="auto"/>
              <w:bottom w:val="single" w:sz="12" w:space="0" w:color="auto"/>
            </w:tcBorders>
            <w:shd w:val="clear" w:color="auto" w:fill="auto"/>
            <w:noWrap/>
            <w:hideMark/>
          </w:tcPr>
          <w:p w14:paraId="25705A1D" w14:textId="77777777" w:rsidR="00C00EC7" w:rsidRPr="007E3E0B" w:rsidRDefault="00C00EC7" w:rsidP="00A0380C">
            <w:pPr>
              <w:suppressAutoHyphens w:val="0"/>
              <w:spacing w:before="81" w:after="81" w:line="210" w:lineRule="atLeast"/>
              <w:rPr>
                <w:rFonts w:eastAsia="Times New Roman"/>
                <w:bCs/>
                <w:spacing w:val="0"/>
                <w:w w:val="100"/>
                <w:kern w:val="0"/>
                <w:sz w:val="17"/>
                <w:szCs w:val="17"/>
              </w:rPr>
            </w:pPr>
            <w:r w:rsidRPr="007E3E0B">
              <w:rPr>
                <w:rFonts w:eastAsia="Times New Roman"/>
                <w:bCs/>
                <w:spacing w:val="0"/>
                <w:w w:val="100"/>
                <w:kern w:val="0"/>
                <w:sz w:val="17"/>
                <w:szCs w:val="17"/>
              </w:rPr>
              <w:t>Total</w:t>
            </w:r>
          </w:p>
        </w:tc>
        <w:tc>
          <w:tcPr>
            <w:tcW w:w="2049" w:type="pct"/>
            <w:tcBorders>
              <w:top w:val="single" w:sz="4" w:space="0" w:color="auto"/>
              <w:bottom w:val="single" w:sz="12" w:space="0" w:color="auto"/>
            </w:tcBorders>
            <w:shd w:val="clear" w:color="auto" w:fill="auto"/>
            <w:noWrap/>
            <w:vAlign w:val="bottom"/>
            <w:hideMark/>
          </w:tcPr>
          <w:p w14:paraId="623DCD5F" w14:textId="77777777" w:rsidR="00C00EC7" w:rsidRPr="007E3E0B" w:rsidRDefault="00C00EC7" w:rsidP="00A0380C">
            <w:pPr>
              <w:suppressAutoHyphens w:val="0"/>
              <w:spacing w:before="81" w:after="81" w:line="210" w:lineRule="atLeast"/>
              <w:ind w:left="113"/>
              <w:jc w:val="right"/>
              <w:rPr>
                <w:rFonts w:eastAsia="Times New Roman"/>
                <w:bCs/>
                <w:spacing w:val="0"/>
                <w:w w:val="100"/>
                <w:kern w:val="0"/>
                <w:sz w:val="17"/>
                <w:szCs w:val="17"/>
              </w:rPr>
            </w:pPr>
            <w:r w:rsidRPr="007E3E0B">
              <w:rPr>
                <w:rFonts w:eastAsia="Times New Roman"/>
                <w:bCs/>
                <w:spacing w:val="0"/>
                <w:w w:val="100"/>
                <w:kern w:val="0"/>
                <w:sz w:val="17"/>
                <w:szCs w:val="17"/>
              </w:rPr>
              <w:t xml:space="preserve">2,606.5 </w:t>
            </w:r>
          </w:p>
        </w:tc>
      </w:tr>
    </w:tbl>
    <w:p w14:paraId="2F36BFD1" w14:textId="77777777" w:rsidR="00C00EC7" w:rsidRPr="007E3E0B" w:rsidRDefault="00C00EC7" w:rsidP="00A7047F">
      <w:pPr>
        <w:pStyle w:val="SingleTxt"/>
        <w:spacing w:line="210" w:lineRule="exact"/>
        <w:rPr>
          <w:i/>
          <w:sz w:val="17"/>
          <w:szCs w:val="17"/>
        </w:rPr>
      </w:pPr>
      <w:r w:rsidRPr="007E3E0B">
        <w:rPr>
          <w:i/>
          <w:sz w:val="17"/>
          <w:szCs w:val="17"/>
        </w:rPr>
        <w:t>Note: The budgeted costs represent an estimate and are subject to some uncertainty.</w:t>
      </w:r>
    </w:p>
    <w:p w14:paraId="62698360" w14:textId="77777777" w:rsidR="00C00EC7" w:rsidRPr="00DC15EB" w:rsidRDefault="00C00EC7" w:rsidP="00DC15EB">
      <w:pPr>
        <w:pStyle w:val="SingleTxt"/>
        <w:spacing w:after="0" w:line="120" w:lineRule="exact"/>
        <w:rPr>
          <w:sz w:val="10"/>
        </w:rPr>
      </w:pPr>
    </w:p>
    <w:p w14:paraId="04E1DA89" w14:textId="77777777" w:rsidR="00DC15EB" w:rsidRPr="007E3E0B" w:rsidRDefault="00DC15EB" w:rsidP="00FA70DA">
      <w:pPr>
        <w:pStyle w:val="SingleTxt"/>
        <w:spacing w:after="0" w:line="120" w:lineRule="exact"/>
        <w:rPr>
          <w:sz w:val="10"/>
        </w:rPr>
      </w:pPr>
    </w:p>
    <w:p w14:paraId="67897962" w14:textId="77777777" w:rsidR="00C00EC7" w:rsidRPr="007E3E0B" w:rsidRDefault="00C00EC7" w:rsidP="00FA70DA">
      <w:pPr>
        <w:pStyle w:val="H1"/>
      </w:pPr>
      <w:r w:rsidRPr="007E3E0B">
        <w:tab/>
      </w:r>
      <w:r w:rsidRPr="007E3E0B">
        <w:tab/>
        <w:t>Para. 15(a)</w:t>
      </w:r>
    </w:p>
    <w:p w14:paraId="2002869C" w14:textId="77777777" w:rsidR="00FA70DA" w:rsidRPr="007E3E0B" w:rsidRDefault="00FA70DA" w:rsidP="00FA70DA">
      <w:pPr>
        <w:pStyle w:val="SingleTxt"/>
        <w:spacing w:after="0" w:line="120" w:lineRule="exact"/>
        <w:rPr>
          <w:sz w:val="10"/>
        </w:rPr>
      </w:pPr>
    </w:p>
    <w:p w14:paraId="1BF2D8A1" w14:textId="77777777" w:rsidR="00C00EC7" w:rsidRPr="007E3E0B" w:rsidRDefault="00C00EC7" w:rsidP="00FA70DA">
      <w:pPr>
        <w:pStyle w:val="H23"/>
      </w:pPr>
      <w:r w:rsidRPr="007E3E0B">
        <w:tab/>
      </w:r>
      <w:r w:rsidRPr="007E3E0B">
        <w:tab/>
        <w:t>Denmark</w:t>
      </w:r>
    </w:p>
    <w:p w14:paraId="4E6D56AE" w14:textId="77777777" w:rsidR="00FA70DA" w:rsidRPr="007E3E0B" w:rsidRDefault="00FA70DA" w:rsidP="00FA70DA">
      <w:pPr>
        <w:pStyle w:val="SingleTxt"/>
        <w:spacing w:after="0" w:line="120" w:lineRule="exact"/>
        <w:rPr>
          <w:sz w:val="10"/>
        </w:rPr>
      </w:pPr>
    </w:p>
    <w:p w14:paraId="53A321E8" w14:textId="77777777" w:rsidR="00C00EC7" w:rsidRPr="007E3E0B" w:rsidRDefault="00C00EC7" w:rsidP="004E484C">
      <w:pPr>
        <w:pStyle w:val="SingleTxt"/>
        <w:numPr>
          <w:ilvl w:val="0"/>
          <w:numId w:val="3"/>
        </w:numPr>
        <w:ind w:left="1267" w:right="1267" w:firstLine="0"/>
      </w:pPr>
      <w:r w:rsidRPr="007E3E0B">
        <w:t xml:space="preserve">In 2013 2.5 </w:t>
      </w:r>
      <w:r w:rsidR="00A7047F">
        <w:t>per cent</w:t>
      </w:r>
      <w:r w:rsidRPr="007E3E0B">
        <w:t xml:space="preserve"> of children in Denmark lived in families with relatively low income according to the OECD. This is the lowest share among the OECD-countries.</w:t>
      </w:r>
    </w:p>
    <w:p w14:paraId="3458B32C" w14:textId="77777777" w:rsidR="00C00EC7" w:rsidRPr="007E3E0B" w:rsidRDefault="00C00EC7" w:rsidP="004E484C">
      <w:pPr>
        <w:pStyle w:val="SingleTxt"/>
        <w:numPr>
          <w:ilvl w:val="0"/>
          <w:numId w:val="3"/>
        </w:numPr>
        <w:ind w:left="1267" w:right="1267" w:firstLine="0"/>
      </w:pPr>
      <w:r w:rsidRPr="007E3E0B">
        <w:t xml:space="preserve">Statistics are not available on children living in poverty as Denmark does not have an official poverty threshold. </w:t>
      </w:r>
    </w:p>
    <w:p w14:paraId="49DE7C6B" w14:textId="77777777" w:rsidR="00C00EC7" w:rsidRPr="007E3E0B" w:rsidRDefault="00FA70DA" w:rsidP="00FA70DA">
      <w:pPr>
        <w:pStyle w:val="H23"/>
      </w:pPr>
      <w:r w:rsidRPr="007E3E0B">
        <w:lastRenderedPageBreak/>
        <w:tab/>
      </w:r>
      <w:r w:rsidRPr="007E3E0B">
        <w:tab/>
      </w:r>
      <w:r w:rsidR="00C00EC7" w:rsidRPr="007E3E0B">
        <w:t>Number of children living in families in the low income group</w:t>
      </w:r>
    </w:p>
    <w:p w14:paraId="7758021D" w14:textId="77777777" w:rsidR="00DD3754" w:rsidRPr="007E3E0B" w:rsidRDefault="00DD3754" w:rsidP="00FA70DA">
      <w:pPr>
        <w:pStyle w:val="SingleTxt"/>
        <w:keepNext/>
        <w:spacing w:after="0" w:line="120" w:lineRule="exact"/>
        <w:rPr>
          <w:sz w:val="10"/>
        </w:rPr>
      </w:pPr>
    </w:p>
    <w:tbl>
      <w:tblPr>
        <w:tblStyle w:val="TableGrid1"/>
        <w:tblW w:w="7370" w:type="dxa"/>
        <w:tblInd w:w="1264"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009"/>
        <w:gridCol w:w="1787"/>
        <w:gridCol w:w="1787"/>
        <w:gridCol w:w="1787"/>
      </w:tblGrid>
      <w:tr w:rsidR="00C00EC7" w:rsidRPr="007E3E0B" w14:paraId="25879C8B" w14:textId="77777777" w:rsidTr="0076378A">
        <w:trPr>
          <w:trHeight w:val="240"/>
          <w:tblHeader/>
        </w:trPr>
        <w:tc>
          <w:tcPr>
            <w:tcW w:w="2009" w:type="dxa"/>
            <w:shd w:val="clear" w:color="auto" w:fill="auto"/>
            <w:vAlign w:val="bottom"/>
          </w:tcPr>
          <w:p w14:paraId="06560C4C" w14:textId="77777777" w:rsidR="00C00EC7" w:rsidRPr="007E3E0B" w:rsidRDefault="00C00EC7" w:rsidP="00FA70DA">
            <w:pPr>
              <w:suppressAutoHyphens w:val="0"/>
              <w:spacing w:before="80" w:after="80" w:line="160" w:lineRule="atLeast"/>
              <w:rPr>
                <w:i/>
                <w:spacing w:val="0"/>
                <w:w w:val="100"/>
                <w:kern w:val="0"/>
                <w:sz w:val="14"/>
                <w:szCs w:val="14"/>
              </w:rPr>
            </w:pPr>
            <w:r w:rsidRPr="007E3E0B">
              <w:rPr>
                <w:i/>
                <w:spacing w:val="0"/>
                <w:w w:val="100"/>
                <w:kern w:val="0"/>
                <w:sz w:val="14"/>
                <w:szCs w:val="14"/>
              </w:rPr>
              <w:t>Year</w:t>
            </w:r>
          </w:p>
        </w:tc>
        <w:tc>
          <w:tcPr>
            <w:tcW w:w="1787" w:type="dxa"/>
            <w:shd w:val="clear" w:color="auto" w:fill="auto"/>
            <w:vAlign w:val="bottom"/>
          </w:tcPr>
          <w:p w14:paraId="2E227988" w14:textId="77777777" w:rsidR="00C00EC7" w:rsidRPr="007E3E0B" w:rsidRDefault="00C00EC7" w:rsidP="00FA70DA">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2012</w:t>
            </w:r>
          </w:p>
        </w:tc>
        <w:tc>
          <w:tcPr>
            <w:tcW w:w="1787" w:type="dxa"/>
            <w:shd w:val="clear" w:color="auto" w:fill="auto"/>
            <w:vAlign w:val="bottom"/>
          </w:tcPr>
          <w:p w14:paraId="7B9D198A" w14:textId="77777777" w:rsidR="00C00EC7" w:rsidRPr="007E3E0B" w:rsidRDefault="00C00EC7" w:rsidP="00FA70DA">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2013</w:t>
            </w:r>
          </w:p>
        </w:tc>
        <w:tc>
          <w:tcPr>
            <w:tcW w:w="1787" w:type="dxa"/>
            <w:shd w:val="clear" w:color="auto" w:fill="auto"/>
            <w:vAlign w:val="bottom"/>
          </w:tcPr>
          <w:p w14:paraId="54E9B9BE" w14:textId="77777777" w:rsidR="00C00EC7" w:rsidRPr="007E3E0B" w:rsidRDefault="00C00EC7" w:rsidP="00FA70DA">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2014</w:t>
            </w:r>
          </w:p>
        </w:tc>
      </w:tr>
      <w:tr w:rsidR="00C00EC7" w:rsidRPr="007E3E0B" w14:paraId="27112AC8" w14:textId="77777777" w:rsidTr="0076378A">
        <w:trPr>
          <w:trHeight w:val="240"/>
        </w:trPr>
        <w:tc>
          <w:tcPr>
            <w:tcW w:w="2009" w:type="dxa"/>
            <w:shd w:val="clear" w:color="auto" w:fill="auto"/>
          </w:tcPr>
          <w:p w14:paraId="5E8D5743" w14:textId="77777777" w:rsidR="00C00EC7" w:rsidRPr="007E3E0B" w:rsidRDefault="00C00EC7" w:rsidP="00FA70DA">
            <w:pPr>
              <w:suppressAutoHyphens w:val="0"/>
              <w:spacing w:before="40" w:after="40" w:line="210" w:lineRule="atLeast"/>
              <w:rPr>
                <w:spacing w:val="0"/>
                <w:w w:val="100"/>
                <w:kern w:val="0"/>
                <w:sz w:val="17"/>
                <w:szCs w:val="17"/>
              </w:rPr>
            </w:pPr>
            <w:r w:rsidRPr="007E3E0B">
              <w:rPr>
                <w:spacing w:val="0"/>
                <w:w w:val="100"/>
                <w:kern w:val="0"/>
                <w:sz w:val="17"/>
                <w:szCs w:val="17"/>
              </w:rPr>
              <w:t>Number of children</w:t>
            </w:r>
          </w:p>
        </w:tc>
        <w:tc>
          <w:tcPr>
            <w:tcW w:w="1787" w:type="dxa"/>
            <w:shd w:val="clear" w:color="auto" w:fill="auto"/>
            <w:vAlign w:val="bottom"/>
          </w:tcPr>
          <w:p w14:paraId="6F598C37" w14:textId="77777777" w:rsidR="00C00EC7" w:rsidRPr="007E3E0B" w:rsidRDefault="00C00EC7" w:rsidP="00FA70DA">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51 438</w:t>
            </w:r>
          </w:p>
        </w:tc>
        <w:tc>
          <w:tcPr>
            <w:tcW w:w="1787" w:type="dxa"/>
            <w:shd w:val="clear" w:color="auto" w:fill="auto"/>
            <w:vAlign w:val="bottom"/>
          </w:tcPr>
          <w:p w14:paraId="596502E1" w14:textId="77777777" w:rsidR="00C00EC7" w:rsidRPr="007E3E0B" w:rsidRDefault="00C00EC7" w:rsidP="00FA70DA">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51 141</w:t>
            </w:r>
          </w:p>
        </w:tc>
        <w:tc>
          <w:tcPr>
            <w:tcW w:w="1787" w:type="dxa"/>
            <w:shd w:val="clear" w:color="auto" w:fill="auto"/>
            <w:vAlign w:val="bottom"/>
          </w:tcPr>
          <w:p w14:paraId="132C56F8" w14:textId="77777777" w:rsidR="00C00EC7" w:rsidRPr="007E3E0B" w:rsidRDefault="00C00EC7" w:rsidP="00FA70DA">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53 457</w:t>
            </w:r>
          </w:p>
        </w:tc>
      </w:tr>
    </w:tbl>
    <w:p w14:paraId="58A30775" w14:textId="77777777" w:rsidR="00C00EC7" w:rsidRPr="007E3E0B" w:rsidRDefault="00C00EC7" w:rsidP="00FA70DA">
      <w:pPr>
        <w:pStyle w:val="SingleTxt"/>
        <w:spacing w:after="0" w:line="120" w:lineRule="exact"/>
        <w:rPr>
          <w:sz w:val="10"/>
        </w:rPr>
      </w:pPr>
    </w:p>
    <w:p w14:paraId="0161F451" w14:textId="77777777" w:rsidR="00C00EC7" w:rsidRDefault="00C00EC7" w:rsidP="004E484C">
      <w:pPr>
        <w:pStyle w:val="SingleTxt"/>
        <w:numPr>
          <w:ilvl w:val="0"/>
          <w:numId w:val="3"/>
        </w:numPr>
        <w:ind w:left="1267" w:right="1267" w:firstLine="0"/>
      </w:pPr>
      <w:r w:rsidRPr="007E3E0B">
        <w:t xml:space="preserve">In 2014, 59 </w:t>
      </w:r>
      <w:r w:rsidR="00A7047F">
        <w:t>per cent</w:t>
      </w:r>
      <w:r w:rsidRPr="007E3E0B">
        <w:t xml:space="preserve"> of children living in families in the low income group lived in families with two adults, while 41 </w:t>
      </w:r>
      <w:r w:rsidR="00A7047F">
        <w:t>per cent</w:t>
      </w:r>
      <w:r w:rsidRPr="007E3E0B">
        <w:t xml:space="preserve"> lived in single adult families. </w:t>
      </w:r>
      <w:r w:rsidR="00A7047F">
        <w:t>Sixty four per cent</w:t>
      </w:r>
      <w:r w:rsidRPr="007E3E0B">
        <w:t xml:space="preserve"> of these children were of Danish origin, while 36 </w:t>
      </w:r>
      <w:r w:rsidR="00A7047F">
        <w:t>per cent</w:t>
      </w:r>
      <w:r w:rsidRPr="007E3E0B">
        <w:t xml:space="preserve"> were of foreign origin. In 2014, 40 </w:t>
      </w:r>
      <w:r w:rsidR="00A7047F">
        <w:t>per cent</w:t>
      </w:r>
      <w:r w:rsidRPr="007E3E0B">
        <w:t xml:space="preserve"> of persons within the low income group were students.</w:t>
      </w:r>
    </w:p>
    <w:p w14:paraId="25E66E9D" w14:textId="77777777" w:rsidR="00A467DC" w:rsidRPr="00A467DC" w:rsidRDefault="00A467DC" w:rsidP="00A467DC">
      <w:pPr>
        <w:pStyle w:val="SingleTxt"/>
        <w:spacing w:after="0" w:line="120" w:lineRule="exact"/>
        <w:ind w:right="1267"/>
        <w:rPr>
          <w:sz w:val="10"/>
        </w:rPr>
      </w:pPr>
    </w:p>
    <w:p w14:paraId="142E56CE" w14:textId="77777777" w:rsidR="00C00EC7" w:rsidRPr="007E3E0B" w:rsidRDefault="00C00EC7" w:rsidP="002F0D48">
      <w:pPr>
        <w:pStyle w:val="H23"/>
      </w:pPr>
      <w:r w:rsidRPr="007E3E0B">
        <w:tab/>
      </w:r>
      <w:r w:rsidRPr="007E3E0B">
        <w:tab/>
        <w:t xml:space="preserve">Greenland </w:t>
      </w:r>
    </w:p>
    <w:p w14:paraId="50C4CCAD" w14:textId="77777777" w:rsidR="002F0D48" w:rsidRPr="007E3E0B" w:rsidRDefault="002F0D48" w:rsidP="002F0D48">
      <w:pPr>
        <w:pStyle w:val="SingleTxt"/>
        <w:spacing w:after="0" w:line="120" w:lineRule="exact"/>
        <w:rPr>
          <w:b/>
          <w:sz w:val="10"/>
        </w:rPr>
      </w:pPr>
    </w:p>
    <w:p w14:paraId="28ECF502" w14:textId="77777777" w:rsidR="00C00EC7" w:rsidRPr="007E3E0B" w:rsidRDefault="00C00EC7" w:rsidP="004E484C">
      <w:pPr>
        <w:pStyle w:val="SingleTxt"/>
        <w:numPr>
          <w:ilvl w:val="0"/>
          <w:numId w:val="3"/>
        </w:numPr>
        <w:ind w:left="1267" w:right="1267" w:firstLine="0"/>
      </w:pPr>
      <w:r w:rsidRPr="007E3E0B">
        <w:t xml:space="preserve">The income statistics by Statistics Greenland (2015) show that the income of house-holds with children is more evenly distributed than is the case for the income distribution as a whole. In 2015 the overall Gini coefficient was around 33.8 for Greenland as a whole and around 29.1 for households with children in Greenland. </w:t>
      </w:r>
    </w:p>
    <w:p w14:paraId="25801BF4" w14:textId="77777777" w:rsidR="00C00EC7" w:rsidRPr="007E3E0B" w:rsidRDefault="00C00EC7" w:rsidP="004E484C">
      <w:pPr>
        <w:pStyle w:val="SingleTxt"/>
        <w:numPr>
          <w:ilvl w:val="0"/>
          <w:numId w:val="3"/>
        </w:numPr>
        <w:ind w:left="1267" w:right="1267" w:firstLine="0"/>
      </w:pPr>
      <w:r w:rsidRPr="007E3E0B">
        <w:t xml:space="preserve">The income statistics by Statistics Greenland (2015) shows that in 2015 the at-risk-of-poverty rate (ROP) on ROP40, ROP50 and ROP60 were 5.0 </w:t>
      </w:r>
      <w:r w:rsidR="00A7047F">
        <w:t>per cent</w:t>
      </w:r>
      <w:r w:rsidRPr="007E3E0B">
        <w:t xml:space="preserve">, </w:t>
      </w:r>
      <w:r w:rsidR="00A7047F">
        <w:br/>
      </w:r>
      <w:r w:rsidRPr="007E3E0B">
        <w:t xml:space="preserve">9.6 </w:t>
      </w:r>
      <w:r w:rsidR="00A7047F">
        <w:t>per cent</w:t>
      </w:r>
      <w:r w:rsidRPr="007E3E0B">
        <w:t xml:space="preserve"> and 16.2 </w:t>
      </w:r>
      <w:r w:rsidR="00A7047F">
        <w:t>per cent</w:t>
      </w:r>
      <w:r w:rsidRPr="007E3E0B">
        <w:t xml:space="preserve">, respectively, for the entire population, while the figures for children alone were 4.1 </w:t>
      </w:r>
      <w:r w:rsidR="00A7047F">
        <w:t>per cent</w:t>
      </w:r>
      <w:r w:rsidRPr="007E3E0B">
        <w:t xml:space="preserve">, 8.6 </w:t>
      </w:r>
      <w:r w:rsidR="00A7047F">
        <w:t>per cent</w:t>
      </w:r>
      <w:r w:rsidRPr="007E3E0B">
        <w:t xml:space="preserve"> and 16.2 </w:t>
      </w:r>
      <w:r w:rsidR="00A7047F">
        <w:t>per cent</w:t>
      </w:r>
      <w:r w:rsidRPr="007E3E0B">
        <w:t>, respectively.</w:t>
      </w:r>
    </w:p>
    <w:p w14:paraId="3EBD2B65" w14:textId="77777777" w:rsidR="002F0D48" w:rsidRPr="00A467DC" w:rsidRDefault="002F0D48" w:rsidP="00A467DC">
      <w:pPr>
        <w:pStyle w:val="SingleTxt"/>
        <w:spacing w:after="0" w:line="120" w:lineRule="exact"/>
        <w:ind w:right="1267"/>
        <w:rPr>
          <w:sz w:val="10"/>
        </w:rPr>
      </w:pPr>
    </w:p>
    <w:p w14:paraId="7A368DAA" w14:textId="77777777" w:rsidR="00A467DC" w:rsidRPr="007E3E0B" w:rsidRDefault="00A467DC" w:rsidP="002F0D48">
      <w:pPr>
        <w:pStyle w:val="SingleTxt"/>
        <w:spacing w:after="0" w:line="120" w:lineRule="exact"/>
        <w:ind w:right="1267"/>
        <w:rPr>
          <w:sz w:val="10"/>
        </w:rPr>
      </w:pPr>
    </w:p>
    <w:p w14:paraId="19E5BA02" w14:textId="77777777" w:rsidR="00C00EC7" w:rsidRPr="007E3E0B" w:rsidRDefault="00C00EC7" w:rsidP="00A467DC">
      <w:pPr>
        <w:pStyle w:val="H1"/>
      </w:pPr>
      <w:r w:rsidRPr="007E3E0B">
        <w:tab/>
      </w:r>
      <w:r w:rsidRPr="007E3E0B">
        <w:tab/>
        <w:t xml:space="preserve">Para. 15(b) </w:t>
      </w:r>
    </w:p>
    <w:p w14:paraId="1D1D8CF6" w14:textId="77777777" w:rsidR="002F0D48" w:rsidRPr="00A467DC" w:rsidRDefault="002F0D48" w:rsidP="00A467DC">
      <w:pPr>
        <w:pStyle w:val="SingleTxt"/>
        <w:spacing w:after="0" w:line="120" w:lineRule="exact"/>
        <w:rPr>
          <w:b/>
          <w:sz w:val="10"/>
        </w:rPr>
      </w:pPr>
    </w:p>
    <w:p w14:paraId="11B56F9E" w14:textId="77777777" w:rsidR="00A467DC" w:rsidRPr="007E3E0B" w:rsidRDefault="00A467DC" w:rsidP="002F0D48">
      <w:pPr>
        <w:pStyle w:val="SingleTxt"/>
        <w:spacing w:after="0" w:line="120" w:lineRule="exact"/>
        <w:rPr>
          <w:b/>
          <w:sz w:val="10"/>
        </w:rPr>
      </w:pPr>
    </w:p>
    <w:p w14:paraId="7887C75A" w14:textId="77777777" w:rsidR="00C00EC7" w:rsidRPr="007E3E0B" w:rsidRDefault="00C00EC7" w:rsidP="004E484C">
      <w:pPr>
        <w:pStyle w:val="SingleTxt"/>
        <w:numPr>
          <w:ilvl w:val="0"/>
          <w:numId w:val="3"/>
        </w:numPr>
        <w:ind w:left="1267" w:right="1267" w:firstLine="0"/>
      </w:pPr>
      <w:r w:rsidRPr="007E3E0B">
        <w:t xml:space="preserve">The number of unaccompanied minors seeking asylum in Denmark reached a record high level of 2144 in 2015. In the following year the figure decreased </w:t>
      </w:r>
      <w:r w:rsidR="00A467DC">
        <w:br/>
      </w:r>
      <w:r w:rsidRPr="007E3E0B">
        <w:t>to 1</w:t>
      </w:r>
      <w:r w:rsidR="0021007F">
        <w:t>,</w:t>
      </w:r>
      <w:r w:rsidRPr="007E3E0B">
        <w:t>184 which was a high level compared to the total sum of asylum seekers in Denmark in 2016. For several years prior to 2013, the largest group of unaccompanied minor asylum seekers has been from Afghanistan, whereas the largest group in 2014 was from Syria. In 2016, the three largest groups of unaccompanied minor asylum seekers were from Afghanistan, Morocco and Eritrea.</w:t>
      </w:r>
    </w:p>
    <w:p w14:paraId="0BF7C86D" w14:textId="77777777" w:rsidR="00C00EC7" w:rsidRPr="007E3E0B" w:rsidRDefault="00C00EC7" w:rsidP="004E484C">
      <w:pPr>
        <w:pStyle w:val="SingleTxt"/>
        <w:numPr>
          <w:ilvl w:val="0"/>
          <w:numId w:val="3"/>
        </w:numPr>
        <w:ind w:left="1267" w:right="1267" w:firstLine="0"/>
      </w:pPr>
      <w:r w:rsidRPr="007E3E0B">
        <w:t>The two tables below regarding family reunification reflect both applications from children who apply for family reunification alone and applications from children who apply accompanied by a parent.</w:t>
      </w:r>
    </w:p>
    <w:p w14:paraId="3BD0B379" w14:textId="77777777" w:rsidR="002F0D48" w:rsidRPr="007E3E0B" w:rsidRDefault="002F0D48" w:rsidP="002F0D48">
      <w:pPr>
        <w:pStyle w:val="SingleTxt"/>
        <w:spacing w:after="0" w:line="120" w:lineRule="exact"/>
        <w:ind w:right="1267"/>
        <w:rPr>
          <w:sz w:val="10"/>
        </w:rPr>
      </w:pPr>
    </w:p>
    <w:p w14:paraId="5081F36F" w14:textId="77777777" w:rsidR="00C00EC7" w:rsidRPr="007E3E0B" w:rsidRDefault="002F0D48" w:rsidP="002F0D48">
      <w:pPr>
        <w:pStyle w:val="H23"/>
      </w:pPr>
      <w:r w:rsidRPr="007E3E0B">
        <w:tab/>
      </w:r>
      <w:r w:rsidRPr="007E3E0B">
        <w:tab/>
      </w:r>
      <w:r w:rsidR="00C00EC7" w:rsidRPr="007E3E0B">
        <w:t>Number of unaccompanied minor asylum seekers in 2014, 2015, and 2016 by application year and top 3 largest nationalities for each year</w:t>
      </w:r>
    </w:p>
    <w:p w14:paraId="2464D84C" w14:textId="77777777" w:rsidR="00C00EC7" w:rsidRPr="007E3E0B" w:rsidRDefault="00C00EC7" w:rsidP="002F0D48">
      <w:pPr>
        <w:pStyle w:val="SingleTxt"/>
        <w:spacing w:after="0" w:line="120" w:lineRule="exact"/>
        <w:rPr>
          <w:sz w:val="10"/>
        </w:rPr>
      </w:pPr>
    </w:p>
    <w:tbl>
      <w:tblPr>
        <w:tblStyle w:val="TableGrid2"/>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702"/>
        <w:gridCol w:w="1464"/>
        <w:gridCol w:w="1464"/>
        <w:gridCol w:w="1654"/>
      </w:tblGrid>
      <w:tr w:rsidR="00C00EC7" w:rsidRPr="007E3E0B" w14:paraId="09E9E2E8" w14:textId="77777777" w:rsidTr="003B4D4F">
        <w:trPr>
          <w:trHeight w:val="240"/>
          <w:tblHeader/>
        </w:trPr>
        <w:tc>
          <w:tcPr>
            <w:tcW w:w="1086" w:type="dxa"/>
            <w:tcBorders>
              <w:top w:val="single" w:sz="4" w:space="0" w:color="auto"/>
              <w:bottom w:val="single" w:sz="12" w:space="0" w:color="auto"/>
            </w:tcBorders>
            <w:shd w:val="clear" w:color="auto" w:fill="auto"/>
            <w:vAlign w:val="bottom"/>
          </w:tcPr>
          <w:p w14:paraId="4BCA8F76" w14:textId="77777777" w:rsidR="00C00EC7" w:rsidRPr="007E3E0B" w:rsidRDefault="00C00EC7" w:rsidP="002F0D48">
            <w:pPr>
              <w:suppressAutoHyphens w:val="0"/>
              <w:spacing w:before="80" w:after="80" w:line="160" w:lineRule="atLeast"/>
              <w:rPr>
                <w:i/>
                <w:spacing w:val="0"/>
                <w:w w:val="100"/>
                <w:kern w:val="0"/>
                <w:sz w:val="14"/>
                <w:szCs w:val="14"/>
              </w:rPr>
            </w:pPr>
            <w:r w:rsidRPr="007E3E0B">
              <w:rPr>
                <w:i/>
                <w:spacing w:val="0"/>
                <w:w w:val="100"/>
                <w:kern w:val="0"/>
                <w:sz w:val="14"/>
                <w:szCs w:val="14"/>
              </w:rPr>
              <w:t>Year</w:t>
            </w:r>
          </w:p>
        </w:tc>
        <w:tc>
          <w:tcPr>
            <w:tcW w:w="1702" w:type="dxa"/>
            <w:tcBorders>
              <w:top w:val="single" w:sz="4" w:space="0" w:color="auto"/>
              <w:bottom w:val="single" w:sz="12" w:space="0" w:color="auto"/>
            </w:tcBorders>
            <w:shd w:val="clear" w:color="auto" w:fill="auto"/>
            <w:vAlign w:val="bottom"/>
          </w:tcPr>
          <w:p w14:paraId="34EE7005" w14:textId="77777777" w:rsidR="00C00EC7" w:rsidRPr="007E3E0B" w:rsidRDefault="00C00EC7" w:rsidP="002F0D48">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1.</w:t>
            </w:r>
          </w:p>
        </w:tc>
        <w:tc>
          <w:tcPr>
            <w:tcW w:w="1464" w:type="dxa"/>
            <w:tcBorders>
              <w:top w:val="single" w:sz="4" w:space="0" w:color="auto"/>
              <w:bottom w:val="single" w:sz="12" w:space="0" w:color="auto"/>
            </w:tcBorders>
            <w:shd w:val="clear" w:color="auto" w:fill="auto"/>
            <w:vAlign w:val="bottom"/>
          </w:tcPr>
          <w:p w14:paraId="3A4C349A" w14:textId="77777777" w:rsidR="00C00EC7" w:rsidRPr="007E3E0B" w:rsidRDefault="00C00EC7" w:rsidP="002F0D48">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w:t>
            </w:r>
          </w:p>
        </w:tc>
        <w:tc>
          <w:tcPr>
            <w:tcW w:w="1464" w:type="dxa"/>
            <w:tcBorders>
              <w:top w:val="single" w:sz="4" w:space="0" w:color="auto"/>
              <w:bottom w:val="single" w:sz="12" w:space="0" w:color="auto"/>
            </w:tcBorders>
            <w:shd w:val="clear" w:color="auto" w:fill="auto"/>
            <w:vAlign w:val="bottom"/>
          </w:tcPr>
          <w:p w14:paraId="188AC80C" w14:textId="77777777" w:rsidR="00C00EC7" w:rsidRPr="007E3E0B" w:rsidRDefault="00C00EC7" w:rsidP="002F0D48">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3.</w:t>
            </w:r>
          </w:p>
        </w:tc>
        <w:tc>
          <w:tcPr>
            <w:tcW w:w="1654" w:type="dxa"/>
            <w:tcBorders>
              <w:top w:val="single" w:sz="4" w:space="0" w:color="auto"/>
              <w:bottom w:val="single" w:sz="12" w:space="0" w:color="auto"/>
            </w:tcBorders>
            <w:shd w:val="clear" w:color="auto" w:fill="auto"/>
            <w:vAlign w:val="bottom"/>
          </w:tcPr>
          <w:p w14:paraId="1F292E82" w14:textId="77777777" w:rsidR="00C00EC7" w:rsidRPr="007E3E0B" w:rsidRDefault="00C00EC7" w:rsidP="002F0D48">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All nationalities</w:t>
            </w:r>
          </w:p>
        </w:tc>
      </w:tr>
      <w:tr w:rsidR="00C00EC7" w:rsidRPr="007E3E0B" w14:paraId="685AEA51" w14:textId="77777777" w:rsidTr="003B4D4F">
        <w:trPr>
          <w:trHeight w:val="240"/>
        </w:trPr>
        <w:tc>
          <w:tcPr>
            <w:tcW w:w="1086" w:type="dxa"/>
            <w:tcBorders>
              <w:top w:val="single" w:sz="12" w:space="0" w:color="auto"/>
            </w:tcBorders>
            <w:shd w:val="clear" w:color="auto" w:fill="auto"/>
          </w:tcPr>
          <w:p w14:paraId="6CB2A22A" w14:textId="77777777" w:rsidR="00C00EC7" w:rsidRPr="007E3E0B" w:rsidRDefault="00C00EC7" w:rsidP="003B4D4F">
            <w:pPr>
              <w:suppressAutoHyphens w:val="0"/>
              <w:spacing w:before="40" w:after="40" w:line="210" w:lineRule="atLeast"/>
              <w:rPr>
                <w:spacing w:val="0"/>
                <w:w w:val="100"/>
                <w:kern w:val="0"/>
                <w:sz w:val="17"/>
                <w:szCs w:val="17"/>
              </w:rPr>
            </w:pPr>
            <w:r w:rsidRPr="007E3E0B">
              <w:rPr>
                <w:spacing w:val="0"/>
                <w:w w:val="100"/>
                <w:kern w:val="0"/>
                <w:sz w:val="17"/>
                <w:szCs w:val="17"/>
              </w:rPr>
              <w:t>2014</w:t>
            </w:r>
          </w:p>
        </w:tc>
        <w:tc>
          <w:tcPr>
            <w:tcW w:w="1702" w:type="dxa"/>
            <w:tcBorders>
              <w:top w:val="single" w:sz="12" w:space="0" w:color="auto"/>
            </w:tcBorders>
            <w:shd w:val="clear" w:color="auto" w:fill="auto"/>
            <w:vAlign w:val="bottom"/>
          </w:tcPr>
          <w:p w14:paraId="1C0414D4"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Syria (248)</w:t>
            </w:r>
          </w:p>
        </w:tc>
        <w:tc>
          <w:tcPr>
            <w:tcW w:w="1464" w:type="dxa"/>
            <w:tcBorders>
              <w:top w:val="single" w:sz="12" w:space="0" w:color="auto"/>
            </w:tcBorders>
            <w:shd w:val="clear" w:color="auto" w:fill="auto"/>
            <w:vAlign w:val="bottom"/>
          </w:tcPr>
          <w:p w14:paraId="639FCE53"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Eritrea (188)</w:t>
            </w:r>
          </w:p>
        </w:tc>
        <w:tc>
          <w:tcPr>
            <w:tcW w:w="1464" w:type="dxa"/>
            <w:tcBorders>
              <w:top w:val="single" w:sz="12" w:space="0" w:color="auto"/>
            </w:tcBorders>
            <w:shd w:val="clear" w:color="auto" w:fill="auto"/>
            <w:vAlign w:val="bottom"/>
          </w:tcPr>
          <w:p w14:paraId="04BB20AB"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Morocco (93)</w:t>
            </w:r>
          </w:p>
        </w:tc>
        <w:tc>
          <w:tcPr>
            <w:tcW w:w="1654" w:type="dxa"/>
            <w:tcBorders>
              <w:top w:val="single" w:sz="12" w:space="0" w:color="auto"/>
            </w:tcBorders>
            <w:shd w:val="clear" w:color="auto" w:fill="auto"/>
            <w:vAlign w:val="bottom"/>
          </w:tcPr>
          <w:p w14:paraId="19E103C9"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818</w:t>
            </w:r>
          </w:p>
        </w:tc>
      </w:tr>
      <w:tr w:rsidR="00C00EC7" w:rsidRPr="007E3E0B" w14:paraId="45BE23A7" w14:textId="77777777" w:rsidTr="003B4D4F">
        <w:trPr>
          <w:trHeight w:val="240"/>
        </w:trPr>
        <w:tc>
          <w:tcPr>
            <w:tcW w:w="1086" w:type="dxa"/>
            <w:shd w:val="clear" w:color="auto" w:fill="auto"/>
          </w:tcPr>
          <w:p w14:paraId="02DC1D64" w14:textId="77777777" w:rsidR="00C00EC7" w:rsidRPr="007E3E0B" w:rsidRDefault="00C00EC7" w:rsidP="003B4D4F">
            <w:pPr>
              <w:suppressAutoHyphens w:val="0"/>
              <w:spacing w:before="40" w:after="40" w:line="210" w:lineRule="atLeast"/>
              <w:rPr>
                <w:spacing w:val="0"/>
                <w:w w:val="100"/>
                <w:kern w:val="0"/>
                <w:sz w:val="17"/>
                <w:szCs w:val="17"/>
              </w:rPr>
            </w:pPr>
            <w:r w:rsidRPr="007E3E0B">
              <w:rPr>
                <w:spacing w:val="0"/>
                <w:w w:val="100"/>
                <w:kern w:val="0"/>
                <w:sz w:val="17"/>
                <w:szCs w:val="17"/>
              </w:rPr>
              <w:t>2015</w:t>
            </w:r>
          </w:p>
        </w:tc>
        <w:tc>
          <w:tcPr>
            <w:tcW w:w="1702" w:type="dxa"/>
            <w:shd w:val="clear" w:color="auto" w:fill="auto"/>
            <w:vAlign w:val="bottom"/>
          </w:tcPr>
          <w:p w14:paraId="51603163"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Afghanistan (844)</w:t>
            </w:r>
          </w:p>
        </w:tc>
        <w:tc>
          <w:tcPr>
            <w:tcW w:w="1464" w:type="dxa"/>
            <w:shd w:val="clear" w:color="auto" w:fill="auto"/>
            <w:vAlign w:val="bottom"/>
          </w:tcPr>
          <w:p w14:paraId="72537550"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Syria (584)</w:t>
            </w:r>
          </w:p>
        </w:tc>
        <w:tc>
          <w:tcPr>
            <w:tcW w:w="1464" w:type="dxa"/>
            <w:shd w:val="clear" w:color="auto" w:fill="auto"/>
            <w:vAlign w:val="bottom"/>
          </w:tcPr>
          <w:p w14:paraId="06C86072"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Eritrea (168)</w:t>
            </w:r>
          </w:p>
        </w:tc>
        <w:tc>
          <w:tcPr>
            <w:tcW w:w="1654" w:type="dxa"/>
            <w:shd w:val="clear" w:color="auto" w:fill="auto"/>
            <w:vAlign w:val="bottom"/>
          </w:tcPr>
          <w:p w14:paraId="5028BBEC"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2,144</w:t>
            </w:r>
          </w:p>
        </w:tc>
      </w:tr>
      <w:tr w:rsidR="00C00EC7" w:rsidRPr="007E3E0B" w14:paraId="68F1F6A6" w14:textId="77777777" w:rsidTr="003B4D4F">
        <w:trPr>
          <w:trHeight w:val="240"/>
        </w:trPr>
        <w:tc>
          <w:tcPr>
            <w:tcW w:w="1086" w:type="dxa"/>
            <w:tcBorders>
              <w:bottom w:val="single" w:sz="12" w:space="0" w:color="auto"/>
            </w:tcBorders>
            <w:shd w:val="clear" w:color="auto" w:fill="auto"/>
          </w:tcPr>
          <w:p w14:paraId="2A6A8C1F" w14:textId="77777777" w:rsidR="00C00EC7" w:rsidRPr="007E3E0B" w:rsidRDefault="00C00EC7" w:rsidP="003B4D4F">
            <w:pPr>
              <w:suppressAutoHyphens w:val="0"/>
              <w:spacing w:before="40" w:after="40" w:line="210" w:lineRule="atLeast"/>
              <w:rPr>
                <w:spacing w:val="0"/>
                <w:w w:val="100"/>
                <w:kern w:val="0"/>
                <w:sz w:val="17"/>
                <w:szCs w:val="17"/>
              </w:rPr>
            </w:pPr>
            <w:r w:rsidRPr="007E3E0B">
              <w:rPr>
                <w:spacing w:val="0"/>
                <w:w w:val="100"/>
                <w:kern w:val="0"/>
                <w:sz w:val="17"/>
                <w:szCs w:val="17"/>
              </w:rPr>
              <w:t>2016</w:t>
            </w:r>
          </w:p>
        </w:tc>
        <w:tc>
          <w:tcPr>
            <w:tcW w:w="1702" w:type="dxa"/>
            <w:tcBorders>
              <w:bottom w:val="single" w:sz="12" w:space="0" w:color="auto"/>
            </w:tcBorders>
            <w:shd w:val="clear" w:color="auto" w:fill="auto"/>
            <w:vAlign w:val="bottom"/>
          </w:tcPr>
          <w:p w14:paraId="548E3B8E"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Afghanistan (527)</w:t>
            </w:r>
          </w:p>
        </w:tc>
        <w:tc>
          <w:tcPr>
            <w:tcW w:w="1464" w:type="dxa"/>
            <w:tcBorders>
              <w:bottom w:val="single" w:sz="12" w:space="0" w:color="auto"/>
            </w:tcBorders>
            <w:shd w:val="clear" w:color="auto" w:fill="auto"/>
            <w:vAlign w:val="bottom"/>
          </w:tcPr>
          <w:p w14:paraId="6F8F9C90"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Morocco (126)</w:t>
            </w:r>
          </w:p>
        </w:tc>
        <w:tc>
          <w:tcPr>
            <w:tcW w:w="1464" w:type="dxa"/>
            <w:tcBorders>
              <w:bottom w:val="single" w:sz="12" w:space="0" w:color="auto"/>
            </w:tcBorders>
            <w:shd w:val="clear" w:color="auto" w:fill="auto"/>
            <w:vAlign w:val="bottom"/>
          </w:tcPr>
          <w:p w14:paraId="73762251"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Eritrea (121)</w:t>
            </w:r>
          </w:p>
        </w:tc>
        <w:tc>
          <w:tcPr>
            <w:tcW w:w="1654" w:type="dxa"/>
            <w:tcBorders>
              <w:bottom w:val="single" w:sz="12" w:space="0" w:color="auto"/>
            </w:tcBorders>
            <w:shd w:val="clear" w:color="auto" w:fill="auto"/>
            <w:vAlign w:val="bottom"/>
          </w:tcPr>
          <w:p w14:paraId="160F6DBF" w14:textId="77777777" w:rsidR="00C00EC7" w:rsidRPr="007E3E0B" w:rsidRDefault="00C00EC7"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1,184</w:t>
            </w:r>
          </w:p>
        </w:tc>
      </w:tr>
    </w:tbl>
    <w:p w14:paraId="25903C56" w14:textId="77777777" w:rsidR="00C00EC7" w:rsidRPr="007E3E0B" w:rsidRDefault="00C00EC7" w:rsidP="003B4D4F">
      <w:pPr>
        <w:pStyle w:val="SingleTxt"/>
        <w:spacing w:after="0" w:line="120" w:lineRule="exact"/>
        <w:rPr>
          <w:sz w:val="10"/>
        </w:rPr>
      </w:pPr>
    </w:p>
    <w:p w14:paraId="296776A7" w14:textId="77777777" w:rsidR="003B4D4F" w:rsidRPr="007E3E0B" w:rsidRDefault="003B4D4F" w:rsidP="003B4D4F">
      <w:pPr>
        <w:pStyle w:val="SingleTxt"/>
        <w:spacing w:after="0" w:line="120" w:lineRule="exact"/>
        <w:rPr>
          <w:sz w:val="10"/>
        </w:rPr>
      </w:pPr>
    </w:p>
    <w:p w14:paraId="013F9C1E" w14:textId="77777777" w:rsidR="00C00EC7" w:rsidRPr="007E3E0B" w:rsidRDefault="003B4D4F" w:rsidP="003B4D4F">
      <w:pPr>
        <w:pStyle w:val="H23"/>
        <w:rPr>
          <w:vertAlign w:val="superscript"/>
        </w:rPr>
      </w:pPr>
      <w:r w:rsidRPr="007E3E0B">
        <w:tab/>
      </w:r>
      <w:r w:rsidRPr="007E3E0B">
        <w:tab/>
        <w:t>T</w:t>
      </w:r>
      <w:r w:rsidR="00C00EC7" w:rsidRPr="007E3E0B">
        <w:t xml:space="preserve">otal number of applications for family reunification for children, </w:t>
      </w:r>
      <w:r w:rsidR="00A467DC">
        <w:br/>
      </w:r>
      <w:r w:rsidR="00C00EC7" w:rsidRPr="007E3E0B">
        <w:t xml:space="preserve">asylum-seeking children, and unaccompanied minor asylum seekers </w:t>
      </w:r>
      <w:r w:rsidRPr="007E3E0B">
        <w:br/>
      </w:r>
      <w:r w:rsidR="00C00EC7" w:rsidRPr="007E3E0B">
        <w:t>in 2014-2016 – by application year</w:t>
      </w:r>
      <w:r w:rsidR="00C00EC7" w:rsidRPr="00A467DC">
        <w:rPr>
          <w:b w:val="0"/>
          <w:vertAlign w:val="superscript"/>
        </w:rPr>
        <w:footnoteReference w:id="3"/>
      </w:r>
    </w:p>
    <w:p w14:paraId="0054EE43" w14:textId="77777777" w:rsidR="00C00EC7" w:rsidRPr="007E3E0B" w:rsidRDefault="00C00EC7" w:rsidP="003B4D4F">
      <w:pPr>
        <w:pStyle w:val="SingleTxt"/>
        <w:spacing w:after="0" w:line="120" w:lineRule="exact"/>
        <w:rPr>
          <w:sz w:val="10"/>
        </w:rPr>
      </w:pPr>
    </w:p>
    <w:tbl>
      <w:tblPr>
        <w:tblStyle w:val="TableGrid3"/>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1631"/>
        <w:gridCol w:w="1726"/>
        <w:gridCol w:w="1631"/>
      </w:tblGrid>
      <w:tr w:rsidR="00C00EC7" w:rsidRPr="007E3E0B" w14:paraId="0A93C388" w14:textId="77777777" w:rsidTr="003B4D4F">
        <w:trPr>
          <w:trHeight w:val="240"/>
          <w:tblHeader/>
        </w:trPr>
        <w:tc>
          <w:tcPr>
            <w:tcW w:w="2382" w:type="dxa"/>
            <w:tcBorders>
              <w:top w:val="single" w:sz="4" w:space="0" w:color="auto"/>
              <w:bottom w:val="single" w:sz="12" w:space="0" w:color="auto"/>
            </w:tcBorders>
            <w:shd w:val="clear" w:color="auto" w:fill="auto"/>
            <w:vAlign w:val="bottom"/>
          </w:tcPr>
          <w:p w14:paraId="55453F21" w14:textId="77777777" w:rsidR="00C00EC7" w:rsidRPr="007E3E0B" w:rsidRDefault="00C00EC7" w:rsidP="00C00EC7">
            <w:pPr>
              <w:suppressAutoHyphens w:val="0"/>
              <w:spacing w:before="80" w:after="80" w:line="200" w:lineRule="exact"/>
              <w:rPr>
                <w:i/>
                <w:spacing w:val="0"/>
                <w:w w:val="100"/>
                <w:kern w:val="0"/>
                <w:sz w:val="16"/>
              </w:rPr>
            </w:pPr>
          </w:p>
        </w:tc>
        <w:tc>
          <w:tcPr>
            <w:tcW w:w="1631" w:type="dxa"/>
            <w:tcBorders>
              <w:top w:val="single" w:sz="4" w:space="0" w:color="auto"/>
              <w:bottom w:val="single" w:sz="12" w:space="0" w:color="auto"/>
            </w:tcBorders>
            <w:shd w:val="clear" w:color="auto" w:fill="auto"/>
            <w:vAlign w:val="bottom"/>
          </w:tcPr>
          <w:p w14:paraId="5C93C291" w14:textId="77777777" w:rsidR="00C00EC7" w:rsidRPr="007E3E0B" w:rsidRDefault="00C00EC7" w:rsidP="00C00EC7">
            <w:pPr>
              <w:suppressAutoHyphens w:val="0"/>
              <w:spacing w:before="80" w:after="80" w:line="200" w:lineRule="exact"/>
              <w:ind w:left="113"/>
              <w:jc w:val="right"/>
              <w:rPr>
                <w:i/>
                <w:spacing w:val="0"/>
                <w:w w:val="100"/>
                <w:kern w:val="0"/>
                <w:sz w:val="16"/>
              </w:rPr>
            </w:pPr>
            <w:r w:rsidRPr="007E3E0B">
              <w:rPr>
                <w:i/>
                <w:spacing w:val="0"/>
                <w:w w:val="100"/>
                <w:kern w:val="0"/>
                <w:sz w:val="16"/>
              </w:rPr>
              <w:t>2014</w:t>
            </w:r>
          </w:p>
        </w:tc>
        <w:tc>
          <w:tcPr>
            <w:tcW w:w="1726" w:type="dxa"/>
            <w:tcBorders>
              <w:top w:val="single" w:sz="4" w:space="0" w:color="auto"/>
              <w:bottom w:val="single" w:sz="12" w:space="0" w:color="auto"/>
            </w:tcBorders>
            <w:shd w:val="clear" w:color="auto" w:fill="auto"/>
            <w:vAlign w:val="bottom"/>
          </w:tcPr>
          <w:p w14:paraId="2B9C267E" w14:textId="77777777" w:rsidR="00C00EC7" w:rsidRPr="007E3E0B" w:rsidRDefault="00C00EC7" w:rsidP="00C00EC7">
            <w:pPr>
              <w:suppressAutoHyphens w:val="0"/>
              <w:spacing w:before="80" w:after="80" w:line="200" w:lineRule="exact"/>
              <w:ind w:left="113"/>
              <w:jc w:val="right"/>
              <w:rPr>
                <w:i/>
                <w:spacing w:val="0"/>
                <w:w w:val="100"/>
                <w:kern w:val="0"/>
                <w:sz w:val="16"/>
              </w:rPr>
            </w:pPr>
            <w:r w:rsidRPr="007E3E0B">
              <w:rPr>
                <w:i/>
                <w:spacing w:val="0"/>
                <w:w w:val="100"/>
                <w:kern w:val="0"/>
                <w:sz w:val="16"/>
              </w:rPr>
              <w:t>2015</w:t>
            </w:r>
          </w:p>
        </w:tc>
        <w:tc>
          <w:tcPr>
            <w:tcW w:w="1631" w:type="dxa"/>
            <w:tcBorders>
              <w:top w:val="single" w:sz="4" w:space="0" w:color="auto"/>
              <w:bottom w:val="single" w:sz="12" w:space="0" w:color="auto"/>
            </w:tcBorders>
            <w:shd w:val="clear" w:color="auto" w:fill="auto"/>
            <w:vAlign w:val="bottom"/>
          </w:tcPr>
          <w:p w14:paraId="207D863E" w14:textId="77777777" w:rsidR="00C00EC7" w:rsidRPr="007E3E0B" w:rsidRDefault="00C00EC7" w:rsidP="00C00EC7">
            <w:pPr>
              <w:suppressAutoHyphens w:val="0"/>
              <w:spacing w:before="80" w:after="80" w:line="200" w:lineRule="exact"/>
              <w:ind w:left="113"/>
              <w:jc w:val="right"/>
              <w:rPr>
                <w:i/>
                <w:spacing w:val="0"/>
                <w:w w:val="100"/>
                <w:kern w:val="0"/>
                <w:sz w:val="16"/>
              </w:rPr>
            </w:pPr>
            <w:r w:rsidRPr="007E3E0B">
              <w:rPr>
                <w:i/>
                <w:spacing w:val="0"/>
                <w:w w:val="100"/>
                <w:kern w:val="0"/>
                <w:sz w:val="16"/>
              </w:rPr>
              <w:t>2016</w:t>
            </w:r>
          </w:p>
        </w:tc>
      </w:tr>
      <w:tr w:rsidR="00C00EC7" w:rsidRPr="007E3E0B" w14:paraId="4FD041A0" w14:textId="77777777" w:rsidTr="003B4D4F">
        <w:trPr>
          <w:trHeight w:val="240"/>
        </w:trPr>
        <w:tc>
          <w:tcPr>
            <w:tcW w:w="2382" w:type="dxa"/>
            <w:tcBorders>
              <w:top w:val="single" w:sz="12" w:space="0" w:color="auto"/>
            </w:tcBorders>
            <w:shd w:val="clear" w:color="auto" w:fill="auto"/>
          </w:tcPr>
          <w:p w14:paraId="61C0E510" w14:textId="77777777" w:rsidR="00C00EC7" w:rsidRPr="007E3E0B" w:rsidRDefault="00C00EC7" w:rsidP="003B4D4F">
            <w:pPr>
              <w:suppressAutoHyphens w:val="0"/>
              <w:spacing w:before="40" w:after="40" w:line="210" w:lineRule="atLeast"/>
              <w:rPr>
                <w:spacing w:val="0"/>
                <w:w w:val="100"/>
                <w:kern w:val="0"/>
                <w:sz w:val="18"/>
              </w:rPr>
            </w:pPr>
            <w:r w:rsidRPr="007E3E0B">
              <w:rPr>
                <w:spacing w:val="0"/>
                <w:w w:val="100"/>
                <w:kern w:val="0"/>
                <w:sz w:val="18"/>
              </w:rPr>
              <w:t>Family reunification, children</w:t>
            </w:r>
          </w:p>
        </w:tc>
        <w:tc>
          <w:tcPr>
            <w:tcW w:w="1631" w:type="dxa"/>
            <w:tcBorders>
              <w:top w:val="single" w:sz="12" w:space="0" w:color="auto"/>
            </w:tcBorders>
            <w:shd w:val="clear" w:color="auto" w:fill="auto"/>
            <w:vAlign w:val="bottom"/>
          </w:tcPr>
          <w:p w14:paraId="40207A8B" w14:textId="77777777" w:rsidR="00C00EC7" w:rsidRPr="007E3E0B" w:rsidRDefault="00C00EC7" w:rsidP="003B4D4F">
            <w:pPr>
              <w:suppressAutoHyphens w:val="0"/>
              <w:spacing w:before="40" w:after="40" w:line="210" w:lineRule="atLeast"/>
              <w:ind w:left="113"/>
              <w:jc w:val="right"/>
              <w:rPr>
                <w:spacing w:val="0"/>
                <w:w w:val="100"/>
                <w:kern w:val="0"/>
                <w:sz w:val="18"/>
              </w:rPr>
            </w:pPr>
            <w:r w:rsidRPr="007E3E0B">
              <w:rPr>
                <w:spacing w:val="0"/>
                <w:w w:val="100"/>
                <w:kern w:val="0"/>
                <w:sz w:val="18"/>
              </w:rPr>
              <w:t>5,437</w:t>
            </w:r>
          </w:p>
        </w:tc>
        <w:tc>
          <w:tcPr>
            <w:tcW w:w="1726" w:type="dxa"/>
            <w:tcBorders>
              <w:top w:val="single" w:sz="12" w:space="0" w:color="auto"/>
            </w:tcBorders>
            <w:shd w:val="clear" w:color="auto" w:fill="auto"/>
            <w:vAlign w:val="bottom"/>
          </w:tcPr>
          <w:p w14:paraId="3909F745" w14:textId="77777777" w:rsidR="00C00EC7" w:rsidRPr="007E3E0B" w:rsidRDefault="00C00EC7" w:rsidP="003B4D4F">
            <w:pPr>
              <w:suppressAutoHyphens w:val="0"/>
              <w:spacing w:before="40" w:after="40" w:line="210" w:lineRule="atLeast"/>
              <w:ind w:left="113"/>
              <w:jc w:val="right"/>
              <w:rPr>
                <w:spacing w:val="0"/>
                <w:w w:val="100"/>
                <w:kern w:val="0"/>
                <w:sz w:val="18"/>
              </w:rPr>
            </w:pPr>
            <w:r w:rsidRPr="007E3E0B">
              <w:rPr>
                <w:spacing w:val="0"/>
                <w:w w:val="100"/>
                <w:kern w:val="0"/>
                <w:sz w:val="18"/>
              </w:rPr>
              <w:t>7,914</w:t>
            </w:r>
          </w:p>
        </w:tc>
        <w:tc>
          <w:tcPr>
            <w:tcW w:w="1631" w:type="dxa"/>
            <w:tcBorders>
              <w:top w:val="single" w:sz="12" w:space="0" w:color="auto"/>
            </w:tcBorders>
            <w:shd w:val="clear" w:color="auto" w:fill="auto"/>
            <w:vAlign w:val="bottom"/>
          </w:tcPr>
          <w:p w14:paraId="4E5FE490" w14:textId="77777777" w:rsidR="00C00EC7" w:rsidRPr="007E3E0B" w:rsidRDefault="00C00EC7" w:rsidP="003B4D4F">
            <w:pPr>
              <w:suppressAutoHyphens w:val="0"/>
              <w:spacing w:before="40" w:after="40" w:line="210" w:lineRule="atLeast"/>
              <w:ind w:left="113"/>
              <w:jc w:val="right"/>
              <w:rPr>
                <w:spacing w:val="0"/>
                <w:w w:val="100"/>
                <w:kern w:val="0"/>
                <w:sz w:val="18"/>
              </w:rPr>
            </w:pPr>
            <w:r w:rsidRPr="007E3E0B">
              <w:rPr>
                <w:spacing w:val="0"/>
                <w:w w:val="100"/>
                <w:kern w:val="0"/>
                <w:sz w:val="18"/>
              </w:rPr>
              <w:t>3,136</w:t>
            </w:r>
          </w:p>
        </w:tc>
      </w:tr>
      <w:tr w:rsidR="00C00EC7" w:rsidRPr="007E3E0B" w14:paraId="147402C5" w14:textId="77777777" w:rsidTr="003B4D4F">
        <w:trPr>
          <w:trHeight w:val="240"/>
        </w:trPr>
        <w:tc>
          <w:tcPr>
            <w:tcW w:w="2382" w:type="dxa"/>
            <w:shd w:val="clear" w:color="auto" w:fill="auto"/>
          </w:tcPr>
          <w:p w14:paraId="037284C0" w14:textId="77777777" w:rsidR="00C00EC7" w:rsidRPr="007E3E0B" w:rsidRDefault="00C00EC7" w:rsidP="003B4D4F">
            <w:pPr>
              <w:suppressAutoHyphens w:val="0"/>
              <w:spacing w:before="40" w:after="40" w:line="210" w:lineRule="atLeast"/>
              <w:rPr>
                <w:spacing w:val="0"/>
                <w:w w:val="100"/>
                <w:kern w:val="0"/>
                <w:sz w:val="18"/>
              </w:rPr>
            </w:pPr>
            <w:r w:rsidRPr="007E3E0B">
              <w:rPr>
                <w:spacing w:val="0"/>
                <w:w w:val="100"/>
                <w:kern w:val="0"/>
                <w:sz w:val="18"/>
              </w:rPr>
              <w:t>Asylum-seeking children</w:t>
            </w:r>
          </w:p>
        </w:tc>
        <w:tc>
          <w:tcPr>
            <w:tcW w:w="1631" w:type="dxa"/>
            <w:shd w:val="clear" w:color="auto" w:fill="auto"/>
            <w:vAlign w:val="bottom"/>
          </w:tcPr>
          <w:p w14:paraId="5B5B6342" w14:textId="77777777" w:rsidR="00C00EC7" w:rsidRPr="007E3E0B" w:rsidRDefault="00C00EC7" w:rsidP="003B4D4F">
            <w:pPr>
              <w:suppressAutoHyphens w:val="0"/>
              <w:spacing w:before="40" w:after="40" w:line="210" w:lineRule="atLeast"/>
              <w:ind w:left="113"/>
              <w:jc w:val="right"/>
              <w:rPr>
                <w:spacing w:val="0"/>
                <w:w w:val="100"/>
                <w:kern w:val="0"/>
                <w:sz w:val="18"/>
              </w:rPr>
            </w:pPr>
            <w:r w:rsidRPr="007E3E0B">
              <w:rPr>
                <w:spacing w:val="0"/>
                <w:w w:val="100"/>
                <w:kern w:val="0"/>
                <w:sz w:val="18"/>
              </w:rPr>
              <w:t>2,122</w:t>
            </w:r>
          </w:p>
        </w:tc>
        <w:tc>
          <w:tcPr>
            <w:tcW w:w="1726" w:type="dxa"/>
            <w:shd w:val="clear" w:color="auto" w:fill="auto"/>
            <w:vAlign w:val="bottom"/>
          </w:tcPr>
          <w:p w14:paraId="5BFBCCF1" w14:textId="77777777" w:rsidR="00C00EC7" w:rsidRPr="007E3E0B" w:rsidRDefault="00C00EC7" w:rsidP="003B4D4F">
            <w:pPr>
              <w:suppressAutoHyphens w:val="0"/>
              <w:spacing w:before="40" w:after="40" w:line="210" w:lineRule="atLeast"/>
              <w:ind w:left="113"/>
              <w:jc w:val="right"/>
              <w:rPr>
                <w:spacing w:val="0"/>
                <w:w w:val="100"/>
                <w:kern w:val="0"/>
                <w:sz w:val="18"/>
              </w:rPr>
            </w:pPr>
            <w:r w:rsidRPr="007E3E0B">
              <w:rPr>
                <w:spacing w:val="0"/>
                <w:w w:val="100"/>
                <w:kern w:val="0"/>
                <w:sz w:val="18"/>
              </w:rPr>
              <w:t>4,108</w:t>
            </w:r>
          </w:p>
        </w:tc>
        <w:tc>
          <w:tcPr>
            <w:tcW w:w="1631" w:type="dxa"/>
            <w:shd w:val="clear" w:color="auto" w:fill="auto"/>
            <w:vAlign w:val="bottom"/>
          </w:tcPr>
          <w:p w14:paraId="65F21DF4" w14:textId="77777777" w:rsidR="00C00EC7" w:rsidRPr="007E3E0B" w:rsidRDefault="00C00EC7" w:rsidP="003B4D4F">
            <w:pPr>
              <w:suppressAutoHyphens w:val="0"/>
              <w:spacing w:before="40" w:after="40" w:line="210" w:lineRule="atLeast"/>
              <w:ind w:left="113"/>
              <w:jc w:val="right"/>
              <w:rPr>
                <w:spacing w:val="0"/>
                <w:w w:val="100"/>
                <w:kern w:val="0"/>
                <w:sz w:val="18"/>
              </w:rPr>
            </w:pPr>
            <w:r w:rsidRPr="007E3E0B">
              <w:rPr>
                <w:spacing w:val="0"/>
                <w:w w:val="100"/>
                <w:kern w:val="0"/>
                <w:sz w:val="18"/>
              </w:rPr>
              <w:t>1,020</w:t>
            </w:r>
          </w:p>
        </w:tc>
      </w:tr>
      <w:tr w:rsidR="00C00EC7" w:rsidRPr="007E3E0B" w14:paraId="5D9A02CA" w14:textId="77777777" w:rsidTr="003B4D4F">
        <w:trPr>
          <w:trHeight w:val="240"/>
        </w:trPr>
        <w:tc>
          <w:tcPr>
            <w:tcW w:w="2382" w:type="dxa"/>
            <w:tcBorders>
              <w:bottom w:val="single" w:sz="4" w:space="0" w:color="auto"/>
            </w:tcBorders>
            <w:shd w:val="clear" w:color="auto" w:fill="auto"/>
          </w:tcPr>
          <w:p w14:paraId="419AECF9" w14:textId="77777777" w:rsidR="00C00EC7" w:rsidRPr="007E3E0B" w:rsidRDefault="00C00EC7" w:rsidP="00245077">
            <w:pPr>
              <w:keepNext/>
              <w:suppressAutoHyphens w:val="0"/>
              <w:spacing w:before="40" w:after="81" w:line="210" w:lineRule="atLeast"/>
              <w:rPr>
                <w:spacing w:val="0"/>
                <w:w w:val="100"/>
                <w:kern w:val="0"/>
                <w:sz w:val="18"/>
              </w:rPr>
            </w:pPr>
            <w:r w:rsidRPr="007E3E0B">
              <w:rPr>
                <w:spacing w:val="0"/>
                <w:w w:val="100"/>
                <w:kern w:val="0"/>
                <w:sz w:val="18"/>
              </w:rPr>
              <w:t>Unaccompanied minor asylum seekers</w:t>
            </w:r>
          </w:p>
        </w:tc>
        <w:tc>
          <w:tcPr>
            <w:tcW w:w="1631" w:type="dxa"/>
            <w:tcBorders>
              <w:bottom w:val="single" w:sz="4" w:space="0" w:color="auto"/>
            </w:tcBorders>
            <w:shd w:val="clear" w:color="auto" w:fill="auto"/>
            <w:vAlign w:val="bottom"/>
          </w:tcPr>
          <w:p w14:paraId="6F81E924" w14:textId="77777777" w:rsidR="00C00EC7" w:rsidRPr="007E3E0B" w:rsidRDefault="00C00EC7" w:rsidP="00245077">
            <w:pPr>
              <w:keepNext/>
              <w:suppressAutoHyphens w:val="0"/>
              <w:spacing w:before="40" w:after="81" w:line="210" w:lineRule="atLeast"/>
              <w:ind w:left="113"/>
              <w:jc w:val="right"/>
              <w:rPr>
                <w:spacing w:val="0"/>
                <w:w w:val="100"/>
                <w:kern w:val="0"/>
                <w:sz w:val="18"/>
              </w:rPr>
            </w:pPr>
            <w:r w:rsidRPr="007E3E0B">
              <w:rPr>
                <w:spacing w:val="0"/>
                <w:w w:val="100"/>
                <w:kern w:val="0"/>
                <w:sz w:val="18"/>
              </w:rPr>
              <w:t>818</w:t>
            </w:r>
          </w:p>
        </w:tc>
        <w:tc>
          <w:tcPr>
            <w:tcW w:w="1726" w:type="dxa"/>
            <w:tcBorders>
              <w:bottom w:val="single" w:sz="4" w:space="0" w:color="auto"/>
            </w:tcBorders>
            <w:shd w:val="clear" w:color="auto" w:fill="auto"/>
            <w:vAlign w:val="bottom"/>
          </w:tcPr>
          <w:p w14:paraId="65D9FE5D" w14:textId="77777777" w:rsidR="00C00EC7" w:rsidRPr="007E3E0B" w:rsidRDefault="00C00EC7" w:rsidP="00245077">
            <w:pPr>
              <w:keepNext/>
              <w:suppressAutoHyphens w:val="0"/>
              <w:spacing w:before="40" w:after="81" w:line="210" w:lineRule="atLeast"/>
              <w:ind w:left="113"/>
              <w:jc w:val="right"/>
              <w:rPr>
                <w:spacing w:val="0"/>
                <w:w w:val="100"/>
                <w:kern w:val="0"/>
                <w:sz w:val="18"/>
              </w:rPr>
            </w:pPr>
            <w:r w:rsidRPr="007E3E0B">
              <w:rPr>
                <w:spacing w:val="0"/>
                <w:w w:val="100"/>
                <w:kern w:val="0"/>
                <w:sz w:val="18"/>
              </w:rPr>
              <w:t>2,144</w:t>
            </w:r>
          </w:p>
        </w:tc>
        <w:tc>
          <w:tcPr>
            <w:tcW w:w="1631" w:type="dxa"/>
            <w:tcBorders>
              <w:bottom w:val="single" w:sz="4" w:space="0" w:color="auto"/>
            </w:tcBorders>
            <w:shd w:val="clear" w:color="auto" w:fill="auto"/>
            <w:vAlign w:val="bottom"/>
          </w:tcPr>
          <w:p w14:paraId="77003263" w14:textId="77777777" w:rsidR="00C00EC7" w:rsidRPr="007E3E0B" w:rsidRDefault="00C00EC7" w:rsidP="00245077">
            <w:pPr>
              <w:keepNext/>
              <w:suppressAutoHyphens w:val="0"/>
              <w:spacing w:before="40" w:after="81" w:line="210" w:lineRule="atLeast"/>
              <w:ind w:left="113"/>
              <w:jc w:val="right"/>
              <w:rPr>
                <w:spacing w:val="0"/>
                <w:w w:val="100"/>
                <w:kern w:val="0"/>
                <w:sz w:val="18"/>
              </w:rPr>
            </w:pPr>
            <w:r w:rsidRPr="007E3E0B">
              <w:rPr>
                <w:spacing w:val="0"/>
                <w:w w:val="100"/>
                <w:kern w:val="0"/>
                <w:sz w:val="18"/>
              </w:rPr>
              <w:t>1,184</w:t>
            </w:r>
          </w:p>
        </w:tc>
      </w:tr>
      <w:tr w:rsidR="00C00EC7" w:rsidRPr="007E3E0B" w14:paraId="75115934" w14:textId="77777777" w:rsidTr="003B4D4F">
        <w:trPr>
          <w:trHeight w:val="240"/>
        </w:trPr>
        <w:tc>
          <w:tcPr>
            <w:tcW w:w="2382" w:type="dxa"/>
            <w:tcBorders>
              <w:top w:val="single" w:sz="4" w:space="0" w:color="auto"/>
              <w:bottom w:val="single" w:sz="12" w:space="0" w:color="auto"/>
            </w:tcBorders>
            <w:shd w:val="clear" w:color="auto" w:fill="auto"/>
          </w:tcPr>
          <w:p w14:paraId="7869DEEA" w14:textId="77777777" w:rsidR="00C00EC7" w:rsidRPr="007E3E0B" w:rsidRDefault="00C00EC7" w:rsidP="003B4D4F">
            <w:pPr>
              <w:suppressAutoHyphens w:val="0"/>
              <w:spacing w:before="81" w:after="81" w:line="210" w:lineRule="atLeast"/>
              <w:rPr>
                <w:spacing w:val="0"/>
                <w:w w:val="100"/>
                <w:kern w:val="0"/>
                <w:sz w:val="18"/>
              </w:rPr>
            </w:pPr>
            <w:r w:rsidRPr="007E3E0B">
              <w:rPr>
                <w:spacing w:val="0"/>
                <w:w w:val="100"/>
                <w:kern w:val="0"/>
                <w:sz w:val="18"/>
              </w:rPr>
              <w:t>Total</w:t>
            </w:r>
          </w:p>
        </w:tc>
        <w:tc>
          <w:tcPr>
            <w:tcW w:w="1631" w:type="dxa"/>
            <w:tcBorders>
              <w:top w:val="single" w:sz="4" w:space="0" w:color="auto"/>
              <w:bottom w:val="single" w:sz="12" w:space="0" w:color="auto"/>
            </w:tcBorders>
            <w:shd w:val="clear" w:color="auto" w:fill="auto"/>
            <w:vAlign w:val="bottom"/>
          </w:tcPr>
          <w:p w14:paraId="1099A78E" w14:textId="77777777" w:rsidR="00C00EC7" w:rsidRPr="007E3E0B" w:rsidRDefault="00C00EC7" w:rsidP="003B4D4F">
            <w:pPr>
              <w:suppressAutoHyphens w:val="0"/>
              <w:spacing w:before="81" w:after="81" w:line="210" w:lineRule="atLeast"/>
              <w:ind w:left="113"/>
              <w:jc w:val="right"/>
              <w:rPr>
                <w:spacing w:val="0"/>
                <w:w w:val="100"/>
                <w:kern w:val="0"/>
                <w:sz w:val="18"/>
              </w:rPr>
            </w:pPr>
            <w:r w:rsidRPr="007E3E0B">
              <w:rPr>
                <w:spacing w:val="0"/>
                <w:w w:val="100"/>
                <w:kern w:val="0"/>
                <w:sz w:val="18"/>
              </w:rPr>
              <w:t>8,377</w:t>
            </w:r>
          </w:p>
        </w:tc>
        <w:tc>
          <w:tcPr>
            <w:tcW w:w="1726" w:type="dxa"/>
            <w:tcBorders>
              <w:top w:val="single" w:sz="4" w:space="0" w:color="auto"/>
              <w:bottom w:val="single" w:sz="12" w:space="0" w:color="auto"/>
            </w:tcBorders>
            <w:shd w:val="clear" w:color="auto" w:fill="auto"/>
            <w:vAlign w:val="bottom"/>
          </w:tcPr>
          <w:p w14:paraId="71BD9F77" w14:textId="77777777" w:rsidR="00C00EC7" w:rsidRPr="007E3E0B" w:rsidRDefault="00C00EC7" w:rsidP="003B4D4F">
            <w:pPr>
              <w:suppressAutoHyphens w:val="0"/>
              <w:spacing w:before="81" w:after="81" w:line="210" w:lineRule="atLeast"/>
              <w:ind w:left="113"/>
              <w:jc w:val="right"/>
              <w:rPr>
                <w:spacing w:val="0"/>
                <w:w w:val="100"/>
                <w:kern w:val="0"/>
                <w:sz w:val="18"/>
              </w:rPr>
            </w:pPr>
            <w:r w:rsidRPr="007E3E0B">
              <w:rPr>
                <w:spacing w:val="0"/>
                <w:w w:val="100"/>
                <w:kern w:val="0"/>
                <w:sz w:val="18"/>
              </w:rPr>
              <w:t>14,166</w:t>
            </w:r>
          </w:p>
        </w:tc>
        <w:tc>
          <w:tcPr>
            <w:tcW w:w="1631" w:type="dxa"/>
            <w:tcBorders>
              <w:top w:val="single" w:sz="4" w:space="0" w:color="auto"/>
              <w:bottom w:val="single" w:sz="12" w:space="0" w:color="auto"/>
            </w:tcBorders>
            <w:shd w:val="clear" w:color="auto" w:fill="auto"/>
            <w:vAlign w:val="bottom"/>
          </w:tcPr>
          <w:p w14:paraId="129B90DE" w14:textId="77777777" w:rsidR="00C00EC7" w:rsidRPr="007E3E0B" w:rsidRDefault="00C00EC7" w:rsidP="003B4D4F">
            <w:pPr>
              <w:suppressAutoHyphens w:val="0"/>
              <w:spacing w:before="81" w:after="81" w:line="210" w:lineRule="atLeast"/>
              <w:ind w:left="113"/>
              <w:jc w:val="right"/>
              <w:rPr>
                <w:spacing w:val="0"/>
                <w:w w:val="100"/>
                <w:kern w:val="0"/>
                <w:sz w:val="18"/>
              </w:rPr>
            </w:pPr>
            <w:r w:rsidRPr="007E3E0B">
              <w:rPr>
                <w:spacing w:val="0"/>
                <w:w w:val="100"/>
                <w:kern w:val="0"/>
                <w:sz w:val="18"/>
              </w:rPr>
              <w:t>5,340</w:t>
            </w:r>
          </w:p>
        </w:tc>
      </w:tr>
    </w:tbl>
    <w:p w14:paraId="359827D0" w14:textId="77777777" w:rsidR="00A467DC" w:rsidRPr="00A467DC" w:rsidRDefault="00A467DC" w:rsidP="00A467DC">
      <w:pPr>
        <w:pStyle w:val="SingleTxt"/>
        <w:spacing w:after="0" w:line="120" w:lineRule="exact"/>
        <w:rPr>
          <w:sz w:val="10"/>
        </w:rPr>
      </w:pPr>
    </w:p>
    <w:p w14:paraId="293C1D39" w14:textId="77777777" w:rsidR="00A467DC" w:rsidRPr="00A467DC" w:rsidRDefault="00A467DC" w:rsidP="00A467DC">
      <w:pPr>
        <w:pStyle w:val="SingleTxt"/>
        <w:spacing w:after="0" w:line="120" w:lineRule="exact"/>
        <w:rPr>
          <w:sz w:val="10"/>
        </w:rPr>
      </w:pPr>
    </w:p>
    <w:p w14:paraId="0239D234" w14:textId="77777777" w:rsidR="00C00EC7" w:rsidRDefault="00C00EC7" w:rsidP="004E484C">
      <w:pPr>
        <w:pStyle w:val="SingleTxt"/>
        <w:numPr>
          <w:ilvl w:val="0"/>
          <w:numId w:val="3"/>
        </w:numPr>
        <w:ind w:left="1267" w:right="1267" w:firstLine="0"/>
      </w:pPr>
      <w:r w:rsidRPr="007E3E0B">
        <w:t>For further information please refer to section 2 of the annex.</w:t>
      </w:r>
    </w:p>
    <w:p w14:paraId="7F41B4BB" w14:textId="77777777" w:rsidR="00245077" w:rsidRPr="00245077" w:rsidRDefault="00245077" w:rsidP="00245077">
      <w:pPr>
        <w:pStyle w:val="SingleTxt"/>
        <w:spacing w:after="0" w:line="120" w:lineRule="exact"/>
        <w:ind w:left="1267" w:right="1267"/>
        <w:rPr>
          <w:sz w:val="10"/>
        </w:rPr>
      </w:pPr>
    </w:p>
    <w:p w14:paraId="16BF71B5" w14:textId="77777777" w:rsidR="00245077" w:rsidRPr="00245077" w:rsidRDefault="00245077" w:rsidP="00245077">
      <w:pPr>
        <w:pStyle w:val="SingleTxt"/>
        <w:spacing w:after="0" w:line="120" w:lineRule="exact"/>
        <w:ind w:left="1267" w:right="1267"/>
        <w:rPr>
          <w:sz w:val="10"/>
        </w:rPr>
      </w:pPr>
    </w:p>
    <w:p w14:paraId="4979FC67" w14:textId="77777777" w:rsidR="00C00EC7" w:rsidRPr="007E3E0B" w:rsidRDefault="00C00EC7" w:rsidP="00A467DC">
      <w:pPr>
        <w:pStyle w:val="H1"/>
      </w:pPr>
      <w:r w:rsidRPr="007E3E0B">
        <w:tab/>
      </w:r>
      <w:r w:rsidRPr="007E3E0B">
        <w:tab/>
        <w:t xml:space="preserve">Para. 15(c) </w:t>
      </w:r>
    </w:p>
    <w:p w14:paraId="67D4D87A" w14:textId="77777777" w:rsidR="003B4D4F" w:rsidRPr="007E3E0B" w:rsidRDefault="003B4D4F" w:rsidP="00A467DC">
      <w:pPr>
        <w:pStyle w:val="SingleTxt"/>
        <w:keepNext/>
        <w:spacing w:after="0" w:line="120" w:lineRule="exact"/>
        <w:rPr>
          <w:sz w:val="10"/>
        </w:rPr>
      </w:pPr>
    </w:p>
    <w:p w14:paraId="6B81B116" w14:textId="77777777" w:rsidR="003B4D4F" w:rsidRPr="007E3E0B" w:rsidRDefault="003B4D4F" w:rsidP="003B4D4F">
      <w:pPr>
        <w:pStyle w:val="SingleTxt"/>
        <w:spacing w:after="0" w:line="120" w:lineRule="exact"/>
        <w:rPr>
          <w:sz w:val="10"/>
        </w:rPr>
      </w:pPr>
    </w:p>
    <w:p w14:paraId="697380FE" w14:textId="77777777" w:rsidR="00C00EC7" w:rsidRPr="007E3E0B" w:rsidRDefault="00C00EC7" w:rsidP="003B4D4F">
      <w:pPr>
        <w:pStyle w:val="H23"/>
      </w:pPr>
      <w:r w:rsidRPr="007E3E0B">
        <w:tab/>
      </w:r>
      <w:r w:rsidRPr="007E3E0B">
        <w:tab/>
        <w:t>Denmark</w:t>
      </w:r>
    </w:p>
    <w:p w14:paraId="0F286E9D" w14:textId="77777777" w:rsidR="003B4D4F" w:rsidRPr="007E3E0B" w:rsidRDefault="003B4D4F" w:rsidP="003B4D4F">
      <w:pPr>
        <w:pStyle w:val="SingleTxt"/>
        <w:spacing w:after="0" w:line="120" w:lineRule="exact"/>
        <w:rPr>
          <w:sz w:val="10"/>
        </w:rPr>
      </w:pPr>
    </w:p>
    <w:p w14:paraId="1D282473" w14:textId="77777777" w:rsidR="00C00EC7" w:rsidRPr="007E3E0B" w:rsidRDefault="00C00EC7" w:rsidP="004E484C">
      <w:pPr>
        <w:pStyle w:val="SingleTxt"/>
        <w:numPr>
          <w:ilvl w:val="0"/>
          <w:numId w:val="3"/>
        </w:numPr>
        <w:ind w:left="1267" w:right="1267" w:firstLine="0"/>
      </w:pPr>
      <w:r w:rsidRPr="007E3E0B">
        <w:t>The percentage of children aged 11, 13 and 15 who have tried to drink alcohol has dropped significantly since the end of the 1990s. The time of being drunk for the first time has furthermore been postponed.</w:t>
      </w:r>
    </w:p>
    <w:p w14:paraId="280B1816" w14:textId="77777777" w:rsidR="003B4D4F" w:rsidRPr="007E3E0B" w:rsidRDefault="003B4D4F" w:rsidP="003B4D4F">
      <w:pPr>
        <w:pStyle w:val="SingleTxt"/>
        <w:spacing w:after="0" w:line="120" w:lineRule="exact"/>
        <w:ind w:right="1267"/>
        <w:rPr>
          <w:sz w:val="10"/>
        </w:rPr>
      </w:pPr>
    </w:p>
    <w:p w14:paraId="4CA7C255" w14:textId="77777777" w:rsidR="00C00EC7" w:rsidRPr="007E3E0B" w:rsidRDefault="003B4D4F" w:rsidP="003B4D4F">
      <w:pPr>
        <w:pStyle w:val="H23"/>
      </w:pPr>
      <w:r w:rsidRPr="007E3E0B">
        <w:tab/>
      </w:r>
      <w:r w:rsidRPr="007E3E0B">
        <w:tab/>
      </w:r>
      <w:r w:rsidR="00C00EC7" w:rsidRPr="007E3E0B">
        <w:t>Percentage of children who have tried alcohol</w:t>
      </w:r>
    </w:p>
    <w:p w14:paraId="5AD71583" w14:textId="77777777" w:rsidR="00C00EC7" w:rsidRPr="007E3E0B" w:rsidRDefault="00C00EC7" w:rsidP="003B4D4F">
      <w:pPr>
        <w:pStyle w:val="SingleTxt"/>
        <w:spacing w:after="0" w:line="120" w:lineRule="exact"/>
        <w:rPr>
          <w:sz w:val="10"/>
        </w:rPr>
      </w:pPr>
    </w:p>
    <w:tbl>
      <w:tblPr>
        <w:tblStyle w:val="TableGrid4"/>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1446"/>
        <w:gridCol w:w="1435"/>
        <w:gridCol w:w="1446"/>
        <w:gridCol w:w="1435"/>
      </w:tblGrid>
      <w:tr w:rsidR="00A152DB" w:rsidRPr="007E3E0B" w14:paraId="2CD8D489" w14:textId="77777777" w:rsidTr="0076378A">
        <w:trPr>
          <w:trHeight w:val="240"/>
          <w:tblHeader/>
        </w:trPr>
        <w:tc>
          <w:tcPr>
            <w:tcW w:w="1608" w:type="dxa"/>
            <w:tcBorders>
              <w:top w:val="single" w:sz="4" w:space="0" w:color="auto"/>
              <w:bottom w:val="single" w:sz="12" w:space="0" w:color="auto"/>
            </w:tcBorders>
            <w:shd w:val="clear" w:color="auto" w:fill="auto"/>
            <w:vAlign w:val="bottom"/>
          </w:tcPr>
          <w:p w14:paraId="08612C3E" w14:textId="77777777" w:rsidR="00A152DB" w:rsidRPr="007E3E0B" w:rsidRDefault="00A152DB" w:rsidP="003B4D4F">
            <w:pPr>
              <w:suppressAutoHyphens w:val="0"/>
              <w:spacing w:before="80" w:after="80" w:line="160" w:lineRule="exact"/>
              <w:rPr>
                <w:i/>
                <w:spacing w:val="0"/>
                <w:w w:val="100"/>
                <w:kern w:val="0"/>
                <w:sz w:val="14"/>
                <w:szCs w:val="14"/>
              </w:rPr>
            </w:pPr>
            <w:r w:rsidRPr="007E3E0B">
              <w:rPr>
                <w:i/>
                <w:spacing w:val="0"/>
                <w:w w:val="100"/>
                <w:kern w:val="0"/>
                <w:sz w:val="14"/>
                <w:szCs w:val="14"/>
              </w:rPr>
              <w:t>Age/year</w:t>
            </w:r>
          </w:p>
        </w:tc>
        <w:tc>
          <w:tcPr>
            <w:tcW w:w="2881" w:type="dxa"/>
            <w:gridSpan w:val="2"/>
            <w:tcBorders>
              <w:top w:val="single" w:sz="4" w:space="0" w:color="auto"/>
              <w:bottom w:val="single" w:sz="12" w:space="0" w:color="auto"/>
            </w:tcBorders>
            <w:shd w:val="clear" w:color="auto" w:fill="auto"/>
            <w:vAlign w:val="bottom"/>
          </w:tcPr>
          <w:p w14:paraId="12EAFE59" w14:textId="77777777" w:rsidR="00A152DB" w:rsidRPr="007E3E0B" w:rsidRDefault="00A152DB" w:rsidP="003B4D4F">
            <w:pPr>
              <w:suppressAutoHyphens w:val="0"/>
              <w:spacing w:before="80" w:after="80" w:line="160" w:lineRule="exact"/>
              <w:ind w:left="113"/>
              <w:jc w:val="right"/>
              <w:rPr>
                <w:i/>
                <w:spacing w:val="0"/>
                <w:w w:val="100"/>
                <w:kern w:val="0"/>
                <w:sz w:val="14"/>
                <w:szCs w:val="14"/>
              </w:rPr>
            </w:pPr>
            <w:r w:rsidRPr="007E3E0B">
              <w:rPr>
                <w:i/>
                <w:spacing w:val="0"/>
                <w:w w:val="100"/>
                <w:kern w:val="0"/>
                <w:sz w:val="14"/>
                <w:szCs w:val="14"/>
              </w:rPr>
              <w:t>1998</w:t>
            </w:r>
          </w:p>
        </w:tc>
        <w:tc>
          <w:tcPr>
            <w:tcW w:w="2881" w:type="dxa"/>
            <w:gridSpan w:val="2"/>
            <w:tcBorders>
              <w:top w:val="single" w:sz="4" w:space="0" w:color="auto"/>
              <w:bottom w:val="single" w:sz="12" w:space="0" w:color="auto"/>
            </w:tcBorders>
            <w:shd w:val="clear" w:color="auto" w:fill="auto"/>
            <w:vAlign w:val="bottom"/>
          </w:tcPr>
          <w:p w14:paraId="5C2C5C2B" w14:textId="77777777" w:rsidR="00A152DB" w:rsidRPr="007E3E0B" w:rsidRDefault="00A152DB" w:rsidP="003B4D4F">
            <w:pPr>
              <w:suppressAutoHyphens w:val="0"/>
              <w:spacing w:before="80" w:after="80" w:line="160" w:lineRule="exact"/>
              <w:ind w:left="113"/>
              <w:jc w:val="right"/>
              <w:rPr>
                <w:i/>
                <w:spacing w:val="0"/>
                <w:w w:val="100"/>
                <w:kern w:val="0"/>
                <w:sz w:val="14"/>
                <w:szCs w:val="14"/>
              </w:rPr>
            </w:pPr>
            <w:r w:rsidRPr="007E3E0B">
              <w:rPr>
                <w:i/>
                <w:spacing w:val="0"/>
                <w:w w:val="100"/>
                <w:kern w:val="0"/>
                <w:sz w:val="14"/>
                <w:szCs w:val="14"/>
              </w:rPr>
              <w:t>2014</w:t>
            </w:r>
          </w:p>
        </w:tc>
      </w:tr>
      <w:tr w:rsidR="00A152DB" w:rsidRPr="007E3E0B" w14:paraId="05CE0EB4" w14:textId="77777777" w:rsidTr="0076378A">
        <w:trPr>
          <w:trHeight w:val="240"/>
        </w:trPr>
        <w:tc>
          <w:tcPr>
            <w:tcW w:w="1608" w:type="dxa"/>
            <w:tcBorders>
              <w:top w:val="single" w:sz="12" w:space="0" w:color="auto"/>
            </w:tcBorders>
            <w:shd w:val="clear" w:color="auto" w:fill="auto"/>
          </w:tcPr>
          <w:p w14:paraId="155E495D" w14:textId="77777777" w:rsidR="00A152DB" w:rsidRPr="007E3E0B" w:rsidRDefault="00A152DB" w:rsidP="003B4D4F">
            <w:pPr>
              <w:suppressAutoHyphens w:val="0"/>
              <w:spacing w:before="40" w:after="40" w:line="210" w:lineRule="atLeast"/>
              <w:rPr>
                <w:spacing w:val="0"/>
                <w:w w:val="100"/>
                <w:kern w:val="0"/>
                <w:sz w:val="17"/>
                <w:szCs w:val="17"/>
              </w:rPr>
            </w:pPr>
            <w:r w:rsidRPr="007E3E0B">
              <w:rPr>
                <w:spacing w:val="0"/>
                <w:w w:val="100"/>
                <w:kern w:val="0"/>
                <w:sz w:val="17"/>
                <w:szCs w:val="17"/>
              </w:rPr>
              <w:t>Children aged 13 years</w:t>
            </w:r>
          </w:p>
        </w:tc>
        <w:tc>
          <w:tcPr>
            <w:tcW w:w="1446" w:type="dxa"/>
            <w:tcBorders>
              <w:top w:val="single" w:sz="12" w:space="0" w:color="auto"/>
            </w:tcBorders>
            <w:shd w:val="clear" w:color="auto" w:fill="auto"/>
            <w:vAlign w:val="bottom"/>
          </w:tcPr>
          <w:p w14:paraId="5D313419" w14:textId="77777777" w:rsidR="00A152DB" w:rsidRPr="007E3E0B" w:rsidRDefault="00A152DB"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Boys: 86 %</w:t>
            </w:r>
          </w:p>
        </w:tc>
        <w:tc>
          <w:tcPr>
            <w:tcW w:w="1435" w:type="dxa"/>
            <w:tcBorders>
              <w:top w:val="single" w:sz="12" w:space="0" w:color="auto"/>
            </w:tcBorders>
            <w:shd w:val="clear" w:color="auto" w:fill="auto"/>
            <w:vAlign w:val="bottom"/>
          </w:tcPr>
          <w:p w14:paraId="43A88F94" w14:textId="77777777" w:rsidR="00A152DB" w:rsidRPr="007E3E0B" w:rsidRDefault="00A152DB"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Girls: 85 %</w:t>
            </w:r>
          </w:p>
        </w:tc>
        <w:tc>
          <w:tcPr>
            <w:tcW w:w="1446" w:type="dxa"/>
            <w:tcBorders>
              <w:top w:val="single" w:sz="12" w:space="0" w:color="auto"/>
            </w:tcBorders>
            <w:shd w:val="clear" w:color="auto" w:fill="auto"/>
            <w:vAlign w:val="bottom"/>
          </w:tcPr>
          <w:p w14:paraId="3498FB35" w14:textId="77777777" w:rsidR="00A152DB" w:rsidRPr="007E3E0B" w:rsidRDefault="00A152DB"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Boys: 36 %</w:t>
            </w:r>
          </w:p>
        </w:tc>
        <w:tc>
          <w:tcPr>
            <w:tcW w:w="1435" w:type="dxa"/>
            <w:tcBorders>
              <w:top w:val="single" w:sz="12" w:space="0" w:color="auto"/>
            </w:tcBorders>
            <w:shd w:val="clear" w:color="auto" w:fill="auto"/>
            <w:vAlign w:val="bottom"/>
          </w:tcPr>
          <w:p w14:paraId="6BE9DCF2" w14:textId="77777777" w:rsidR="00A152DB" w:rsidRPr="007E3E0B" w:rsidRDefault="00A152DB"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Girls: 32 %</w:t>
            </w:r>
          </w:p>
        </w:tc>
      </w:tr>
      <w:tr w:rsidR="00A152DB" w:rsidRPr="007E3E0B" w14:paraId="5F73AFBE" w14:textId="77777777" w:rsidTr="0076378A">
        <w:trPr>
          <w:trHeight w:val="240"/>
        </w:trPr>
        <w:tc>
          <w:tcPr>
            <w:tcW w:w="1608" w:type="dxa"/>
            <w:tcBorders>
              <w:bottom w:val="single" w:sz="12" w:space="0" w:color="auto"/>
            </w:tcBorders>
            <w:shd w:val="clear" w:color="auto" w:fill="auto"/>
          </w:tcPr>
          <w:p w14:paraId="4D16BA53" w14:textId="77777777" w:rsidR="00A152DB" w:rsidRPr="007E3E0B" w:rsidRDefault="00A152DB" w:rsidP="003B4D4F">
            <w:pPr>
              <w:suppressAutoHyphens w:val="0"/>
              <w:spacing w:before="40" w:after="40" w:line="210" w:lineRule="atLeast"/>
              <w:rPr>
                <w:spacing w:val="0"/>
                <w:w w:val="100"/>
                <w:kern w:val="0"/>
                <w:sz w:val="17"/>
                <w:szCs w:val="17"/>
              </w:rPr>
            </w:pPr>
            <w:r w:rsidRPr="007E3E0B">
              <w:rPr>
                <w:spacing w:val="0"/>
                <w:w w:val="100"/>
                <w:kern w:val="0"/>
                <w:sz w:val="17"/>
                <w:szCs w:val="17"/>
              </w:rPr>
              <w:t>Children aged 15 years</w:t>
            </w:r>
          </w:p>
        </w:tc>
        <w:tc>
          <w:tcPr>
            <w:tcW w:w="2881" w:type="dxa"/>
            <w:gridSpan w:val="2"/>
            <w:tcBorders>
              <w:bottom w:val="single" w:sz="12" w:space="0" w:color="auto"/>
            </w:tcBorders>
            <w:shd w:val="clear" w:color="auto" w:fill="auto"/>
            <w:vAlign w:val="bottom"/>
          </w:tcPr>
          <w:p w14:paraId="7BF6DF0F" w14:textId="77777777" w:rsidR="00A152DB" w:rsidRPr="007E3E0B" w:rsidRDefault="00A152DB"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95 %</w:t>
            </w:r>
          </w:p>
        </w:tc>
        <w:tc>
          <w:tcPr>
            <w:tcW w:w="1446" w:type="dxa"/>
            <w:tcBorders>
              <w:bottom w:val="single" w:sz="12" w:space="0" w:color="auto"/>
            </w:tcBorders>
            <w:shd w:val="clear" w:color="auto" w:fill="auto"/>
            <w:vAlign w:val="bottom"/>
          </w:tcPr>
          <w:p w14:paraId="48D84BA5" w14:textId="77777777" w:rsidR="00A152DB" w:rsidRPr="007E3E0B" w:rsidRDefault="00A152DB"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Boys: 77 %</w:t>
            </w:r>
          </w:p>
        </w:tc>
        <w:tc>
          <w:tcPr>
            <w:tcW w:w="1435" w:type="dxa"/>
            <w:tcBorders>
              <w:bottom w:val="single" w:sz="12" w:space="0" w:color="auto"/>
            </w:tcBorders>
            <w:shd w:val="clear" w:color="auto" w:fill="auto"/>
            <w:vAlign w:val="bottom"/>
          </w:tcPr>
          <w:p w14:paraId="2CDAC2E6" w14:textId="77777777" w:rsidR="00A152DB" w:rsidRPr="007E3E0B" w:rsidRDefault="00A152DB"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Girls: 74 %</w:t>
            </w:r>
          </w:p>
        </w:tc>
      </w:tr>
    </w:tbl>
    <w:p w14:paraId="742A0315" w14:textId="77777777" w:rsidR="00A152DB" w:rsidRPr="007E3E0B" w:rsidRDefault="00A152DB" w:rsidP="003B4D4F">
      <w:pPr>
        <w:pStyle w:val="SingleTxt"/>
        <w:spacing w:after="0" w:line="120" w:lineRule="exact"/>
        <w:rPr>
          <w:sz w:val="10"/>
        </w:rPr>
      </w:pPr>
    </w:p>
    <w:p w14:paraId="0AC52E86" w14:textId="77777777" w:rsidR="003B4D4F" w:rsidRPr="007E3E0B" w:rsidRDefault="003B4D4F" w:rsidP="003B4D4F">
      <w:pPr>
        <w:pStyle w:val="SingleTxt"/>
        <w:spacing w:after="0" w:line="120" w:lineRule="exact"/>
        <w:rPr>
          <w:sz w:val="10"/>
        </w:rPr>
      </w:pPr>
    </w:p>
    <w:p w14:paraId="499681C0" w14:textId="77777777" w:rsidR="00A152DB" w:rsidRPr="007E3E0B" w:rsidRDefault="003B4D4F" w:rsidP="003B4D4F">
      <w:pPr>
        <w:pStyle w:val="H23"/>
      </w:pPr>
      <w:r w:rsidRPr="007E3E0B">
        <w:tab/>
      </w:r>
      <w:r w:rsidRPr="007E3E0B">
        <w:tab/>
      </w:r>
      <w:r w:rsidR="00A152DB" w:rsidRPr="007E3E0B">
        <w:t>Percentage of children aged 15 who have never been drunk</w:t>
      </w:r>
    </w:p>
    <w:p w14:paraId="2DFC8FFF" w14:textId="77777777" w:rsidR="00A152DB" w:rsidRPr="007E3E0B" w:rsidRDefault="00A152DB" w:rsidP="003B4D4F">
      <w:pPr>
        <w:pStyle w:val="SingleTxt"/>
        <w:spacing w:after="0" w:line="120" w:lineRule="exact"/>
        <w:rPr>
          <w:sz w:val="10"/>
        </w:rPr>
      </w:pPr>
    </w:p>
    <w:tbl>
      <w:tblPr>
        <w:tblStyle w:val="TableGrid5"/>
        <w:tblW w:w="7370" w:type="dxa"/>
        <w:tblInd w:w="1264"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007"/>
        <w:gridCol w:w="1737"/>
        <w:gridCol w:w="1818"/>
        <w:gridCol w:w="1808"/>
      </w:tblGrid>
      <w:tr w:rsidR="009F2DE8" w:rsidRPr="007E3E0B" w14:paraId="7CB0AB8B" w14:textId="77777777" w:rsidTr="0076378A">
        <w:trPr>
          <w:trHeight w:val="240"/>
          <w:tblHeader/>
        </w:trPr>
        <w:tc>
          <w:tcPr>
            <w:tcW w:w="2007" w:type="dxa"/>
            <w:shd w:val="clear" w:color="auto" w:fill="auto"/>
            <w:vAlign w:val="bottom"/>
          </w:tcPr>
          <w:p w14:paraId="4D2CFD08" w14:textId="77777777" w:rsidR="009F2DE8" w:rsidRPr="007E3E0B" w:rsidRDefault="009F2DE8" w:rsidP="003B4D4F">
            <w:pPr>
              <w:suppressAutoHyphens w:val="0"/>
              <w:spacing w:before="80" w:after="80" w:line="160" w:lineRule="atLeast"/>
              <w:rPr>
                <w:i/>
                <w:spacing w:val="0"/>
                <w:w w:val="100"/>
                <w:kern w:val="0"/>
                <w:sz w:val="14"/>
                <w:szCs w:val="14"/>
              </w:rPr>
            </w:pPr>
            <w:r w:rsidRPr="007E3E0B">
              <w:rPr>
                <w:i/>
                <w:spacing w:val="0"/>
                <w:w w:val="100"/>
                <w:kern w:val="0"/>
                <w:sz w:val="14"/>
                <w:szCs w:val="14"/>
              </w:rPr>
              <w:t>Age/year</w:t>
            </w:r>
          </w:p>
        </w:tc>
        <w:tc>
          <w:tcPr>
            <w:tcW w:w="1737" w:type="dxa"/>
            <w:shd w:val="clear" w:color="auto" w:fill="auto"/>
            <w:vAlign w:val="bottom"/>
          </w:tcPr>
          <w:p w14:paraId="51F3FC1D" w14:textId="77777777" w:rsidR="009F2DE8" w:rsidRPr="007E3E0B" w:rsidRDefault="009F2DE8" w:rsidP="003B4D4F">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2010</w:t>
            </w:r>
          </w:p>
        </w:tc>
        <w:tc>
          <w:tcPr>
            <w:tcW w:w="3626" w:type="dxa"/>
            <w:gridSpan w:val="2"/>
            <w:shd w:val="clear" w:color="auto" w:fill="auto"/>
            <w:vAlign w:val="bottom"/>
          </w:tcPr>
          <w:p w14:paraId="181BC712" w14:textId="77777777" w:rsidR="009F2DE8" w:rsidRPr="007E3E0B" w:rsidRDefault="009F2DE8" w:rsidP="003B4D4F">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2014</w:t>
            </w:r>
          </w:p>
        </w:tc>
      </w:tr>
      <w:tr w:rsidR="009F2DE8" w:rsidRPr="007E3E0B" w14:paraId="41CA01D1" w14:textId="77777777" w:rsidTr="0076378A">
        <w:trPr>
          <w:trHeight w:val="240"/>
        </w:trPr>
        <w:tc>
          <w:tcPr>
            <w:tcW w:w="2007" w:type="dxa"/>
            <w:shd w:val="clear" w:color="auto" w:fill="auto"/>
          </w:tcPr>
          <w:p w14:paraId="20B1E191" w14:textId="77777777" w:rsidR="009F2DE8" w:rsidRPr="007E3E0B" w:rsidRDefault="009F2DE8" w:rsidP="003B4D4F">
            <w:pPr>
              <w:suppressAutoHyphens w:val="0"/>
              <w:spacing w:before="40" w:after="40" w:line="210" w:lineRule="atLeast"/>
              <w:rPr>
                <w:spacing w:val="0"/>
                <w:w w:val="100"/>
                <w:kern w:val="0"/>
                <w:sz w:val="17"/>
                <w:szCs w:val="17"/>
              </w:rPr>
            </w:pPr>
            <w:r w:rsidRPr="007E3E0B">
              <w:rPr>
                <w:spacing w:val="0"/>
                <w:w w:val="100"/>
                <w:kern w:val="0"/>
                <w:sz w:val="17"/>
                <w:szCs w:val="17"/>
              </w:rPr>
              <w:t>Children aged 15 years</w:t>
            </w:r>
          </w:p>
        </w:tc>
        <w:tc>
          <w:tcPr>
            <w:tcW w:w="1737" w:type="dxa"/>
            <w:shd w:val="clear" w:color="auto" w:fill="auto"/>
            <w:vAlign w:val="bottom"/>
          </w:tcPr>
          <w:p w14:paraId="63274B12" w14:textId="77777777" w:rsidR="009F2DE8" w:rsidRPr="007E3E0B" w:rsidRDefault="009F2DE8"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28 %</w:t>
            </w:r>
          </w:p>
        </w:tc>
        <w:tc>
          <w:tcPr>
            <w:tcW w:w="1818" w:type="dxa"/>
            <w:shd w:val="clear" w:color="auto" w:fill="auto"/>
            <w:vAlign w:val="bottom"/>
          </w:tcPr>
          <w:p w14:paraId="7577D1BE" w14:textId="77777777" w:rsidR="009F2DE8" w:rsidRPr="007E3E0B" w:rsidRDefault="009F2DE8"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Boys: 43 %</w:t>
            </w:r>
          </w:p>
        </w:tc>
        <w:tc>
          <w:tcPr>
            <w:tcW w:w="1808" w:type="dxa"/>
            <w:shd w:val="clear" w:color="auto" w:fill="auto"/>
            <w:vAlign w:val="bottom"/>
          </w:tcPr>
          <w:p w14:paraId="10B66EEC" w14:textId="77777777" w:rsidR="009F2DE8" w:rsidRPr="007E3E0B" w:rsidRDefault="009F2DE8" w:rsidP="003B4D4F">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Girls: 37 %</w:t>
            </w:r>
          </w:p>
        </w:tc>
      </w:tr>
    </w:tbl>
    <w:p w14:paraId="7DB47D99" w14:textId="77777777" w:rsidR="00A152DB" w:rsidRPr="007E3E0B" w:rsidRDefault="00A152DB" w:rsidP="00CE1520">
      <w:pPr>
        <w:pStyle w:val="SingleTxt"/>
        <w:spacing w:after="0" w:line="120" w:lineRule="exact"/>
        <w:rPr>
          <w:sz w:val="10"/>
        </w:rPr>
      </w:pPr>
    </w:p>
    <w:p w14:paraId="10434C26" w14:textId="77777777" w:rsidR="00CE1520" w:rsidRPr="007E3E0B" w:rsidRDefault="00CE1520" w:rsidP="00CE1520">
      <w:pPr>
        <w:pStyle w:val="SingleTxt"/>
        <w:spacing w:after="0" w:line="120" w:lineRule="exact"/>
        <w:rPr>
          <w:sz w:val="10"/>
        </w:rPr>
      </w:pPr>
    </w:p>
    <w:p w14:paraId="00CD0122" w14:textId="77777777" w:rsidR="009F2DE8" w:rsidRPr="007E3E0B" w:rsidRDefault="00CE1520" w:rsidP="00CE1520">
      <w:pPr>
        <w:pStyle w:val="H23"/>
      </w:pPr>
      <w:r w:rsidRPr="007E3E0B">
        <w:tab/>
      </w:r>
      <w:r w:rsidRPr="007E3E0B">
        <w:tab/>
      </w:r>
      <w:r w:rsidR="009F2DE8" w:rsidRPr="007E3E0B">
        <w:t>Percentage of children aged 15-16 who have used substances</w:t>
      </w:r>
    </w:p>
    <w:p w14:paraId="53B13916" w14:textId="77777777" w:rsidR="00C00EC7" w:rsidRPr="007E3E0B" w:rsidRDefault="00C00EC7" w:rsidP="00CE1520">
      <w:pPr>
        <w:pStyle w:val="SingleTxt"/>
        <w:spacing w:after="0" w:line="120" w:lineRule="exact"/>
        <w:rPr>
          <w:sz w:val="10"/>
        </w:rPr>
      </w:pPr>
    </w:p>
    <w:tbl>
      <w:tblPr>
        <w:tblStyle w:val="TableGrid6"/>
        <w:tblW w:w="7371"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857"/>
        <w:gridCol w:w="857"/>
        <w:gridCol w:w="857"/>
        <w:gridCol w:w="857"/>
        <w:gridCol w:w="857"/>
        <w:gridCol w:w="857"/>
      </w:tblGrid>
      <w:tr w:rsidR="00CE1520" w:rsidRPr="007E3E0B" w14:paraId="2C03A241" w14:textId="77777777" w:rsidTr="00CE1520">
        <w:trPr>
          <w:trHeight w:val="240"/>
          <w:tblHeader/>
        </w:trPr>
        <w:tc>
          <w:tcPr>
            <w:tcW w:w="1988" w:type="dxa"/>
            <w:tcBorders>
              <w:top w:val="single" w:sz="4" w:space="0" w:color="auto"/>
              <w:bottom w:val="single" w:sz="12" w:space="0" w:color="auto"/>
            </w:tcBorders>
            <w:shd w:val="clear" w:color="auto" w:fill="auto"/>
            <w:vAlign w:val="bottom"/>
          </w:tcPr>
          <w:p w14:paraId="50E7E2A0" w14:textId="77777777" w:rsidR="009F2DE8" w:rsidRPr="007E3E0B" w:rsidRDefault="009F2DE8" w:rsidP="00CE1520">
            <w:pPr>
              <w:suppressAutoHyphens w:val="0"/>
              <w:spacing w:before="80" w:after="80" w:line="160" w:lineRule="atLeast"/>
              <w:rPr>
                <w:i/>
                <w:spacing w:val="0"/>
                <w:w w:val="100"/>
                <w:kern w:val="0"/>
                <w:sz w:val="14"/>
                <w:szCs w:val="14"/>
              </w:rPr>
            </w:pPr>
            <w:r w:rsidRPr="007E3E0B">
              <w:rPr>
                <w:i/>
                <w:spacing w:val="0"/>
                <w:w w:val="100"/>
                <w:kern w:val="0"/>
                <w:sz w:val="14"/>
                <w:szCs w:val="14"/>
              </w:rPr>
              <w:t>Substance/year</w:t>
            </w:r>
          </w:p>
        </w:tc>
        <w:tc>
          <w:tcPr>
            <w:tcW w:w="765" w:type="dxa"/>
            <w:tcBorders>
              <w:top w:val="single" w:sz="4" w:space="0" w:color="auto"/>
              <w:bottom w:val="single" w:sz="12" w:space="0" w:color="auto"/>
            </w:tcBorders>
            <w:shd w:val="clear" w:color="auto" w:fill="auto"/>
            <w:vAlign w:val="bottom"/>
          </w:tcPr>
          <w:p w14:paraId="6AEDED10" w14:textId="77777777" w:rsidR="009F2DE8" w:rsidRPr="007E3E0B" w:rsidRDefault="009F2DE8" w:rsidP="00CE152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1995</w:t>
            </w:r>
          </w:p>
        </w:tc>
        <w:tc>
          <w:tcPr>
            <w:tcW w:w="765" w:type="dxa"/>
            <w:tcBorders>
              <w:top w:val="single" w:sz="4" w:space="0" w:color="auto"/>
              <w:bottom w:val="single" w:sz="12" w:space="0" w:color="auto"/>
            </w:tcBorders>
            <w:shd w:val="clear" w:color="auto" w:fill="auto"/>
            <w:vAlign w:val="bottom"/>
          </w:tcPr>
          <w:p w14:paraId="44AC6FF4" w14:textId="77777777" w:rsidR="009F2DE8" w:rsidRPr="007E3E0B" w:rsidRDefault="009F2DE8" w:rsidP="00CE152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1999</w:t>
            </w:r>
          </w:p>
        </w:tc>
        <w:tc>
          <w:tcPr>
            <w:tcW w:w="765" w:type="dxa"/>
            <w:tcBorders>
              <w:top w:val="single" w:sz="4" w:space="0" w:color="auto"/>
              <w:bottom w:val="single" w:sz="12" w:space="0" w:color="auto"/>
            </w:tcBorders>
            <w:shd w:val="clear" w:color="auto" w:fill="auto"/>
            <w:vAlign w:val="bottom"/>
          </w:tcPr>
          <w:p w14:paraId="264FC845" w14:textId="77777777" w:rsidR="009F2DE8" w:rsidRPr="007E3E0B" w:rsidRDefault="009F2DE8" w:rsidP="00CE152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2003</w:t>
            </w:r>
          </w:p>
        </w:tc>
        <w:tc>
          <w:tcPr>
            <w:tcW w:w="765" w:type="dxa"/>
            <w:tcBorders>
              <w:top w:val="single" w:sz="4" w:space="0" w:color="auto"/>
              <w:bottom w:val="single" w:sz="12" w:space="0" w:color="auto"/>
            </w:tcBorders>
            <w:shd w:val="clear" w:color="auto" w:fill="auto"/>
            <w:vAlign w:val="bottom"/>
          </w:tcPr>
          <w:p w14:paraId="5DC2D6BB" w14:textId="77777777" w:rsidR="009F2DE8" w:rsidRPr="007E3E0B" w:rsidRDefault="009F2DE8" w:rsidP="00CE152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2007</w:t>
            </w:r>
          </w:p>
        </w:tc>
        <w:tc>
          <w:tcPr>
            <w:tcW w:w="765" w:type="dxa"/>
            <w:tcBorders>
              <w:top w:val="single" w:sz="4" w:space="0" w:color="auto"/>
              <w:bottom w:val="single" w:sz="12" w:space="0" w:color="auto"/>
            </w:tcBorders>
            <w:shd w:val="clear" w:color="auto" w:fill="auto"/>
            <w:vAlign w:val="bottom"/>
          </w:tcPr>
          <w:p w14:paraId="16B4B1B5" w14:textId="77777777" w:rsidR="009F2DE8" w:rsidRPr="007E3E0B" w:rsidRDefault="009F2DE8" w:rsidP="00CE152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2011</w:t>
            </w:r>
          </w:p>
        </w:tc>
        <w:tc>
          <w:tcPr>
            <w:tcW w:w="765" w:type="dxa"/>
            <w:tcBorders>
              <w:top w:val="single" w:sz="4" w:space="0" w:color="auto"/>
              <w:bottom w:val="single" w:sz="12" w:space="0" w:color="auto"/>
            </w:tcBorders>
            <w:shd w:val="clear" w:color="auto" w:fill="auto"/>
            <w:vAlign w:val="bottom"/>
          </w:tcPr>
          <w:p w14:paraId="2D122434" w14:textId="77777777" w:rsidR="009F2DE8" w:rsidRPr="007E3E0B" w:rsidRDefault="009F2DE8" w:rsidP="00CE152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2015</w:t>
            </w:r>
          </w:p>
        </w:tc>
      </w:tr>
      <w:tr w:rsidR="00CE1520" w:rsidRPr="007E3E0B" w14:paraId="11656EAF" w14:textId="77777777" w:rsidTr="00CE1520">
        <w:trPr>
          <w:trHeight w:val="240"/>
        </w:trPr>
        <w:tc>
          <w:tcPr>
            <w:tcW w:w="1988" w:type="dxa"/>
            <w:tcBorders>
              <w:top w:val="single" w:sz="12" w:space="0" w:color="auto"/>
            </w:tcBorders>
            <w:shd w:val="clear" w:color="auto" w:fill="auto"/>
          </w:tcPr>
          <w:p w14:paraId="22745668"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Cannabis [tried at least once]</w:t>
            </w:r>
          </w:p>
        </w:tc>
        <w:tc>
          <w:tcPr>
            <w:tcW w:w="765" w:type="dxa"/>
            <w:tcBorders>
              <w:top w:val="single" w:sz="12" w:space="0" w:color="auto"/>
            </w:tcBorders>
            <w:shd w:val="clear" w:color="auto" w:fill="auto"/>
            <w:vAlign w:val="bottom"/>
          </w:tcPr>
          <w:p w14:paraId="64238F7F"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18 %</w:t>
            </w:r>
          </w:p>
        </w:tc>
        <w:tc>
          <w:tcPr>
            <w:tcW w:w="765" w:type="dxa"/>
            <w:tcBorders>
              <w:top w:val="single" w:sz="12" w:space="0" w:color="auto"/>
            </w:tcBorders>
            <w:shd w:val="clear" w:color="auto" w:fill="auto"/>
            <w:vAlign w:val="bottom"/>
          </w:tcPr>
          <w:p w14:paraId="4344F26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24.4 %</w:t>
            </w:r>
          </w:p>
        </w:tc>
        <w:tc>
          <w:tcPr>
            <w:tcW w:w="765" w:type="dxa"/>
            <w:tcBorders>
              <w:top w:val="single" w:sz="12" w:space="0" w:color="auto"/>
            </w:tcBorders>
            <w:shd w:val="clear" w:color="auto" w:fill="auto"/>
            <w:vAlign w:val="bottom"/>
          </w:tcPr>
          <w:p w14:paraId="4714F9AB"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22.6 %</w:t>
            </w:r>
          </w:p>
        </w:tc>
        <w:tc>
          <w:tcPr>
            <w:tcW w:w="765" w:type="dxa"/>
            <w:tcBorders>
              <w:top w:val="single" w:sz="12" w:space="0" w:color="auto"/>
            </w:tcBorders>
            <w:shd w:val="clear" w:color="auto" w:fill="auto"/>
            <w:vAlign w:val="bottom"/>
          </w:tcPr>
          <w:p w14:paraId="0ABAE632"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22.5 %</w:t>
            </w:r>
          </w:p>
        </w:tc>
        <w:tc>
          <w:tcPr>
            <w:tcW w:w="765" w:type="dxa"/>
            <w:tcBorders>
              <w:top w:val="single" w:sz="12" w:space="0" w:color="auto"/>
            </w:tcBorders>
            <w:shd w:val="clear" w:color="auto" w:fill="auto"/>
            <w:vAlign w:val="bottom"/>
          </w:tcPr>
          <w:p w14:paraId="3F1DD42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18,1 %</w:t>
            </w:r>
          </w:p>
        </w:tc>
        <w:tc>
          <w:tcPr>
            <w:tcW w:w="765" w:type="dxa"/>
            <w:tcBorders>
              <w:top w:val="single" w:sz="12" w:space="0" w:color="auto"/>
            </w:tcBorders>
            <w:shd w:val="clear" w:color="auto" w:fill="auto"/>
            <w:vAlign w:val="bottom"/>
          </w:tcPr>
          <w:p w14:paraId="766164D0"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12.4 %</w:t>
            </w:r>
          </w:p>
        </w:tc>
      </w:tr>
      <w:tr w:rsidR="00CE1520" w:rsidRPr="007E3E0B" w14:paraId="5B42B616" w14:textId="77777777" w:rsidTr="00CE1520">
        <w:trPr>
          <w:trHeight w:val="240"/>
        </w:trPr>
        <w:tc>
          <w:tcPr>
            <w:tcW w:w="1988" w:type="dxa"/>
            <w:shd w:val="clear" w:color="auto" w:fill="auto"/>
          </w:tcPr>
          <w:p w14:paraId="7B53F16F"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Cannabis [used during the previous month]</w:t>
            </w:r>
          </w:p>
        </w:tc>
        <w:tc>
          <w:tcPr>
            <w:tcW w:w="765" w:type="dxa"/>
            <w:shd w:val="clear" w:color="auto" w:fill="auto"/>
            <w:vAlign w:val="bottom"/>
          </w:tcPr>
          <w:p w14:paraId="5E622290"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6.1 %</w:t>
            </w:r>
          </w:p>
        </w:tc>
        <w:tc>
          <w:tcPr>
            <w:tcW w:w="765" w:type="dxa"/>
            <w:shd w:val="clear" w:color="auto" w:fill="auto"/>
            <w:vAlign w:val="bottom"/>
          </w:tcPr>
          <w:p w14:paraId="75D4D63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8.1 %</w:t>
            </w:r>
          </w:p>
        </w:tc>
        <w:tc>
          <w:tcPr>
            <w:tcW w:w="765" w:type="dxa"/>
            <w:shd w:val="clear" w:color="auto" w:fill="auto"/>
            <w:vAlign w:val="bottom"/>
          </w:tcPr>
          <w:p w14:paraId="012BB988"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7,6 %</w:t>
            </w:r>
          </w:p>
        </w:tc>
        <w:tc>
          <w:tcPr>
            <w:tcW w:w="765" w:type="dxa"/>
            <w:shd w:val="clear" w:color="auto" w:fill="auto"/>
            <w:vAlign w:val="bottom"/>
          </w:tcPr>
          <w:p w14:paraId="05794218"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10.6 %</w:t>
            </w:r>
          </w:p>
        </w:tc>
        <w:tc>
          <w:tcPr>
            <w:tcW w:w="765" w:type="dxa"/>
            <w:shd w:val="clear" w:color="auto" w:fill="auto"/>
            <w:vAlign w:val="bottom"/>
          </w:tcPr>
          <w:p w14:paraId="17E9423A"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6.2 %</w:t>
            </w:r>
          </w:p>
        </w:tc>
        <w:tc>
          <w:tcPr>
            <w:tcW w:w="765" w:type="dxa"/>
            <w:shd w:val="clear" w:color="auto" w:fill="auto"/>
            <w:vAlign w:val="bottom"/>
          </w:tcPr>
          <w:p w14:paraId="6A9E702F"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4.9 %</w:t>
            </w:r>
          </w:p>
        </w:tc>
      </w:tr>
      <w:tr w:rsidR="00CE1520" w:rsidRPr="007E3E0B" w14:paraId="715835CE" w14:textId="77777777" w:rsidTr="00CE1520">
        <w:trPr>
          <w:trHeight w:val="240"/>
        </w:trPr>
        <w:tc>
          <w:tcPr>
            <w:tcW w:w="1988" w:type="dxa"/>
            <w:shd w:val="clear" w:color="auto" w:fill="auto"/>
          </w:tcPr>
          <w:p w14:paraId="29505571"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 xml:space="preserve">Amphetamine </w:t>
            </w:r>
            <w:r w:rsidR="00CE1520" w:rsidRPr="007E3E0B">
              <w:rPr>
                <w:spacing w:val="0"/>
                <w:w w:val="100"/>
                <w:kern w:val="0"/>
                <w:sz w:val="17"/>
                <w:szCs w:val="17"/>
              </w:rPr>
              <w:br/>
            </w:r>
            <w:r w:rsidRPr="007E3E0B">
              <w:rPr>
                <w:spacing w:val="0"/>
                <w:w w:val="100"/>
                <w:kern w:val="0"/>
                <w:sz w:val="17"/>
                <w:szCs w:val="17"/>
              </w:rPr>
              <w:t>[tried at least once]</w:t>
            </w:r>
          </w:p>
        </w:tc>
        <w:tc>
          <w:tcPr>
            <w:tcW w:w="765" w:type="dxa"/>
            <w:shd w:val="clear" w:color="auto" w:fill="auto"/>
            <w:vAlign w:val="bottom"/>
          </w:tcPr>
          <w:p w14:paraId="09EA95AA"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1.6 %</w:t>
            </w:r>
          </w:p>
        </w:tc>
        <w:tc>
          <w:tcPr>
            <w:tcW w:w="765" w:type="dxa"/>
            <w:shd w:val="clear" w:color="auto" w:fill="auto"/>
            <w:vAlign w:val="bottom"/>
          </w:tcPr>
          <w:p w14:paraId="077C446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4.0 %</w:t>
            </w:r>
          </w:p>
        </w:tc>
        <w:tc>
          <w:tcPr>
            <w:tcW w:w="765" w:type="dxa"/>
            <w:shd w:val="clear" w:color="auto" w:fill="auto"/>
            <w:vAlign w:val="bottom"/>
          </w:tcPr>
          <w:p w14:paraId="45599669"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4.0 %</w:t>
            </w:r>
          </w:p>
        </w:tc>
        <w:tc>
          <w:tcPr>
            <w:tcW w:w="765" w:type="dxa"/>
            <w:shd w:val="clear" w:color="auto" w:fill="auto"/>
            <w:vAlign w:val="bottom"/>
          </w:tcPr>
          <w:p w14:paraId="18EC164F"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5.0 %</w:t>
            </w:r>
          </w:p>
        </w:tc>
        <w:tc>
          <w:tcPr>
            <w:tcW w:w="765" w:type="dxa"/>
            <w:shd w:val="clear" w:color="auto" w:fill="auto"/>
            <w:vAlign w:val="bottom"/>
          </w:tcPr>
          <w:p w14:paraId="34209836"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2.5 %</w:t>
            </w:r>
          </w:p>
        </w:tc>
        <w:tc>
          <w:tcPr>
            <w:tcW w:w="765" w:type="dxa"/>
            <w:shd w:val="clear" w:color="auto" w:fill="auto"/>
            <w:vAlign w:val="bottom"/>
          </w:tcPr>
          <w:p w14:paraId="617C1C58"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0,9 %</w:t>
            </w:r>
          </w:p>
        </w:tc>
      </w:tr>
      <w:tr w:rsidR="00CE1520" w:rsidRPr="007E3E0B" w14:paraId="600BC3EA" w14:textId="77777777" w:rsidTr="00CE1520">
        <w:trPr>
          <w:trHeight w:val="240"/>
        </w:trPr>
        <w:tc>
          <w:tcPr>
            <w:tcW w:w="1988" w:type="dxa"/>
            <w:shd w:val="clear" w:color="auto" w:fill="auto"/>
          </w:tcPr>
          <w:p w14:paraId="601517DF"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Cocaine [tried at least once]</w:t>
            </w:r>
          </w:p>
        </w:tc>
        <w:tc>
          <w:tcPr>
            <w:tcW w:w="765" w:type="dxa"/>
            <w:shd w:val="clear" w:color="auto" w:fill="auto"/>
            <w:vAlign w:val="bottom"/>
          </w:tcPr>
          <w:p w14:paraId="24419F8E"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0.3 %</w:t>
            </w:r>
          </w:p>
        </w:tc>
        <w:tc>
          <w:tcPr>
            <w:tcW w:w="765" w:type="dxa"/>
            <w:shd w:val="clear" w:color="auto" w:fill="auto"/>
            <w:vAlign w:val="bottom"/>
          </w:tcPr>
          <w:p w14:paraId="0492C063"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1.1 %</w:t>
            </w:r>
          </w:p>
        </w:tc>
        <w:tc>
          <w:tcPr>
            <w:tcW w:w="765" w:type="dxa"/>
            <w:shd w:val="clear" w:color="auto" w:fill="auto"/>
            <w:vAlign w:val="bottom"/>
          </w:tcPr>
          <w:p w14:paraId="0CEB597B"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1.8 %</w:t>
            </w:r>
          </w:p>
        </w:tc>
        <w:tc>
          <w:tcPr>
            <w:tcW w:w="765" w:type="dxa"/>
            <w:shd w:val="clear" w:color="auto" w:fill="auto"/>
            <w:vAlign w:val="bottom"/>
          </w:tcPr>
          <w:p w14:paraId="3BD46A0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3.2 %</w:t>
            </w:r>
          </w:p>
        </w:tc>
        <w:tc>
          <w:tcPr>
            <w:tcW w:w="765" w:type="dxa"/>
            <w:shd w:val="clear" w:color="auto" w:fill="auto"/>
            <w:vAlign w:val="bottom"/>
          </w:tcPr>
          <w:p w14:paraId="5EF52832"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1.9 %</w:t>
            </w:r>
          </w:p>
        </w:tc>
        <w:tc>
          <w:tcPr>
            <w:tcW w:w="765" w:type="dxa"/>
            <w:shd w:val="clear" w:color="auto" w:fill="auto"/>
            <w:vAlign w:val="bottom"/>
          </w:tcPr>
          <w:p w14:paraId="7E13FE32"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1.8 %</w:t>
            </w:r>
          </w:p>
        </w:tc>
      </w:tr>
      <w:tr w:rsidR="00CE1520" w:rsidRPr="007E3E0B" w14:paraId="22B0DDC1" w14:textId="77777777" w:rsidTr="00CE1520">
        <w:trPr>
          <w:trHeight w:val="240"/>
        </w:trPr>
        <w:tc>
          <w:tcPr>
            <w:tcW w:w="1988" w:type="dxa"/>
            <w:shd w:val="clear" w:color="auto" w:fill="auto"/>
          </w:tcPr>
          <w:p w14:paraId="3E67DCAC"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Heroin (injection)</w:t>
            </w:r>
            <w:r w:rsidR="00CE1520" w:rsidRPr="007E3E0B">
              <w:rPr>
                <w:spacing w:val="0"/>
                <w:w w:val="100"/>
                <w:kern w:val="0"/>
                <w:sz w:val="17"/>
                <w:szCs w:val="17"/>
              </w:rPr>
              <w:br/>
            </w:r>
            <w:r w:rsidRPr="007E3E0B">
              <w:rPr>
                <w:spacing w:val="0"/>
                <w:w w:val="100"/>
                <w:kern w:val="0"/>
                <w:sz w:val="17"/>
                <w:szCs w:val="17"/>
              </w:rPr>
              <w:t>[tried at least once]</w:t>
            </w:r>
          </w:p>
        </w:tc>
        <w:tc>
          <w:tcPr>
            <w:tcW w:w="765" w:type="dxa"/>
            <w:shd w:val="clear" w:color="auto" w:fill="auto"/>
            <w:vAlign w:val="bottom"/>
          </w:tcPr>
          <w:p w14:paraId="31898535"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0.2 %</w:t>
            </w:r>
          </w:p>
        </w:tc>
        <w:tc>
          <w:tcPr>
            <w:tcW w:w="765" w:type="dxa"/>
            <w:shd w:val="clear" w:color="auto" w:fill="auto"/>
            <w:vAlign w:val="bottom"/>
          </w:tcPr>
          <w:p w14:paraId="03C80A1D"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0.1 %</w:t>
            </w:r>
          </w:p>
        </w:tc>
        <w:tc>
          <w:tcPr>
            <w:tcW w:w="765" w:type="dxa"/>
            <w:shd w:val="clear" w:color="auto" w:fill="auto"/>
            <w:vAlign w:val="bottom"/>
          </w:tcPr>
          <w:p w14:paraId="2C38B56E"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0.7 %</w:t>
            </w:r>
          </w:p>
        </w:tc>
        <w:tc>
          <w:tcPr>
            <w:tcW w:w="765" w:type="dxa"/>
            <w:shd w:val="clear" w:color="auto" w:fill="auto"/>
            <w:vAlign w:val="bottom"/>
          </w:tcPr>
          <w:p w14:paraId="16950DF6"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0.5 %</w:t>
            </w:r>
          </w:p>
        </w:tc>
        <w:tc>
          <w:tcPr>
            <w:tcW w:w="765" w:type="dxa"/>
            <w:shd w:val="clear" w:color="auto" w:fill="auto"/>
            <w:vAlign w:val="bottom"/>
          </w:tcPr>
          <w:p w14:paraId="6F455767"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w:t>
            </w:r>
          </w:p>
        </w:tc>
        <w:tc>
          <w:tcPr>
            <w:tcW w:w="765" w:type="dxa"/>
            <w:shd w:val="clear" w:color="auto" w:fill="auto"/>
            <w:vAlign w:val="bottom"/>
          </w:tcPr>
          <w:p w14:paraId="5236FDBB"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0.6 %</w:t>
            </w:r>
          </w:p>
        </w:tc>
      </w:tr>
      <w:tr w:rsidR="00CE1520" w:rsidRPr="007E3E0B" w14:paraId="1D77B353" w14:textId="77777777" w:rsidTr="00CE1520">
        <w:trPr>
          <w:trHeight w:val="240"/>
        </w:trPr>
        <w:tc>
          <w:tcPr>
            <w:tcW w:w="1988" w:type="dxa"/>
            <w:shd w:val="clear" w:color="auto" w:fill="auto"/>
          </w:tcPr>
          <w:p w14:paraId="76380163"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 xml:space="preserve">Heroin (smoke) </w:t>
            </w:r>
            <w:r w:rsidR="00CE1520" w:rsidRPr="007E3E0B">
              <w:rPr>
                <w:spacing w:val="0"/>
                <w:w w:val="100"/>
                <w:kern w:val="0"/>
                <w:sz w:val="17"/>
                <w:szCs w:val="17"/>
              </w:rPr>
              <w:br/>
            </w:r>
            <w:r w:rsidRPr="007E3E0B">
              <w:rPr>
                <w:spacing w:val="0"/>
                <w:w w:val="100"/>
                <w:kern w:val="0"/>
                <w:sz w:val="17"/>
                <w:szCs w:val="17"/>
              </w:rPr>
              <w:t>[tried at least once)</w:t>
            </w:r>
          </w:p>
        </w:tc>
        <w:tc>
          <w:tcPr>
            <w:tcW w:w="765" w:type="dxa"/>
            <w:shd w:val="clear" w:color="auto" w:fill="auto"/>
            <w:vAlign w:val="bottom"/>
          </w:tcPr>
          <w:p w14:paraId="5D9A2FB8"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1.5 %</w:t>
            </w:r>
          </w:p>
        </w:tc>
        <w:tc>
          <w:tcPr>
            <w:tcW w:w="765" w:type="dxa"/>
            <w:shd w:val="clear" w:color="auto" w:fill="auto"/>
            <w:vAlign w:val="bottom"/>
          </w:tcPr>
          <w:p w14:paraId="7F259050"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1.3 %</w:t>
            </w:r>
          </w:p>
        </w:tc>
        <w:tc>
          <w:tcPr>
            <w:tcW w:w="765" w:type="dxa"/>
            <w:shd w:val="clear" w:color="auto" w:fill="auto"/>
            <w:vAlign w:val="bottom"/>
          </w:tcPr>
          <w:p w14:paraId="5F1E5189"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 xml:space="preserve">1.0 % </w:t>
            </w:r>
          </w:p>
        </w:tc>
        <w:tc>
          <w:tcPr>
            <w:tcW w:w="765" w:type="dxa"/>
            <w:shd w:val="clear" w:color="auto" w:fill="auto"/>
            <w:vAlign w:val="bottom"/>
          </w:tcPr>
          <w:p w14:paraId="292AD401"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w:t>
            </w:r>
          </w:p>
        </w:tc>
        <w:tc>
          <w:tcPr>
            <w:tcW w:w="765" w:type="dxa"/>
            <w:shd w:val="clear" w:color="auto" w:fill="auto"/>
            <w:vAlign w:val="bottom"/>
          </w:tcPr>
          <w:p w14:paraId="6B13FF08"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w:t>
            </w:r>
          </w:p>
        </w:tc>
        <w:tc>
          <w:tcPr>
            <w:tcW w:w="765" w:type="dxa"/>
            <w:shd w:val="clear" w:color="auto" w:fill="auto"/>
            <w:vAlign w:val="bottom"/>
          </w:tcPr>
          <w:p w14:paraId="792BB97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w:t>
            </w:r>
          </w:p>
        </w:tc>
      </w:tr>
      <w:tr w:rsidR="00CE1520" w:rsidRPr="007E3E0B" w14:paraId="454BF576" w14:textId="77777777" w:rsidTr="00CE1520">
        <w:trPr>
          <w:trHeight w:val="240"/>
        </w:trPr>
        <w:tc>
          <w:tcPr>
            <w:tcW w:w="1988" w:type="dxa"/>
            <w:shd w:val="clear" w:color="auto" w:fill="auto"/>
          </w:tcPr>
          <w:p w14:paraId="14273293"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Ecstasy [tried at least once]</w:t>
            </w:r>
          </w:p>
        </w:tc>
        <w:tc>
          <w:tcPr>
            <w:tcW w:w="765" w:type="dxa"/>
            <w:shd w:val="clear" w:color="auto" w:fill="auto"/>
            <w:vAlign w:val="bottom"/>
          </w:tcPr>
          <w:p w14:paraId="3ECBE674"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0.5 %</w:t>
            </w:r>
          </w:p>
        </w:tc>
        <w:tc>
          <w:tcPr>
            <w:tcW w:w="765" w:type="dxa"/>
            <w:shd w:val="clear" w:color="auto" w:fill="auto"/>
            <w:vAlign w:val="bottom"/>
          </w:tcPr>
          <w:p w14:paraId="2F54BAB2"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3.1 %</w:t>
            </w:r>
          </w:p>
        </w:tc>
        <w:tc>
          <w:tcPr>
            <w:tcW w:w="765" w:type="dxa"/>
            <w:shd w:val="clear" w:color="auto" w:fill="auto"/>
            <w:vAlign w:val="bottom"/>
          </w:tcPr>
          <w:p w14:paraId="608B0E3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2.5 %</w:t>
            </w:r>
          </w:p>
        </w:tc>
        <w:tc>
          <w:tcPr>
            <w:tcW w:w="765" w:type="dxa"/>
            <w:shd w:val="clear" w:color="auto" w:fill="auto"/>
            <w:vAlign w:val="bottom"/>
          </w:tcPr>
          <w:p w14:paraId="51AE1041"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5.2 %</w:t>
            </w:r>
          </w:p>
        </w:tc>
        <w:tc>
          <w:tcPr>
            <w:tcW w:w="765" w:type="dxa"/>
            <w:shd w:val="clear" w:color="auto" w:fill="auto"/>
            <w:vAlign w:val="bottom"/>
          </w:tcPr>
          <w:p w14:paraId="1DB25C24"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1.5 %</w:t>
            </w:r>
          </w:p>
        </w:tc>
        <w:tc>
          <w:tcPr>
            <w:tcW w:w="765" w:type="dxa"/>
            <w:shd w:val="clear" w:color="auto" w:fill="auto"/>
            <w:vAlign w:val="bottom"/>
          </w:tcPr>
          <w:p w14:paraId="5E859257"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0.5 %</w:t>
            </w:r>
          </w:p>
        </w:tc>
      </w:tr>
      <w:tr w:rsidR="00CE1520" w:rsidRPr="007E3E0B" w14:paraId="2331F5E5" w14:textId="77777777" w:rsidTr="00CE1520">
        <w:trPr>
          <w:trHeight w:val="240"/>
        </w:trPr>
        <w:tc>
          <w:tcPr>
            <w:tcW w:w="1988" w:type="dxa"/>
            <w:shd w:val="clear" w:color="auto" w:fill="auto"/>
          </w:tcPr>
          <w:p w14:paraId="0E149240"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LSD [tried at least once]</w:t>
            </w:r>
          </w:p>
        </w:tc>
        <w:tc>
          <w:tcPr>
            <w:tcW w:w="765" w:type="dxa"/>
            <w:shd w:val="clear" w:color="auto" w:fill="auto"/>
            <w:vAlign w:val="bottom"/>
          </w:tcPr>
          <w:p w14:paraId="463B67AF"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0.2 %</w:t>
            </w:r>
          </w:p>
        </w:tc>
        <w:tc>
          <w:tcPr>
            <w:tcW w:w="765" w:type="dxa"/>
            <w:shd w:val="clear" w:color="auto" w:fill="auto"/>
            <w:vAlign w:val="bottom"/>
          </w:tcPr>
          <w:p w14:paraId="70057485"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1.0 %</w:t>
            </w:r>
          </w:p>
        </w:tc>
        <w:tc>
          <w:tcPr>
            <w:tcW w:w="765" w:type="dxa"/>
            <w:shd w:val="clear" w:color="auto" w:fill="auto"/>
            <w:vAlign w:val="bottom"/>
          </w:tcPr>
          <w:p w14:paraId="1C540B41"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1.1 %</w:t>
            </w:r>
          </w:p>
        </w:tc>
        <w:tc>
          <w:tcPr>
            <w:tcW w:w="765" w:type="dxa"/>
            <w:shd w:val="clear" w:color="auto" w:fill="auto"/>
            <w:vAlign w:val="bottom"/>
          </w:tcPr>
          <w:p w14:paraId="5F4076AE"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1.1 %</w:t>
            </w:r>
          </w:p>
        </w:tc>
        <w:tc>
          <w:tcPr>
            <w:tcW w:w="765" w:type="dxa"/>
            <w:shd w:val="clear" w:color="auto" w:fill="auto"/>
            <w:vAlign w:val="bottom"/>
          </w:tcPr>
          <w:p w14:paraId="4715E8A6"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0.7 %</w:t>
            </w:r>
          </w:p>
        </w:tc>
        <w:tc>
          <w:tcPr>
            <w:tcW w:w="765" w:type="dxa"/>
            <w:shd w:val="clear" w:color="auto" w:fill="auto"/>
            <w:vAlign w:val="bottom"/>
          </w:tcPr>
          <w:p w14:paraId="2E8AF050"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1.2 %</w:t>
            </w:r>
          </w:p>
        </w:tc>
      </w:tr>
      <w:tr w:rsidR="00CE1520" w:rsidRPr="007E3E0B" w14:paraId="0B433F99" w14:textId="77777777" w:rsidTr="00CE1520">
        <w:trPr>
          <w:trHeight w:val="240"/>
        </w:trPr>
        <w:tc>
          <w:tcPr>
            <w:tcW w:w="1988" w:type="dxa"/>
            <w:shd w:val="clear" w:color="auto" w:fill="auto"/>
          </w:tcPr>
          <w:p w14:paraId="4EB31AF2"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 xml:space="preserve">Psilocybin mushrooms </w:t>
            </w:r>
            <w:r w:rsidR="00CE1520" w:rsidRPr="007E3E0B">
              <w:rPr>
                <w:spacing w:val="0"/>
                <w:w w:val="100"/>
                <w:kern w:val="0"/>
                <w:sz w:val="17"/>
                <w:szCs w:val="17"/>
              </w:rPr>
              <w:br/>
            </w:r>
            <w:r w:rsidRPr="007E3E0B">
              <w:rPr>
                <w:spacing w:val="0"/>
                <w:w w:val="100"/>
                <w:kern w:val="0"/>
                <w:sz w:val="17"/>
                <w:szCs w:val="17"/>
              </w:rPr>
              <w:t>[tried at least once]</w:t>
            </w:r>
          </w:p>
        </w:tc>
        <w:tc>
          <w:tcPr>
            <w:tcW w:w="765" w:type="dxa"/>
            <w:shd w:val="clear" w:color="auto" w:fill="auto"/>
            <w:vAlign w:val="bottom"/>
          </w:tcPr>
          <w:p w14:paraId="481D9E10"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0.5 %</w:t>
            </w:r>
          </w:p>
        </w:tc>
        <w:tc>
          <w:tcPr>
            <w:tcW w:w="765" w:type="dxa"/>
            <w:shd w:val="clear" w:color="auto" w:fill="auto"/>
            <w:vAlign w:val="bottom"/>
          </w:tcPr>
          <w:p w14:paraId="3345B816"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1.8 %</w:t>
            </w:r>
          </w:p>
        </w:tc>
        <w:tc>
          <w:tcPr>
            <w:tcW w:w="765" w:type="dxa"/>
            <w:shd w:val="clear" w:color="auto" w:fill="auto"/>
            <w:vAlign w:val="bottom"/>
          </w:tcPr>
          <w:p w14:paraId="14B3E987"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1.5 %</w:t>
            </w:r>
          </w:p>
        </w:tc>
        <w:tc>
          <w:tcPr>
            <w:tcW w:w="765" w:type="dxa"/>
            <w:shd w:val="clear" w:color="auto" w:fill="auto"/>
            <w:vAlign w:val="bottom"/>
          </w:tcPr>
          <w:p w14:paraId="5512A919"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1.1 %</w:t>
            </w:r>
          </w:p>
        </w:tc>
        <w:tc>
          <w:tcPr>
            <w:tcW w:w="765" w:type="dxa"/>
            <w:shd w:val="clear" w:color="auto" w:fill="auto"/>
            <w:vAlign w:val="bottom"/>
          </w:tcPr>
          <w:p w14:paraId="47EE01BE"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0.7%</w:t>
            </w:r>
          </w:p>
        </w:tc>
        <w:tc>
          <w:tcPr>
            <w:tcW w:w="765" w:type="dxa"/>
            <w:shd w:val="clear" w:color="auto" w:fill="auto"/>
            <w:vAlign w:val="bottom"/>
          </w:tcPr>
          <w:p w14:paraId="10C5B1D0"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0.5 %</w:t>
            </w:r>
          </w:p>
        </w:tc>
      </w:tr>
      <w:tr w:rsidR="00CE1520" w:rsidRPr="007E3E0B" w14:paraId="0CA22FF3" w14:textId="77777777" w:rsidTr="00CE1520">
        <w:trPr>
          <w:trHeight w:val="240"/>
        </w:trPr>
        <w:tc>
          <w:tcPr>
            <w:tcW w:w="1988" w:type="dxa"/>
            <w:tcBorders>
              <w:bottom w:val="single" w:sz="12" w:space="0" w:color="auto"/>
            </w:tcBorders>
            <w:shd w:val="clear" w:color="auto" w:fill="auto"/>
          </w:tcPr>
          <w:p w14:paraId="2DEB8B8D" w14:textId="77777777" w:rsidR="009F2DE8" w:rsidRPr="007E3E0B" w:rsidRDefault="009F2DE8" w:rsidP="00CE1520">
            <w:pPr>
              <w:suppressAutoHyphens w:val="0"/>
              <w:spacing w:before="40" w:after="40" w:line="210" w:lineRule="atLeast"/>
              <w:rPr>
                <w:spacing w:val="0"/>
                <w:w w:val="100"/>
                <w:kern w:val="0"/>
                <w:sz w:val="17"/>
                <w:szCs w:val="17"/>
              </w:rPr>
            </w:pPr>
            <w:r w:rsidRPr="007E3E0B">
              <w:rPr>
                <w:spacing w:val="0"/>
                <w:w w:val="100"/>
                <w:kern w:val="0"/>
                <w:sz w:val="17"/>
                <w:szCs w:val="17"/>
              </w:rPr>
              <w:t>Sniffing [tried at least once]</w:t>
            </w:r>
          </w:p>
        </w:tc>
        <w:tc>
          <w:tcPr>
            <w:tcW w:w="765" w:type="dxa"/>
            <w:tcBorders>
              <w:bottom w:val="single" w:sz="12" w:space="0" w:color="auto"/>
            </w:tcBorders>
            <w:shd w:val="clear" w:color="auto" w:fill="auto"/>
            <w:vAlign w:val="bottom"/>
          </w:tcPr>
          <w:p w14:paraId="40557830"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6.3 %</w:t>
            </w:r>
          </w:p>
        </w:tc>
        <w:tc>
          <w:tcPr>
            <w:tcW w:w="765" w:type="dxa"/>
            <w:tcBorders>
              <w:bottom w:val="single" w:sz="12" w:space="0" w:color="auto"/>
            </w:tcBorders>
            <w:shd w:val="clear" w:color="auto" w:fill="auto"/>
            <w:vAlign w:val="bottom"/>
          </w:tcPr>
          <w:p w14:paraId="29F0ACB8"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7.5 %</w:t>
            </w:r>
          </w:p>
        </w:tc>
        <w:tc>
          <w:tcPr>
            <w:tcW w:w="765" w:type="dxa"/>
            <w:tcBorders>
              <w:bottom w:val="single" w:sz="12" w:space="0" w:color="auto"/>
            </w:tcBorders>
            <w:shd w:val="clear" w:color="auto" w:fill="auto"/>
            <w:vAlign w:val="bottom"/>
          </w:tcPr>
          <w:p w14:paraId="111EDC2C"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8.3 %</w:t>
            </w:r>
          </w:p>
        </w:tc>
        <w:tc>
          <w:tcPr>
            <w:tcW w:w="765" w:type="dxa"/>
            <w:tcBorders>
              <w:bottom w:val="single" w:sz="12" w:space="0" w:color="auto"/>
            </w:tcBorders>
            <w:shd w:val="clear" w:color="auto" w:fill="auto"/>
            <w:vAlign w:val="bottom"/>
          </w:tcPr>
          <w:p w14:paraId="67F148D7"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6.1 %</w:t>
            </w:r>
          </w:p>
        </w:tc>
        <w:tc>
          <w:tcPr>
            <w:tcW w:w="765" w:type="dxa"/>
            <w:tcBorders>
              <w:bottom w:val="single" w:sz="12" w:space="0" w:color="auto"/>
            </w:tcBorders>
            <w:shd w:val="clear" w:color="auto" w:fill="auto"/>
            <w:vAlign w:val="bottom"/>
          </w:tcPr>
          <w:p w14:paraId="2E845D89"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3.9 %</w:t>
            </w:r>
          </w:p>
        </w:tc>
        <w:tc>
          <w:tcPr>
            <w:tcW w:w="765" w:type="dxa"/>
            <w:tcBorders>
              <w:bottom w:val="single" w:sz="12" w:space="0" w:color="auto"/>
            </w:tcBorders>
            <w:shd w:val="clear" w:color="auto" w:fill="auto"/>
            <w:vAlign w:val="bottom"/>
          </w:tcPr>
          <w:p w14:paraId="27052D28" w14:textId="77777777" w:rsidR="009F2DE8" w:rsidRPr="007E3E0B" w:rsidRDefault="009F2DE8" w:rsidP="00CE152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3.6 %</w:t>
            </w:r>
          </w:p>
        </w:tc>
      </w:tr>
    </w:tbl>
    <w:p w14:paraId="45163DA4" w14:textId="77777777" w:rsidR="009F2DE8" w:rsidRPr="007E3E0B" w:rsidRDefault="009F2DE8" w:rsidP="003A2345">
      <w:pPr>
        <w:pStyle w:val="SingleTxt"/>
        <w:spacing w:after="0" w:line="120" w:lineRule="exact"/>
        <w:rPr>
          <w:i/>
          <w:sz w:val="10"/>
        </w:rPr>
      </w:pPr>
    </w:p>
    <w:p w14:paraId="0147978C" w14:textId="77777777" w:rsidR="009F2DE8" w:rsidRPr="007E3E0B" w:rsidRDefault="003A2345" w:rsidP="003A2345">
      <w:pPr>
        <w:pStyle w:val="H23"/>
      </w:pPr>
      <w:r w:rsidRPr="007E3E0B">
        <w:lastRenderedPageBreak/>
        <w:tab/>
      </w:r>
      <w:r w:rsidRPr="007E3E0B">
        <w:tab/>
      </w:r>
      <w:r w:rsidR="009F2DE8" w:rsidRPr="007E3E0B">
        <w:t>Use of substances by students aged 15-16</w:t>
      </w:r>
    </w:p>
    <w:p w14:paraId="328D769B" w14:textId="77777777" w:rsidR="009F2DE8" w:rsidRPr="007E3E0B" w:rsidRDefault="009F2DE8" w:rsidP="003A2345">
      <w:pPr>
        <w:pStyle w:val="SingleTxt"/>
        <w:keepNext/>
        <w:spacing w:after="0" w:line="120" w:lineRule="exact"/>
        <w:rPr>
          <w:sz w:val="10"/>
        </w:rPr>
      </w:pPr>
    </w:p>
    <w:p w14:paraId="780BDA3E" w14:textId="77777777" w:rsidR="009F2DE8" w:rsidRPr="007E3E0B" w:rsidRDefault="009F2DE8" w:rsidP="00A40786">
      <w:pPr>
        <w:pStyle w:val="SingleTxt"/>
      </w:pPr>
      <w:r w:rsidRPr="007E3E0B">
        <w:rPr>
          <w:noProof/>
          <w:lang w:eastAsia="en-GB"/>
        </w:rPr>
        <w:drawing>
          <wp:inline distT="0" distB="0" distL="0" distR="0" wp14:anchorId="515A6170" wp14:editId="1358D723">
            <wp:extent cx="4800600" cy="4069080"/>
            <wp:effectExtent l="0" t="0" r="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4069080"/>
                    </a:xfrm>
                    <a:prstGeom prst="rect">
                      <a:avLst/>
                    </a:prstGeom>
                    <a:noFill/>
                    <a:ln>
                      <a:noFill/>
                    </a:ln>
                  </pic:spPr>
                </pic:pic>
              </a:graphicData>
            </a:graphic>
          </wp:inline>
        </w:drawing>
      </w:r>
    </w:p>
    <w:p w14:paraId="79C0823B" w14:textId="77777777" w:rsidR="009F2DE8" w:rsidRPr="00A467DC" w:rsidRDefault="009F2DE8" w:rsidP="00A467DC">
      <w:pPr>
        <w:pStyle w:val="SingleTxt"/>
        <w:spacing w:after="0" w:line="120" w:lineRule="exact"/>
        <w:rPr>
          <w:sz w:val="10"/>
        </w:rPr>
      </w:pPr>
    </w:p>
    <w:p w14:paraId="695103D9" w14:textId="77777777" w:rsidR="00A467DC" w:rsidRPr="007E3E0B" w:rsidRDefault="00A467DC" w:rsidP="003A2345">
      <w:pPr>
        <w:pStyle w:val="SingleTxt"/>
        <w:spacing w:after="0" w:line="120" w:lineRule="exact"/>
        <w:rPr>
          <w:sz w:val="10"/>
        </w:rPr>
      </w:pPr>
    </w:p>
    <w:p w14:paraId="640D83C1" w14:textId="77777777" w:rsidR="009F2DE8" w:rsidRDefault="009F2DE8" w:rsidP="004E484C">
      <w:pPr>
        <w:pStyle w:val="SingleTxt"/>
        <w:numPr>
          <w:ilvl w:val="0"/>
          <w:numId w:val="3"/>
        </w:numPr>
        <w:ind w:left="1267" w:right="1267" w:firstLine="0"/>
      </w:pPr>
      <w:r w:rsidRPr="007E3E0B">
        <w:t>For further information please refer to section 3 of the annex.</w:t>
      </w:r>
    </w:p>
    <w:p w14:paraId="758480D7" w14:textId="77777777" w:rsidR="00A467DC" w:rsidRPr="00A467DC" w:rsidRDefault="00A467DC" w:rsidP="00A467DC">
      <w:pPr>
        <w:pStyle w:val="SingleTxt"/>
        <w:spacing w:after="0" w:line="120" w:lineRule="exact"/>
        <w:rPr>
          <w:sz w:val="10"/>
        </w:rPr>
      </w:pPr>
    </w:p>
    <w:p w14:paraId="774FB05D" w14:textId="77777777" w:rsidR="009F2DE8" w:rsidRPr="007E3E0B" w:rsidRDefault="009F2DE8" w:rsidP="003A2345">
      <w:pPr>
        <w:pStyle w:val="H23"/>
      </w:pPr>
      <w:r w:rsidRPr="007E3E0B">
        <w:tab/>
      </w:r>
      <w:r w:rsidRPr="007E3E0B">
        <w:tab/>
        <w:t xml:space="preserve">Greenland </w:t>
      </w:r>
    </w:p>
    <w:p w14:paraId="472DCE28" w14:textId="77777777" w:rsidR="003A2345" w:rsidRPr="007E3E0B" w:rsidRDefault="003A2345" w:rsidP="003A2345">
      <w:pPr>
        <w:pStyle w:val="SingleTxt"/>
        <w:spacing w:after="0" w:line="120" w:lineRule="exact"/>
        <w:rPr>
          <w:sz w:val="10"/>
        </w:rPr>
      </w:pPr>
    </w:p>
    <w:p w14:paraId="434A9D70" w14:textId="77777777" w:rsidR="009F2DE8" w:rsidRPr="007E3E0B" w:rsidRDefault="009F2DE8" w:rsidP="004E484C">
      <w:pPr>
        <w:pStyle w:val="SingleTxt"/>
        <w:numPr>
          <w:ilvl w:val="0"/>
          <w:numId w:val="3"/>
        </w:numPr>
        <w:ind w:left="1267" w:right="1267" w:firstLine="0"/>
      </w:pPr>
      <w:r w:rsidRPr="007E3E0B">
        <w:t xml:space="preserve">In Greenland the Health Behaviour in School-Aged Children (HBSC) survey is conducted every four years. The latest survey was conducted in 2014. The information regarding children and adolescents who abuse substances and alcohol is by default based on results from the 2014 HBSC survey. </w:t>
      </w:r>
    </w:p>
    <w:p w14:paraId="2086A16A" w14:textId="77777777" w:rsidR="009F2DE8" w:rsidRPr="007E3E0B" w:rsidRDefault="009F2DE8" w:rsidP="004E484C">
      <w:pPr>
        <w:pStyle w:val="SingleTxt"/>
        <w:numPr>
          <w:ilvl w:val="0"/>
          <w:numId w:val="3"/>
        </w:numPr>
        <w:ind w:left="1267" w:right="1267" w:firstLine="0"/>
      </w:pPr>
      <w:r w:rsidRPr="007E3E0B">
        <w:t>For further information please refer to section 4 of the annex.</w:t>
      </w:r>
    </w:p>
    <w:p w14:paraId="67EB1D2C" w14:textId="77777777" w:rsidR="009F2DE8" w:rsidRPr="007E3E0B" w:rsidRDefault="009F2DE8" w:rsidP="003A2345">
      <w:pPr>
        <w:pStyle w:val="SingleTxt"/>
        <w:spacing w:after="0" w:line="120" w:lineRule="exact"/>
        <w:rPr>
          <w:sz w:val="10"/>
        </w:rPr>
      </w:pPr>
    </w:p>
    <w:p w14:paraId="41CB0DA1" w14:textId="77777777" w:rsidR="003A2345" w:rsidRPr="007E3E0B" w:rsidRDefault="003A2345" w:rsidP="003A2345">
      <w:pPr>
        <w:pStyle w:val="SingleTxt"/>
        <w:spacing w:after="0" w:line="120" w:lineRule="exact"/>
        <w:rPr>
          <w:sz w:val="10"/>
        </w:rPr>
      </w:pPr>
    </w:p>
    <w:p w14:paraId="25D6C1DE" w14:textId="77777777" w:rsidR="009F2DE8" w:rsidRPr="007E3E0B" w:rsidRDefault="009F2DE8" w:rsidP="003A2345">
      <w:pPr>
        <w:pStyle w:val="H1"/>
      </w:pPr>
      <w:r w:rsidRPr="007E3E0B">
        <w:tab/>
      </w:r>
      <w:r w:rsidRPr="007E3E0B">
        <w:tab/>
        <w:t xml:space="preserve">Para. 15(d) </w:t>
      </w:r>
    </w:p>
    <w:p w14:paraId="3AD81619" w14:textId="77777777" w:rsidR="003A2345" w:rsidRPr="007E3E0B" w:rsidRDefault="003A2345" w:rsidP="003A2345">
      <w:pPr>
        <w:pStyle w:val="SingleTxt"/>
        <w:spacing w:after="0" w:line="120" w:lineRule="exact"/>
        <w:rPr>
          <w:b/>
          <w:sz w:val="10"/>
        </w:rPr>
      </w:pPr>
    </w:p>
    <w:p w14:paraId="0ED49C9E" w14:textId="77777777" w:rsidR="003A2345" w:rsidRPr="007E3E0B" w:rsidRDefault="003A2345" w:rsidP="003A2345">
      <w:pPr>
        <w:pStyle w:val="SingleTxt"/>
        <w:spacing w:after="0" w:line="120" w:lineRule="exact"/>
        <w:rPr>
          <w:b/>
          <w:sz w:val="10"/>
        </w:rPr>
      </w:pPr>
    </w:p>
    <w:p w14:paraId="0D892395" w14:textId="77777777" w:rsidR="009F2DE8" w:rsidRPr="007E3E0B" w:rsidRDefault="009F2DE8" w:rsidP="003A2345">
      <w:pPr>
        <w:pStyle w:val="H23"/>
      </w:pPr>
      <w:r w:rsidRPr="007E3E0B">
        <w:tab/>
      </w:r>
      <w:r w:rsidRPr="007E3E0B">
        <w:tab/>
        <w:t>Denmark</w:t>
      </w:r>
    </w:p>
    <w:p w14:paraId="6126B7DC" w14:textId="77777777" w:rsidR="003A2345" w:rsidRPr="007E3E0B" w:rsidRDefault="003A2345" w:rsidP="003A2345">
      <w:pPr>
        <w:pStyle w:val="SingleTxt"/>
        <w:spacing w:after="0" w:line="120" w:lineRule="exact"/>
        <w:rPr>
          <w:b/>
          <w:sz w:val="10"/>
        </w:rPr>
      </w:pPr>
    </w:p>
    <w:p w14:paraId="25685D9F" w14:textId="77777777" w:rsidR="009F2DE8" w:rsidRPr="007E3E0B" w:rsidRDefault="003A2345" w:rsidP="003A2345">
      <w:pPr>
        <w:pStyle w:val="H23"/>
      </w:pPr>
      <w:r w:rsidRPr="007E3E0B">
        <w:tab/>
      </w:r>
      <w:r w:rsidRPr="007E3E0B">
        <w:tab/>
      </w:r>
      <w:r w:rsidR="009F2DE8" w:rsidRPr="007E3E0B">
        <w:t>Involuntary admission of children under the age of 18</w:t>
      </w:r>
    </w:p>
    <w:p w14:paraId="2FDC696A" w14:textId="77777777" w:rsidR="003A2345" w:rsidRPr="007E3E0B" w:rsidRDefault="003A2345" w:rsidP="003A2345">
      <w:pPr>
        <w:pStyle w:val="SingleTxt"/>
        <w:spacing w:after="0" w:line="120" w:lineRule="exact"/>
        <w:rPr>
          <w:b/>
          <w:sz w:val="10"/>
        </w:rPr>
      </w:pPr>
    </w:p>
    <w:tbl>
      <w:tblPr>
        <w:tblStyle w:val="TableGrid7"/>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2107"/>
        <w:gridCol w:w="2108"/>
      </w:tblGrid>
      <w:tr w:rsidR="00ED3715" w:rsidRPr="007E3E0B" w14:paraId="68B5077B" w14:textId="77777777" w:rsidTr="006C0DD2">
        <w:trPr>
          <w:trHeight w:val="240"/>
          <w:tblHeader/>
        </w:trPr>
        <w:tc>
          <w:tcPr>
            <w:tcW w:w="3555" w:type="dxa"/>
            <w:tcBorders>
              <w:top w:val="single" w:sz="4" w:space="0" w:color="auto"/>
              <w:bottom w:val="single" w:sz="12" w:space="0" w:color="auto"/>
            </w:tcBorders>
            <w:shd w:val="clear" w:color="auto" w:fill="auto"/>
            <w:vAlign w:val="bottom"/>
          </w:tcPr>
          <w:p w14:paraId="35C4DA61" w14:textId="77777777" w:rsidR="00ED3715" w:rsidRPr="007E3E0B" w:rsidRDefault="00ED3715" w:rsidP="003A2345">
            <w:pPr>
              <w:suppressAutoHyphens w:val="0"/>
              <w:spacing w:before="80" w:after="80" w:line="160" w:lineRule="atLeast"/>
              <w:rPr>
                <w:i/>
                <w:spacing w:val="0"/>
                <w:w w:val="100"/>
                <w:kern w:val="0"/>
                <w:sz w:val="14"/>
                <w:szCs w:val="14"/>
              </w:rPr>
            </w:pPr>
            <w:r w:rsidRPr="007E3E0B">
              <w:rPr>
                <w:i/>
                <w:spacing w:val="0"/>
                <w:w w:val="100"/>
                <w:kern w:val="0"/>
                <w:sz w:val="14"/>
                <w:szCs w:val="14"/>
              </w:rPr>
              <w:t>Year</w:t>
            </w:r>
          </w:p>
        </w:tc>
        <w:tc>
          <w:tcPr>
            <w:tcW w:w="2400" w:type="dxa"/>
            <w:tcBorders>
              <w:top w:val="single" w:sz="4" w:space="0" w:color="auto"/>
              <w:bottom w:val="single" w:sz="12" w:space="0" w:color="auto"/>
            </w:tcBorders>
            <w:shd w:val="clear" w:color="auto" w:fill="auto"/>
            <w:vAlign w:val="bottom"/>
          </w:tcPr>
          <w:p w14:paraId="5BFA9108" w14:textId="77777777" w:rsidR="00ED3715" w:rsidRPr="007E3E0B" w:rsidRDefault="00ED3715" w:rsidP="003A2345">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2014</w:t>
            </w:r>
          </w:p>
        </w:tc>
        <w:tc>
          <w:tcPr>
            <w:tcW w:w="2401" w:type="dxa"/>
            <w:tcBorders>
              <w:top w:val="single" w:sz="4" w:space="0" w:color="auto"/>
              <w:bottom w:val="single" w:sz="12" w:space="0" w:color="auto"/>
            </w:tcBorders>
            <w:shd w:val="clear" w:color="auto" w:fill="auto"/>
            <w:vAlign w:val="bottom"/>
          </w:tcPr>
          <w:p w14:paraId="369AB8EC" w14:textId="77777777" w:rsidR="00ED3715" w:rsidRPr="007E3E0B" w:rsidRDefault="00ED3715" w:rsidP="003A2345">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2015</w:t>
            </w:r>
          </w:p>
        </w:tc>
      </w:tr>
      <w:tr w:rsidR="00ED3715" w:rsidRPr="007E3E0B" w14:paraId="2D6F4EDC" w14:textId="77777777" w:rsidTr="006C0DD2">
        <w:trPr>
          <w:trHeight w:val="240"/>
        </w:trPr>
        <w:tc>
          <w:tcPr>
            <w:tcW w:w="3555" w:type="dxa"/>
            <w:tcBorders>
              <w:top w:val="single" w:sz="12" w:space="0" w:color="auto"/>
            </w:tcBorders>
            <w:shd w:val="clear" w:color="auto" w:fill="auto"/>
          </w:tcPr>
          <w:p w14:paraId="03ECDA0C" w14:textId="77777777" w:rsidR="00ED3715" w:rsidRPr="007E3E0B" w:rsidRDefault="00ED3715" w:rsidP="003A2345">
            <w:pPr>
              <w:suppressAutoHyphens w:val="0"/>
              <w:spacing w:before="40" w:after="40" w:line="210" w:lineRule="atLeast"/>
              <w:rPr>
                <w:spacing w:val="0"/>
                <w:w w:val="100"/>
                <w:kern w:val="0"/>
                <w:sz w:val="17"/>
                <w:szCs w:val="17"/>
              </w:rPr>
            </w:pPr>
            <w:r w:rsidRPr="007E3E0B">
              <w:rPr>
                <w:spacing w:val="0"/>
                <w:w w:val="100"/>
                <w:kern w:val="0"/>
                <w:sz w:val="17"/>
                <w:szCs w:val="17"/>
              </w:rPr>
              <w:t>Number of commenced involuntary admissions</w:t>
            </w:r>
          </w:p>
        </w:tc>
        <w:tc>
          <w:tcPr>
            <w:tcW w:w="2400" w:type="dxa"/>
            <w:tcBorders>
              <w:top w:val="single" w:sz="12" w:space="0" w:color="auto"/>
            </w:tcBorders>
            <w:shd w:val="clear" w:color="auto" w:fill="auto"/>
            <w:vAlign w:val="bottom"/>
          </w:tcPr>
          <w:p w14:paraId="3075A21A" w14:textId="77777777" w:rsidR="00ED3715" w:rsidRPr="007E3E0B" w:rsidRDefault="00ED3715" w:rsidP="003A2345">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226</w:t>
            </w:r>
          </w:p>
        </w:tc>
        <w:tc>
          <w:tcPr>
            <w:tcW w:w="2401" w:type="dxa"/>
            <w:tcBorders>
              <w:top w:val="single" w:sz="12" w:space="0" w:color="auto"/>
            </w:tcBorders>
            <w:shd w:val="clear" w:color="auto" w:fill="auto"/>
            <w:vAlign w:val="bottom"/>
          </w:tcPr>
          <w:p w14:paraId="2BD88B93" w14:textId="77777777" w:rsidR="00ED3715" w:rsidRPr="007E3E0B" w:rsidRDefault="00ED3715" w:rsidP="003A2345">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286</w:t>
            </w:r>
          </w:p>
        </w:tc>
      </w:tr>
      <w:tr w:rsidR="00ED3715" w:rsidRPr="007E3E0B" w14:paraId="7CF7A5B4" w14:textId="77777777" w:rsidTr="006C0DD2">
        <w:trPr>
          <w:trHeight w:val="240"/>
        </w:trPr>
        <w:tc>
          <w:tcPr>
            <w:tcW w:w="3555" w:type="dxa"/>
            <w:tcBorders>
              <w:bottom w:val="single" w:sz="12" w:space="0" w:color="auto"/>
            </w:tcBorders>
            <w:shd w:val="clear" w:color="auto" w:fill="auto"/>
          </w:tcPr>
          <w:p w14:paraId="22311A33" w14:textId="77777777" w:rsidR="00ED3715" w:rsidRPr="007E3E0B" w:rsidRDefault="00ED3715" w:rsidP="003A2345">
            <w:pPr>
              <w:suppressAutoHyphens w:val="0"/>
              <w:spacing w:before="40" w:after="40" w:line="210" w:lineRule="atLeast"/>
              <w:rPr>
                <w:spacing w:val="0"/>
                <w:w w:val="100"/>
                <w:kern w:val="0"/>
                <w:sz w:val="17"/>
                <w:szCs w:val="17"/>
              </w:rPr>
            </w:pPr>
            <w:r w:rsidRPr="007E3E0B">
              <w:rPr>
                <w:spacing w:val="0"/>
                <w:w w:val="100"/>
                <w:kern w:val="0"/>
                <w:sz w:val="17"/>
                <w:szCs w:val="17"/>
              </w:rPr>
              <w:t>Number of children involuntary admitted</w:t>
            </w:r>
          </w:p>
        </w:tc>
        <w:tc>
          <w:tcPr>
            <w:tcW w:w="2400" w:type="dxa"/>
            <w:tcBorders>
              <w:bottom w:val="single" w:sz="12" w:space="0" w:color="auto"/>
            </w:tcBorders>
            <w:shd w:val="clear" w:color="auto" w:fill="auto"/>
            <w:vAlign w:val="bottom"/>
          </w:tcPr>
          <w:p w14:paraId="50C6ECEB" w14:textId="77777777" w:rsidR="00ED3715" w:rsidRPr="007E3E0B" w:rsidRDefault="00ED3715" w:rsidP="003A2345">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134</w:t>
            </w:r>
          </w:p>
        </w:tc>
        <w:tc>
          <w:tcPr>
            <w:tcW w:w="2401" w:type="dxa"/>
            <w:tcBorders>
              <w:bottom w:val="single" w:sz="12" w:space="0" w:color="auto"/>
            </w:tcBorders>
            <w:shd w:val="clear" w:color="auto" w:fill="auto"/>
            <w:vAlign w:val="bottom"/>
          </w:tcPr>
          <w:p w14:paraId="7A7BDDC4" w14:textId="77777777" w:rsidR="00ED3715" w:rsidRPr="007E3E0B" w:rsidRDefault="00ED3715" w:rsidP="003A2345">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115</w:t>
            </w:r>
          </w:p>
        </w:tc>
      </w:tr>
    </w:tbl>
    <w:p w14:paraId="439CF42F" w14:textId="77777777" w:rsidR="00ED3715" w:rsidRPr="00A467DC" w:rsidRDefault="00ED3715" w:rsidP="00A467DC">
      <w:pPr>
        <w:pStyle w:val="SingleTxt"/>
        <w:spacing w:after="0" w:line="120" w:lineRule="exact"/>
        <w:rPr>
          <w:sz w:val="10"/>
        </w:rPr>
      </w:pPr>
    </w:p>
    <w:p w14:paraId="77508A69" w14:textId="77777777" w:rsidR="00A467DC" w:rsidRPr="007E3E0B" w:rsidRDefault="00A467DC" w:rsidP="003A2345">
      <w:pPr>
        <w:pStyle w:val="SingleTxt"/>
        <w:spacing w:after="0" w:line="120" w:lineRule="exact"/>
        <w:rPr>
          <w:sz w:val="10"/>
        </w:rPr>
      </w:pPr>
    </w:p>
    <w:p w14:paraId="67DAC817" w14:textId="77777777" w:rsidR="00ED3715" w:rsidRPr="007E3E0B" w:rsidRDefault="003A2345" w:rsidP="003A2345">
      <w:pPr>
        <w:pStyle w:val="H23"/>
      </w:pPr>
      <w:r w:rsidRPr="007E3E0B">
        <w:lastRenderedPageBreak/>
        <w:tab/>
      </w:r>
      <w:r w:rsidRPr="007E3E0B">
        <w:tab/>
      </w:r>
      <w:r w:rsidR="00ED3715" w:rsidRPr="007E3E0B">
        <w:t>Involuntary treatment of children under the age of 18</w:t>
      </w:r>
    </w:p>
    <w:p w14:paraId="4F3B1490" w14:textId="77777777" w:rsidR="00ED3715" w:rsidRPr="007E3E0B" w:rsidRDefault="00ED3715" w:rsidP="003A2345">
      <w:pPr>
        <w:pStyle w:val="SingleTxt"/>
        <w:keepNext/>
        <w:keepLines/>
        <w:spacing w:after="0" w:line="120" w:lineRule="exact"/>
        <w:rPr>
          <w:sz w:val="10"/>
        </w:rPr>
      </w:pPr>
    </w:p>
    <w:tbl>
      <w:tblPr>
        <w:tblStyle w:val="TableGrid8"/>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1408"/>
        <w:gridCol w:w="2406"/>
      </w:tblGrid>
      <w:tr w:rsidR="00ED3715" w:rsidRPr="007E3E0B" w14:paraId="066138EE" w14:textId="77777777" w:rsidTr="003A2345">
        <w:trPr>
          <w:trHeight w:val="240"/>
          <w:tblHeader/>
        </w:trPr>
        <w:tc>
          <w:tcPr>
            <w:tcW w:w="3556" w:type="dxa"/>
            <w:tcBorders>
              <w:top w:val="single" w:sz="4" w:space="0" w:color="auto"/>
              <w:bottom w:val="single" w:sz="12" w:space="0" w:color="auto"/>
            </w:tcBorders>
            <w:shd w:val="clear" w:color="auto" w:fill="auto"/>
            <w:vAlign w:val="bottom"/>
          </w:tcPr>
          <w:p w14:paraId="2890BBF8" w14:textId="77777777" w:rsidR="00ED3715" w:rsidRPr="007E3E0B" w:rsidRDefault="00ED3715" w:rsidP="003A2345">
            <w:pPr>
              <w:keepNext/>
              <w:keepLines/>
              <w:suppressAutoHyphens w:val="0"/>
              <w:spacing w:before="80" w:after="80" w:line="160" w:lineRule="atLeast"/>
              <w:rPr>
                <w:i/>
                <w:spacing w:val="0"/>
                <w:w w:val="100"/>
                <w:kern w:val="0"/>
                <w:sz w:val="14"/>
                <w:szCs w:val="14"/>
              </w:rPr>
            </w:pPr>
            <w:r w:rsidRPr="007E3E0B">
              <w:rPr>
                <w:i/>
                <w:spacing w:val="0"/>
                <w:w w:val="100"/>
                <w:kern w:val="0"/>
                <w:sz w:val="14"/>
                <w:szCs w:val="14"/>
              </w:rPr>
              <w:t>Year</w:t>
            </w:r>
          </w:p>
        </w:tc>
        <w:tc>
          <w:tcPr>
            <w:tcW w:w="1408" w:type="dxa"/>
            <w:tcBorders>
              <w:top w:val="single" w:sz="4" w:space="0" w:color="auto"/>
              <w:bottom w:val="single" w:sz="12" w:space="0" w:color="auto"/>
            </w:tcBorders>
            <w:shd w:val="clear" w:color="auto" w:fill="auto"/>
            <w:vAlign w:val="bottom"/>
          </w:tcPr>
          <w:p w14:paraId="5387E2E6" w14:textId="77777777" w:rsidR="00ED3715" w:rsidRPr="007E3E0B" w:rsidRDefault="00ED3715" w:rsidP="003A2345">
            <w:pPr>
              <w:keepNext/>
              <w:keepLines/>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2014</w:t>
            </w:r>
          </w:p>
        </w:tc>
        <w:tc>
          <w:tcPr>
            <w:tcW w:w="2406" w:type="dxa"/>
            <w:tcBorders>
              <w:top w:val="single" w:sz="4" w:space="0" w:color="auto"/>
              <w:bottom w:val="single" w:sz="12" w:space="0" w:color="auto"/>
            </w:tcBorders>
            <w:shd w:val="clear" w:color="auto" w:fill="auto"/>
            <w:vAlign w:val="bottom"/>
          </w:tcPr>
          <w:p w14:paraId="1F18682D" w14:textId="77777777" w:rsidR="00ED3715" w:rsidRPr="007E3E0B" w:rsidRDefault="00ED3715" w:rsidP="003A2345">
            <w:pPr>
              <w:keepNext/>
              <w:keepLines/>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2015</w:t>
            </w:r>
          </w:p>
        </w:tc>
      </w:tr>
      <w:tr w:rsidR="00ED3715" w:rsidRPr="007E3E0B" w14:paraId="104E5089" w14:textId="77777777" w:rsidTr="003A2345">
        <w:trPr>
          <w:trHeight w:val="240"/>
        </w:trPr>
        <w:tc>
          <w:tcPr>
            <w:tcW w:w="3556" w:type="dxa"/>
            <w:tcBorders>
              <w:top w:val="single" w:sz="12" w:space="0" w:color="auto"/>
            </w:tcBorders>
            <w:shd w:val="clear" w:color="auto" w:fill="auto"/>
          </w:tcPr>
          <w:p w14:paraId="5AD1A6E0" w14:textId="77777777" w:rsidR="00ED3715" w:rsidRPr="007E3E0B" w:rsidRDefault="00ED3715" w:rsidP="003A2345">
            <w:pPr>
              <w:keepNext/>
              <w:keepLines/>
              <w:suppressAutoHyphens w:val="0"/>
              <w:spacing w:before="40" w:after="40" w:line="210" w:lineRule="atLeast"/>
              <w:rPr>
                <w:spacing w:val="0"/>
                <w:w w:val="100"/>
                <w:kern w:val="0"/>
                <w:sz w:val="17"/>
                <w:szCs w:val="17"/>
              </w:rPr>
            </w:pPr>
            <w:r w:rsidRPr="007E3E0B">
              <w:rPr>
                <w:spacing w:val="0"/>
                <w:w w:val="100"/>
                <w:kern w:val="0"/>
                <w:sz w:val="17"/>
                <w:szCs w:val="17"/>
              </w:rPr>
              <w:t xml:space="preserve">Number of children affected by one or more involuntary treatment </w:t>
            </w:r>
          </w:p>
        </w:tc>
        <w:tc>
          <w:tcPr>
            <w:tcW w:w="1408" w:type="dxa"/>
            <w:tcBorders>
              <w:top w:val="single" w:sz="12" w:space="0" w:color="auto"/>
            </w:tcBorders>
            <w:shd w:val="clear" w:color="auto" w:fill="auto"/>
            <w:vAlign w:val="bottom"/>
          </w:tcPr>
          <w:p w14:paraId="37FBC3DB" w14:textId="77777777" w:rsidR="00ED3715" w:rsidRPr="007E3E0B" w:rsidRDefault="00ED3715" w:rsidP="003A2345">
            <w:pPr>
              <w:keepNext/>
              <w:keepLines/>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293</w:t>
            </w:r>
          </w:p>
        </w:tc>
        <w:tc>
          <w:tcPr>
            <w:tcW w:w="2406" w:type="dxa"/>
            <w:tcBorders>
              <w:top w:val="single" w:sz="12" w:space="0" w:color="auto"/>
            </w:tcBorders>
            <w:shd w:val="clear" w:color="auto" w:fill="auto"/>
            <w:vAlign w:val="bottom"/>
          </w:tcPr>
          <w:p w14:paraId="5095724A" w14:textId="77777777" w:rsidR="00ED3715" w:rsidRPr="007E3E0B" w:rsidRDefault="00ED3715" w:rsidP="003A2345">
            <w:pPr>
              <w:keepNext/>
              <w:keepLines/>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297</w:t>
            </w:r>
          </w:p>
        </w:tc>
      </w:tr>
      <w:tr w:rsidR="00ED3715" w:rsidRPr="007E3E0B" w14:paraId="7CFA648C" w14:textId="77777777" w:rsidTr="003A2345">
        <w:trPr>
          <w:trHeight w:val="240"/>
        </w:trPr>
        <w:tc>
          <w:tcPr>
            <w:tcW w:w="3556" w:type="dxa"/>
            <w:shd w:val="clear" w:color="auto" w:fill="auto"/>
          </w:tcPr>
          <w:p w14:paraId="27744E78" w14:textId="77777777" w:rsidR="00ED3715" w:rsidRPr="007E3E0B" w:rsidRDefault="00ED3715" w:rsidP="003A2345">
            <w:pPr>
              <w:keepNext/>
              <w:keepLines/>
              <w:suppressAutoHyphens w:val="0"/>
              <w:spacing w:before="40" w:after="40" w:line="210" w:lineRule="atLeast"/>
              <w:rPr>
                <w:spacing w:val="0"/>
                <w:w w:val="100"/>
                <w:kern w:val="0"/>
                <w:sz w:val="17"/>
                <w:szCs w:val="17"/>
              </w:rPr>
            </w:pPr>
            <w:r w:rsidRPr="007E3E0B">
              <w:rPr>
                <w:spacing w:val="0"/>
                <w:w w:val="100"/>
                <w:kern w:val="0"/>
                <w:sz w:val="17"/>
                <w:szCs w:val="17"/>
              </w:rPr>
              <w:t>Total share of children under the age of 18 affected by one or more involuntary treatments in proportion to children admitted in psychiatric institutions</w:t>
            </w:r>
          </w:p>
        </w:tc>
        <w:tc>
          <w:tcPr>
            <w:tcW w:w="1408" w:type="dxa"/>
            <w:shd w:val="clear" w:color="auto" w:fill="auto"/>
            <w:vAlign w:val="bottom"/>
          </w:tcPr>
          <w:p w14:paraId="33F31C00" w14:textId="77777777" w:rsidR="00ED3715" w:rsidRPr="007E3E0B" w:rsidRDefault="00ED3715" w:rsidP="003A2345">
            <w:pPr>
              <w:keepNext/>
              <w:keepLines/>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18.7</w:t>
            </w:r>
          </w:p>
        </w:tc>
        <w:tc>
          <w:tcPr>
            <w:tcW w:w="2406" w:type="dxa"/>
            <w:shd w:val="clear" w:color="auto" w:fill="auto"/>
            <w:vAlign w:val="bottom"/>
          </w:tcPr>
          <w:p w14:paraId="1085EDA4" w14:textId="77777777" w:rsidR="00ED3715" w:rsidRPr="007E3E0B" w:rsidRDefault="00ED3715" w:rsidP="003A2345">
            <w:pPr>
              <w:keepNext/>
              <w:keepLines/>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18.6</w:t>
            </w:r>
          </w:p>
        </w:tc>
      </w:tr>
      <w:tr w:rsidR="00ED3715" w:rsidRPr="007E3E0B" w14:paraId="2861AA0D" w14:textId="77777777" w:rsidTr="003A2345">
        <w:trPr>
          <w:trHeight w:val="240"/>
        </w:trPr>
        <w:tc>
          <w:tcPr>
            <w:tcW w:w="3556" w:type="dxa"/>
            <w:tcBorders>
              <w:bottom w:val="single" w:sz="12" w:space="0" w:color="auto"/>
            </w:tcBorders>
            <w:shd w:val="clear" w:color="auto" w:fill="auto"/>
          </w:tcPr>
          <w:p w14:paraId="2CF04300" w14:textId="77777777" w:rsidR="00ED3715" w:rsidRPr="007E3E0B" w:rsidRDefault="00ED3715" w:rsidP="003A2345">
            <w:pPr>
              <w:suppressAutoHyphens w:val="0"/>
              <w:spacing w:before="40" w:after="40" w:line="210" w:lineRule="atLeast"/>
              <w:rPr>
                <w:spacing w:val="0"/>
                <w:w w:val="100"/>
                <w:kern w:val="0"/>
                <w:sz w:val="17"/>
                <w:szCs w:val="17"/>
              </w:rPr>
            </w:pPr>
            <w:r w:rsidRPr="007E3E0B">
              <w:rPr>
                <w:spacing w:val="0"/>
                <w:w w:val="100"/>
                <w:kern w:val="0"/>
                <w:sz w:val="17"/>
                <w:szCs w:val="17"/>
              </w:rPr>
              <w:t xml:space="preserve">Number of children under the age of 18 affected by one or more involuntary treatments pr. 100.000 inhabitants in region </w:t>
            </w:r>
          </w:p>
        </w:tc>
        <w:tc>
          <w:tcPr>
            <w:tcW w:w="1408" w:type="dxa"/>
            <w:tcBorders>
              <w:bottom w:val="single" w:sz="12" w:space="0" w:color="auto"/>
            </w:tcBorders>
            <w:shd w:val="clear" w:color="auto" w:fill="auto"/>
            <w:vAlign w:val="bottom"/>
          </w:tcPr>
          <w:p w14:paraId="18471F75" w14:textId="77777777" w:rsidR="00ED3715" w:rsidRPr="007E3E0B" w:rsidRDefault="00ED3715" w:rsidP="003A2345">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25.0</w:t>
            </w:r>
          </w:p>
        </w:tc>
        <w:tc>
          <w:tcPr>
            <w:tcW w:w="2406" w:type="dxa"/>
            <w:tcBorders>
              <w:bottom w:val="single" w:sz="12" w:space="0" w:color="auto"/>
            </w:tcBorders>
            <w:shd w:val="clear" w:color="auto" w:fill="auto"/>
            <w:vAlign w:val="bottom"/>
          </w:tcPr>
          <w:p w14:paraId="7B8E97C7" w14:textId="77777777" w:rsidR="00ED3715" w:rsidRPr="007E3E0B" w:rsidRDefault="00ED3715" w:rsidP="003A2345">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25.5</w:t>
            </w:r>
          </w:p>
        </w:tc>
      </w:tr>
    </w:tbl>
    <w:p w14:paraId="45C578D5" w14:textId="77777777" w:rsidR="00ED3715" w:rsidRPr="007E3E0B" w:rsidRDefault="00ED3715" w:rsidP="003A2345">
      <w:pPr>
        <w:pStyle w:val="SingleTxt"/>
        <w:spacing w:after="0" w:line="120" w:lineRule="exact"/>
        <w:rPr>
          <w:sz w:val="10"/>
        </w:rPr>
      </w:pPr>
    </w:p>
    <w:p w14:paraId="43B9617D" w14:textId="77777777" w:rsidR="003A2345" w:rsidRPr="007E3E0B" w:rsidRDefault="003A2345" w:rsidP="003A2345">
      <w:pPr>
        <w:pStyle w:val="SingleTxt"/>
        <w:spacing w:after="0" w:line="120" w:lineRule="exact"/>
        <w:rPr>
          <w:sz w:val="10"/>
        </w:rPr>
      </w:pPr>
    </w:p>
    <w:p w14:paraId="39DDD7A5" w14:textId="77777777" w:rsidR="00ED3715" w:rsidRPr="007E3E0B" w:rsidRDefault="00ED3715" w:rsidP="004E484C">
      <w:pPr>
        <w:pStyle w:val="SingleTxt"/>
        <w:numPr>
          <w:ilvl w:val="0"/>
          <w:numId w:val="3"/>
        </w:numPr>
        <w:ind w:left="1267" w:right="1267" w:firstLine="0"/>
      </w:pPr>
      <w:r w:rsidRPr="007E3E0B">
        <w:t xml:space="preserve">Due to the changes in the Psychiatric Act it is now mandatory to report all interventions performed on children under the age of 15 to the Danish Health Authority regardless of consent from the parents. The change in reports of interventions performed on children under the age of 15 was implemented </w:t>
      </w:r>
      <w:r w:rsidR="006C0DD2" w:rsidRPr="007E3E0B">
        <w:br/>
      </w:r>
      <w:r w:rsidRPr="007E3E0B">
        <w:t xml:space="preserve">on 1 July 2015. The numbers for 2014 and 2015 in the tables above are hence not comparable. </w:t>
      </w:r>
    </w:p>
    <w:p w14:paraId="0EA6A99D" w14:textId="77777777" w:rsidR="006C0DD2" w:rsidRPr="007E3E0B" w:rsidRDefault="006C0DD2" w:rsidP="006C0DD2">
      <w:pPr>
        <w:pStyle w:val="SingleTxt"/>
        <w:spacing w:after="0" w:line="120" w:lineRule="exact"/>
        <w:rPr>
          <w:sz w:val="10"/>
        </w:rPr>
      </w:pPr>
    </w:p>
    <w:p w14:paraId="2AC5A941" w14:textId="77777777" w:rsidR="00ED3715" w:rsidRPr="007E3E0B" w:rsidRDefault="00ED3715" w:rsidP="006C0DD2">
      <w:pPr>
        <w:pStyle w:val="H23"/>
      </w:pPr>
      <w:r w:rsidRPr="007E3E0B">
        <w:tab/>
      </w:r>
      <w:r w:rsidRPr="007E3E0B">
        <w:tab/>
        <w:t>Greenland</w:t>
      </w:r>
    </w:p>
    <w:p w14:paraId="7BFAE572" w14:textId="77777777" w:rsidR="006C0DD2" w:rsidRPr="007E3E0B" w:rsidRDefault="006C0DD2" w:rsidP="006C0DD2">
      <w:pPr>
        <w:pStyle w:val="SingleTxt"/>
        <w:spacing w:after="0" w:line="120" w:lineRule="exact"/>
        <w:rPr>
          <w:sz w:val="10"/>
        </w:rPr>
      </w:pPr>
    </w:p>
    <w:p w14:paraId="63414784" w14:textId="77777777" w:rsidR="00ED3715" w:rsidRPr="007E3E0B" w:rsidRDefault="00ED3715" w:rsidP="004E484C">
      <w:pPr>
        <w:pStyle w:val="SingleTxt"/>
        <w:numPr>
          <w:ilvl w:val="0"/>
          <w:numId w:val="3"/>
        </w:numPr>
        <w:ind w:left="1267" w:right="1267" w:firstLine="0"/>
      </w:pPr>
      <w:r w:rsidRPr="007E3E0B">
        <w:t xml:space="preserve">The number of cases of involuntary admission and treatment has been established for adolescents aged 13-17 years. Cases of involuntary admission and treatment have been grouped according to whether the adolescents were admitted on </w:t>
      </w:r>
      <w:r w:rsidR="0000113A">
        <w:t>“</w:t>
      </w:r>
      <w:r w:rsidRPr="007E3E0B">
        <w:t>red paper</w:t>
      </w:r>
      <w:r w:rsidR="0000113A">
        <w:t>”</w:t>
      </w:r>
      <w:r w:rsidRPr="007E3E0B">
        <w:t xml:space="preserve"> or </w:t>
      </w:r>
      <w:r w:rsidR="0000113A">
        <w:t>“</w:t>
      </w:r>
      <w:r w:rsidRPr="007E3E0B">
        <w:t>yellow paper</w:t>
      </w:r>
      <w:r w:rsidR="0000113A">
        <w:t>”</w:t>
      </w:r>
      <w:r w:rsidRPr="007E3E0B">
        <w:t xml:space="preserve">. Red paper admissions are based on reasons of dangerousness, while yellow paper admissions are based on treatment reasons. The figures for 2017 represent the registered involuntary admissions made so </w:t>
      </w:r>
      <w:r w:rsidR="0021007F">
        <w:br/>
      </w:r>
      <w:r w:rsidRPr="007E3E0B">
        <w:t>far in 2017.</w:t>
      </w:r>
    </w:p>
    <w:p w14:paraId="5A616B98" w14:textId="77777777" w:rsidR="005528B0" w:rsidRPr="007E3E0B" w:rsidRDefault="005528B0" w:rsidP="005528B0">
      <w:pPr>
        <w:pStyle w:val="SingleTxt"/>
        <w:spacing w:after="0" w:line="120" w:lineRule="exact"/>
        <w:rPr>
          <w:sz w:val="10"/>
        </w:rPr>
      </w:pPr>
    </w:p>
    <w:p w14:paraId="66697B7C" w14:textId="77777777" w:rsidR="00ED3715" w:rsidRPr="007E3E0B" w:rsidRDefault="00EA3B5A" w:rsidP="00EA3B5A">
      <w:pPr>
        <w:pStyle w:val="H23"/>
      </w:pPr>
      <w:r>
        <w:tab/>
      </w:r>
      <w:r>
        <w:tab/>
      </w:r>
      <w:r w:rsidR="00ED3715" w:rsidRPr="007E3E0B">
        <w:t>Number of involuntary admissions of adolescents below the age of 18</w:t>
      </w:r>
    </w:p>
    <w:p w14:paraId="77B33902" w14:textId="77777777" w:rsidR="00ED3715" w:rsidRPr="007E3E0B" w:rsidRDefault="00ED3715" w:rsidP="005528B0">
      <w:pPr>
        <w:pStyle w:val="SingleTxt"/>
        <w:spacing w:after="0" w:line="120" w:lineRule="exact"/>
        <w:rPr>
          <w:sz w:val="10"/>
        </w:rPr>
      </w:pPr>
    </w:p>
    <w:tbl>
      <w:tblPr>
        <w:tblStyle w:val="TableGrid9"/>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403"/>
        <w:gridCol w:w="1402"/>
        <w:gridCol w:w="1402"/>
        <w:gridCol w:w="1402"/>
      </w:tblGrid>
      <w:tr w:rsidR="00ED3715" w:rsidRPr="007E3E0B" w14:paraId="5AE01B53" w14:textId="77777777" w:rsidTr="006C0DD2">
        <w:trPr>
          <w:trHeight w:val="240"/>
          <w:tblHeader/>
        </w:trPr>
        <w:tc>
          <w:tcPr>
            <w:tcW w:w="1195" w:type="pct"/>
            <w:tcBorders>
              <w:top w:val="single" w:sz="4" w:space="0" w:color="auto"/>
              <w:bottom w:val="single" w:sz="12" w:space="0" w:color="auto"/>
            </w:tcBorders>
            <w:shd w:val="clear" w:color="auto" w:fill="auto"/>
            <w:noWrap/>
            <w:vAlign w:val="bottom"/>
            <w:hideMark/>
          </w:tcPr>
          <w:p w14:paraId="319EF052" w14:textId="77777777" w:rsidR="00ED3715" w:rsidRPr="007E3E0B" w:rsidRDefault="00ED3715" w:rsidP="006C0DD2">
            <w:pPr>
              <w:suppressAutoHyphens w:val="0"/>
              <w:spacing w:before="80" w:after="80" w:line="160" w:lineRule="atLeast"/>
              <w:rPr>
                <w:i/>
                <w:spacing w:val="0"/>
                <w:w w:val="100"/>
                <w:kern w:val="0"/>
                <w:sz w:val="14"/>
                <w:szCs w:val="14"/>
              </w:rPr>
            </w:pPr>
            <w:r w:rsidRPr="007E3E0B">
              <w:rPr>
                <w:i/>
                <w:spacing w:val="0"/>
                <w:w w:val="100"/>
                <w:kern w:val="0"/>
                <w:sz w:val="14"/>
                <w:szCs w:val="14"/>
              </w:rPr>
              <w:t>Admissions</w:t>
            </w:r>
          </w:p>
        </w:tc>
        <w:tc>
          <w:tcPr>
            <w:tcW w:w="952" w:type="pct"/>
            <w:tcBorders>
              <w:top w:val="single" w:sz="4" w:space="0" w:color="auto"/>
              <w:bottom w:val="single" w:sz="12" w:space="0" w:color="auto"/>
            </w:tcBorders>
            <w:shd w:val="clear" w:color="auto" w:fill="auto"/>
            <w:noWrap/>
            <w:vAlign w:val="bottom"/>
            <w:hideMark/>
          </w:tcPr>
          <w:p w14:paraId="39765786" w14:textId="77777777" w:rsidR="00ED3715" w:rsidRPr="007E3E0B" w:rsidRDefault="00ED3715" w:rsidP="006C0DD2">
            <w:pPr>
              <w:suppressAutoHyphens w:val="0"/>
              <w:spacing w:before="80" w:after="80" w:line="160" w:lineRule="atLeast"/>
              <w:ind w:left="113"/>
              <w:jc w:val="right"/>
              <w:rPr>
                <w:bCs/>
                <w:i/>
                <w:spacing w:val="0"/>
                <w:w w:val="100"/>
                <w:kern w:val="0"/>
                <w:sz w:val="14"/>
                <w:szCs w:val="14"/>
              </w:rPr>
            </w:pPr>
            <w:r w:rsidRPr="007E3E0B">
              <w:rPr>
                <w:bCs/>
                <w:i/>
                <w:spacing w:val="0"/>
                <w:w w:val="100"/>
                <w:kern w:val="0"/>
                <w:sz w:val="14"/>
                <w:szCs w:val="14"/>
              </w:rPr>
              <w:t>2014</w:t>
            </w:r>
          </w:p>
        </w:tc>
        <w:tc>
          <w:tcPr>
            <w:tcW w:w="951" w:type="pct"/>
            <w:tcBorders>
              <w:top w:val="single" w:sz="4" w:space="0" w:color="auto"/>
              <w:bottom w:val="single" w:sz="12" w:space="0" w:color="auto"/>
            </w:tcBorders>
            <w:shd w:val="clear" w:color="auto" w:fill="auto"/>
            <w:noWrap/>
            <w:vAlign w:val="bottom"/>
            <w:hideMark/>
          </w:tcPr>
          <w:p w14:paraId="0C089270" w14:textId="77777777" w:rsidR="00ED3715" w:rsidRPr="007E3E0B" w:rsidRDefault="00ED3715" w:rsidP="006C0DD2">
            <w:pPr>
              <w:suppressAutoHyphens w:val="0"/>
              <w:spacing w:before="80" w:after="80" w:line="160" w:lineRule="atLeast"/>
              <w:ind w:left="113"/>
              <w:jc w:val="right"/>
              <w:rPr>
                <w:bCs/>
                <w:i/>
                <w:spacing w:val="0"/>
                <w:w w:val="100"/>
                <w:kern w:val="0"/>
                <w:sz w:val="14"/>
                <w:szCs w:val="14"/>
              </w:rPr>
            </w:pPr>
            <w:r w:rsidRPr="007E3E0B">
              <w:rPr>
                <w:bCs/>
                <w:i/>
                <w:spacing w:val="0"/>
                <w:w w:val="100"/>
                <w:kern w:val="0"/>
                <w:sz w:val="14"/>
                <w:szCs w:val="14"/>
              </w:rPr>
              <w:t>2015</w:t>
            </w:r>
          </w:p>
        </w:tc>
        <w:tc>
          <w:tcPr>
            <w:tcW w:w="951" w:type="pct"/>
            <w:tcBorders>
              <w:top w:val="single" w:sz="4" w:space="0" w:color="auto"/>
              <w:bottom w:val="single" w:sz="12" w:space="0" w:color="auto"/>
            </w:tcBorders>
            <w:shd w:val="clear" w:color="auto" w:fill="auto"/>
            <w:noWrap/>
            <w:vAlign w:val="bottom"/>
            <w:hideMark/>
          </w:tcPr>
          <w:p w14:paraId="3FE69599" w14:textId="77777777" w:rsidR="00ED3715" w:rsidRPr="007E3E0B" w:rsidRDefault="00ED3715" w:rsidP="006C0DD2">
            <w:pPr>
              <w:suppressAutoHyphens w:val="0"/>
              <w:spacing w:before="80" w:after="80" w:line="160" w:lineRule="atLeast"/>
              <w:ind w:left="113"/>
              <w:jc w:val="right"/>
              <w:rPr>
                <w:bCs/>
                <w:i/>
                <w:spacing w:val="0"/>
                <w:w w:val="100"/>
                <w:kern w:val="0"/>
                <w:sz w:val="14"/>
                <w:szCs w:val="14"/>
              </w:rPr>
            </w:pPr>
            <w:r w:rsidRPr="007E3E0B">
              <w:rPr>
                <w:bCs/>
                <w:i/>
                <w:spacing w:val="0"/>
                <w:w w:val="100"/>
                <w:kern w:val="0"/>
                <w:sz w:val="14"/>
                <w:szCs w:val="14"/>
              </w:rPr>
              <w:t>2016</w:t>
            </w:r>
          </w:p>
        </w:tc>
        <w:tc>
          <w:tcPr>
            <w:tcW w:w="951" w:type="pct"/>
            <w:tcBorders>
              <w:top w:val="single" w:sz="4" w:space="0" w:color="auto"/>
              <w:bottom w:val="single" w:sz="12" w:space="0" w:color="auto"/>
            </w:tcBorders>
            <w:shd w:val="clear" w:color="auto" w:fill="auto"/>
            <w:noWrap/>
            <w:vAlign w:val="bottom"/>
            <w:hideMark/>
          </w:tcPr>
          <w:p w14:paraId="0C05F04B" w14:textId="77777777" w:rsidR="00ED3715" w:rsidRPr="007E3E0B" w:rsidRDefault="00ED3715" w:rsidP="006C0DD2">
            <w:pPr>
              <w:suppressAutoHyphens w:val="0"/>
              <w:spacing w:before="80" w:after="80" w:line="160" w:lineRule="atLeast"/>
              <w:ind w:left="113"/>
              <w:jc w:val="right"/>
              <w:rPr>
                <w:bCs/>
                <w:i/>
                <w:spacing w:val="0"/>
                <w:w w:val="100"/>
                <w:kern w:val="0"/>
                <w:sz w:val="14"/>
                <w:szCs w:val="14"/>
              </w:rPr>
            </w:pPr>
            <w:r w:rsidRPr="007E3E0B">
              <w:rPr>
                <w:bCs/>
                <w:i/>
                <w:spacing w:val="0"/>
                <w:w w:val="100"/>
                <w:kern w:val="0"/>
                <w:sz w:val="14"/>
                <w:szCs w:val="14"/>
              </w:rPr>
              <w:t>2017</w:t>
            </w:r>
          </w:p>
        </w:tc>
      </w:tr>
      <w:tr w:rsidR="00ED3715" w:rsidRPr="007E3E0B" w14:paraId="74965F22" w14:textId="77777777" w:rsidTr="006C0DD2">
        <w:trPr>
          <w:trHeight w:val="240"/>
        </w:trPr>
        <w:tc>
          <w:tcPr>
            <w:tcW w:w="1195" w:type="pct"/>
            <w:tcBorders>
              <w:top w:val="single" w:sz="12" w:space="0" w:color="auto"/>
            </w:tcBorders>
            <w:shd w:val="clear" w:color="auto" w:fill="auto"/>
            <w:noWrap/>
            <w:hideMark/>
          </w:tcPr>
          <w:p w14:paraId="62853430" w14:textId="77777777" w:rsidR="00ED3715" w:rsidRPr="007E3E0B" w:rsidRDefault="00ED3715" w:rsidP="006C0DD2">
            <w:pPr>
              <w:suppressAutoHyphens w:val="0"/>
              <w:spacing w:before="40" w:after="40" w:line="210" w:lineRule="atLeast"/>
              <w:rPr>
                <w:spacing w:val="0"/>
                <w:w w:val="100"/>
                <w:kern w:val="0"/>
                <w:sz w:val="17"/>
                <w:szCs w:val="17"/>
              </w:rPr>
            </w:pPr>
            <w:r w:rsidRPr="007E3E0B">
              <w:rPr>
                <w:spacing w:val="0"/>
                <w:w w:val="100"/>
                <w:kern w:val="0"/>
                <w:sz w:val="17"/>
                <w:szCs w:val="17"/>
              </w:rPr>
              <w:t>Red paper</w:t>
            </w:r>
          </w:p>
        </w:tc>
        <w:tc>
          <w:tcPr>
            <w:tcW w:w="952" w:type="pct"/>
            <w:tcBorders>
              <w:top w:val="single" w:sz="12" w:space="0" w:color="auto"/>
            </w:tcBorders>
            <w:shd w:val="clear" w:color="auto" w:fill="auto"/>
            <w:noWrap/>
            <w:vAlign w:val="bottom"/>
            <w:hideMark/>
          </w:tcPr>
          <w:p w14:paraId="2B300B00"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w:t>
            </w:r>
          </w:p>
        </w:tc>
        <w:tc>
          <w:tcPr>
            <w:tcW w:w="951" w:type="pct"/>
            <w:tcBorders>
              <w:top w:val="single" w:sz="12" w:space="0" w:color="auto"/>
            </w:tcBorders>
            <w:shd w:val="clear" w:color="auto" w:fill="auto"/>
            <w:noWrap/>
            <w:vAlign w:val="bottom"/>
            <w:hideMark/>
          </w:tcPr>
          <w:p w14:paraId="6D22D89D"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10</w:t>
            </w:r>
          </w:p>
        </w:tc>
        <w:tc>
          <w:tcPr>
            <w:tcW w:w="951" w:type="pct"/>
            <w:tcBorders>
              <w:top w:val="single" w:sz="12" w:space="0" w:color="auto"/>
            </w:tcBorders>
            <w:shd w:val="clear" w:color="auto" w:fill="auto"/>
            <w:noWrap/>
            <w:vAlign w:val="bottom"/>
            <w:hideMark/>
          </w:tcPr>
          <w:p w14:paraId="6CDCE22A"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8</w:t>
            </w:r>
          </w:p>
        </w:tc>
        <w:tc>
          <w:tcPr>
            <w:tcW w:w="951" w:type="pct"/>
            <w:tcBorders>
              <w:top w:val="single" w:sz="12" w:space="0" w:color="auto"/>
            </w:tcBorders>
            <w:shd w:val="clear" w:color="auto" w:fill="auto"/>
            <w:noWrap/>
            <w:vAlign w:val="bottom"/>
            <w:hideMark/>
          </w:tcPr>
          <w:p w14:paraId="70DD4B15"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w:t>
            </w:r>
          </w:p>
        </w:tc>
      </w:tr>
      <w:tr w:rsidR="00ED3715" w:rsidRPr="007E3E0B" w14:paraId="23F6FF96" w14:textId="77777777" w:rsidTr="006C0DD2">
        <w:trPr>
          <w:trHeight w:val="240"/>
        </w:trPr>
        <w:tc>
          <w:tcPr>
            <w:tcW w:w="1195" w:type="pct"/>
            <w:shd w:val="clear" w:color="auto" w:fill="auto"/>
            <w:noWrap/>
            <w:hideMark/>
          </w:tcPr>
          <w:p w14:paraId="47CC9AF4" w14:textId="77777777" w:rsidR="00ED3715" w:rsidRPr="007E3E0B" w:rsidRDefault="00ED3715" w:rsidP="006C0DD2">
            <w:pPr>
              <w:suppressAutoHyphens w:val="0"/>
              <w:spacing w:before="40" w:after="40" w:line="210" w:lineRule="atLeast"/>
              <w:rPr>
                <w:spacing w:val="0"/>
                <w:w w:val="100"/>
                <w:kern w:val="0"/>
                <w:sz w:val="17"/>
                <w:szCs w:val="17"/>
              </w:rPr>
            </w:pPr>
            <w:r w:rsidRPr="007E3E0B">
              <w:rPr>
                <w:spacing w:val="0"/>
                <w:w w:val="100"/>
                <w:kern w:val="0"/>
                <w:sz w:val="17"/>
                <w:szCs w:val="17"/>
              </w:rPr>
              <w:t>Yellow paper</w:t>
            </w:r>
          </w:p>
        </w:tc>
        <w:tc>
          <w:tcPr>
            <w:tcW w:w="952" w:type="pct"/>
            <w:shd w:val="clear" w:color="auto" w:fill="auto"/>
            <w:noWrap/>
            <w:vAlign w:val="bottom"/>
            <w:hideMark/>
          </w:tcPr>
          <w:p w14:paraId="0F61695F"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0</w:t>
            </w:r>
          </w:p>
        </w:tc>
        <w:tc>
          <w:tcPr>
            <w:tcW w:w="951" w:type="pct"/>
            <w:shd w:val="clear" w:color="auto" w:fill="auto"/>
            <w:noWrap/>
            <w:vAlign w:val="bottom"/>
            <w:hideMark/>
          </w:tcPr>
          <w:p w14:paraId="2714161D"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w:t>
            </w:r>
          </w:p>
        </w:tc>
        <w:tc>
          <w:tcPr>
            <w:tcW w:w="951" w:type="pct"/>
            <w:shd w:val="clear" w:color="auto" w:fill="auto"/>
            <w:noWrap/>
            <w:vAlign w:val="bottom"/>
            <w:hideMark/>
          </w:tcPr>
          <w:p w14:paraId="48A11DA4"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w:t>
            </w:r>
          </w:p>
        </w:tc>
        <w:tc>
          <w:tcPr>
            <w:tcW w:w="951" w:type="pct"/>
            <w:shd w:val="clear" w:color="auto" w:fill="auto"/>
            <w:noWrap/>
            <w:vAlign w:val="bottom"/>
            <w:hideMark/>
          </w:tcPr>
          <w:p w14:paraId="67FB04E0"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w:t>
            </w:r>
          </w:p>
        </w:tc>
      </w:tr>
      <w:tr w:rsidR="00ED3715" w:rsidRPr="007E3E0B" w14:paraId="42E2C758" w14:textId="77777777" w:rsidTr="006C0DD2">
        <w:trPr>
          <w:trHeight w:val="240"/>
        </w:trPr>
        <w:tc>
          <w:tcPr>
            <w:tcW w:w="1195" w:type="pct"/>
            <w:tcBorders>
              <w:bottom w:val="single" w:sz="12" w:space="0" w:color="auto"/>
            </w:tcBorders>
            <w:shd w:val="clear" w:color="auto" w:fill="auto"/>
            <w:noWrap/>
            <w:hideMark/>
          </w:tcPr>
          <w:p w14:paraId="55B7DAC8" w14:textId="77777777" w:rsidR="00ED3715" w:rsidRPr="007E3E0B" w:rsidRDefault="00ED3715" w:rsidP="006C0DD2">
            <w:pPr>
              <w:suppressAutoHyphens w:val="0"/>
              <w:spacing w:before="40" w:after="40" w:line="210" w:lineRule="atLeast"/>
              <w:rPr>
                <w:bCs/>
                <w:spacing w:val="0"/>
                <w:w w:val="100"/>
                <w:kern w:val="0"/>
                <w:sz w:val="17"/>
                <w:szCs w:val="17"/>
              </w:rPr>
            </w:pPr>
            <w:r w:rsidRPr="007E3E0B">
              <w:rPr>
                <w:bCs/>
                <w:spacing w:val="0"/>
                <w:w w:val="100"/>
                <w:kern w:val="0"/>
                <w:sz w:val="17"/>
                <w:szCs w:val="17"/>
              </w:rPr>
              <w:t>Total</w:t>
            </w:r>
          </w:p>
        </w:tc>
        <w:tc>
          <w:tcPr>
            <w:tcW w:w="952" w:type="pct"/>
            <w:tcBorders>
              <w:bottom w:val="single" w:sz="12" w:space="0" w:color="auto"/>
            </w:tcBorders>
            <w:shd w:val="clear" w:color="auto" w:fill="auto"/>
            <w:noWrap/>
            <w:vAlign w:val="bottom"/>
            <w:hideMark/>
          </w:tcPr>
          <w:p w14:paraId="09511AD4" w14:textId="77777777" w:rsidR="00ED3715" w:rsidRPr="007E3E0B" w:rsidRDefault="00ED3715" w:rsidP="006C0DD2">
            <w:pPr>
              <w:suppressAutoHyphens w:val="0"/>
              <w:spacing w:before="40" w:after="40" w:line="210" w:lineRule="atLeast"/>
              <w:ind w:left="113"/>
              <w:jc w:val="right"/>
              <w:rPr>
                <w:bCs/>
                <w:spacing w:val="0"/>
                <w:w w:val="100"/>
                <w:kern w:val="0"/>
                <w:sz w:val="17"/>
                <w:szCs w:val="17"/>
              </w:rPr>
            </w:pPr>
            <w:r w:rsidRPr="007E3E0B">
              <w:rPr>
                <w:bCs/>
                <w:spacing w:val="0"/>
                <w:w w:val="100"/>
                <w:kern w:val="0"/>
                <w:sz w:val="17"/>
                <w:szCs w:val="17"/>
              </w:rPr>
              <w:t>2</w:t>
            </w:r>
          </w:p>
        </w:tc>
        <w:tc>
          <w:tcPr>
            <w:tcW w:w="951" w:type="pct"/>
            <w:tcBorders>
              <w:bottom w:val="single" w:sz="12" w:space="0" w:color="auto"/>
            </w:tcBorders>
            <w:shd w:val="clear" w:color="auto" w:fill="auto"/>
            <w:noWrap/>
            <w:vAlign w:val="bottom"/>
            <w:hideMark/>
          </w:tcPr>
          <w:p w14:paraId="077EE746" w14:textId="77777777" w:rsidR="00ED3715" w:rsidRPr="007E3E0B" w:rsidRDefault="00ED3715" w:rsidP="006C0DD2">
            <w:pPr>
              <w:suppressAutoHyphens w:val="0"/>
              <w:spacing w:before="40" w:after="40" w:line="210" w:lineRule="atLeast"/>
              <w:ind w:left="113"/>
              <w:jc w:val="right"/>
              <w:rPr>
                <w:bCs/>
                <w:spacing w:val="0"/>
                <w:w w:val="100"/>
                <w:kern w:val="0"/>
                <w:sz w:val="17"/>
                <w:szCs w:val="17"/>
              </w:rPr>
            </w:pPr>
            <w:r w:rsidRPr="007E3E0B">
              <w:rPr>
                <w:bCs/>
                <w:spacing w:val="0"/>
                <w:w w:val="100"/>
                <w:kern w:val="0"/>
                <w:sz w:val="17"/>
                <w:szCs w:val="17"/>
              </w:rPr>
              <w:t>12</w:t>
            </w:r>
          </w:p>
        </w:tc>
        <w:tc>
          <w:tcPr>
            <w:tcW w:w="951" w:type="pct"/>
            <w:tcBorders>
              <w:bottom w:val="single" w:sz="12" w:space="0" w:color="auto"/>
            </w:tcBorders>
            <w:shd w:val="clear" w:color="auto" w:fill="auto"/>
            <w:noWrap/>
            <w:vAlign w:val="bottom"/>
            <w:hideMark/>
          </w:tcPr>
          <w:p w14:paraId="2A7B1B02" w14:textId="77777777" w:rsidR="00ED3715" w:rsidRPr="007E3E0B" w:rsidRDefault="00ED3715" w:rsidP="006C0DD2">
            <w:pPr>
              <w:suppressAutoHyphens w:val="0"/>
              <w:spacing w:before="40" w:after="40" w:line="210" w:lineRule="atLeast"/>
              <w:ind w:left="113"/>
              <w:jc w:val="right"/>
              <w:rPr>
                <w:bCs/>
                <w:spacing w:val="0"/>
                <w:w w:val="100"/>
                <w:kern w:val="0"/>
                <w:sz w:val="17"/>
                <w:szCs w:val="17"/>
              </w:rPr>
            </w:pPr>
            <w:r w:rsidRPr="007E3E0B">
              <w:rPr>
                <w:bCs/>
                <w:spacing w:val="0"/>
                <w:w w:val="100"/>
                <w:kern w:val="0"/>
                <w:sz w:val="17"/>
                <w:szCs w:val="17"/>
              </w:rPr>
              <w:t>9</w:t>
            </w:r>
          </w:p>
        </w:tc>
        <w:tc>
          <w:tcPr>
            <w:tcW w:w="951" w:type="pct"/>
            <w:tcBorders>
              <w:bottom w:val="single" w:sz="12" w:space="0" w:color="auto"/>
            </w:tcBorders>
            <w:shd w:val="clear" w:color="auto" w:fill="auto"/>
            <w:noWrap/>
            <w:vAlign w:val="bottom"/>
            <w:hideMark/>
          </w:tcPr>
          <w:p w14:paraId="4FC7E681" w14:textId="77777777" w:rsidR="00ED3715" w:rsidRPr="007E3E0B" w:rsidRDefault="00ED3715" w:rsidP="006C0DD2">
            <w:pPr>
              <w:suppressAutoHyphens w:val="0"/>
              <w:spacing w:before="40" w:after="40" w:line="210" w:lineRule="atLeast"/>
              <w:ind w:left="113"/>
              <w:jc w:val="right"/>
              <w:rPr>
                <w:bCs/>
                <w:spacing w:val="0"/>
                <w:w w:val="100"/>
                <w:kern w:val="0"/>
                <w:sz w:val="17"/>
                <w:szCs w:val="17"/>
              </w:rPr>
            </w:pPr>
            <w:r w:rsidRPr="007E3E0B">
              <w:rPr>
                <w:bCs/>
                <w:spacing w:val="0"/>
                <w:w w:val="100"/>
                <w:kern w:val="0"/>
                <w:sz w:val="17"/>
                <w:szCs w:val="17"/>
              </w:rPr>
              <w:t>2</w:t>
            </w:r>
          </w:p>
        </w:tc>
      </w:tr>
    </w:tbl>
    <w:p w14:paraId="110644B4" w14:textId="77777777" w:rsidR="00ED3715" w:rsidRPr="007E3E0B" w:rsidRDefault="00ED3715" w:rsidP="00A467DC">
      <w:pPr>
        <w:pStyle w:val="SingleTxt"/>
        <w:spacing w:after="0" w:line="210" w:lineRule="exact"/>
        <w:rPr>
          <w:sz w:val="17"/>
          <w:szCs w:val="17"/>
        </w:rPr>
      </w:pPr>
      <w:r w:rsidRPr="007E3E0B">
        <w:rPr>
          <w:i/>
          <w:sz w:val="17"/>
          <w:szCs w:val="17"/>
        </w:rPr>
        <w:t>Source</w:t>
      </w:r>
      <w:r w:rsidRPr="007E3E0B">
        <w:rPr>
          <w:sz w:val="17"/>
          <w:szCs w:val="17"/>
        </w:rPr>
        <w:t>: Agency for Health and Prevention</w:t>
      </w:r>
    </w:p>
    <w:p w14:paraId="388656AD" w14:textId="77777777" w:rsidR="00ED3715" w:rsidRPr="007E3E0B" w:rsidRDefault="00ED3715" w:rsidP="006C0DD2">
      <w:pPr>
        <w:pStyle w:val="SingleTxt"/>
        <w:spacing w:after="0" w:line="120" w:lineRule="exact"/>
        <w:rPr>
          <w:sz w:val="10"/>
        </w:rPr>
      </w:pPr>
    </w:p>
    <w:p w14:paraId="14B807E9" w14:textId="77777777" w:rsidR="006C0DD2" w:rsidRPr="007E3E0B" w:rsidRDefault="006C0DD2" w:rsidP="006C0DD2">
      <w:pPr>
        <w:pStyle w:val="SingleTxt"/>
        <w:spacing w:after="0" w:line="120" w:lineRule="exact"/>
        <w:rPr>
          <w:sz w:val="10"/>
        </w:rPr>
      </w:pPr>
    </w:p>
    <w:p w14:paraId="7314400C" w14:textId="77777777" w:rsidR="00ED3715" w:rsidRPr="007E3E0B" w:rsidRDefault="00ED3715" w:rsidP="00E77C09">
      <w:pPr>
        <w:pStyle w:val="H1"/>
      </w:pPr>
      <w:r w:rsidRPr="007E3E0B">
        <w:tab/>
      </w:r>
      <w:r w:rsidRPr="007E3E0B">
        <w:tab/>
        <w:t xml:space="preserve">Para. 16(a) </w:t>
      </w:r>
    </w:p>
    <w:p w14:paraId="6AE9F45C" w14:textId="77777777" w:rsidR="006C0DD2" w:rsidRPr="007E3E0B" w:rsidRDefault="006C0DD2" w:rsidP="00E77C09">
      <w:pPr>
        <w:pStyle w:val="SingleTxt"/>
        <w:keepNext/>
        <w:keepLines/>
        <w:spacing w:after="0" w:line="120" w:lineRule="exact"/>
        <w:rPr>
          <w:b/>
          <w:sz w:val="10"/>
        </w:rPr>
      </w:pPr>
    </w:p>
    <w:p w14:paraId="2C504BC2" w14:textId="77777777" w:rsidR="006C0DD2" w:rsidRPr="007E3E0B" w:rsidRDefault="006C0DD2" w:rsidP="00E77C09">
      <w:pPr>
        <w:pStyle w:val="SingleTxt"/>
        <w:keepNext/>
        <w:keepLines/>
        <w:spacing w:after="0" w:line="120" w:lineRule="exact"/>
        <w:rPr>
          <w:b/>
          <w:sz w:val="10"/>
        </w:rPr>
      </w:pPr>
    </w:p>
    <w:p w14:paraId="1F771F54" w14:textId="77777777" w:rsidR="00ED3715" w:rsidRPr="007E3E0B" w:rsidRDefault="00ED3715" w:rsidP="00E77C09">
      <w:pPr>
        <w:pStyle w:val="H23"/>
      </w:pPr>
      <w:r w:rsidRPr="007E3E0B">
        <w:tab/>
      </w:r>
      <w:r w:rsidRPr="007E3E0B">
        <w:tab/>
        <w:t>Denmark</w:t>
      </w:r>
    </w:p>
    <w:p w14:paraId="37F9A8CA" w14:textId="77777777" w:rsidR="006C0DD2" w:rsidRPr="007E3E0B" w:rsidRDefault="006C0DD2" w:rsidP="00E77C09">
      <w:pPr>
        <w:pStyle w:val="SingleTxt"/>
        <w:keepNext/>
        <w:keepLines/>
        <w:spacing w:after="0" w:line="120" w:lineRule="exact"/>
        <w:rPr>
          <w:b/>
          <w:sz w:val="10"/>
        </w:rPr>
      </w:pPr>
    </w:p>
    <w:p w14:paraId="7FCD2DF6" w14:textId="77777777" w:rsidR="00ED3715" w:rsidRPr="007E3E0B" w:rsidRDefault="00ED3715" w:rsidP="00E77C09">
      <w:pPr>
        <w:pStyle w:val="SingleTxt"/>
        <w:keepNext/>
        <w:keepLines/>
        <w:numPr>
          <w:ilvl w:val="0"/>
          <w:numId w:val="3"/>
        </w:numPr>
        <w:ind w:left="1267" w:right="1267" w:firstLine="0"/>
      </w:pPr>
      <w:r w:rsidRPr="007E3E0B">
        <w:t>By the end of 2015, 11</w:t>
      </w:r>
      <w:r w:rsidR="0021007F">
        <w:t>,</w:t>
      </w:r>
      <w:r w:rsidRPr="007E3E0B">
        <w:t xml:space="preserve">049 children were placed in care. 62 </w:t>
      </w:r>
      <w:r w:rsidR="00A7047F">
        <w:t>per cent</w:t>
      </w:r>
      <w:r w:rsidRPr="007E3E0B">
        <w:t xml:space="preserve"> of these children were living in foster homes and 33 </w:t>
      </w:r>
      <w:r w:rsidR="00A7047F">
        <w:t>per cent</w:t>
      </w:r>
      <w:r w:rsidRPr="007E3E0B">
        <w:t xml:space="preserve"> in institutional settings.</w:t>
      </w:r>
    </w:p>
    <w:p w14:paraId="7D693BBC" w14:textId="77777777" w:rsidR="006C0DD2" w:rsidRPr="007E3E0B" w:rsidRDefault="006C0DD2" w:rsidP="00E77C09">
      <w:pPr>
        <w:pStyle w:val="SingleTxt"/>
        <w:keepNext/>
        <w:keepLines/>
        <w:spacing w:after="0" w:line="120" w:lineRule="exact"/>
        <w:rPr>
          <w:sz w:val="10"/>
        </w:rPr>
      </w:pPr>
    </w:p>
    <w:p w14:paraId="4925A7CA" w14:textId="77777777" w:rsidR="00ED3715" w:rsidRPr="007E3E0B" w:rsidRDefault="00ED3715" w:rsidP="006C0DD2">
      <w:pPr>
        <w:pStyle w:val="H23"/>
      </w:pPr>
      <w:r w:rsidRPr="007E3E0B">
        <w:tab/>
      </w:r>
      <w:r w:rsidRPr="007E3E0B">
        <w:tab/>
        <w:t xml:space="preserve">Greenland </w:t>
      </w:r>
    </w:p>
    <w:p w14:paraId="44A2BA0A" w14:textId="77777777" w:rsidR="006C0DD2" w:rsidRPr="007E3E0B" w:rsidRDefault="006C0DD2" w:rsidP="006C0DD2">
      <w:pPr>
        <w:pStyle w:val="SingleTxt"/>
        <w:spacing w:after="0" w:line="120" w:lineRule="exact"/>
        <w:rPr>
          <w:b/>
          <w:sz w:val="10"/>
        </w:rPr>
      </w:pPr>
    </w:p>
    <w:p w14:paraId="31C7DA50" w14:textId="77777777" w:rsidR="00ED3715" w:rsidRPr="007E3E0B" w:rsidRDefault="006C0DD2" w:rsidP="006C0DD2">
      <w:pPr>
        <w:pStyle w:val="H23"/>
      </w:pPr>
      <w:r w:rsidRPr="007E3E0B">
        <w:tab/>
      </w:r>
      <w:r w:rsidRPr="007E3E0B">
        <w:tab/>
      </w:r>
      <w:r w:rsidR="00ED3715" w:rsidRPr="007E3E0B">
        <w:t>Total number of children and adolescents living in care centres in 2016</w:t>
      </w:r>
    </w:p>
    <w:p w14:paraId="5B0F103E" w14:textId="77777777" w:rsidR="006C0DD2" w:rsidRPr="007E3E0B" w:rsidRDefault="006C0DD2" w:rsidP="006C0DD2">
      <w:pPr>
        <w:pStyle w:val="SingleTxt"/>
        <w:spacing w:after="0" w:line="120" w:lineRule="exact"/>
        <w:rPr>
          <w:b/>
          <w:sz w:val="10"/>
        </w:rPr>
      </w:pPr>
    </w:p>
    <w:tbl>
      <w:tblPr>
        <w:tblStyle w:val="TableGrid10"/>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1218"/>
        <w:gridCol w:w="1164"/>
        <w:gridCol w:w="1279"/>
      </w:tblGrid>
      <w:tr w:rsidR="00ED3715" w:rsidRPr="007E3E0B" w14:paraId="0E3EDD96" w14:textId="77777777" w:rsidTr="006C0DD2">
        <w:trPr>
          <w:trHeight w:val="315"/>
          <w:tblHeader/>
        </w:trPr>
        <w:tc>
          <w:tcPr>
            <w:tcW w:w="2516" w:type="pct"/>
            <w:tcBorders>
              <w:top w:val="single" w:sz="4" w:space="0" w:color="auto"/>
              <w:bottom w:val="single" w:sz="12" w:space="0" w:color="auto"/>
            </w:tcBorders>
            <w:shd w:val="clear" w:color="auto" w:fill="auto"/>
            <w:noWrap/>
            <w:vAlign w:val="bottom"/>
          </w:tcPr>
          <w:p w14:paraId="6BEF0AEA" w14:textId="77777777" w:rsidR="00ED3715" w:rsidRPr="007E3E0B" w:rsidRDefault="00ED3715" w:rsidP="006C0DD2">
            <w:pPr>
              <w:suppressAutoHyphens w:val="0"/>
              <w:spacing w:before="80" w:after="80" w:line="160" w:lineRule="atLeast"/>
              <w:rPr>
                <w:i/>
                <w:spacing w:val="0"/>
                <w:w w:val="100"/>
                <w:kern w:val="0"/>
                <w:sz w:val="14"/>
                <w:szCs w:val="14"/>
              </w:rPr>
            </w:pPr>
          </w:p>
        </w:tc>
        <w:tc>
          <w:tcPr>
            <w:tcW w:w="826" w:type="pct"/>
            <w:tcBorders>
              <w:top w:val="single" w:sz="4" w:space="0" w:color="auto"/>
              <w:bottom w:val="single" w:sz="12" w:space="0" w:color="auto"/>
            </w:tcBorders>
            <w:shd w:val="clear" w:color="auto" w:fill="auto"/>
            <w:vAlign w:val="bottom"/>
          </w:tcPr>
          <w:p w14:paraId="4C829E88" w14:textId="77777777" w:rsidR="00ED3715" w:rsidRPr="007E3E0B" w:rsidRDefault="00ED3715" w:rsidP="006C0DD2">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B</w:t>
            </w:r>
          </w:p>
        </w:tc>
        <w:tc>
          <w:tcPr>
            <w:tcW w:w="790" w:type="pct"/>
            <w:tcBorders>
              <w:top w:val="single" w:sz="4" w:space="0" w:color="auto"/>
              <w:bottom w:val="single" w:sz="12" w:space="0" w:color="auto"/>
            </w:tcBorders>
            <w:shd w:val="clear" w:color="auto" w:fill="auto"/>
            <w:vAlign w:val="bottom"/>
          </w:tcPr>
          <w:p w14:paraId="4A08940F" w14:textId="77777777" w:rsidR="00ED3715" w:rsidRPr="007E3E0B" w:rsidRDefault="00ED3715" w:rsidP="006C0DD2">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G</w:t>
            </w:r>
          </w:p>
        </w:tc>
        <w:tc>
          <w:tcPr>
            <w:tcW w:w="868" w:type="pct"/>
            <w:tcBorders>
              <w:top w:val="single" w:sz="4" w:space="0" w:color="auto"/>
              <w:bottom w:val="single" w:sz="12" w:space="0" w:color="auto"/>
            </w:tcBorders>
            <w:shd w:val="clear" w:color="auto" w:fill="auto"/>
            <w:noWrap/>
            <w:vAlign w:val="bottom"/>
          </w:tcPr>
          <w:p w14:paraId="4624D652" w14:textId="77777777" w:rsidR="00ED3715" w:rsidRPr="007E3E0B" w:rsidRDefault="00ED3715" w:rsidP="006C0DD2">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Total</w:t>
            </w:r>
          </w:p>
        </w:tc>
      </w:tr>
      <w:tr w:rsidR="00ED3715" w:rsidRPr="007E3E0B" w14:paraId="3220F61C" w14:textId="77777777" w:rsidTr="006C0DD2">
        <w:trPr>
          <w:trHeight w:val="315"/>
        </w:trPr>
        <w:tc>
          <w:tcPr>
            <w:tcW w:w="2516" w:type="pct"/>
            <w:tcBorders>
              <w:top w:val="single" w:sz="12" w:space="0" w:color="auto"/>
            </w:tcBorders>
            <w:shd w:val="clear" w:color="auto" w:fill="auto"/>
            <w:noWrap/>
          </w:tcPr>
          <w:p w14:paraId="1CC77625" w14:textId="77777777" w:rsidR="00ED3715" w:rsidRPr="007E3E0B" w:rsidRDefault="00ED3715" w:rsidP="006C0DD2">
            <w:pPr>
              <w:suppressAutoHyphens w:val="0"/>
              <w:spacing w:before="40" w:after="40" w:line="210" w:lineRule="atLeast"/>
              <w:rPr>
                <w:spacing w:val="0"/>
                <w:w w:val="100"/>
                <w:kern w:val="0"/>
                <w:sz w:val="17"/>
                <w:szCs w:val="17"/>
              </w:rPr>
            </w:pPr>
            <w:r w:rsidRPr="007E3E0B">
              <w:rPr>
                <w:spacing w:val="0"/>
                <w:w w:val="100"/>
                <w:kern w:val="0"/>
                <w:sz w:val="17"/>
                <w:szCs w:val="17"/>
              </w:rPr>
              <w:t xml:space="preserve">24-hour care centre owned by the Self-Government </w:t>
            </w:r>
          </w:p>
        </w:tc>
        <w:tc>
          <w:tcPr>
            <w:tcW w:w="826" w:type="pct"/>
            <w:tcBorders>
              <w:top w:val="single" w:sz="12" w:space="0" w:color="auto"/>
            </w:tcBorders>
            <w:shd w:val="clear" w:color="auto" w:fill="auto"/>
            <w:vAlign w:val="bottom"/>
          </w:tcPr>
          <w:p w14:paraId="2B0C3B31"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84</w:t>
            </w:r>
          </w:p>
        </w:tc>
        <w:tc>
          <w:tcPr>
            <w:tcW w:w="790" w:type="pct"/>
            <w:tcBorders>
              <w:top w:val="single" w:sz="12" w:space="0" w:color="auto"/>
            </w:tcBorders>
            <w:shd w:val="clear" w:color="auto" w:fill="auto"/>
            <w:vAlign w:val="bottom"/>
          </w:tcPr>
          <w:p w14:paraId="0F4780CC"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71</w:t>
            </w:r>
          </w:p>
        </w:tc>
        <w:tc>
          <w:tcPr>
            <w:tcW w:w="868" w:type="pct"/>
            <w:tcBorders>
              <w:top w:val="single" w:sz="12" w:space="0" w:color="auto"/>
            </w:tcBorders>
            <w:shd w:val="clear" w:color="auto" w:fill="auto"/>
            <w:noWrap/>
            <w:vAlign w:val="bottom"/>
          </w:tcPr>
          <w:p w14:paraId="4524DC37"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155</w:t>
            </w:r>
          </w:p>
        </w:tc>
      </w:tr>
      <w:tr w:rsidR="00ED3715" w:rsidRPr="007E3E0B" w14:paraId="2E5CE28B" w14:textId="77777777" w:rsidTr="006C0DD2">
        <w:trPr>
          <w:trHeight w:val="315"/>
        </w:trPr>
        <w:tc>
          <w:tcPr>
            <w:tcW w:w="2516" w:type="pct"/>
            <w:shd w:val="clear" w:color="auto" w:fill="auto"/>
            <w:noWrap/>
          </w:tcPr>
          <w:p w14:paraId="358E58A1" w14:textId="77777777" w:rsidR="00ED3715" w:rsidRPr="007E3E0B" w:rsidRDefault="00ED3715" w:rsidP="006C0DD2">
            <w:pPr>
              <w:suppressAutoHyphens w:val="0"/>
              <w:spacing w:before="40" w:after="40" w:line="210" w:lineRule="atLeast"/>
              <w:rPr>
                <w:spacing w:val="0"/>
                <w:w w:val="100"/>
                <w:kern w:val="0"/>
                <w:sz w:val="17"/>
                <w:szCs w:val="17"/>
              </w:rPr>
            </w:pPr>
            <w:r w:rsidRPr="007E3E0B">
              <w:rPr>
                <w:spacing w:val="0"/>
                <w:w w:val="100"/>
                <w:kern w:val="0"/>
                <w:sz w:val="17"/>
                <w:szCs w:val="17"/>
              </w:rPr>
              <w:t xml:space="preserve">Private 24-hour care centre </w:t>
            </w:r>
          </w:p>
        </w:tc>
        <w:tc>
          <w:tcPr>
            <w:tcW w:w="826" w:type="pct"/>
            <w:shd w:val="clear" w:color="auto" w:fill="auto"/>
            <w:vAlign w:val="bottom"/>
          </w:tcPr>
          <w:p w14:paraId="30EAE4C4"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30</w:t>
            </w:r>
          </w:p>
        </w:tc>
        <w:tc>
          <w:tcPr>
            <w:tcW w:w="790" w:type="pct"/>
            <w:shd w:val="clear" w:color="auto" w:fill="auto"/>
            <w:vAlign w:val="bottom"/>
          </w:tcPr>
          <w:p w14:paraId="3E570999"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20</w:t>
            </w:r>
          </w:p>
        </w:tc>
        <w:tc>
          <w:tcPr>
            <w:tcW w:w="868" w:type="pct"/>
            <w:shd w:val="clear" w:color="auto" w:fill="auto"/>
            <w:noWrap/>
            <w:vAlign w:val="bottom"/>
          </w:tcPr>
          <w:p w14:paraId="2C17F69E"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50</w:t>
            </w:r>
          </w:p>
        </w:tc>
      </w:tr>
      <w:tr w:rsidR="00ED3715" w:rsidRPr="007E3E0B" w14:paraId="1FC991D9" w14:textId="77777777" w:rsidTr="006C0DD2">
        <w:trPr>
          <w:trHeight w:val="315"/>
        </w:trPr>
        <w:tc>
          <w:tcPr>
            <w:tcW w:w="2516" w:type="pct"/>
            <w:shd w:val="clear" w:color="auto" w:fill="auto"/>
            <w:noWrap/>
          </w:tcPr>
          <w:p w14:paraId="3C6BAB7D" w14:textId="77777777" w:rsidR="00ED3715" w:rsidRPr="007E3E0B" w:rsidRDefault="00ED3715" w:rsidP="006C0DD2">
            <w:pPr>
              <w:suppressAutoHyphens w:val="0"/>
              <w:spacing w:before="40" w:after="40" w:line="210" w:lineRule="atLeast"/>
              <w:rPr>
                <w:spacing w:val="0"/>
                <w:w w:val="100"/>
                <w:kern w:val="0"/>
                <w:sz w:val="17"/>
                <w:szCs w:val="17"/>
              </w:rPr>
            </w:pPr>
            <w:r w:rsidRPr="007E3E0B">
              <w:rPr>
                <w:spacing w:val="0"/>
                <w:w w:val="100"/>
                <w:kern w:val="0"/>
                <w:sz w:val="17"/>
                <w:szCs w:val="17"/>
              </w:rPr>
              <w:t xml:space="preserve">Municipal 24-hour care centre </w:t>
            </w:r>
          </w:p>
        </w:tc>
        <w:tc>
          <w:tcPr>
            <w:tcW w:w="826" w:type="pct"/>
            <w:shd w:val="clear" w:color="auto" w:fill="auto"/>
            <w:vAlign w:val="bottom"/>
          </w:tcPr>
          <w:p w14:paraId="099EAEB5"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7</w:t>
            </w:r>
          </w:p>
        </w:tc>
        <w:tc>
          <w:tcPr>
            <w:tcW w:w="790" w:type="pct"/>
            <w:shd w:val="clear" w:color="auto" w:fill="auto"/>
            <w:vAlign w:val="bottom"/>
          </w:tcPr>
          <w:p w14:paraId="27A1167E"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2</w:t>
            </w:r>
          </w:p>
        </w:tc>
        <w:tc>
          <w:tcPr>
            <w:tcW w:w="868" w:type="pct"/>
            <w:shd w:val="clear" w:color="auto" w:fill="auto"/>
            <w:noWrap/>
            <w:vAlign w:val="bottom"/>
          </w:tcPr>
          <w:p w14:paraId="69E8B736"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9</w:t>
            </w:r>
          </w:p>
        </w:tc>
      </w:tr>
      <w:tr w:rsidR="00ED3715" w:rsidRPr="007E3E0B" w14:paraId="4255B3A3" w14:textId="77777777" w:rsidTr="006C0DD2">
        <w:trPr>
          <w:trHeight w:val="315"/>
        </w:trPr>
        <w:tc>
          <w:tcPr>
            <w:tcW w:w="2516" w:type="pct"/>
            <w:shd w:val="clear" w:color="auto" w:fill="auto"/>
            <w:noWrap/>
          </w:tcPr>
          <w:p w14:paraId="12ECF5A5" w14:textId="77777777" w:rsidR="00ED3715" w:rsidRPr="007E3E0B" w:rsidRDefault="00ED3715" w:rsidP="006C0DD2">
            <w:pPr>
              <w:suppressAutoHyphens w:val="0"/>
              <w:spacing w:before="40" w:after="40" w:line="210" w:lineRule="atLeast"/>
              <w:rPr>
                <w:bCs/>
                <w:iCs/>
                <w:spacing w:val="0"/>
                <w:w w:val="100"/>
                <w:kern w:val="0"/>
                <w:sz w:val="17"/>
                <w:szCs w:val="17"/>
              </w:rPr>
            </w:pPr>
            <w:r w:rsidRPr="007E3E0B">
              <w:rPr>
                <w:bCs/>
                <w:iCs/>
                <w:spacing w:val="0"/>
                <w:w w:val="100"/>
                <w:kern w:val="0"/>
                <w:sz w:val="17"/>
                <w:szCs w:val="17"/>
              </w:rPr>
              <w:t>Total</w:t>
            </w:r>
          </w:p>
        </w:tc>
        <w:tc>
          <w:tcPr>
            <w:tcW w:w="826" w:type="pct"/>
            <w:shd w:val="clear" w:color="auto" w:fill="auto"/>
            <w:vAlign w:val="bottom"/>
          </w:tcPr>
          <w:p w14:paraId="27987D2E" w14:textId="77777777" w:rsidR="00ED3715" w:rsidRPr="007E3E0B" w:rsidRDefault="00ED3715" w:rsidP="006C0DD2">
            <w:pPr>
              <w:suppressAutoHyphens w:val="0"/>
              <w:spacing w:before="40" w:after="40" w:line="210" w:lineRule="atLeast"/>
              <w:ind w:left="113"/>
              <w:jc w:val="right"/>
              <w:rPr>
                <w:bCs/>
                <w:iCs/>
                <w:spacing w:val="0"/>
                <w:w w:val="100"/>
                <w:kern w:val="0"/>
                <w:sz w:val="17"/>
                <w:szCs w:val="17"/>
              </w:rPr>
            </w:pPr>
            <w:r w:rsidRPr="007E3E0B">
              <w:rPr>
                <w:bCs/>
                <w:iCs/>
                <w:spacing w:val="0"/>
                <w:w w:val="100"/>
                <w:kern w:val="0"/>
                <w:sz w:val="17"/>
                <w:szCs w:val="17"/>
              </w:rPr>
              <w:t>121</w:t>
            </w:r>
          </w:p>
        </w:tc>
        <w:tc>
          <w:tcPr>
            <w:tcW w:w="790" w:type="pct"/>
            <w:shd w:val="clear" w:color="auto" w:fill="auto"/>
            <w:vAlign w:val="bottom"/>
          </w:tcPr>
          <w:p w14:paraId="20071711" w14:textId="77777777" w:rsidR="00ED3715" w:rsidRPr="007E3E0B" w:rsidRDefault="00ED3715" w:rsidP="006C0DD2">
            <w:pPr>
              <w:suppressAutoHyphens w:val="0"/>
              <w:spacing w:before="40" w:after="40" w:line="210" w:lineRule="atLeast"/>
              <w:ind w:left="113"/>
              <w:jc w:val="right"/>
              <w:rPr>
                <w:bCs/>
                <w:iCs/>
                <w:spacing w:val="0"/>
                <w:w w:val="100"/>
                <w:kern w:val="0"/>
                <w:sz w:val="17"/>
                <w:szCs w:val="17"/>
              </w:rPr>
            </w:pPr>
            <w:r w:rsidRPr="007E3E0B">
              <w:rPr>
                <w:bCs/>
                <w:iCs/>
                <w:spacing w:val="0"/>
                <w:w w:val="100"/>
                <w:kern w:val="0"/>
                <w:sz w:val="17"/>
                <w:szCs w:val="17"/>
              </w:rPr>
              <w:t>93</w:t>
            </w:r>
          </w:p>
        </w:tc>
        <w:tc>
          <w:tcPr>
            <w:tcW w:w="868" w:type="pct"/>
            <w:shd w:val="clear" w:color="auto" w:fill="auto"/>
            <w:noWrap/>
            <w:vAlign w:val="bottom"/>
          </w:tcPr>
          <w:p w14:paraId="4B0CBA59" w14:textId="77777777" w:rsidR="00ED3715" w:rsidRPr="007E3E0B" w:rsidRDefault="00ED3715" w:rsidP="006C0DD2">
            <w:pPr>
              <w:suppressAutoHyphens w:val="0"/>
              <w:spacing w:before="40" w:after="40" w:line="210" w:lineRule="atLeast"/>
              <w:ind w:left="113"/>
              <w:jc w:val="right"/>
              <w:rPr>
                <w:bCs/>
                <w:iCs/>
                <w:spacing w:val="0"/>
                <w:w w:val="100"/>
                <w:kern w:val="0"/>
                <w:sz w:val="17"/>
                <w:szCs w:val="17"/>
              </w:rPr>
            </w:pPr>
            <w:r w:rsidRPr="007E3E0B">
              <w:rPr>
                <w:bCs/>
                <w:iCs/>
                <w:spacing w:val="0"/>
                <w:w w:val="100"/>
                <w:kern w:val="0"/>
                <w:sz w:val="17"/>
                <w:szCs w:val="17"/>
              </w:rPr>
              <w:t>214</w:t>
            </w:r>
          </w:p>
        </w:tc>
      </w:tr>
      <w:tr w:rsidR="00ED3715" w:rsidRPr="007E3E0B" w14:paraId="7808BDC7" w14:textId="77777777" w:rsidTr="006C0DD2">
        <w:trPr>
          <w:trHeight w:val="315"/>
        </w:trPr>
        <w:tc>
          <w:tcPr>
            <w:tcW w:w="2516" w:type="pct"/>
            <w:tcBorders>
              <w:bottom w:val="single" w:sz="12" w:space="0" w:color="auto"/>
            </w:tcBorders>
            <w:shd w:val="clear" w:color="auto" w:fill="auto"/>
            <w:noWrap/>
          </w:tcPr>
          <w:p w14:paraId="6CD93CBE" w14:textId="77777777" w:rsidR="00ED3715" w:rsidRPr="007E3E0B" w:rsidRDefault="00ED3715" w:rsidP="006C0DD2">
            <w:pPr>
              <w:suppressAutoHyphens w:val="0"/>
              <w:spacing w:before="40" w:after="40" w:line="210" w:lineRule="atLeast"/>
              <w:rPr>
                <w:spacing w:val="0"/>
                <w:w w:val="100"/>
                <w:kern w:val="0"/>
                <w:sz w:val="17"/>
                <w:szCs w:val="17"/>
              </w:rPr>
            </w:pPr>
            <w:r w:rsidRPr="007E3E0B">
              <w:rPr>
                <w:spacing w:val="0"/>
                <w:w w:val="100"/>
                <w:kern w:val="0"/>
                <w:sz w:val="17"/>
                <w:szCs w:val="17"/>
              </w:rPr>
              <w:t>Children on waiting list</w:t>
            </w:r>
          </w:p>
        </w:tc>
        <w:tc>
          <w:tcPr>
            <w:tcW w:w="826" w:type="pct"/>
            <w:tcBorders>
              <w:bottom w:val="single" w:sz="12" w:space="0" w:color="auto"/>
            </w:tcBorders>
            <w:shd w:val="clear" w:color="auto" w:fill="auto"/>
            <w:vAlign w:val="bottom"/>
          </w:tcPr>
          <w:p w14:paraId="64FC3EA1"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w:t>
            </w:r>
          </w:p>
        </w:tc>
        <w:tc>
          <w:tcPr>
            <w:tcW w:w="790" w:type="pct"/>
            <w:tcBorders>
              <w:bottom w:val="single" w:sz="12" w:space="0" w:color="auto"/>
            </w:tcBorders>
            <w:shd w:val="clear" w:color="auto" w:fill="auto"/>
            <w:vAlign w:val="bottom"/>
          </w:tcPr>
          <w:p w14:paraId="3BFB9F33"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8</w:t>
            </w:r>
          </w:p>
        </w:tc>
        <w:tc>
          <w:tcPr>
            <w:tcW w:w="868" w:type="pct"/>
            <w:tcBorders>
              <w:bottom w:val="single" w:sz="12" w:space="0" w:color="auto"/>
            </w:tcBorders>
            <w:shd w:val="clear" w:color="auto" w:fill="auto"/>
            <w:noWrap/>
            <w:vAlign w:val="bottom"/>
          </w:tcPr>
          <w:p w14:paraId="3F1732E8" w14:textId="77777777" w:rsidR="00ED3715" w:rsidRPr="007E3E0B" w:rsidRDefault="00ED3715" w:rsidP="006C0DD2">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13</w:t>
            </w:r>
          </w:p>
        </w:tc>
      </w:tr>
    </w:tbl>
    <w:p w14:paraId="026570C9" w14:textId="77777777" w:rsidR="00EA3B5A" w:rsidRDefault="00ED3715" w:rsidP="00A467DC">
      <w:pPr>
        <w:pStyle w:val="SingleTxt"/>
        <w:spacing w:after="0" w:line="210" w:lineRule="exact"/>
        <w:jc w:val="left"/>
        <w:rPr>
          <w:sz w:val="17"/>
          <w:szCs w:val="17"/>
        </w:rPr>
      </w:pPr>
      <w:r w:rsidRPr="007E3E0B">
        <w:rPr>
          <w:i/>
          <w:sz w:val="17"/>
          <w:szCs w:val="17"/>
        </w:rPr>
        <w:t>Note</w:t>
      </w:r>
      <w:r w:rsidRPr="007E3E0B">
        <w:rPr>
          <w:sz w:val="17"/>
          <w:szCs w:val="17"/>
        </w:rPr>
        <w:t xml:space="preserve">: B = Boys and G = Girls. </w:t>
      </w:r>
    </w:p>
    <w:p w14:paraId="08A47B4E" w14:textId="77777777" w:rsidR="00ED3715" w:rsidRPr="007E3E0B" w:rsidRDefault="00ED3715" w:rsidP="00A467DC">
      <w:pPr>
        <w:pStyle w:val="SingleTxt"/>
        <w:spacing w:after="0" w:line="210" w:lineRule="exact"/>
        <w:jc w:val="left"/>
        <w:rPr>
          <w:sz w:val="17"/>
          <w:szCs w:val="17"/>
        </w:rPr>
      </w:pPr>
      <w:r w:rsidRPr="007E3E0B">
        <w:rPr>
          <w:i/>
          <w:sz w:val="17"/>
          <w:szCs w:val="17"/>
        </w:rPr>
        <w:t>Source</w:t>
      </w:r>
      <w:r w:rsidRPr="007E3E0B">
        <w:rPr>
          <w:sz w:val="17"/>
          <w:szCs w:val="17"/>
        </w:rPr>
        <w:t>: The Central Waiting List (or DCV), National Board of Social Services in Greenland</w:t>
      </w:r>
    </w:p>
    <w:p w14:paraId="291B203A" w14:textId="77777777" w:rsidR="005528B0" w:rsidRPr="007E3E0B" w:rsidRDefault="005528B0" w:rsidP="005528B0">
      <w:pPr>
        <w:pStyle w:val="SingleTxt"/>
        <w:spacing w:after="0" w:line="120" w:lineRule="exact"/>
        <w:rPr>
          <w:b/>
          <w:sz w:val="10"/>
        </w:rPr>
      </w:pPr>
    </w:p>
    <w:p w14:paraId="10B02715" w14:textId="77777777" w:rsidR="00ED3715" w:rsidRPr="007E3E0B" w:rsidRDefault="005528B0" w:rsidP="00A467DC">
      <w:pPr>
        <w:pStyle w:val="H23"/>
        <w:rPr>
          <w:bCs/>
        </w:rPr>
      </w:pPr>
      <w:r w:rsidRPr="007E3E0B">
        <w:lastRenderedPageBreak/>
        <w:tab/>
      </w:r>
      <w:r w:rsidRPr="007E3E0B">
        <w:tab/>
      </w:r>
      <w:r w:rsidR="00ED3715" w:rsidRPr="007E3E0B">
        <w:t>Total number of children and adolescents living in foster families in 2017</w:t>
      </w:r>
    </w:p>
    <w:p w14:paraId="50D808F0" w14:textId="77777777" w:rsidR="00ED3715" w:rsidRPr="007E3E0B" w:rsidRDefault="00ED3715" w:rsidP="00A467DC">
      <w:pPr>
        <w:pStyle w:val="SingleTxt"/>
        <w:keepNext/>
        <w:spacing w:after="0" w:line="120" w:lineRule="exact"/>
        <w:rPr>
          <w:sz w:val="10"/>
        </w:rPr>
      </w:pPr>
    </w:p>
    <w:tbl>
      <w:tblPr>
        <w:tblStyle w:val="TableGrid11"/>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2064"/>
      </w:tblGrid>
      <w:tr w:rsidR="00ED3715" w:rsidRPr="007E3E0B" w14:paraId="68970D24" w14:textId="77777777" w:rsidTr="005528B0">
        <w:trPr>
          <w:trHeight w:val="315"/>
          <w:tblHeader/>
        </w:trPr>
        <w:tc>
          <w:tcPr>
            <w:tcW w:w="3600" w:type="pct"/>
            <w:tcBorders>
              <w:top w:val="single" w:sz="4" w:space="0" w:color="auto"/>
              <w:bottom w:val="single" w:sz="12" w:space="0" w:color="auto"/>
            </w:tcBorders>
            <w:shd w:val="clear" w:color="auto" w:fill="auto"/>
            <w:noWrap/>
            <w:vAlign w:val="bottom"/>
          </w:tcPr>
          <w:p w14:paraId="0ADBB924" w14:textId="77777777" w:rsidR="00ED3715" w:rsidRPr="007E3E0B" w:rsidRDefault="00ED3715" w:rsidP="005528B0">
            <w:pPr>
              <w:suppressAutoHyphens w:val="0"/>
              <w:spacing w:before="80" w:after="80" w:line="160" w:lineRule="atLeast"/>
              <w:rPr>
                <w:i/>
                <w:spacing w:val="0"/>
                <w:w w:val="100"/>
                <w:kern w:val="0"/>
                <w:sz w:val="14"/>
                <w:szCs w:val="14"/>
              </w:rPr>
            </w:pPr>
          </w:p>
        </w:tc>
        <w:tc>
          <w:tcPr>
            <w:tcW w:w="1400" w:type="pct"/>
            <w:tcBorders>
              <w:top w:val="single" w:sz="4" w:space="0" w:color="auto"/>
              <w:bottom w:val="single" w:sz="12" w:space="0" w:color="auto"/>
            </w:tcBorders>
            <w:shd w:val="clear" w:color="auto" w:fill="auto"/>
            <w:noWrap/>
            <w:vAlign w:val="bottom"/>
          </w:tcPr>
          <w:p w14:paraId="2A5A630F" w14:textId="77777777" w:rsidR="00ED3715" w:rsidRPr="007E3E0B" w:rsidRDefault="00ED3715" w:rsidP="005528B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Total</w:t>
            </w:r>
          </w:p>
        </w:tc>
      </w:tr>
      <w:tr w:rsidR="00ED3715" w:rsidRPr="007E3E0B" w14:paraId="40533488" w14:textId="77777777" w:rsidTr="005528B0">
        <w:trPr>
          <w:trHeight w:val="315"/>
        </w:trPr>
        <w:tc>
          <w:tcPr>
            <w:tcW w:w="3600" w:type="pct"/>
            <w:tcBorders>
              <w:top w:val="single" w:sz="12" w:space="0" w:color="auto"/>
            </w:tcBorders>
            <w:shd w:val="clear" w:color="auto" w:fill="auto"/>
            <w:noWrap/>
          </w:tcPr>
          <w:p w14:paraId="05DFFDFD" w14:textId="77777777" w:rsidR="00ED3715" w:rsidRPr="007E3E0B" w:rsidRDefault="00ED3715" w:rsidP="005528B0">
            <w:pPr>
              <w:suppressAutoHyphens w:val="0"/>
              <w:spacing w:before="40" w:after="40" w:line="210" w:lineRule="atLeast"/>
              <w:rPr>
                <w:spacing w:val="0"/>
                <w:w w:val="100"/>
                <w:kern w:val="0"/>
                <w:sz w:val="17"/>
                <w:szCs w:val="17"/>
              </w:rPr>
            </w:pPr>
            <w:proofErr w:type="spellStart"/>
            <w:r w:rsidRPr="007E3E0B">
              <w:rPr>
                <w:spacing w:val="0"/>
                <w:w w:val="100"/>
                <w:kern w:val="0"/>
                <w:sz w:val="17"/>
                <w:szCs w:val="17"/>
              </w:rPr>
              <w:t>Qaasuitsup</w:t>
            </w:r>
            <w:proofErr w:type="spellEnd"/>
            <w:r w:rsidRPr="007E3E0B">
              <w:rPr>
                <w:spacing w:val="0"/>
                <w:w w:val="100"/>
                <w:kern w:val="0"/>
                <w:sz w:val="17"/>
                <w:szCs w:val="17"/>
              </w:rPr>
              <w:t xml:space="preserve"> Municipality </w:t>
            </w:r>
          </w:p>
        </w:tc>
        <w:tc>
          <w:tcPr>
            <w:tcW w:w="1400" w:type="pct"/>
            <w:tcBorders>
              <w:top w:val="single" w:sz="12" w:space="0" w:color="auto"/>
            </w:tcBorders>
            <w:shd w:val="clear" w:color="auto" w:fill="auto"/>
            <w:noWrap/>
            <w:vAlign w:val="bottom"/>
          </w:tcPr>
          <w:p w14:paraId="7D1F9990" w14:textId="77777777" w:rsidR="00ED3715" w:rsidRPr="007E3E0B" w:rsidRDefault="00ED3715" w:rsidP="005528B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88</w:t>
            </w:r>
          </w:p>
        </w:tc>
      </w:tr>
      <w:tr w:rsidR="00ED3715" w:rsidRPr="007E3E0B" w14:paraId="39670CC4" w14:textId="77777777" w:rsidTr="005528B0">
        <w:trPr>
          <w:trHeight w:val="315"/>
        </w:trPr>
        <w:tc>
          <w:tcPr>
            <w:tcW w:w="3600" w:type="pct"/>
            <w:shd w:val="clear" w:color="auto" w:fill="auto"/>
            <w:noWrap/>
          </w:tcPr>
          <w:p w14:paraId="53130BC3" w14:textId="77777777" w:rsidR="00ED3715" w:rsidRPr="007E3E0B" w:rsidRDefault="00ED3715" w:rsidP="005528B0">
            <w:pPr>
              <w:suppressAutoHyphens w:val="0"/>
              <w:spacing w:before="40" w:after="40" w:line="210" w:lineRule="atLeast"/>
              <w:rPr>
                <w:spacing w:val="0"/>
                <w:w w:val="100"/>
                <w:kern w:val="0"/>
                <w:sz w:val="17"/>
                <w:szCs w:val="17"/>
              </w:rPr>
            </w:pPr>
            <w:proofErr w:type="spellStart"/>
            <w:r w:rsidRPr="007E3E0B">
              <w:rPr>
                <w:spacing w:val="0"/>
                <w:w w:val="100"/>
                <w:kern w:val="0"/>
                <w:sz w:val="17"/>
                <w:szCs w:val="17"/>
              </w:rPr>
              <w:t>Qeqqata</w:t>
            </w:r>
            <w:proofErr w:type="spellEnd"/>
            <w:r w:rsidRPr="007E3E0B">
              <w:rPr>
                <w:spacing w:val="0"/>
                <w:w w:val="100"/>
                <w:kern w:val="0"/>
                <w:sz w:val="17"/>
                <w:szCs w:val="17"/>
              </w:rPr>
              <w:t xml:space="preserve"> Municipality </w:t>
            </w:r>
          </w:p>
        </w:tc>
        <w:tc>
          <w:tcPr>
            <w:tcW w:w="1400" w:type="pct"/>
            <w:shd w:val="clear" w:color="auto" w:fill="auto"/>
            <w:noWrap/>
            <w:vAlign w:val="bottom"/>
          </w:tcPr>
          <w:p w14:paraId="1CB72730" w14:textId="77777777" w:rsidR="00ED3715" w:rsidRPr="007E3E0B" w:rsidRDefault="00ED3715" w:rsidP="005528B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34</w:t>
            </w:r>
          </w:p>
        </w:tc>
      </w:tr>
      <w:tr w:rsidR="00ED3715" w:rsidRPr="007E3E0B" w14:paraId="04F832A8" w14:textId="77777777" w:rsidTr="005528B0">
        <w:trPr>
          <w:trHeight w:val="315"/>
        </w:trPr>
        <w:tc>
          <w:tcPr>
            <w:tcW w:w="3600" w:type="pct"/>
            <w:shd w:val="clear" w:color="auto" w:fill="auto"/>
            <w:noWrap/>
          </w:tcPr>
          <w:p w14:paraId="41619B1D" w14:textId="77777777" w:rsidR="00ED3715" w:rsidRPr="007E3E0B" w:rsidRDefault="00ED3715" w:rsidP="005528B0">
            <w:pPr>
              <w:suppressAutoHyphens w:val="0"/>
              <w:spacing w:before="40" w:after="40" w:line="210" w:lineRule="atLeast"/>
              <w:rPr>
                <w:spacing w:val="0"/>
                <w:w w:val="100"/>
                <w:kern w:val="0"/>
                <w:sz w:val="17"/>
                <w:szCs w:val="17"/>
              </w:rPr>
            </w:pPr>
            <w:proofErr w:type="spellStart"/>
            <w:r w:rsidRPr="007E3E0B">
              <w:rPr>
                <w:spacing w:val="0"/>
                <w:w w:val="100"/>
                <w:kern w:val="0"/>
                <w:sz w:val="17"/>
                <w:szCs w:val="17"/>
              </w:rPr>
              <w:t>Sermersooq</w:t>
            </w:r>
            <w:proofErr w:type="spellEnd"/>
            <w:r w:rsidRPr="007E3E0B">
              <w:rPr>
                <w:spacing w:val="0"/>
                <w:w w:val="100"/>
                <w:kern w:val="0"/>
                <w:sz w:val="17"/>
                <w:szCs w:val="17"/>
              </w:rPr>
              <w:t xml:space="preserve"> Municipality </w:t>
            </w:r>
          </w:p>
        </w:tc>
        <w:tc>
          <w:tcPr>
            <w:tcW w:w="1400" w:type="pct"/>
            <w:shd w:val="clear" w:color="auto" w:fill="auto"/>
            <w:noWrap/>
            <w:vAlign w:val="bottom"/>
          </w:tcPr>
          <w:p w14:paraId="58886E31" w14:textId="77777777" w:rsidR="00ED3715" w:rsidRPr="007E3E0B" w:rsidRDefault="00ED3715" w:rsidP="005528B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138</w:t>
            </w:r>
          </w:p>
        </w:tc>
      </w:tr>
      <w:tr w:rsidR="00ED3715" w:rsidRPr="007E3E0B" w14:paraId="0EFC2F9D" w14:textId="77777777" w:rsidTr="005528B0">
        <w:trPr>
          <w:trHeight w:val="315"/>
        </w:trPr>
        <w:tc>
          <w:tcPr>
            <w:tcW w:w="3600" w:type="pct"/>
            <w:shd w:val="clear" w:color="auto" w:fill="auto"/>
            <w:noWrap/>
          </w:tcPr>
          <w:p w14:paraId="40BC1D3D" w14:textId="77777777" w:rsidR="00ED3715" w:rsidRPr="007E3E0B" w:rsidRDefault="00ED3715" w:rsidP="005528B0">
            <w:pPr>
              <w:suppressAutoHyphens w:val="0"/>
              <w:spacing w:before="40" w:after="40" w:line="210" w:lineRule="atLeast"/>
              <w:rPr>
                <w:bCs/>
                <w:iCs/>
                <w:spacing w:val="0"/>
                <w:w w:val="100"/>
                <w:kern w:val="0"/>
                <w:sz w:val="17"/>
                <w:szCs w:val="17"/>
              </w:rPr>
            </w:pPr>
            <w:proofErr w:type="spellStart"/>
            <w:r w:rsidRPr="007E3E0B">
              <w:rPr>
                <w:bCs/>
                <w:iCs/>
                <w:spacing w:val="0"/>
                <w:w w:val="100"/>
                <w:kern w:val="0"/>
                <w:sz w:val="17"/>
                <w:szCs w:val="17"/>
              </w:rPr>
              <w:t>Kujalleq</w:t>
            </w:r>
            <w:proofErr w:type="spellEnd"/>
            <w:r w:rsidRPr="007E3E0B">
              <w:rPr>
                <w:bCs/>
                <w:iCs/>
                <w:spacing w:val="0"/>
                <w:w w:val="100"/>
                <w:kern w:val="0"/>
                <w:sz w:val="17"/>
                <w:szCs w:val="17"/>
              </w:rPr>
              <w:t xml:space="preserve"> Municipality </w:t>
            </w:r>
          </w:p>
        </w:tc>
        <w:tc>
          <w:tcPr>
            <w:tcW w:w="1400" w:type="pct"/>
            <w:shd w:val="clear" w:color="auto" w:fill="auto"/>
            <w:noWrap/>
            <w:vAlign w:val="bottom"/>
          </w:tcPr>
          <w:p w14:paraId="0BBA8E92" w14:textId="77777777" w:rsidR="00ED3715" w:rsidRPr="007E3E0B" w:rsidRDefault="00ED3715" w:rsidP="005528B0">
            <w:pPr>
              <w:suppressAutoHyphens w:val="0"/>
              <w:spacing w:before="40" w:after="40" w:line="210" w:lineRule="atLeast"/>
              <w:ind w:left="113"/>
              <w:jc w:val="right"/>
              <w:rPr>
                <w:bCs/>
                <w:iCs/>
                <w:spacing w:val="0"/>
                <w:w w:val="100"/>
                <w:kern w:val="0"/>
                <w:sz w:val="17"/>
                <w:szCs w:val="17"/>
              </w:rPr>
            </w:pPr>
            <w:r w:rsidRPr="007E3E0B">
              <w:rPr>
                <w:bCs/>
                <w:iCs/>
                <w:spacing w:val="0"/>
                <w:w w:val="100"/>
                <w:kern w:val="0"/>
                <w:sz w:val="17"/>
                <w:szCs w:val="17"/>
              </w:rPr>
              <w:t>74</w:t>
            </w:r>
          </w:p>
        </w:tc>
      </w:tr>
      <w:tr w:rsidR="00ED3715" w:rsidRPr="007E3E0B" w14:paraId="3D627E0B" w14:textId="77777777" w:rsidTr="005528B0">
        <w:trPr>
          <w:trHeight w:val="315"/>
        </w:trPr>
        <w:tc>
          <w:tcPr>
            <w:tcW w:w="3600" w:type="pct"/>
            <w:tcBorders>
              <w:bottom w:val="single" w:sz="12" w:space="0" w:color="auto"/>
            </w:tcBorders>
            <w:shd w:val="clear" w:color="auto" w:fill="auto"/>
            <w:noWrap/>
          </w:tcPr>
          <w:p w14:paraId="7BBB52D4" w14:textId="77777777" w:rsidR="00ED3715" w:rsidRPr="007E3E0B" w:rsidRDefault="00ED3715" w:rsidP="005528B0">
            <w:pPr>
              <w:suppressAutoHyphens w:val="0"/>
              <w:spacing w:before="40" w:after="40" w:line="210" w:lineRule="atLeast"/>
              <w:rPr>
                <w:spacing w:val="0"/>
                <w:w w:val="100"/>
                <w:kern w:val="0"/>
                <w:sz w:val="17"/>
                <w:szCs w:val="17"/>
              </w:rPr>
            </w:pPr>
            <w:r w:rsidRPr="007E3E0B">
              <w:rPr>
                <w:spacing w:val="0"/>
                <w:w w:val="100"/>
                <w:kern w:val="0"/>
                <w:sz w:val="17"/>
                <w:szCs w:val="17"/>
              </w:rPr>
              <w:t>Total</w:t>
            </w:r>
          </w:p>
        </w:tc>
        <w:tc>
          <w:tcPr>
            <w:tcW w:w="1400" w:type="pct"/>
            <w:tcBorders>
              <w:bottom w:val="single" w:sz="12" w:space="0" w:color="auto"/>
            </w:tcBorders>
            <w:shd w:val="clear" w:color="auto" w:fill="auto"/>
            <w:noWrap/>
            <w:vAlign w:val="bottom"/>
          </w:tcPr>
          <w:p w14:paraId="5C658314" w14:textId="77777777" w:rsidR="00ED3715" w:rsidRPr="007E3E0B" w:rsidRDefault="00ED3715" w:rsidP="005528B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334</w:t>
            </w:r>
          </w:p>
        </w:tc>
      </w:tr>
    </w:tbl>
    <w:p w14:paraId="068A356E" w14:textId="77777777" w:rsidR="00A7047F" w:rsidRDefault="00ED3715" w:rsidP="00A7047F">
      <w:pPr>
        <w:pStyle w:val="SingleTxt"/>
        <w:spacing w:after="0" w:line="210" w:lineRule="exact"/>
        <w:ind w:left="1548" w:hanging="284"/>
        <w:jc w:val="left"/>
        <w:rPr>
          <w:sz w:val="17"/>
          <w:szCs w:val="17"/>
        </w:rPr>
      </w:pPr>
      <w:r w:rsidRPr="0022068E">
        <w:rPr>
          <w:i/>
          <w:sz w:val="17"/>
          <w:szCs w:val="17"/>
        </w:rPr>
        <w:t>Note</w:t>
      </w:r>
      <w:r w:rsidRPr="007E3E0B">
        <w:rPr>
          <w:sz w:val="17"/>
          <w:szCs w:val="17"/>
        </w:rPr>
        <w:t>: In some cases the table also includes adolescents above the age of 18.</w:t>
      </w:r>
    </w:p>
    <w:p w14:paraId="7F3070BC" w14:textId="77777777" w:rsidR="00ED3715" w:rsidRPr="007E3E0B" w:rsidRDefault="00ED3715" w:rsidP="00A7047F">
      <w:pPr>
        <w:pStyle w:val="SingleTxt"/>
        <w:spacing w:after="0" w:line="210" w:lineRule="exact"/>
        <w:ind w:left="1548" w:hanging="284"/>
        <w:jc w:val="left"/>
      </w:pPr>
      <w:r w:rsidRPr="007E3E0B">
        <w:rPr>
          <w:i/>
          <w:sz w:val="17"/>
          <w:szCs w:val="17"/>
        </w:rPr>
        <w:t>Source</w:t>
      </w:r>
      <w:r w:rsidRPr="007E3E0B">
        <w:rPr>
          <w:sz w:val="17"/>
          <w:szCs w:val="17"/>
        </w:rPr>
        <w:t xml:space="preserve">: </w:t>
      </w:r>
      <w:proofErr w:type="spellStart"/>
      <w:r w:rsidRPr="007E3E0B">
        <w:rPr>
          <w:sz w:val="17"/>
          <w:szCs w:val="17"/>
        </w:rPr>
        <w:t>Qaasuitsup</w:t>
      </w:r>
      <w:proofErr w:type="spellEnd"/>
      <w:r w:rsidRPr="007E3E0B">
        <w:rPr>
          <w:sz w:val="17"/>
          <w:szCs w:val="17"/>
        </w:rPr>
        <w:t xml:space="preserve"> Municipality, </w:t>
      </w:r>
      <w:proofErr w:type="spellStart"/>
      <w:r w:rsidRPr="007E3E0B">
        <w:rPr>
          <w:sz w:val="17"/>
          <w:szCs w:val="17"/>
        </w:rPr>
        <w:t>Qeqqata</w:t>
      </w:r>
      <w:proofErr w:type="spellEnd"/>
      <w:r w:rsidRPr="007E3E0B">
        <w:rPr>
          <w:sz w:val="17"/>
          <w:szCs w:val="17"/>
        </w:rPr>
        <w:t xml:space="preserve"> Municipality, </w:t>
      </w:r>
      <w:proofErr w:type="spellStart"/>
      <w:r w:rsidRPr="007E3E0B">
        <w:rPr>
          <w:sz w:val="17"/>
          <w:szCs w:val="17"/>
        </w:rPr>
        <w:t>Sermersooq</w:t>
      </w:r>
      <w:proofErr w:type="spellEnd"/>
      <w:r w:rsidRPr="007E3E0B">
        <w:rPr>
          <w:sz w:val="17"/>
          <w:szCs w:val="17"/>
        </w:rPr>
        <w:t xml:space="preserve"> Municipality and </w:t>
      </w:r>
      <w:r w:rsidR="00A467DC">
        <w:rPr>
          <w:sz w:val="17"/>
          <w:szCs w:val="17"/>
        </w:rPr>
        <w:br/>
      </w:r>
      <w:proofErr w:type="spellStart"/>
      <w:r w:rsidRPr="007E3E0B">
        <w:rPr>
          <w:sz w:val="17"/>
          <w:szCs w:val="17"/>
        </w:rPr>
        <w:t>Kujalleq</w:t>
      </w:r>
      <w:proofErr w:type="spellEnd"/>
      <w:r w:rsidRPr="007E3E0B">
        <w:rPr>
          <w:sz w:val="17"/>
          <w:szCs w:val="17"/>
        </w:rPr>
        <w:t xml:space="preserve"> Municipality</w:t>
      </w:r>
      <w:r w:rsidRPr="007E3E0B">
        <w:t xml:space="preserve"> </w:t>
      </w:r>
    </w:p>
    <w:p w14:paraId="0061C9D9" w14:textId="77777777" w:rsidR="005528B0" w:rsidRPr="00A7047F" w:rsidRDefault="005528B0" w:rsidP="00A7047F">
      <w:pPr>
        <w:pStyle w:val="SingleTxt"/>
        <w:spacing w:after="0" w:line="120" w:lineRule="exact"/>
        <w:jc w:val="left"/>
        <w:rPr>
          <w:sz w:val="10"/>
        </w:rPr>
      </w:pPr>
    </w:p>
    <w:p w14:paraId="42892C86" w14:textId="77777777" w:rsidR="00A7047F" w:rsidRPr="007E3E0B" w:rsidRDefault="00A7047F" w:rsidP="005528B0">
      <w:pPr>
        <w:pStyle w:val="SingleTxt"/>
        <w:spacing w:after="0" w:line="120" w:lineRule="exact"/>
        <w:jc w:val="left"/>
        <w:rPr>
          <w:sz w:val="10"/>
        </w:rPr>
      </w:pPr>
    </w:p>
    <w:p w14:paraId="237DEE58" w14:textId="77777777" w:rsidR="00ED3715" w:rsidRPr="007E3E0B" w:rsidRDefault="00ED3715" w:rsidP="004E484C">
      <w:pPr>
        <w:pStyle w:val="SingleTxt"/>
        <w:numPr>
          <w:ilvl w:val="0"/>
          <w:numId w:val="3"/>
        </w:numPr>
        <w:ind w:left="1267" w:right="1267" w:firstLine="0"/>
      </w:pPr>
      <w:r w:rsidRPr="007E3E0B">
        <w:t>Please refer to section 5 of the annex for further information.</w:t>
      </w:r>
    </w:p>
    <w:p w14:paraId="312D69C8" w14:textId="77777777" w:rsidR="005528B0" w:rsidRPr="007E3E0B" w:rsidRDefault="005528B0" w:rsidP="005528B0">
      <w:pPr>
        <w:pStyle w:val="SingleTxt"/>
        <w:spacing w:after="0" w:line="120" w:lineRule="exact"/>
        <w:rPr>
          <w:sz w:val="10"/>
        </w:rPr>
      </w:pPr>
    </w:p>
    <w:p w14:paraId="363FDFE5" w14:textId="77777777" w:rsidR="005528B0" w:rsidRPr="007E3E0B" w:rsidRDefault="005528B0" w:rsidP="005528B0">
      <w:pPr>
        <w:pStyle w:val="SingleTxt"/>
        <w:spacing w:after="0" w:line="120" w:lineRule="exact"/>
        <w:rPr>
          <w:sz w:val="10"/>
        </w:rPr>
      </w:pPr>
    </w:p>
    <w:p w14:paraId="4B7D1D8C" w14:textId="77777777" w:rsidR="00ED3715" w:rsidRPr="007E3E0B" w:rsidRDefault="00ED3715" w:rsidP="005528B0">
      <w:pPr>
        <w:pStyle w:val="H1"/>
      </w:pPr>
      <w:r w:rsidRPr="007E3E0B">
        <w:tab/>
      </w:r>
      <w:r w:rsidRPr="007E3E0B">
        <w:tab/>
        <w:t xml:space="preserve">Para 16(b) </w:t>
      </w:r>
    </w:p>
    <w:p w14:paraId="19E35708" w14:textId="77777777" w:rsidR="005528B0" w:rsidRPr="007E3E0B" w:rsidRDefault="005528B0" w:rsidP="005528B0">
      <w:pPr>
        <w:pStyle w:val="SingleTxt"/>
        <w:spacing w:after="0" w:line="120" w:lineRule="exact"/>
        <w:rPr>
          <w:b/>
          <w:sz w:val="10"/>
        </w:rPr>
      </w:pPr>
    </w:p>
    <w:p w14:paraId="418E9936" w14:textId="77777777" w:rsidR="005528B0" w:rsidRPr="007E3E0B" w:rsidRDefault="005528B0" w:rsidP="005528B0">
      <w:pPr>
        <w:pStyle w:val="SingleTxt"/>
        <w:spacing w:after="0" w:line="120" w:lineRule="exact"/>
        <w:rPr>
          <w:b/>
          <w:sz w:val="10"/>
        </w:rPr>
      </w:pPr>
    </w:p>
    <w:p w14:paraId="16987527" w14:textId="77777777" w:rsidR="00ED3715" w:rsidRPr="007E3E0B" w:rsidRDefault="005528B0" w:rsidP="005528B0">
      <w:pPr>
        <w:pStyle w:val="H23"/>
      </w:pPr>
      <w:r w:rsidRPr="007E3E0B">
        <w:tab/>
      </w:r>
      <w:r w:rsidRPr="007E3E0B">
        <w:tab/>
      </w:r>
      <w:r w:rsidR="00ED3715" w:rsidRPr="007E3E0B">
        <w:t xml:space="preserve">Number of cases concerning unaccompanied minor asylum seekers who have disappeared before their application for asylum has been finalized by the </w:t>
      </w:r>
      <w:r w:rsidRPr="007E3E0B">
        <w:br/>
      </w:r>
      <w:r w:rsidR="00ED3715" w:rsidRPr="007E3E0B">
        <w:t>year of decision</w:t>
      </w:r>
    </w:p>
    <w:p w14:paraId="71D3060C" w14:textId="77777777" w:rsidR="005528B0" w:rsidRPr="007E3E0B" w:rsidRDefault="005528B0" w:rsidP="005528B0">
      <w:pPr>
        <w:pStyle w:val="SingleTxt"/>
        <w:spacing w:after="0" w:line="120" w:lineRule="exact"/>
        <w:rPr>
          <w:b/>
          <w:sz w:val="10"/>
        </w:rPr>
      </w:pPr>
    </w:p>
    <w:tbl>
      <w:tblPr>
        <w:tblStyle w:val="TableGrid12"/>
        <w:tblW w:w="7370" w:type="dxa"/>
        <w:tblInd w:w="1264"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000"/>
        <w:gridCol w:w="1790"/>
        <w:gridCol w:w="1790"/>
        <w:gridCol w:w="1790"/>
      </w:tblGrid>
      <w:tr w:rsidR="00ED3715" w:rsidRPr="007E3E0B" w14:paraId="5B9F7679" w14:textId="77777777" w:rsidTr="005528B0">
        <w:trPr>
          <w:trHeight w:val="240"/>
          <w:tblHeader/>
        </w:trPr>
        <w:tc>
          <w:tcPr>
            <w:tcW w:w="2000" w:type="dxa"/>
            <w:shd w:val="clear" w:color="auto" w:fill="auto"/>
            <w:vAlign w:val="bottom"/>
          </w:tcPr>
          <w:p w14:paraId="479BF2FE" w14:textId="77777777" w:rsidR="00ED3715" w:rsidRPr="007E3E0B" w:rsidRDefault="00ED3715" w:rsidP="005528B0">
            <w:pPr>
              <w:suppressAutoHyphens w:val="0"/>
              <w:spacing w:before="80" w:after="80" w:line="160" w:lineRule="atLeast"/>
              <w:rPr>
                <w:i/>
                <w:spacing w:val="0"/>
                <w:w w:val="100"/>
                <w:kern w:val="0"/>
                <w:sz w:val="14"/>
                <w:szCs w:val="14"/>
              </w:rPr>
            </w:pPr>
            <w:r w:rsidRPr="007E3E0B">
              <w:rPr>
                <w:i/>
                <w:spacing w:val="0"/>
                <w:w w:val="100"/>
                <w:kern w:val="0"/>
                <w:sz w:val="14"/>
                <w:szCs w:val="14"/>
              </w:rPr>
              <w:t>Year</w:t>
            </w:r>
          </w:p>
        </w:tc>
        <w:tc>
          <w:tcPr>
            <w:tcW w:w="1790" w:type="dxa"/>
            <w:shd w:val="clear" w:color="auto" w:fill="auto"/>
            <w:vAlign w:val="bottom"/>
          </w:tcPr>
          <w:p w14:paraId="44C5E532" w14:textId="77777777" w:rsidR="00ED3715" w:rsidRPr="007E3E0B" w:rsidRDefault="00ED3715" w:rsidP="005528B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2014</w:t>
            </w:r>
          </w:p>
        </w:tc>
        <w:tc>
          <w:tcPr>
            <w:tcW w:w="1790" w:type="dxa"/>
            <w:shd w:val="clear" w:color="auto" w:fill="auto"/>
            <w:vAlign w:val="bottom"/>
          </w:tcPr>
          <w:p w14:paraId="76F690B8" w14:textId="77777777" w:rsidR="00ED3715" w:rsidRPr="007E3E0B" w:rsidRDefault="00ED3715" w:rsidP="005528B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2015</w:t>
            </w:r>
          </w:p>
        </w:tc>
        <w:tc>
          <w:tcPr>
            <w:tcW w:w="1790" w:type="dxa"/>
            <w:shd w:val="clear" w:color="auto" w:fill="auto"/>
            <w:vAlign w:val="bottom"/>
          </w:tcPr>
          <w:p w14:paraId="6C1ACFB6" w14:textId="77777777" w:rsidR="00ED3715" w:rsidRPr="007E3E0B" w:rsidRDefault="00ED3715" w:rsidP="005528B0">
            <w:pPr>
              <w:suppressAutoHyphens w:val="0"/>
              <w:spacing w:before="80" w:after="80" w:line="160" w:lineRule="atLeast"/>
              <w:ind w:left="113"/>
              <w:jc w:val="right"/>
              <w:rPr>
                <w:i/>
                <w:spacing w:val="0"/>
                <w:w w:val="100"/>
                <w:kern w:val="0"/>
                <w:sz w:val="14"/>
                <w:szCs w:val="14"/>
              </w:rPr>
            </w:pPr>
            <w:r w:rsidRPr="007E3E0B">
              <w:rPr>
                <w:i/>
                <w:spacing w:val="0"/>
                <w:w w:val="100"/>
                <w:kern w:val="0"/>
                <w:sz w:val="14"/>
                <w:szCs w:val="14"/>
              </w:rPr>
              <w:t>2016</w:t>
            </w:r>
          </w:p>
        </w:tc>
      </w:tr>
      <w:tr w:rsidR="00ED3715" w:rsidRPr="007E3E0B" w14:paraId="5C4666FE" w14:textId="77777777" w:rsidTr="005528B0">
        <w:trPr>
          <w:trHeight w:val="240"/>
        </w:trPr>
        <w:tc>
          <w:tcPr>
            <w:tcW w:w="2000" w:type="dxa"/>
            <w:shd w:val="clear" w:color="auto" w:fill="auto"/>
          </w:tcPr>
          <w:p w14:paraId="0F90D574" w14:textId="77777777" w:rsidR="00ED3715" w:rsidRPr="007E3E0B" w:rsidRDefault="00ED3715" w:rsidP="005528B0">
            <w:pPr>
              <w:suppressAutoHyphens w:val="0"/>
              <w:spacing w:before="40" w:after="40" w:line="210" w:lineRule="atLeast"/>
              <w:rPr>
                <w:spacing w:val="0"/>
                <w:w w:val="100"/>
                <w:kern w:val="0"/>
                <w:sz w:val="17"/>
                <w:szCs w:val="17"/>
              </w:rPr>
            </w:pPr>
            <w:r w:rsidRPr="007E3E0B">
              <w:rPr>
                <w:spacing w:val="0"/>
                <w:w w:val="100"/>
                <w:kern w:val="0"/>
                <w:sz w:val="17"/>
                <w:szCs w:val="17"/>
              </w:rPr>
              <w:t>Number of cases</w:t>
            </w:r>
          </w:p>
        </w:tc>
        <w:tc>
          <w:tcPr>
            <w:tcW w:w="1790" w:type="dxa"/>
            <w:shd w:val="clear" w:color="auto" w:fill="auto"/>
            <w:vAlign w:val="bottom"/>
          </w:tcPr>
          <w:p w14:paraId="42598048" w14:textId="77777777" w:rsidR="00ED3715" w:rsidRPr="007E3E0B" w:rsidRDefault="00ED3715" w:rsidP="005528B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119</w:t>
            </w:r>
          </w:p>
        </w:tc>
        <w:tc>
          <w:tcPr>
            <w:tcW w:w="1790" w:type="dxa"/>
            <w:shd w:val="clear" w:color="auto" w:fill="auto"/>
            <w:vAlign w:val="bottom"/>
          </w:tcPr>
          <w:p w14:paraId="7E9B2C62" w14:textId="77777777" w:rsidR="00ED3715" w:rsidRPr="007E3E0B" w:rsidRDefault="00ED3715" w:rsidP="005528B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313</w:t>
            </w:r>
          </w:p>
        </w:tc>
        <w:tc>
          <w:tcPr>
            <w:tcW w:w="1790" w:type="dxa"/>
            <w:shd w:val="clear" w:color="auto" w:fill="auto"/>
            <w:vAlign w:val="bottom"/>
          </w:tcPr>
          <w:p w14:paraId="2202B0D4" w14:textId="77777777" w:rsidR="00ED3715" w:rsidRPr="007E3E0B" w:rsidRDefault="00ED3715" w:rsidP="005528B0">
            <w:pPr>
              <w:suppressAutoHyphens w:val="0"/>
              <w:spacing w:before="40" w:after="40" w:line="210" w:lineRule="atLeast"/>
              <w:ind w:left="113"/>
              <w:jc w:val="right"/>
              <w:rPr>
                <w:spacing w:val="0"/>
                <w:w w:val="100"/>
                <w:kern w:val="0"/>
                <w:sz w:val="17"/>
                <w:szCs w:val="17"/>
              </w:rPr>
            </w:pPr>
            <w:r w:rsidRPr="007E3E0B">
              <w:rPr>
                <w:spacing w:val="0"/>
                <w:w w:val="100"/>
                <w:kern w:val="0"/>
                <w:sz w:val="17"/>
                <w:szCs w:val="17"/>
              </w:rPr>
              <w:t>544</w:t>
            </w:r>
          </w:p>
        </w:tc>
      </w:tr>
    </w:tbl>
    <w:p w14:paraId="13E9FE09" w14:textId="77777777" w:rsidR="00ED3715" w:rsidRPr="00A467DC" w:rsidRDefault="00ED3715" w:rsidP="00A467DC">
      <w:pPr>
        <w:pStyle w:val="SingleTxt"/>
        <w:spacing w:after="0" w:line="120" w:lineRule="exact"/>
        <w:rPr>
          <w:sz w:val="10"/>
        </w:rPr>
      </w:pPr>
    </w:p>
    <w:p w14:paraId="12C357FE" w14:textId="77777777" w:rsidR="00A467DC" w:rsidRPr="007E3E0B" w:rsidRDefault="00A467DC" w:rsidP="005528B0">
      <w:pPr>
        <w:pStyle w:val="SingleTxt"/>
        <w:spacing w:after="0" w:line="120" w:lineRule="exact"/>
        <w:rPr>
          <w:sz w:val="10"/>
        </w:rPr>
      </w:pPr>
    </w:p>
    <w:p w14:paraId="6B137201" w14:textId="77777777" w:rsidR="00ED3715" w:rsidRPr="007E3E0B" w:rsidRDefault="00ED3715" w:rsidP="004E484C">
      <w:pPr>
        <w:pStyle w:val="SingleTxt"/>
        <w:numPr>
          <w:ilvl w:val="0"/>
          <w:numId w:val="3"/>
        </w:numPr>
        <w:ind w:left="1267" w:right="1267" w:firstLine="0"/>
      </w:pPr>
      <w:r w:rsidRPr="007E3E0B">
        <w:t>Data for the period 2014-2016 are final based on administrative records from the electronic case and document handling system (ECDH). It should generally be noted that the figures are encumbered with uncertainty, since aliens systems are designed as record-case management systems and not as actual statistical systems.</w:t>
      </w:r>
    </w:p>
    <w:p w14:paraId="64097C2F" w14:textId="77777777" w:rsidR="00390E6C" w:rsidRPr="00A467DC" w:rsidRDefault="00390E6C" w:rsidP="00A467DC">
      <w:pPr>
        <w:pStyle w:val="SingleTxt"/>
        <w:spacing w:after="0" w:line="120" w:lineRule="exact"/>
        <w:rPr>
          <w:sz w:val="10"/>
        </w:rPr>
      </w:pPr>
    </w:p>
    <w:p w14:paraId="5AEDFF99" w14:textId="77777777" w:rsidR="00A467DC" w:rsidRPr="007E3E0B" w:rsidRDefault="00A467DC" w:rsidP="00390E6C">
      <w:pPr>
        <w:pStyle w:val="SingleTxt"/>
        <w:spacing w:after="0" w:line="120" w:lineRule="exact"/>
        <w:rPr>
          <w:sz w:val="10"/>
        </w:rPr>
      </w:pPr>
    </w:p>
    <w:p w14:paraId="77737954" w14:textId="77777777" w:rsidR="00ED3715" w:rsidRPr="007E3E0B" w:rsidRDefault="00ED3715" w:rsidP="00390E6C">
      <w:pPr>
        <w:pStyle w:val="H1"/>
      </w:pPr>
      <w:r w:rsidRPr="007E3E0B">
        <w:tab/>
      </w:r>
      <w:r w:rsidRPr="007E3E0B">
        <w:tab/>
        <w:t xml:space="preserve">Para. 16(c) </w:t>
      </w:r>
    </w:p>
    <w:p w14:paraId="2402892C" w14:textId="77777777" w:rsidR="00390E6C" w:rsidRPr="007E3E0B" w:rsidRDefault="00390E6C" w:rsidP="00390E6C">
      <w:pPr>
        <w:pStyle w:val="SingleTxt"/>
        <w:spacing w:after="0" w:line="120" w:lineRule="exact"/>
        <w:rPr>
          <w:b/>
          <w:sz w:val="10"/>
        </w:rPr>
      </w:pPr>
    </w:p>
    <w:p w14:paraId="105527FE" w14:textId="77777777" w:rsidR="00390E6C" w:rsidRPr="007E3E0B" w:rsidRDefault="00390E6C" w:rsidP="00390E6C">
      <w:pPr>
        <w:pStyle w:val="SingleTxt"/>
        <w:spacing w:after="0" w:line="120" w:lineRule="exact"/>
        <w:rPr>
          <w:b/>
          <w:sz w:val="10"/>
        </w:rPr>
      </w:pPr>
    </w:p>
    <w:p w14:paraId="2DEBE7EF" w14:textId="77777777" w:rsidR="00ED3715" w:rsidRPr="007E3E0B" w:rsidRDefault="00ED3715" w:rsidP="00390E6C">
      <w:pPr>
        <w:pStyle w:val="H23"/>
      </w:pPr>
      <w:r w:rsidRPr="007E3E0B">
        <w:tab/>
      </w:r>
      <w:r w:rsidRPr="007E3E0B">
        <w:tab/>
        <w:t>Denmark</w:t>
      </w:r>
    </w:p>
    <w:p w14:paraId="4E2D7931" w14:textId="77777777" w:rsidR="00390E6C" w:rsidRPr="007E3E0B" w:rsidRDefault="00390E6C" w:rsidP="00390E6C">
      <w:pPr>
        <w:pStyle w:val="SingleTxt"/>
        <w:spacing w:after="0" w:line="120" w:lineRule="exact"/>
        <w:rPr>
          <w:b/>
          <w:sz w:val="10"/>
        </w:rPr>
      </w:pPr>
    </w:p>
    <w:p w14:paraId="418F1D93" w14:textId="77777777" w:rsidR="00ED3715" w:rsidRPr="007E3E0B" w:rsidRDefault="00ED3715" w:rsidP="004E484C">
      <w:pPr>
        <w:pStyle w:val="SingleTxt"/>
        <w:numPr>
          <w:ilvl w:val="0"/>
          <w:numId w:val="3"/>
        </w:numPr>
        <w:ind w:left="1267" w:right="1267" w:firstLine="0"/>
      </w:pPr>
      <w:r w:rsidRPr="007E3E0B">
        <w:t xml:space="preserve">The Children’s Houses collect nationwide data on children who receive support in the Children’s Houses because of sexual abuse. This data is disaggregated by age, sex and geographical location. However, it is not registered whether the victim is placed in care. Thus, there is no systematic data on this subject. </w:t>
      </w:r>
    </w:p>
    <w:p w14:paraId="2A6E62E6" w14:textId="77777777" w:rsidR="00390E6C" w:rsidRPr="007E3E0B" w:rsidRDefault="00390E6C" w:rsidP="00390E6C">
      <w:pPr>
        <w:pStyle w:val="SingleTxt"/>
        <w:spacing w:after="0" w:line="120" w:lineRule="exact"/>
        <w:rPr>
          <w:sz w:val="10"/>
        </w:rPr>
      </w:pPr>
    </w:p>
    <w:p w14:paraId="67D4EADE" w14:textId="77777777" w:rsidR="00ED3715" w:rsidRPr="007E3E0B" w:rsidRDefault="00ED3715" w:rsidP="00390E6C">
      <w:pPr>
        <w:pStyle w:val="H23"/>
      </w:pPr>
      <w:r w:rsidRPr="007E3E0B">
        <w:tab/>
      </w:r>
      <w:r w:rsidRPr="007E3E0B">
        <w:tab/>
        <w:t xml:space="preserve">Greenland </w:t>
      </w:r>
    </w:p>
    <w:p w14:paraId="6E433444" w14:textId="77777777" w:rsidR="00390E6C" w:rsidRPr="007E3E0B" w:rsidRDefault="00390E6C" w:rsidP="00390E6C">
      <w:pPr>
        <w:pStyle w:val="SingleTxt"/>
        <w:spacing w:after="0" w:line="120" w:lineRule="exact"/>
        <w:rPr>
          <w:b/>
          <w:sz w:val="10"/>
        </w:rPr>
      </w:pPr>
    </w:p>
    <w:p w14:paraId="23390AF1" w14:textId="77777777" w:rsidR="00ED3715" w:rsidRPr="007E3E0B" w:rsidRDefault="00ED3715" w:rsidP="004E484C">
      <w:pPr>
        <w:pStyle w:val="SingleTxt"/>
        <w:numPr>
          <w:ilvl w:val="0"/>
          <w:numId w:val="3"/>
        </w:numPr>
        <w:ind w:left="1267" w:right="1267" w:firstLine="0"/>
        <w:rPr>
          <w:i/>
          <w:u w:val="single"/>
        </w:rPr>
      </w:pPr>
      <w:r w:rsidRPr="007E3E0B">
        <w:t xml:space="preserve">No data are available on the sexual abuse of children placed into </w:t>
      </w:r>
      <w:r w:rsidR="00390E6C" w:rsidRPr="007E3E0B">
        <w:br/>
      </w:r>
      <w:r w:rsidRPr="007E3E0B">
        <w:t>alternative-care.</w:t>
      </w:r>
      <w:r w:rsidRPr="007E3E0B">
        <w:rPr>
          <w:i/>
          <w:u w:val="single"/>
        </w:rPr>
        <w:t xml:space="preserve"> </w:t>
      </w:r>
    </w:p>
    <w:p w14:paraId="5E658B4D" w14:textId="77777777" w:rsidR="00390E6C" w:rsidRPr="007E3E0B" w:rsidRDefault="00390E6C" w:rsidP="00390E6C">
      <w:pPr>
        <w:pStyle w:val="SingleTxt"/>
        <w:spacing w:after="0" w:line="120" w:lineRule="exact"/>
        <w:rPr>
          <w:i/>
          <w:sz w:val="10"/>
          <w:u w:val="single"/>
        </w:rPr>
      </w:pPr>
    </w:p>
    <w:p w14:paraId="789DFB4F" w14:textId="77777777" w:rsidR="00390E6C" w:rsidRPr="007E3E0B" w:rsidRDefault="00390E6C" w:rsidP="00390E6C">
      <w:pPr>
        <w:pStyle w:val="SingleTxt"/>
        <w:spacing w:after="0" w:line="120" w:lineRule="exact"/>
        <w:rPr>
          <w:i/>
          <w:sz w:val="10"/>
          <w:u w:val="single"/>
        </w:rPr>
      </w:pPr>
    </w:p>
    <w:p w14:paraId="5FBF0CF1" w14:textId="77777777" w:rsidR="00ED3715" w:rsidRPr="007E3E0B" w:rsidRDefault="00ED3715" w:rsidP="00390E6C">
      <w:pPr>
        <w:pStyle w:val="H1"/>
      </w:pPr>
      <w:r w:rsidRPr="007E3E0B">
        <w:tab/>
      </w:r>
      <w:r w:rsidRPr="007E3E0B">
        <w:tab/>
        <w:t>Para. 17(a) and (b)</w:t>
      </w:r>
    </w:p>
    <w:p w14:paraId="3F607482" w14:textId="77777777" w:rsidR="00390E6C" w:rsidRPr="007E3E0B" w:rsidRDefault="00390E6C" w:rsidP="00390E6C">
      <w:pPr>
        <w:pStyle w:val="SingleTxt"/>
        <w:spacing w:after="0" w:line="120" w:lineRule="exact"/>
        <w:rPr>
          <w:b/>
          <w:sz w:val="10"/>
        </w:rPr>
      </w:pPr>
    </w:p>
    <w:p w14:paraId="72627BD6" w14:textId="77777777" w:rsidR="00390E6C" w:rsidRPr="007E3E0B" w:rsidRDefault="00390E6C" w:rsidP="00390E6C">
      <w:pPr>
        <w:pStyle w:val="SingleTxt"/>
        <w:spacing w:after="0" w:line="120" w:lineRule="exact"/>
        <w:rPr>
          <w:b/>
          <w:sz w:val="10"/>
        </w:rPr>
      </w:pPr>
    </w:p>
    <w:p w14:paraId="4735AE10" w14:textId="77777777" w:rsidR="00ED3715" w:rsidRPr="007E3E0B" w:rsidRDefault="00ED3715" w:rsidP="00390E6C">
      <w:pPr>
        <w:pStyle w:val="H23"/>
      </w:pPr>
      <w:r w:rsidRPr="007E3E0B">
        <w:tab/>
      </w:r>
      <w:r w:rsidRPr="007E3E0B">
        <w:tab/>
        <w:t>Denmark</w:t>
      </w:r>
    </w:p>
    <w:p w14:paraId="71637640" w14:textId="77777777" w:rsidR="00390E6C" w:rsidRPr="007E3E0B" w:rsidRDefault="00390E6C" w:rsidP="00390E6C">
      <w:pPr>
        <w:pStyle w:val="SingleTxt"/>
        <w:spacing w:after="0" w:line="120" w:lineRule="exact"/>
        <w:rPr>
          <w:b/>
          <w:sz w:val="10"/>
        </w:rPr>
      </w:pPr>
    </w:p>
    <w:p w14:paraId="0FBC584F" w14:textId="77777777" w:rsidR="00ED3715" w:rsidRPr="007E3E0B" w:rsidRDefault="00ED3715" w:rsidP="004E484C">
      <w:pPr>
        <w:pStyle w:val="SingleTxt"/>
        <w:numPr>
          <w:ilvl w:val="0"/>
          <w:numId w:val="3"/>
        </w:numPr>
        <w:ind w:left="1267" w:right="1267" w:firstLine="0"/>
      </w:pPr>
      <w:r w:rsidRPr="007E3E0B">
        <w:t xml:space="preserve">No data are currently available on the number of children with disabilities living in institutions or who are abandoned by their families. Efforts are currently being made to start gathering statistics on children receiving social benefits including stays in institutional settings. It is estimated that approximately 20-25 </w:t>
      </w:r>
      <w:r w:rsidR="00EA3B5A">
        <w:t>per cent</w:t>
      </w:r>
      <w:r w:rsidRPr="007E3E0B">
        <w:t xml:space="preserve"> of the 11</w:t>
      </w:r>
      <w:r w:rsidR="0021007F">
        <w:t>,</w:t>
      </w:r>
      <w:r w:rsidRPr="007E3E0B">
        <w:t>049 children who were placed in care by the end of 2015 had a disability.</w:t>
      </w:r>
    </w:p>
    <w:p w14:paraId="47948745" w14:textId="77777777" w:rsidR="00390E6C" w:rsidRPr="007E3E0B" w:rsidRDefault="00390E6C" w:rsidP="00390E6C">
      <w:pPr>
        <w:pStyle w:val="SingleTxt"/>
        <w:spacing w:after="0" w:line="120" w:lineRule="exact"/>
        <w:rPr>
          <w:sz w:val="10"/>
        </w:rPr>
      </w:pPr>
    </w:p>
    <w:p w14:paraId="2816413A" w14:textId="77777777" w:rsidR="00ED3715" w:rsidRPr="007E3E0B" w:rsidRDefault="00ED3715" w:rsidP="00390E6C">
      <w:pPr>
        <w:pStyle w:val="H23"/>
      </w:pPr>
      <w:r w:rsidRPr="007E3E0B">
        <w:tab/>
      </w:r>
      <w:r w:rsidRPr="007E3E0B">
        <w:tab/>
        <w:t xml:space="preserve">Greenland </w:t>
      </w:r>
    </w:p>
    <w:p w14:paraId="78D11BC5" w14:textId="77777777" w:rsidR="00390E6C" w:rsidRPr="007E3E0B" w:rsidRDefault="00390E6C" w:rsidP="00390E6C">
      <w:pPr>
        <w:pStyle w:val="SingleTxt"/>
        <w:keepNext/>
        <w:spacing w:after="0" w:line="120" w:lineRule="exact"/>
        <w:rPr>
          <w:sz w:val="10"/>
        </w:rPr>
      </w:pPr>
    </w:p>
    <w:p w14:paraId="09233C45" w14:textId="77777777" w:rsidR="00ED3715" w:rsidRPr="007E3E0B" w:rsidRDefault="00ED3715" w:rsidP="004E484C">
      <w:pPr>
        <w:pStyle w:val="SingleTxt"/>
        <w:numPr>
          <w:ilvl w:val="0"/>
          <w:numId w:val="3"/>
        </w:numPr>
        <w:ind w:left="1267" w:right="1267" w:firstLine="0"/>
      </w:pPr>
      <w:r w:rsidRPr="007E3E0B">
        <w:t>It appears from the three tables below how many children with disabilities in 2014, 2015 and 2016 lived with their families and in institutions, respectively. The figures indicate home municipality, sex and year of birth.</w:t>
      </w:r>
    </w:p>
    <w:p w14:paraId="27CBE588" w14:textId="77777777" w:rsidR="00ED3715" w:rsidRPr="007E3E0B" w:rsidRDefault="00ED3715" w:rsidP="00390E6C">
      <w:pPr>
        <w:pStyle w:val="SingleTxt"/>
        <w:spacing w:after="0" w:line="120" w:lineRule="exact"/>
        <w:rPr>
          <w:sz w:val="10"/>
        </w:rPr>
      </w:pPr>
    </w:p>
    <w:p w14:paraId="54314A4D" w14:textId="77777777" w:rsidR="00ED3715" w:rsidRPr="007E3E0B" w:rsidRDefault="00ED3715" w:rsidP="00A40786">
      <w:pPr>
        <w:pStyle w:val="SingleTxt"/>
      </w:pPr>
      <w:r w:rsidRPr="007E3E0B">
        <w:rPr>
          <w:noProof/>
          <w:lang w:eastAsia="en-GB"/>
        </w:rPr>
        <w:drawing>
          <wp:inline distT="0" distB="0" distL="0" distR="0" wp14:anchorId="52421E33" wp14:editId="4D8D651D">
            <wp:extent cx="4914900" cy="16078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1607820"/>
                    </a:xfrm>
                    <a:prstGeom prst="rect">
                      <a:avLst/>
                    </a:prstGeom>
                    <a:noFill/>
                    <a:ln>
                      <a:noFill/>
                    </a:ln>
                  </pic:spPr>
                </pic:pic>
              </a:graphicData>
            </a:graphic>
          </wp:inline>
        </w:drawing>
      </w:r>
    </w:p>
    <w:p w14:paraId="01FC5926" w14:textId="77777777" w:rsidR="00ED3715" w:rsidRPr="007E3E0B" w:rsidRDefault="00ED3715" w:rsidP="00390E6C">
      <w:pPr>
        <w:pStyle w:val="SingleTxt"/>
        <w:spacing w:after="0" w:line="120" w:lineRule="exact"/>
        <w:rPr>
          <w:sz w:val="10"/>
        </w:rPr>
      </w:pPr>
    </w:p>
    <w:p w14:paraId="48F4ACDE" w14:textId="77777777" w:rsidR="00ED3715" w:rsidRPr="007E3E0B" w:rsidRDefault="00ED3715" w:rsidP="00A40786">
      <w:pPr>
        <w:pStyle w:val="SingleTxt"/>
      </w:pPr>
      <w:r w:rsidRPr="007E3E0B">
        <w:rPr>
          <w:noProof/>
          <w:lang w:eastAsia="en-GB"/>
        </w:rPr>
        <w:drawing>
          <wp:inline distT="0" distB="0" distL="0" distR="0" wp14:anchorId="446CFA87" wp14:editId="23D3E396">
            <wp:extent cx="4914900" cy="1653540"/>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1653540"/>
                    </a:xfrm>
                    <a:prstGeom prst="rect">
                      <a:avLst/>
                    </a:prstGeom>
                    <a:noFill/>
                    <a:ln>
                      <a:noFill/>
                    </a:ln>
                  </pic:spPr>
                </pic:pic>
              </a:graphicData>
            </a:graphic>
          </wp:inline>
        </w:drawing>
      </w:r>
    </w:p>
    <w:p w14:paraId="6D98A4FA" w14:textId="77777777" w:rsidR="00ED3715" w:rsidRPr="007E3E0B" w:rsidRDefault="00ED3715" w:rsidP="00390E6C">
      <w:pPr>
        <w:pStyle w:val="SingleTxt"/>
        <w:spacing w:after="0" w:line="120" w:lineRule="exact"/>
        <w:rPr>
          <w:sz w:val="10"/>
        </w:rPr>
      </w:pPr>
    </w:p>
    <w:p w14:paraId="13FE03FB" w14:textId="77777777" w:rsidR="00ED3715" w:rsidRPr="007E3E0B" w:rsidRDefault="00ED3715" w:rsidP="00A40786">
      <w:pPr>
        <w:pStyle w:val="SingleTxt"/>
      </w:pPr>
      <w:r w:rsidRPr="007E3E0B">
        <w:rPr>
          <w:noProof/>
          <w:lang w:eastAsia="en-GB"/>
        </w:rPr>
        <w:drawing>
          <wp:inline distT="0" distB="0" distL="0" distR="0" wp14:anchorId="12CEC378" wp14:editId="212D7B22">
            <wp:extent cx="4914900" cy="16611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1661160"/>
                    </a:xfrm>
                    <a:prstGeom prst="rect">
                      <a:avLst/>
                    </a:prstGeom>
                    <a:noFill/>
                    <a:ln>
                      <a:noFill/>
                    </a:ln>
                  </pic:spPr>
                </pic:pic>
              </a:graphicData>
            </a:graphic>
          </wp:inline>
        </w:drawing>
      </w:r>
    </w:p>
    <w:p w14:paraId="12EB8316" w14:textId="77777777" w:rsidR="00ED3715" w:rsidRPr="007E3E0B" w:rsidRDefault="00ED3715" w:rsidP="00EA3B5A">
      <w:pPr>
        <w:pStyle w:val="SingleTxt"/>
        <w:spacing w:after="0" w:line="210" w:lineRule="exact"/>
        <w:rPr>
          <w:sz w:val="17"/>
          <w:szCs w:val="17"/>
        </w:rPr>
      </w:pPr>
      <w:r w:rsidRPr="007E3E0B">
        <w:rPr>
          <w:i/>
          <w:sz w:val="17"/>
          <w:szCs w:val="17"/>
        </w:rPr>
        <w:t>Note</w:t>
      </w:r>
      <w:r w:rsidRPr="007E3E0B">
        <w:rPr>
          <w:sz w:val="17"/>
          <w:szCs w:val="17"/>
        </w:rPr>
        <w:t>: Columns in grey indicate that the year is not relevant to the survey in question, either because the year comes after the year of the survey, or because individuals born in the year in question are no longer below the age of 18 and therefore cannot be inclu</w:t>
      </w:r>
      <w:r w:rsidR="00A843F6">
        <w:rPr>
          <w:sz w:val="17"/>
          <w:szCs w:val="17"/>
        </w:rPr>
        <w:t xml:space="preserve">ded in the category </w:t>
      </w:r>
      <w:r w:rsidR="0000113A">
        <w:rPr>
          <w:sz w:val="17"/>
          <w:szCs w:val="17"/>
        </w:rPr>
        <w:t>“</w:t>
      </w:r>
      <w:r w:rsidR="00A843F6">
        <w:rPr>
          <w:sz w:val="17"/>
          <w:szCs w:val="17"/>
        </w:rPr>
        <w:t>children</w:t>
      </w:r>
      <w:r w:rsidR="0000113A">
        <w:rPr>
          <w:sz w:val="17"/>
          <w:szCs w:val="17"/>
        </w:rPr>
        <w:t>”</w:t>
      </w:r>
      <w:r w:rsidR="00A843F6">
        <w:rPr>
          <w:sz w:val="17"/>
          <w:szCs w:val="17"/>
        </w:rPr>
        <w:t>.</w:t>
      </w:r>
    </w:p>
    <w:p w14:paraId="7010A0BB" w14:textId="77777777" w:rsidR="00ED3715" w:rsidRPr="007E3E0B" w:rsidRDefault="00ED3715" w:rsidP="0022068E">
      <w:pPr>
        <w:pStyle w:val="SingleTxt"/>
        <w:spacing w:line="210" w:lineRule="exact"/>
        <w:rPr>
          <w:sz w:val="17"/>
          <w:szCs w:val="17"/>
        </w:rPr>
      </w:pPr>
      <w:r w:rsidRPr="007E3E0B">
        <w:rPr>
          <w:i/>
          <w:sz w:val="17"/>
          <w:szCs w:val="17"/>
        </w:rPr>
        <w:t>Source</w:t>
      </w:r>
      <w:r w:rsidRPr="007E3E0B">
        <w:rPr>
          <w:sz w:val="17"/>
          <w:szCs w:val="17"/>
        </w:rPr>
        <w:t>: The tables are based on municipal surveys</w:t>
      </w:r>
      <w:r w:rsidR="00416C3E">
        <w:rPr>
          <w:sz w:val="17"/>
          <w:szCs w:val="17"/>
        </w:rPr>
        <w:t>.</w:t>
      </w:r>
    </w:p>
    <w:p w14:paraId="48F3198C" w14:textId="77777777" w:rsidR="00390E6C" w:rsidRPr="007E3E0B" w:rsidRDefault="00390E6C" w:rsidP="00E577E4">
      <w:pPr>
        <w:pStyle w:val="SingleTxt"/>
        <w:spacing w:after="0" w:line="120" w:lineRule="exact"/>
        <w:rPr>
          <w:sz w:val="10"/>
          <w:szCs w:val="17"/>
        </w:rPr>
      </w:pPr>
    </w:p>
    <w:p w14:paraId="3127F431" w14:textId="77777777" w:rsidR="00E577E4" w:rsidRPr="007E3E0B" w:rsidRDefault="00E577E4" w:rsidP="00390E6C">
      <w:pPr>
        <w:pStyle w:val="SingleTxt"/>
        <w:spacing w:after="0" w:line="120" w:lineRule="exact"/>
        <w:rPr>
          <w:sz w:val="10"/>
          <w:szCs w:val="17"/>
        </w:rPr>
      </w:pPr>
    </w:p>
    <w:p w14:paraId="64CFB797" w14:textId="77777777" w:rsidR="00ED3715" w:rsidRPr="007E3E0B" w:rsidRDefault="00ED3715" w:rsidP="00390E6C">
      <w:pPr>
        <w:pStyle w:val="H1"/>
      </w:pPr>
      <w:r w:rsidRPr="007E3E0B">
        <w:tab/>
      </w:r>
      <w:r w:rsidRPr="007E3E0B">
        <w:tab/>
        <w:t>Para. 17(c)-(f)</w:t>
      </w:r>
    </w:p>
    <w:p w14:paraId="0FC31A1D" w14:textId="77777777" w:rsidR="00390E6C" w:rsidRPr="007E3E0B" w:rsidRDefault="00390E6C" w:rsidP="00390E6C">
      <w:pPr>
        <w:pStyle w:val="SingleTxt"/>
        <w:spacing w:after="0" w:line="120" w:lineRule="exact"/>
        <w:rPr>
          <w:b/>
          <w:sz w:val="10"/>
        </w:rPr>
      </w:pPr>
    </w:p>
    <w:p w14:paraId="4ACD807C" w14:textId="77777777" w:rsidR="00390E6C" w:rsidRPr="007E3E0B" w:rsidRDefault="00390E6C" w:rsidP="00390E6C">
      <w:pPr>
        <w:pStyle w:val="SingleTxt"/>
        <w:spacing w:after="0" w:line="120" w:lineRule="exact"/>
        <w:rPr>
          <w:b/>
          <w:sz w:val="10"/>
        </w:rPr>
      </w:pPr>
    </w:p>
    <w:p w14:paraId="48C6E67E" w14:textId="77777777" w:rsidR="00ED3715" w:rsidRPr="007E3E0B" w:rsidRDefault="00ED3715" w:rsidP="00390E6C">
      <w:pPr>
        <w:pStyle w:val="H23"/>
      </w:pPr>
      <w:r w:rsidRPr="007E3E0B">
        <w:tab/>
      </w:r>
      <w:r w:rsidRPr="007E3E0B">
        <w:tab/>
        <w:t xml:space="preserve">Denmark </w:t>
      </w:r>
    </w:p>
    <w:p w14:paraId="11855AA0" w14:textId="77777777" w:rsidR="00390E6C" w:rsidRPr="007E3E0B" w:rsidRDefault="00390E6C" w:rsidP="00390E6C">
      <w:pPr>
        <w:pStyle w:val="SingleTxt"/>
        <w:spacing w:after="0" w:line="120" w:lineRule="exact"/>
        <w:rPr>
          <w:b/>
          <w:sz w:val="10"/>
        </w:rPr>
      </w:pPr>
    </w:p>
    <w:p w14:paraId="43F2605A" w14:textId="77777777" w:rsidR="00ED3715" w:rsidRPr="007E3E0B" w:rsidRDefault="00ED3715" w:rsidP="004E484C">
      <w:pPr>
        <w:pStyle w:val="SingleTxt"/>
        <w:numPr>
          <w:ilvl w:val="0"/>
          <w:numId w:val="3"/>
        </w:numPr>
        <w:ind w:left="1267" w:right="1267" w:firstLine="0"/>
      </w:pPr>
      <w:r w:rsidRPr="007E3E0B">
        <w:t xml:space="preserve">The requested information is unfortunately not available as students are not registered per disability. </w:t>
      </w:r>
    </w:p>
    <w:p w14:paraId="44672753" w14:textId="77777777" w:rsidR="00390E6C" w:rsidRPr="007E3E0B" w:rsidRDefault="00390E6C" w:rsidP="00390E6C">
      <w:pPr>
        <w:pStyle w:val="SingleTxt"/>
        <w:spacing w:after="0" w:line="120" w:lineRule="exact"/>
        <w:rPr>
          <w:sz w:val="10"/>
        </w:rPr>
      </w:pPr>
    </w:p>
    <w:p w14:paraId="445C71B2" w14:textId="77777777" w:rsidR="00ED3715" w:rsidRPr="007E3E0B" w:rsidRDefault="00ED3715" w:rsidP="00390E6C">
      <w:pPr>
        <w:pStyle w:val="H23"/>
      </w:pPr>
      <w:r w:rsidRPr="007E3E0B">
        <w:tab/>
      </w:r>
      <w:r w:rsidRPr="007E3E0B">
        <w:tab/>
        <w:t xml:space="preserve">Greenland </w:t>
      </w:r>
    </w:p>
    <w:p w14:paraId="29828BA3" w14:textId="77777777" w:rsidR="00390E6C" w:rsidRPr="007E3E0B" w:rsidRDefault="00390E6C" w:rsidP="00390E6C">
      <w:pPr>
        <w:pStyle w:val="SingleTxt"/>
        <w:spacing w:after="0" w:line="120" w:lineRule="exact"/>
        <w:rPr>
          <w:b/>
          <w:sz w:val="10"/>
        </w:rPr>
      </w:pPr>
    </w:p>
    <w:p w14:paraId="1033BB1E" w14:textId="77777777" w:rsidR="00ED3715" w:rsidRPr="007E3E0B" w:rsidRDefault="00ED3715" w:rsidP="004E484C">
      <w:pPr>
        <w:pStyle w:val="SingleTxt"/>
        <w:numPr>
          <w:ilvl w:val="0"/>
          <w:numId w:val="3"/>
        </w:numPr>
        <w:ind w:left="1267" w:right="1267" w:firstLine="0"/>
      </w:pPr>
      <w:r w:rsidRPr="007E3E0B">
        <w:t>There are no available data for children with disabilities who attend municipal primary and lower secondary school or who are out of school. It is evident from the publication Municipal Primary and Lower Secondary School in Greenland 2016/17 (</w:t>
      </w:r>
      <w:proofErr w:type="spellStart"/>
      <w:r w:rsidRPr="007E3E0B">
        <w:t>Folkeskolen</w:t>
      </w:r>
      <w:proofErr w:type="spellEnd"/>
      <w:r w:rsidRPr="007E3E0B">
        <w:t xml:space="preserve"> </w:t>
      </w:r>
      <w:proofErr w:type="spellStart"/>
      <w:r w:rsidRPr="007E3E0B">
        <w:t>i</w:t>
      </w:r>
      <w:proofErr w:type="spellEnd"/>
      <w:r w:rsidRPr="007E3E0B">
        <w:t xml:space="preserve"> </w:t>
      </w:r>
      <w:proofErr w:type="spellStart"/>
      <w:r w:rsidRPr="007E3E0B">
        <w:t>Grønland</w:t>
      </w:r>
      <w:proofErr w:type="spellEnd"/>
      <w:r w:rsidRPr="007E3E0B">
        <w:t xml:space="preserve"> 2016/17) that 504 students in 2016 received extensive special needs education. </w:t>
      </w:r>
    </w:p>
    <w:p w14:paraId="2B9E2BA4" w14:textId="77777777" w:rsidR="00ED3715" w:rsidRPr="007E3E0B" w:rsidRDefault="00ED3715" w:rsidP="00390E6C">
      <w:pPr>
        <w:pStyle w:val="SingleTxt"/>
        <w:spacing w:after="0" w:line="120" w:lineRule="exact"/>
        <w:rPr>
          <w:sz w:val="10"/>
        </w:rPr>
      </w:pPr>
    </w:p>
    <w:tbl>
      <w:tblPr>
        <w:tblStyle w:val="TableGrid13"/>
        <w:tblW w:w="7370" w:type="dxa"/>
        <w:tblInd w:w="126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8"/>
        <w:gridCol w:w="1997"/>
        <w:gridCol w:w="1087"/>
        <w:gridCol w:w="1994"/>
        <w:gridCol w:w="774"/>
      </w:tblGrid>
      <w:tr w:rsidR="00C72835" w:rsidRPr="007E3E0B" w14:paraId="1DEF4C46" w14:textId="77777777" w:rsidTr="00003CD4">
        <w:trPr>
          <w:trHeight w:val="240"/>
          <w:tblHeader/>
        </w:trPr>
        <w:tc>
          <w:tcPr>
            <w:tcW w:w="7370" w:type="dxa"/>
            <w:gridSpan w:val="5"/>
            <w:tcBorders>
              <w:top w:val="single" w:sz="4" w:space="0" w:color="auto"/>
              <w:bottom w:val="single" w:sz="12" w:space="0" w:color="auto"/>
            </w:tcBorders>
            <w:shd w:val="clear" w:color="auto" w:fill="auto"/>
            <w:vAlign w:val="bottom"/>
          </w:tcPr>
          <w:p w14:paraId="6DFCFFD4" w14:textId="77777777" w:rsidR="00C72835" w:rsidRPr="007E3E0B" w:rsidRDefault="00C72835" w:rsidP="00003CD4">
            <w:pPr>
              <w:suppressAutoHyphens w:val="0"/>
              <w:spacing w:before="80" w:after="80" w:line="160" w:lineRule="atLeast"/>
              <w:rPr>
                <w:i/>
                <w:spacing w:val="0"/>
                <w:w w:val="100"/>
                <w:kern w:val="0"/>
                <w:sz w:val="14"/>
                <w:szCs w:val="14"/>
                <w:lang w:val="en-GB"/>
              </w:rPr>
            </w:pPr>
            <w:r w:rsidRPr="007E3E0B">
              <w:rPr>
                <w:i/>
                <w:spacing w:val="0"/>
                <w:w w:val="100"/>
                <w:kern w:val="0"/>
                <w:sz w:val="14"/>
                <w:szCs w:val="14"/>
                <w:lang w:val="en-GB"/>
              </w:rPr>
              <w:t>Number of students who received extensive special needs education in 2016</w:t>
            </w:r>
          </w:p>
        </w:tc>
      </w:tr>
      <w:tr w:rsidR="00C72835" w:rsidRPr="007E3E0B" w14:paraId="54689DBF" w14:textId="77777777" w:rsidTr="00003CD4">
        <w:trPr>
          <w:trHeight w:val="240"/>
        </w:trPr>
        <w:tc>
          <w:tcPr>
            <w:tcW w:w="1518" w:type="dxa"/>
            <w:tcBorders>
              <w:top w:val="single" w:sz="12" w:space="0" w:color="auto"/>
            </w:tcBorders>
            <w:shd w:val="clear" w:color="auto" w:fill="auto"/>
          </w:tcPr>
          <w:p w14:paraId="004DCE69" w14:textId="77777777" w:rsidR="00A17DB0" w:rsidRPr="007E3E0B" w:rsidRDefault="00A17DB0" w:rsidP="00A17DB0">
            <w:pPr>
              <w:suppressAutoHyphens w:val="0"/>
              <w:spacing w:before="40" w:after="40" w:line="210" w:lineRule="atLeast"/>
              <w:jc w:val="right"/>
              <w:rPr>
                <w:spacing w:val="0"/>
                <w:w w:val="100"/>
                <w:kern w:val="0"/>
                <w:sz w:val="17"/>
                <w:szCs w:val="17"/>
                <w:lang w:val="en-GB"/>
              </w:rPr>
            </w:pPr>
          </w:p>
          <w:p w14:paraId="43F42F5E"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In special class</w:t>
            </w:r>
          </w:p>
        </w:tc>
        <w:tc>
          <w:tcPr>
            <w:tcW w:w="1997" w:type="dxa"/>
            <w:tcBorders>
              <w:top w:val="single" w:sz="12" w:space="0" w:color="auto"/>
            </w:tcBorders>
            <w:shd w:val="clear" w:color="auto" w:fill="auto"/>
          </w:tcPr>
          <w:p w14:paraId="09C9FCD9" w14:textId="77777777" w:rsidR="00C72835" w:rsidRPr="007E3E0B" w:rsidRDefault="00C72835" w:rsidP="0021007F">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Individual</w:t>
            </w:r>
            <w:r w:rsidR="0021007F">
              <w:rPr>
                <w:spacing w:val="0"/>
                <w:w w:val="100"/>
                <w:kern w:val="0"/>
                <w:sz w:val="17"/>
                <w:szCs w:val="17"/>
                <w:lang w:val="en-GB"/>
              </w:rPr>
              <w:br/>
            </w:r>
            <w:r w:rsidRPr="007E3E0B">
              <w:rPr>
                <w:spacing w:val="0"/>
                <w:w w:val="100"/>
                <w:kern w:val="0"/>
                <w:sz w:val="17"/>
                <w:szCs w:val="17"/>
                <w:lang w:val="en-GB"/>
              </w:rPr>
              <w:t>instruction</w:t>
            </w:r>
          </w:p>
        </w:tc>
        <w:tc>
          <w:tcPr>
            <w:tcW w:w="1087" w:type="dxa"/>
            <w:tcBorders>
              <w:top w:val="single" w:sz="12" w:space="0" w:color="auto"/>
            </w:tcBorders>
            <w:shd w:val="clear" w:color="auto" w:fill="auto"/>
          </w:tcPr>
          <w:p w14:paraId="24F5CE93"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 xml:space="preserve">Team </w:t>
            </w:r>
            <w:r w:rsidR="00A17DB0" w:rsidRPr="007E3E0B">
              <w:rPr>
                <w:spacing w:val="0"/>
                <w:w w:val="100"/>
                <w:kern w:val="0"/>
                <w:sz w:val="17"/>
                <w:szCs w:val="17"/>
                <w:lang w:val="en-GB"/>
              </w:rPr>
              <w:br/>
            </w:r>
            <w:r w:rsidRPr="007E3E0B">
              <w:rPr>
                <w:spacing w:val="0"/>
                <w:w w:val="100"/>
                <w:kern w:val="0"/>
                <w:sz w:val="17"/>
                <w:szCs w:val="17"/>
                <w:lang w:val="en-GB"/>
              </w:rPr>
              <w:t>teaching</w:t>
            </w:r>
          </w:p>
        </w:tc>
        <w:tc>
          <w:tcPr>
            <w:tcW w:w="1994" w:type="dxa"/>
            <w:tcBorders>
              <w:top w:val="single" w:sz="12" w:space="0" w:color="auto"/>
            </w:tcBorders>
            <w:shd w:val="clear" w:color="auto" w:fill="auto"/>
          </w:tcPr>
          <w:p w14:paraId="0502AAA8"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 xml:space="preserve">Personal </w:t>
            </w:r>
            <w:r w:rsidR="00A17DB0" w:rsidRPr="007E3E0B">
              <w:rPr>
                <w:spacing w:val="0"/>
                <w:w w:val="100"/>
                <w:kern w:val="0"/>
                <w:sz w:val="17"/>
                <w:szCs w:val="17"/>
                <w:lang w:val="en-GB"/>
              </w:rPr>
              <w:br/>
            </w:r>
            <w:r w:rsidRPr="007E3E0B">
              <w:rPr>
                <w:spacing w:val="0"/>
                <w:w w:val="100"/>
                <w:kern w:val="0"/>
                <w:sz w:val="17"/>
                <w:szCs w:val="17"/>
                <w:lang w:val="en-GB"/>
              </w:rPr>
              <w:t>assistance</w:t>
            </w:r>
          </w:p>
        </w:tc>
        <w:tc>
          <w:tcPr>
            <w:tcW w:w="774" w:type="dxa"/>
            <w:tcBorders>
              <w:top w:val="single" w:sz="12" w:space="0" w:color="auto"/>
            </w:tcBorders>
            <w:shd w:val="clear" w:color="auto" w:fill="auto"/>
          </w:tcPr>
          <w:p w14:paraId="5259ACEC" w14:textId="77777777" w:rsidR="00A17DB0" w:rsidRPr="007E3E0B" w:rsidRDefault="00A17DB0" w:rsidP="00A17DB0">
            <w:pPr>
              <w:suppressAutoHyphens w:val="0"/>
              <w:spacing w:before="40" w:after="40" w:line="210" w:lineRule="atLeast"/>
              <w:jc w:val="right"/>
              <w:rPr>
                <w:spacing w:val="0"/>
                <w:w w:val="100"/>
                <w:kern w:val="0"/>
                <w:sz w:val="17"/>
                <w:szCs w:val="17"/>
                <w:lang w:val="en-GB"/>
              </w:rPr>
            </w:pPr>
          </w:p>
          <w:p w14:paraId="554BB4EC"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Total</w:t>
            </w:r>
          </w:p>
        </w:tc>
      </w:tr>
      <w:tr w:rsidR="00C72835" w:rsidRPr="007E3E0B" w14:paraId="512A6E14" w14:textId="77777777" w:rsidTr="00003CD4">
        <w:trPr>
          <w:trHeight w:val="240"/>
        </w:trPr>
        <w:tc>
          <w:tcPr>
            <w:tcW w:w="1518" w:type="dxa"/>
            <w:tcBorders>
              <w:bottom w:val="single" w:sz="12" w:space="0" w:color="auto"/>
            </w:tcBorders>
            <w:shd w:val="clear" w:color="auto" w:fill="auto"/>
          </w:tcPr>
          <w:p w14:paraId="4C788453"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lastRenderedPageBreak/>
              <w:t>366</w:t>
            </w:r>
          </w:p>
        </w:tc>
        <w:tc>
          <w:tcPr>
            <w:tcW w:w="1997" w:type="dxa"/>
            <w:tcBorders>
              <w:bottom w:val="single" w:sz="12" w:space="0" w:color="auto"/>
            </w:tcBorders>
            <w:shd w:val="clear" w:color="auto" w:fill="auto"/>
          </w:tcPr>
          <w:p w14:paraId="4679391F"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31.5</w:t>
            </w:r>
          </w:p>
        </w:tc>
        <w:tc>
          <w:tcPr>
            <w:tcW w:w="1087" w:type="dxa"/>
            <w:tcBorders>
              <w:bottom w:val="single" w:sz="12" w:space="0" w:color="auto"/>
            </w:tcBorders>
            <w:shd w:val="clear" w:color="auto" w:fill="auto"/>
          </w:tcPr>
          <w:p w14:paraId="3391335A"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96</w:t>
            </w:r>
          </w:p>
        </w:tc>
        <w:tc>
          <w:tcPr>
            <w:tcW w:w="1994" w:type="dxa"/>
            <w:tcBorders>
              <w:bottom w:val="single" w:sz="12" w:space="0" w:color="auto"/>
            </w:tcBorders>
            <w:shd w:val="clear" w:color="auto" w:fill="auto"/>
          </w:tcPr>
          <w:p w14:paraId="646BDC69"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10.5</w:t>
            </w:r>
          </w:p>
        </w:tc>
        <w:tc>
          <w:tcPr>
            <w:tcW w:w="774" w:type="dxa"/>
            <w:tcBorders>
              <w:bottom w:val="single" w:sz="12" w:space="0" w:color="auto"/>
            </w:tcBorders>
            <w:shd w:val="clear" w:color="auto" w:fill="auto"/>
          </w:tcPr>
          <w:p w14:paraId="18F38462"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504</w:t>
            </w:r>
          </w:p>
        </w:tc>
      </w:tr>
    </w:tbl>
    <w:p w14:paraId="63CDE43C" w14:textId="77777777" w:rsidR="00C72835" w:rsidRPr="007E3E0B" w:rsidRDefault="00C72835" w:rsidP="00EA3B5A">
      <w:pPr>
        <w:pStyle w:val="SingleTxt"/>
        <w:spacing w:line="210" w:lineRule="exact"/>
        <w:ind w:left="1548" w:hanging="284"/>
        <w:rPr>
          <w:sz w:val="17"/>
          <w:szCs w:val="17"/>
        </w:rPr>
      </w:pPr>
      <w:r w:rsidRPr="007E3E0B">
        <w:rPr>
          <w:i/>
          <w:sz w:val="17"/>
          <w:szCs w:val="17"/>
        </w:rPr>
        <w:t>Source</w:t>
      </w:r>
      <w:r w:rsidRPr="007E3E0B">
        <w:rPr>
          <w:sz w:val="17"/>
          <w:szCs w:val="17"/>
        </w:rPr>
        <w:t>: Municipal Primary and Lower Secondary School in Greenland 2016/17, National Board of Education, Ministry of Education, Culture, Research and Church.</w:t>
      </w:r>
    </w:p>
    <w:p w14:paraId="6CB9AC02" w14:textId="77777777" w:rsidR="00003CD4" w:rsidRPr="00A467DC" w:rsidRDefault="00003CD4" w:rsidP="00A467DC">
      <w:pPr>
        <w:pStyle w:val="SingleTxt"/>
        <w:spacing w:after="0" w:line="120" w:lineRule="exact"/>
        <w:rPr>
          <w:i/>
          <w:sz w:val="10"/>
          <w:szCs w:val="17"/>
        </w:rPr>
      </w:pPr>
    </w:p>
    <w:p w14:paraId="2A08BD3E" w14:textId="77777777" w:rsidR="00A467DC" w:rsidRPr="007E3E0B" w:rsidRDefault="00A467DC" w:rsidP="00003CD4">
      <w:pPr>
        <w:pStyle w:val="SingleTxt"/>
        <w:spacing w:after="0" w:line="120" w:lineRule="exact"/>
        <w:rPr>
          <w:i/>
          <w:sz w:val="10"/>
          <w:szCs w:val="17"/>
        </w:rPr>
      </w:pPr>
    </w:p>
    <w:p w14:paraId="2C50B862" w14:textId="77777777" w:rsidR="00C72835" w:rsidRPr="007E3E0B" w:rsidRDefault="00C72835" w:rsidP="004E484C">
      <w:pPr>
        <w:pStyle w:val="SingleTxt"/>
        <w:numPr>
          <w:ilvl w:val="0"/>
          <w:numId w:val="3"/>
        </w:numPr>
        <w:ind w:left="1267" w:right="1267" w:firstLine="0"/>
      </w:pPr>
      <w:r w:rsidRPr="007E3E0B">
        <w:t xml:space="preserve">Data for 2015 are not available. </w:t>
      </w:r>
    </w:p>
    <w:p w14:paraId="2FBE5EAB" w14:textId="77777777" w:rsidR="00C72835" w:rsidRPr="007E3E0B" w:rsidRDefault="00C72835" w:rsidP="004E484C">
      <w:pPr>
        <w:pStyle w:val="SingleTxt"/>
        <w:numPr>
          <w:ilvl w:val="0"/>
          <w:numId w:val="3"/>
        </w:numPr>
        <w:ind w:left="1267" w:right="1267" w:firstLine="0"/>
      </w:pPr>
      <w:r w:rsidRPr="007E3E0B">
        <w:t xml:space="preserve">In 2014, 548 students received extensive special needs education. </w:t>
      </w:r>
    </w:p>
    <w:p w14:paraId="3542A282" w14:textId="77777777" w:rsidR="00C72835" w:rsidRPr="007E3E0B" w:rsidRDefault="00C72835" w:rsidP="00A17DB0">
      <w:pPr>
        <w:pStyle w:val="SingleTxt"/>
        <w:spacing w:after="0" w:line="120" w:lineRule="exact"/>
        <w:rPr>
          <w:sz w:val="10"/>
        </w:rPr>
      </w:pPr>
    </w:p>
    <w:tbl>
      <w:tblPr>
        <w:tblStyle w:val="TableGrid14"/>
        <w:tblW w:w="7370" w:type="dxa"/>
        <w:tblInd w:w="126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8"/>
        <w:gridCol w:w="2002"/>
        <w:gridCol w:w="1094"/>
        <w:gridCol w:w="1998"/>
        <w:gridCol w:w="778"/>
      </w:tblGrid>
      <w:tr w:rsidR="00C72835" w:rsidRPr="007E3E0B" w14:paraId="2320D34F" w14:textId="77777777" w:rsidTr="00A17DB0">
        <w:trPr>
          <w:trHeight w:val="240"/>
          <w:tblHeader/>
        </w:trPr>
        <w:tc>
          <w:tcPr>
            <w:tcW w:w="7370" w:type="dxa"/>
            <w:gridSpan w:val="5"/>
            <w:tcBorders>
              <w:top w:val="single" w:sz="4" w:space="0" w:color="auto"/>
              <w:bottom w:val="single" w:sz="12" w:space="0" w:color="auto"/>
            </w:tcBorders>
            <w:shd w:val="clear" w:color="auto" w:fill="auto"/>
            <w:vAlign w:val="bottom"/>
          </w:tcPr>
          <w:p w14:paraId="58612DA4" w14:textId="77777777" w:rsidR="00C72835" w:rsidRPr="007E3E0B" w:rsidRDefault="00C72835" w:rsidP="00A17DB0">
            <w:pPr>
              <w:suppressAutoHyphens w:val="0"/>
              <w:spacing w:before="80" w:after="80" w:line="160" w:lineRule="atLeast"/>
              <w:rPr>
                <w:i/>
                <w:spacing w:val="0"/>
                <w:w w:val="100"/>
                <w:kern w:val="0"/>
                <w:sz w:val="14"/>
                <w:szCs w:val="14"/>
                <w:lang w:val="en-GB"/>
              </w:rPr>
            </w:pPr>
            <w:r w:rsidRPr="007E3E0B">
              <w:rPr>
                <w:i/>
                <w:spacing w:val="0"/>
                <w:w w:val="100"/>
                <w:kern w:val="0"/>
                <w:sz w:val="14"/>
                <w:szCs w:val="14"/>
                <w:lang w:val="en-GB"/>
              </w:rPr>
              <w:t>Number of students who received extensive special needs education in 2014</w:t>
            </w:r>
          </w:p>
        </w:tc>
      </w:tr>
      <w:tr w:rsidR="00C72835" w:rsidRPr="007E3E0B" w14:paraId="1FE967B3" w14:textId="77777777" w:rsidTr="00A17DB0">
        <w:trPr>
          <w:trHeight w:val="240"/>
        </w:trPr>
        <w:tc>
          <w:tcPr>
            <w:tcW w:w="1498" w:type="dxa"/>
            <w:tcBorders>
              <w:top w:val="single" w:sz="12" w:space="0" w:color="auto"/>
            </w:tcBorders>
            <w:shd w:val="clear" w:color="auto" w:fill="auto"/>
          </w:tcPr>
          <w:p w14:paraId="3D57324D" w14:textId="77777777" w:rsidR="00C72835" w:rsidRPr="007E3E0B" w:rsidRDefault="00A17DB0"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br/>
            </w:r>
            <w:r w:rsidR="00C72835" w:rsidRPr="007E3E0B">
              <w:rPr>
                <w:spacing w:val="0"/>
                <w:w w:val="100"/>
                <w:kern w:val="0"/>
                <w:sz w:val="17"/>
                <w:szCs w:val="17"/>
                <w:lang w:val="en-GB"/>
              </w:rPr>
              <w:t>In special class</w:t>
            </w:r>
          </w:p>
        </w:tc>
        <w:tc>
          <w:tcPr>
            <w:tcW w:w="2002" w:type="dxa"/>
            <w:tcBorders>
              <w:top w:val="single" w:sz="12" w:space="0" w:color="auto"/>
            </w:tcBorders>
            <w:shd w:val="clear" w:color="auto" w:fill="auto"/>
          </w:tcPr>
          <w:p w14:paraId="55317B14" w14:textId="77777777" w:rsidR="00C72835" w:rsidRPr="007E3E0B" w:rsidRDefault="00C72835" w:rsidP="0021007F">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Individual</w:t>
            </w:r>
            <w:r w:rsidR="0021007F">
              <w:rPr>
                <w:spacing w:val="0"/>
                <w:w w:val="100"/>
                <w:kern w:val="0"/>
                <w:sz w:val="17"/>
                <w:szCs w:val="17"/>
                <w:lang w:val="en-GB"/>
              </w:rPr>
              <w:br/>
            </w:r>
            <w:r w:rsidRPr="007E3E0B">
              <w:rPr>
                <w:spacing w:val="0"/>
                <w:w w:val="100"/>
                <w:kern w:val="0"/>
                <w:sz w:val="17"/>
                <w:szCs w:val="17"/>
                <w:lang w:val="en-GB"/>
              </w:rPr>
              <w:t>instruction</w:t>
            </w:r>
          </w:p>
        </w:tc>
        <w:tc>
          <w:tcPr>
            <w:tcW w:w="1094" w:type="dxa"/>
            <w:tcBorders>
              <w:top w:val="single" w:sz="12" w:space="0" w:color="auto"/>
            </w:tcBorders>
            <w:shd w:val="clear" w:color="auto" w:fill="auto"/>
          </w:tcPr>
          <w:p w14:paraId="664B9690"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 xml:space="preserve">Team </w:t>
            </w:r>
            <w:r w:rsidR="00A17DB0" w:rsidRPr="007E3E0B">
              <w:rPr>
                <w:spacing w:val="0"/>
                <w:w w:val="100"/>
                <w:kern w:val="0"/>
                <w:sz w:val="17"/>
                <w:szCs w:val="17"/>
                <w:lang w:val="en-GB"/>
              </w:rPr>
              <w:br/>
            </w:r>
            <w:r w:rsidRPr="007E3E0B">
              <w:rPr>
                <w:spacing w:val="0"/>
                <w:w w:val="100"/>
                <w:kern w:val="0"/>
                <w:sz w:val="17"/>
                <w:szCs w:val="17"/>
                <w:lang w:val="en-GB"/>
              </w:rPr>
              <w:t>teaching</w:t>
            </w:r>
          </w:p>
        </w:tc>
        <w:tc>
          <w:tcPr>
            <w:tcW w:w="1998" w:type="dxa"/>
            <w:tcBorders>
              <w:top w:val="single" w:sz="12" w:space="0" w:color="auto"/>
            </w:tcBorders>
            <w:shd w:val="clear" w:color="auto" w:fill="auto"/>
          </w:tcPr>
          <w:p w14:paraId="7CDC0C84"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 xml:space="preserve">Personal </w:t>
            </w:r>
            <w:r w:rsidR="00A17DB0" w:rsidRPr="007E3E0B">
              <w:rPr>
                <w:spacing w:val="0"/>
                <w:w w:val="100"/>
                <w:kern w:val="0"/>
                <w:sz w:val="17"/>
                <w:szCs w:val="17"/>
                <w:lang w:val="en-GB"/>
              </w:rPr>
              <w:br/>
            </w:r>
            <w:r w:rsidRPr="007E3E0B">
              <w:rPr>
                <w:spacing w:val="0"/>
                <w:w w:val="100"/>
                <w:kern w:val="0"/>
                <w:sz w:val="17"/>
                <w:szCs w:val="17"/>
                <w:lang w:val="en-GB"/>
              </w:rPr>
              <w:t>assistance</w:t>
            </w:r>
          </w:p>
        </w:tc>
        <w:tc>
          <w:tcPr>
            <w:tcW w:w="778" w:type="dxa"/>
            <w:tcBorders>
              <w:top w:val="single" w:sz="12" w:space="0" w:color="auto"/>
            </w:tcBorders>
            <w:shd w:val="clear" w:color="auto" w:fill="auto"/>
          </w:tcPr>
          <w:p w14:paraId="20D92DF9" w14:textId="77777777" w:rsidR="00A17DB0" w:rsidRPr="007E3E0B" w:rsidRDefault="00A17DB0" w:rsidP="00A17DB0">
            <w:pPr>
              <w:suppressAutoHyphens w:val="0"/>
              <w:spacing w:before="40" w:after="40" w:line="210" w:lineRule="atLeast"/>
              <w:jc w:val="right"/>
              <w:rPr>
                <w:spacing w:val="0"/>
                <w:w w:val="100"/>
                <w:kern w:val="0"/>
                <w:sz w:val="17"/>
                <w:szCs w:val="17"/>
                <w:lang w:val="en-GB"/>
              </w:rPr>
            </w:pPr>
          </w:p>
          <w:p w14:paraId="46C57369"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Total</w:t>
            </w:r>
          </w:p>
        </w:tc>
      </w:tr>
      <w:tr w:rsidR="00C72835" w:rsidRPr="007E3E0B" w14:paraId="44AD32F1" w14:textId="77777777" w:rsidTr="00A17DB0">
        <w:trPr>
          <w:trHeight w:val="240"/>
        </w:trPr>
        <w:tc>
          <w:tcPr>
            <w:tcW w:w="1498" w:type="dxa"/>
            <w:tcBorders>
              <w:bottom w:val="single" w:sz="12" w:space="0" w:color="auto"/>
            </w:tcBorders>
            <w:shd w:val="clear" w:color="auto" w:fill="auto"/>
          </w:tcPr>
          <w:p w14:paraId="583C0EB9"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409</w:t>
            </w:r>
          </w:p>
        </w:tc>
        <w:tc>
          <w:tcPr>
            <w:tcW w:w="2002" w:type="dxa"/>
            <w:tcBorders>
              <w:bottom w:val="single" w:sz="12" w:space="0" w:color="auto"/>
            </w:tcBorders>
            <w:shd w:val="clear" w:color="auto" w:fill="auto"/>
          </w:tcPr>
          <w:p w14:paraId="130DC11A"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30</w:t>
            </w:r>
          </w:p>
        </w:tc>
        <w:tc>
          <w:tcPr>
            <w:tcW w:w="1094" w:type="dxa"/>
            <w:tcBorders>
              <w:bottom w:val="single" w:sz="12" w:space="0" w:color="auto"/>
            </w:tcBorders>
            <w:shd w:val="clear" w:color="auto" w:fill="auto"/>
          </w:tcPr>
          <w:p w14:paraId="11B5B985"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101</w:t>
            </w:r>
          </w:p>
        </w:tc>
        <w:tc>
          <w:tcPr>
            <w:tcW w:w="1998" w:type="dxa"/>
            <w:tcBorders>
              <w:bottom w:val="single" w:sz="12" w:space="0" w:color="auto"/>
            </w:tcBorders>
            <w:shd w:val="clear" w:color="auto" w:fill="auto"/>
          </w:tcPr>
          <w:p w14:paraId="039AEA34"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8</w:t>
            </w:r>
          </w:p>
        </w:tc>
        <w:tc>
          <w:tcPr>
            <w:tcW w:w="778" w:type="dxa"/>
            <w:tcBorders>
              <w:bottom w:val="single" w:sz="12" w:space="0" w:color="auto"/>
            </w:tcBorders>
            <w:shd w:val="clear" w:color="auto" w:fill="auto"/>
          </w:tcPr>
          <w:p w14:paraId="691779EC" w14:textId="77777777" w:rsidR="00C72835" w:rsidRPr="007E3E0B" w:rsidRDefault="00C72835" w:rsidP="00A17DB0">
            <w:pPr>
              <w:suppressAutoHyphens w:val="0"/>
              <w:spacing w:before="40" w:after="40" w:line="210" w:lineRule="atLeast"/>
              <w:jc w:val="right"/>
              <w:rPr>
                <w:spacing w:val="0"/>
                <w:w w:val="100"/>
                <w:kern w:val="0"/>
                <w:sz w:val="17"/>
                <w:szCs w:val="17"/>
                <w:lang w:val="en-GB"/>
              </w:rPr>
            </w:pPr>
            <w:r w:rsidRPr="007E3E0B">
              <w:rPr>
                <w:spacing w:val="0"/>
                <w:w w:val="100"/>
                <w:kern w:val="0"/>
                <w:sz w:val="17"/>
                <w:szCs w:val="17"/>
                <w:lang w:val="en-GB"/>
              </w:rPr>
              <w:t>548</w:t>
            </w:r>
          </w:p>
        </w:tc>
      </w:tr>
    </w:tbl>
    <w:p w14:paraId="43882A15" w14:textId="77777777" w:rsidR="00C72835" w:rsidRPr="007E3E0B" w:rsidRDefault="00C72835" w:rsidP="00EA3B5A">
      <w:pPr>
        <w:pStyle w:val="SingleTxt"/>
        <w:spacing w:line="210" w:lineRule="exact"/>
        <w:ind w:left="1548" w:hanging="284"/>
        <w:rPr>
          <w:sz w:val="17"/>
          <w:szCs w:val="17"/>
        </w:rPr>
      </w:pPr>
      <w:r w:rsidRPr="007E3E0B">
        <w:rPr>
          <w:i/>
          <w:sz w:val="17"/>
          <w:szCs w:val="17"/>
        </w:rPr>
        <w:t>Source</w:t>
      </w:r>
      <w:r w:rsidRPr="007E3E0B">
        <w:rPr>
          <w:sz w:val="17"/>
          <w:szCs w:val="17"/>
        </w:rPr>
        <w:t>: Municipal Primary and Lower Secondary School in Greenland 2014/15, National Board of Education (</w:t>
      </w:r>
      <w:proofErr w:type="spellStart"/>
      <w:r w:rsidRPr="007E3E0B">
        <w:rPr>
          <w:sz w:val="17"/>
          <w:szCs w:val="17"/>
        </w:rPr>
        <w:t>Inerisaavik</w:t>
      </w:r>
      <w:proofErr w:type="spellEnd"/>
      <w:r w:rsidRPr="007E3E0B">
        <w:rPr>
          <w:sz w:val="17"/>
          <w:szCs w:val="17"/>
        </w:rPr>
        <w:t xml:space="preserve">). </w:t>
      </w:r>
    </w:p>
    <w:p w14:paraId="59C33BFF" w14:textId="77777777" w:rsidR="00A17DB0" w:rsidRPr="007E3E0B" w:rsidRDefault="00A17DB0" w:rsidP="00A17DB0">
      <w:pPr>
        <w:pStyle w:val="SingleTxt"/>
        <w:spacing w:after="0" w:line="120" w:lineRule="exact"/>
        <w:rPr>
          <w:sz w:val="10"/>
        </w:rPr>
      </w:pPr>
    </w:p>
    <w:p w14:paraId="31E193B5" w14:textId="77777777" w:rsidR="00A17DB0" w:rsidRPr="007E3E0B" w:rsidRDefault="00A17DB0" w:rsidP="00A17DB0">
      <w:pPr>
        <w:pStyle w:val="SingleTxt"/>
        <w:spacing w:after="0" w:line="120" w:lineRule="exact"/>
        <w:rPr>
          <w:sz w:val="10"/>
        </w:rPr>
      </w:pPr>
    </w:p>
    <w:p w14:paraId="35EC5A13" w14:textId="77777777" w:rsidR="00C72835" w:rsidRPr="007E3E0B" w:rsidRDefault="00C72835" w:rsidP="00A17DB0">
      <w:pPr>
        <w:pStyle w:val="H1"/>
      </w:pPr>
      <w:r w:rsidRPr="007E3E0B">
        <w:tab/>
      </w:r>
      <w:r w:rsidRPr="007E3E0B">
        <w:tab/>
        <w:t>Para. 17(g)</w:t>
      </w:r>
    </w:p>
    <w:p w14:paraId="47486424" w14:textId="77777777" w:rsidR="00A17DB0" w:rsidRPr="0022068E" w:rsidRDefault="00A17DB0" w:rsidP="0022068E">
      <w:pPr>
        <w:pStyle w:val="SingleTxt"/>
        <w:spacing w:after="0" w:line="120" w:lineRule="exact"/>
        <w:rPr>
          <w:b/>
          <w:sz w:val="10"/>
        </w:rPr>
      </w:pPr>
    </w:p>
    <w:p w14:paraId="3F369FBB" w14:textId="77777777" w:rsidR="0022068E" w:rsidRPr="007E3E0B" w:rsidRDefault="0022068E" w:rsidP="00A17DB0">
      <w:pPr>
        <w:pStyle w:val="SingleTxt"/>
        <w:spacing w:after="0" w:line="120" w:lineRule="exact"/>
        <w:rPr>
          <w:b/>
          <w:sz w:val="10"/>
        </w:rPr>
      </w:pPr>
    </w:p>
    <w:p w14:paraId="2D9A9CEE" w14:textId="77777777" w:rsidR="00C72835" w:rsidRPr="007E3E0B" w:rsidRDefault="00C72835" w:rsidP="00A17DB0">
      <w:pPr>
        <w:pStyle w:val="H23"/>
        <w:ind w:left="1267" w:right="1260" w:hanging="1267"/>
      </w:pPr>
      <w:r w:rsidRPr="007E3E0B">
        <w:tab/>
      </w:r>
      <w:r w:rsidRPr="007E3E0B">
        <w:tab/>
        <w:t>Denmark</w:t>
      </w:r>
    </w:p>
    <w:p w14:paraId="1F8321B1" w14:textId="77777777" w:rsidR="00A17DB0" w:rsidRPr="007E3E0B" w:rsidRDefault="00A17DB0" w:rsidP="00A17DB0">
      <w:pPr>
        <w:pStyle w:val="SingleTxt"/>
        <w:spacing w:after="0" w:line="120" w:lineRule="exact"/>
        <w:rPr>
          <w:b/>
          <w:sz w:val="10"/>
        </w:rPr>
      </w:pPr>
    </w:p>
    <w:p w14:paraId="04B044DE" w14:textId="77777777" w:rsidR="00C72835" w:rsidRPr="007E3E0B" w:rsidRDefault="00C72835" w:rsidP="004E484C">
      <w:pPr>
        <w:pStyle w:val="SingleTxt"/>
        <w:numPr>
          <w:ilvl w:val="0"/>
          <w:numId w:val="3"/>
        </w:numPr>
        <w:ind w:left="1267" w:right="1267" w:firstLine="0"/>
      </w:pPr>
      <w:r w:rsidRPr="007E3E0B">
        <w:t xml:space="preserve">No data is available. </w:t>
      </w:r>
    </w:p>
    <w:p w14:paraId="794EA9A6" w14:textId="77777777" w:rsidR="00A17DB0" w:rsidRPr="007E3E0B" w:rsidRDefault="00A17DB0" w:rsidP="00A17DB0">
      <w:pPr>
        <w:pStyle w:val="SingleTxt"/>
        <w:spacing w:after="0" w:line="120" w:lineRule="exact"/>
        <w:rPr>
          <w:sz w:val="10"/>
        </w:rPr>
      </w:pPr>
    </w:p>
    <w:p w14:paraId="59CF3D90" w14:textId="77777777" w:rsidR="00C72835" w:rsidRPr="007E3E0B" w:rsidRDefault="00C72835" w:rsidP="00A17DB0">
      <w:pPr>
        <w:pStyle w:val="H23"/>
        <w:ind w:left="1267" w:right="1260" w:hanging="1267"/>
      </w:pPr>
      <w:r w:rsidRPr="007E3E0B">
        <w:tab/>
      </w:r>
      <w:r w:rsidRPr="007E3E0B">
        <w:tab/>
        <w:t>Greenland</w:t>
      </w:r>
    </w:p>
    <w:p w14:paraId="7E79ABAE" w14:textId="77777777" w:rsidR="00A17DB0" w:rsidRPr="007E3E0B" w:rsidRDefault="00A17DB0" w:rsidP="00A17DB0">
      <w:pPr>
        <w:pStyle w:val="SingleTxt"/>
        <w:spacing w:after="0" w:line="120" w:lineRule="exact"/>
        <w:rPr>
          <w:b/>
          <w:sz w:val="10"/>
        </w:rPr>
      </w:pPr>
    </w:p>
    <w:p w14:paraId="1CBC2168" w14:textId="77777777" w:rsidR="00C72835" w:rsidRPr="007E3E0B" w:rsidRDefault="00C72835" w:rsidP="004E484C">
      <w:pPr>
        <w:pStyle w:val="SingleTxt"/>
        <w:numPr>
          <w:ilvl w:val="0"/>
          <w:numId w:val="3"/>
        </w:numPr>
        <w:ind w:left="1267" w:right="1267" w:firstLine="0"/>
      </w:pPr>
      <w:r w:rsidRPr="007E3E0B">
        <w:t xml:space="preserve">This does not occur in Greenland. </w:t>
      </w:r>
    </w:p>
    <w:p w14:paraId="785A5B89" w14:textId="77777777" w:rsidR="00A17DB0" w:rsidRPr="007E3E0B" w:rsidRDefault="00A17DB0" w:rsidP="00A17DB0">
      <w:pPr>
        <w:pStyle w:val="SingleTxt"/>
        <w:spacing w:after="0" w:line="120" w:lineRule="exact"/>
        <w:rPr>
          <w:sz w:val="10"/>
        </w:rPr>
      </w:pPr>
    </w:p>
    <w:p w14:paraId="3D767EEC" w14:textId="77777777" w:rsidR="00A17DB0" w:rsidRPr="007E3E0B" w:rsidRDefault="00A17DB0" w:rsidP="00A17DB0">
      <w:pPr>
        <w:pStyle w:val="SingleTxt"/>
        <w:spacing w:after="0" w:line="120" w:lineRule="exact"/>
        <w:rPr>
          <w:sz w:val="10"/>
        </w:rPr>
      </w:pPr>
    </w:p>
    <w:p w14:paraId="05EFE9CC" w14:textId="77777777" w:rsidR="00C72835" w:rsidRPr="007E3E0B" w:rsidRDefault="00C72835" w:rsidP="00A17DB0">
      <w:pPr>
        <w:pStyle w:val="H1"/>
        <w:ind w:left="1267" w:right="1260" w:hanging="1267"/>
      </w:pPr>
      <w:r w:rsidRPr="007E3E0B">
        <w:tab/>
      </w:r>
      <w:r w:rsidRPr="007E3E0B">
        <w:tab/>
        <w:t xml:space="preserve">Para. 18 </w:t>
      </w:r>
    </w:p>
    <w:p w14:paraId="5FE8E437" w14:textId="77777777" w:rsidR="00A17DB0" w:rsidRPr="007E3E0B" w:rsidRDefault="00A17DB0" w:rsidP="00A17DB0">
      <w:pPr>
        <w:pStyle w:val="SingleTxt"/>
        <w:spacing w:after="0" w:line="120" w:lineRule="exact"/>
        <w:rPr>
          <w:b/>
          <w:sz w:val="10"/>
        </w:rPr>
      </w:pPr>
    </w:p>
    <w:p w14:paraId="0487F929" w14:textId="77777777" w:rsidR="00A17DB0" w:rsidRPr="007E3E0B" w:rsidRDefault="00A17DB0" w:rsidP="00A17DB0">
      <w:pPr>
        <w:pStyle w:val="SingleTxt"/>
        <w:spacing w:after="0" w:line="120" w:lineRule="exact"/>
        <w:rPr>
          <w:b/>
          <w:sz w:val="10"/>
        </w:rPr>
      </w:pPr>
    </w:p>
    <w:p w14:paraId="6F6E51F0" w14:textId="77777777" w:rsidR="00C72835" w:rsidRPr="007E3E0B" w:rsidRDefault="00C72835" w:rsidP="004E484C">
      <w:pPr>
        <w:pStyle w:val="SingleTxt"/>
        <w:numPr>
          <w:ilvl w:val="0"/>
          <w:numId w:val="3"/>
        </w:numPr>
        <w:ind w:left="1267" w:right="1267" w:firstLine="0"/>
      </w:pPr>
      <w:r w:rsidRPr="007E3E0B">
        <w:t>Please refer to section 6 of the annex.</w:t>
      </w:r>
    </w:p>
    <w:p w14:paraId="764A5F4B" w14:textId="77777777" w:rsidR="00A17DB0" w:rsidRPr="007E3E0B" w:rsidRDefault="00A17DB0" w:rsidP="00A17DB0">
      <w:pPr>
        <w:pStyle w:val="SingleTxt"/>
        <w:spacing w:after="0" w:line="120" w:lineRule="exact"/>
        <w:rPr>
          <w:sz w:val="10"/>
        </w:rPr>
      </w:pPr>
    </w:p>
    <w:p w14:paraId="1E36AADF" w14:textId="77777777" w:rsidR="00A17DB0" w:rsidRPr="007E3E0B" w:rsidRDefault="00A17DB0" w:rsidP="00A17DB0">
      <w:pPr>
        <w:pStyle w:val="SingleTxt"/>
        <w:spacing w:after="0" w:line="120" w:lineRule="exact"/>
        <w:rPr>
          <w:sz w:val="10"/>
        </w:rPr>
      </w:pPr>
    </w:p>
    <w:p w14:paraId="3245F2C5" w14:textId="77777777" w:rsidR="00C72835" w:rsidRPr="007E3E0B" w:rsidRDefault="00C72835" w:rsidP="00A17DB0">
      <w:pPr>
        <w:pStyle w:val="H1"/>
        <w:ind w:left="1267" w:right="1260" w:hanging="1267"/>
      </w:pPr>
      <w:r w:rsidRPr="007E3E0B">
        <w:tab/>
      </w:r>
      <w:r w:rsidRPr="007E3E0B">
        <w:tab/>
        <w:t xml:space="preserve">Para. 19 </w:t>
      </w:r>
    </w:p>
    <w:p w14:paraId="407F4D87" w14:textId="77777777" w:rsidR="00A17DB0" w:rsidRPr="007E3E0B" w:rsidRDefault="00A17DB0" w:rsidP="00A17DB0">
      <w:pPr>
        <w:pStyle w:val="SingleTxt"/>
        <w:spacing w:after="0" w:line="120" w:lineRule="exact"/>
        <w:rPr>
          <w:b/>
          <w:sz w:val="10"/>
        </w:rPr>
      </w:pPr>
    </w:p>
    <w:p w14:paraId="6ECE0556" w14:textId="77777777" w:rsidR="00A17DB0" w:rsidRPr="007E3E0B" w:rsidRDefault="00A17DB0" w:rsidP="00A17DB0">
      <w:pPr>
        <w:pStyle w:val="SingleTxt"/>
        <w:spacing w:after="0" w:line="120" w:lineRule="exact"/>
        <w:rPr>
          <w:b/>
          <w:sz w:val="10"/>
        </w:rPr>
      </w:pPr>
    </w:p>
    <w:p w14:paraId="70AFB784" w14:textId="77777777" w:rsidR="00C72835" w:rsidRPr="007E3E0B" w:rsidRDefault="00C72835" w:rsidP="00A17DB0">
      <w:pPr>
        <w:pStyle w:val="H23"/>
        <w:ind w:left="1267" w:right="1260" w:hanging="1267"/>
      </w:pPr>
      <w:r w:rsidRPr="007E3E0B">
        <w:tab/>
      </w:r>
      <w:r w:rsidRPr="007E3E0B">
        <w:tab/>
        <w:t xml:space="preserve">Greenland </w:t>
      </w:r>
    </w:p>
    <w:p w14:paraId="202025C9" w14:textId="77777777" w:rsidR="00A17DB0" w:rsidRPr="007E3E0B" w:rsidRDefault="00A17DB0" w:rsidP="00A17DB0">
      <w:pPr>
        <w:pStyle w:val="SingleTxt"/>
        <w:spacing w:after="0" w:line="120" w:lineRule="exact"/>
        <w:rPr>
          <w:b/>
          <w:sz w:val="10"/>
        </w:rPr>
      </w:pPr>
    </w:p>
    <w:p w14:paraId="0C5659FA" w14:textId="77777777" w:rsidR="00C72835" w:rsidRPr="007E3E0B" w:rsidRDefault="00C72835" w:rsidP="004E484C">
      <w:pPr>
        <w:pStyle w:val="SingleTxt"/>
        <w:numPr>
          <w:ilvl w:val="0"/>
          <w:numId w:val="3"/>
        </w:numPr>
        <w:ind w:left="1267" w:right="1267" w:firstLine="0"/>
      </w:pPr>
      <w:r w:rsidRPr="007E3E0B">
        <w:t>With regard to social affairs, the main goal of the Greenlandic Government is to ensure that children and young people in Greenland feel secure and are mentally and physically healthy. The Greenlandic Government thus makes an effort to improve the social care conditions and to ensure that Greenland observes the U</w:t>
      </w:r>
      <w:r w:rsidR="001E4E7F" w:rsidRPr="007E3E0B">
        <w:t>nited Nations</w:t>
      </w:r>
      <w:r w:rsidRPr="007E3E0B">
        <w:t xml:space="preserve"> Convention on the Rights of the Child. This effort covers three focus areas: </w:t>
      </w:r>
    </w:p>
    <w:p w14:paraId="67C68A02" w14:textId="77777777" w:rsidR="00C72835" w:rsidRPr="007E3E0B" w:rsidRDefault="0022068E" w:rsidP="0022068E">
      <w:pPr>
        <w:pStyle w:val="Bullet1"/>
        <w:numPr>
          <w:ilvl w:val="0"/>
          <w:numId w:val="0"/>
        </w:numPr>
        <w:tabs>
          <w:tab w:val="right" w:pos="1685"/>
        </w:tabs>
        <w:ind w:left="1742" w:hanging="475"/>
      </w:pPr>
      <w:r>
        <w:tab/>
        <w:t>•</w:t>
      </w:r>
      <w:r>
        <w:tab/>
      </w:r>
      <w:r w:rsidR="00C72835" w:rsidRPr="007E3E0B">
        <w:t xml:space="preserve">First, the number of children placed in alternative-care must be reduced </w:t>
      </w:r>
    </w:p>
    <w:p w14:paraId="46A965CA" w14:textId="77777777" w:rsidR="00C72835" w:rsidRPr="007E3E0B" w:rsidRDefault="0022068E" w:rsidP="0022068E">
      <w:pPr>
        <w:pStyle w:val="Bullet1"/>
        <w:numPr>
          <w:ilvl w:val="0"/>
          <w:numId w:val="0"/>
        </w:numPr>
        <w:tabs>
          <w:tab w:val="right" w:pos="1685"/>
        </w:tabs>
        <w:ind w:left="1742" w:hanging="475"/>
      </w:pPr>
      <w:r>
        <w:tab/>
        <w:t>•</w:t>
      </w:r>
      <w:r>
        <w:tab/>
      </w:r>
      <w:r w:rsidR="00C72835" w:rsidRPr="007E3E0B">
        <w:t xml:space="preserve">Second, the authorities must in their work adopt a holistic approach to the family and the overall situation of the family </w:t>
      </w:r>
    </w:p>
    <w:p w14:paraId="6BB2C1E8" w14:textId="77777777" w:rsidR="00C72835" w:rsidRPr="007E3E0B" w:rsidRDefault="0022068E" w:rsidP="0022068E">
      <w:pPr>
        <w:pStyle w:val="Bullet1"/>
        <w:numPr>
          <w:ilvl w:val="0"/>
          <w:numId w:val="0"/>
        </w:numPr>
        <w:tabs>
          <w:tab w:val="right" w:pos="1685"/>
        </w:tabs>
        <w:ind w:left="1742" w:hanging="475"/>
      </w:pPr>
      <w:r>
        <w:tab/>
        <w:t>•</w:t>
      </w:r>
      <w:r>
        <w:tab/>
      </w:r>
      <w:r w:rsidR="00C72835" w:rsidRPr="007E3E0B">
        <w:t xml:space="preserve">Third, high priority must be given to early and preventive measures, ensuring that action is taken in time in relation to incipient issues which may have consequences for the child or young person. </w:t>
      </w:r>
    </w:p>
    <w:p w14:paraId="43C5E515" w14:textId="77777777" w:rsidR="00C72835" w:rsidRPr="007E3E0B" w:rsidRDefault="00C72835" w:rsidP="004E484C">
      <w:pPr>
        <w:pStyle w:val="SingleTxt"/>
        <w:numPr>
          <w:ilvl w:val="0"/>
          <w:numId w:val="3"/>
        </w:numPr>
        <w:ind w:left="1267" w:right="1267" w:firstLine="0"/>
      </w:pPr>
      <w:r w:rsidRPr="007E3E0B">
        <w:t>In order to realise the three focus areas, the Government has launched the following initiatives:</w:t>
      </w:r>
    </w:p>
    <w:p w14:paraId="19F21D97" w14:textId="77777777" w:rsidR="00C72835" w:rsidRPr="007E3E0B" w:rsidRDefault="0022068E" w:rsidP="0022068E">
      <w:pPr>
        <w:pStyle w:val="Bullet1"/>
        <w:numPr>
          <w:ilvl w:val="0"/>
          <w:numId w:val="0"/>
        </w:numPr>
        <w:tabs>
          <w:tab w:val="right" w:pos="1685"/>
        </w:tabs>
        <w:ind w:left="1742" w:hanging="475"/>
      </w:pPr>
      <w:r>
        <w:tab/>
        <w:t>•</w:t>
      </w:r>
      <w:r>
        <w:tab/>
      </w:r>
      <w:r w:rsidR="00C72835" w:rsidRPr="007E3E0B">
        <w:t xml:space="preserve">Structural frameworks </w:t>
      </w:r>
      <w:r w:rsidR="00AE27EC" w:rsidRPr="007E3E0B">
        <w:t>—</w:t>
      </w:r>
      <w:r w:rsidR="00C72835" w:rsidRPr="007E3E0B">
        <w:t xml:space="preserve"> A new children and young people bill will be presented at the 2017 Spring Assembly in the parliament</w:t>
      </w:r>
    </w:p>
    <w:p w14:paraId="7865DDDA" w14:textId="77777777" w:rsidR="00C72835" w:rsidRPr="007E3E0B" w:rsidRDefault="0022068E" w:rsidP="0022068E">
      <w:pPr>
        <w:pStyle w:val="Bullet1"/>
        <w:numPr>
          <w:ilvl w:val="0"/>
          <w:numId w:val="0"/>
        </w:numPr>
        <w:tabs>
          <w:tab w:val="right" w:pos="1685"/>
        </w:tabs>
        <w:ind w:left="1742" w:hanging="475"/>
      </w:pPr>
      <w:r>
        <w:tab/>
        <w:t>•</w:t>
      </w:r>
      <w:r>
        <w:tab/>
      </w:r>
      <w:r w:rsidR="00C72835" w:rsidRPr="007E3E0B">
        <w:t>Organi</w:t>
      </w:r>
      <w:r w:rsidR="00B4655B" w:rsidRPr="007E3E0B">
        <w:t>z</w:t>
      </w:r>
      <w:r w:rsidR="00C72835" w:rsidRPr="007E3E0B">
        <w:t xml:space="preserve">ation and monitoring </w:t>
      </w:r>
      <w:r w:rsidR="00AE27EC" w:rsidRPr="007E3E0B">
        <w:t>—</w:t>
      </w:r>
      <w:r w:rsidR="00C72835" w:rsidRPr="007E3E0B">
        <w:t xml:space="preserve"> In 2017 a National Board of Social Services has been established to support the municipalities, among other things, within the development of social work methods and offers, the development of supportive systems and processes, monitoring of social affairs and knowledge sharing. In addition, the National Board of Social Services will be responsible </w:t>
      </w:r>
      <w:r w:rsidR="00C72835" w:rsidRPr="007E3E0B">
        <w:lastRenderedPageBreak/>
        <w:t xml:space="preserve">for running the self-rule owned 24-hour care centres and for strengthening this area in general </w:t>
      </w:r>
    </w:p>
    <w:p w14:paraId="76FCF6A4" w14:textId="77777777" w:rsidR="00C72835" w:rsidRPr="007E3E0B" w:rsidRDefault="0022068E" w:rsidP="0022068E">
      <w:pPr>
        <w:pStyle w:val="Bullet1"/>
        <w:numPr>
          <w:ilvl w:val="0"/>
          <w:numId w:val="0"/>
        </w:numPr>
        <w:tabs>
          <w:tab w:val="right" w:pos="1685"/>
        </w:tabs>
        <w:ind w:left="1742" w:hanging="475"/>
      </w:pPr>
      <w:r>
        <w:tab/>
        <w:t>•</w:t>
      </w:r>
      <w:r>
        <w:tab/>
      </w:r>
      <w:r w:rsidR="00C72835" w:rsidRPr="007E3E0B">
        <w:t xml:space="preserve">Development of tools and methods for supporting the municipalities and necessary early action </w:t>
      </w:r>
      <w:r w:rsidR="00AE27EC" w:rsidRPr="007E3E0B">
        <w:t>—</w:t>
      </w:r>
      <w:r w:rsidR="00C72835" w:rsidRPr="007E3E0B">
        <w:t xml:space="preserve"> In 2016 the Government produced a report on indicative case figures for children and young people affairs in the municipalities. The report suggests that indicative case figures for children and young people affairs will be implemented in selected towns initially, which will function as pilot towns. Efforts to implement the method Family Deliberations (</w:t>
      </w:r>
      <w:proofErr w:type="spellStart"/>
      <w:r w:rsidR="00C72835" w:rsidRPr="007E3E0B">
        <w:rPr>
          <w:i/>
        </w:rPr>
        <w:t>Familierådslagning</w:t>
      </w:r>
      <w:proofErr w:type="spellEnd"/>
      <w:r w:rsidR="00C72835" w:rsidRPr="007E3E0B">
        <w:t xml:space="preserve">) in all Greenlandic towns will continue. A strategy regarding foster care and a strategy regarding vulnerable children and adolescents will be produced </w:t>
      </w:r>
    </w:p>
    <w:p w14:paraId="618EFAEC" w14:textId="77777777" w:rsidR="00C72835" w:rsidRPr="007E3E0B" w:rsidRDefault="0022068E" w:rsidP="0022068E">
      <w:pPr>
        <w:pStyle w:val="Bullet1"/>
        <w:numPr>
          <w:ilvl w:val="0"/>
          <w:numId w:val="0"/>
        </w:numPr>
        <w:tabs>
          <w:tab w:val="right" w:pos="1685"/>
        </w:tabs>
        <w:ind w:left="1742" w:hanging="475"/>
      </w:pPr>
      <w:r>
        <w:tab/>
        <w:t>•</w:t>
      </w:r>
      <w:r>
        <w:tab/>
      </w:r>
      <w:r w:rsidR="00C72835" w:rsidRPr="007E3E0B">
        <w:t xml:space="preserve">Training of staff within social affairs </w:t>
      </w:r>
      <w:r w:rsidR="00AE27EC" w:rsidRPr="007E3E0B">
        <w:t>—</w:t>
      </w:r>
      <w:r w:rsidR="00C72835" w:rsidRPr="007E3E0B">
        <w:t xml:space="preserve"> A study programme for counselling assistants and a central programme for social workers have been established to increase the number of trained case workers within social affairs. In addition, a programme for supervisors, a study programme for psychotherapists, a diploma programme for pedagogues employed in 24-hour care centres and a credit-awarding training programme for unskilled staff in 24-hour care centres have been created. </w:t>
      </w:r>
    </w:p>
    <w:p w14:paraId="453D07A0" w14:textId="77777777" w:rsidR="00ED3715" w:rsidRPr="007E3E0B" w:rsidRDefault="00C72835" w:rsidP="00A40786">
      <w:pPr>
        <w:pStyle w:val="SingleTxt"/>
      </w:pPr>
      <w:r w:rsidRPr="007E3E0B">
        <w:rPr>
          <w:u w:val="single"/>
        </w:rPr>
        <w:tab/>
      </w:r>
      <w:r w:rsidRPr="007E3E0B">
        <w:rPr>
          <w:noProof/>
          <w:w w:val="100"/>
          <w:lang w:eastAsia="en-GB"/>
        </w:rPr>
        <mc:AlternateContent>
          <mc:Choice Requires="wps">
            <w:drawing>
              <wp:anchor distT="0" distB="0" distL="114300" distR="114300" simplePos="0" relativeHeight="251659264" behindDoc="0" locked="0" layoutInCell="1" allowOverlap="1" wp14:anchorId="68D98517" wp14:editId="7BD3B6F7">
                <wp:simplePos x="0" y="0"/>
                <wp:positionH relativeFrom="column">
                  <wp:posOffset>2669540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95F8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ED3715" w:rsidRPr="007E3E0B" w:rsidSect="00AF0E68">
      <w:endnotePr>
        <w:numFmt w:val="decimal"/>
      </w:endnotePr>
      <w:type w:val="continuous"/>
      <w:pgSz w:w="11906" w:h="16838"/>
      <w:pgMar w:top="1440" w:right="1032" w:bottom="1151" w:left="1032" w:header="432" w:footer="504"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6E6D" w14:textId="77777777" w:rsidR="005F019D" w:rsidRDefault="005F019D" w:rsidP="00A40786">
      <w:pPr>
        <w:spacing w:line="240" w:lineRule="auto"/>
      </w:pPr>
      <w:r>
        <w:separator/>
      </w:r>
    </w:p>
  </w:endnote>
  <w:endnote w:type="continuationSeparator" w:id="0">
    <w:p w14:paraId="39C92A91" w14:textId="77777777" w:rsidR="005F019D" w:rsidRDefault="005F019D" w:rsidP="00A40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029"/>
      <w:gridCol w:w="5029"/>
    </w:tblGrid>
    <w:tr w:rsidR="005F019D" w14:paraId="27621DAE" w14:textId="77777777" w:rsidTr="00A40786">
      <w:trPr>
        <w:jc w:val="center"/>
      </w:trPr>
      <w:tc>
        <w:tcPr>
          <w:tcW w:w="5029" w:type="dxa"/>
          <w:shd w:val="clear" w:color="auto" w:fill="auto"/>
        </w:tcPr>
        <w:p w14:paraId="09FD9B1B" w14:textId="77777777" w:rsidR="005F019D" w:rsidRPr="00A40786" w:rsidRDefault="005F019D" w:rsidP="00A40786">
          <w:pPr>
            <w:pStyle w:val="Footer"/>
            <w:jc w:val="right"/>
            <w:rPr>
              <w:b w:val="0"/>
              <w:w w:val="103"/>
              <w:sz w:val="14"/>
            </w:rPr>
          </w:pPr>
        </w:p>
      </w:tc>
      <w:tc>
        <w:tcPr>
          <w:tcW w:w="5029" w:type="dxa"/>
          <w:shd w:val="clear" w:color="auto" w:fill="auto"/>
        </w:tcPr>
        <w:p w14:paraId="61341DA5" w14:textId="79C3DFEB" w:rsidR="005F019D" w:rsidRPr="00A40786" w:rsidRDefault="005F019D" w:rsidP="00A40786">
          <w:pPr>
            <w:pStyle w:val="Footer"/>
            <w:rPr>
              <w:w w:val="103"/>
            </w:rPr>
          </w:pPr>
          <w:r>
            <w:rPr>
              <w:w w:val="103"/>
            </w:rPr>
            <w:fldChar w:fldCharType="begin"/>
          </w:r>
          <w:r>
            <w:rPr>
              <w:w w:val="103"/>
            </w:rPr>
            <w:instrText xml:space="preserve"> PAGE  \* Arabic  \* MERGEFORMAT </w:instrText>
          </w:r>
          <w:r>
            <w:rPr>
              <w:w w:val="103"/>
            </w:rPr>
            <w:fldChar w:fldCharType="separate"/>
          </w:r>
          <w:r w:rsidR="00801568">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1568">
            <w:rPr>
              <w:w w:val="103"/>
            </w:rPr>
            <w:t>22</w:t>
          </w:r>
          <w:r>
            <w:rPr>
              <w:w w:val="103"/>
            </w:rPr>
            <w:fldChar w:fldCharType="end"/>
          </w:r>
        </w:p>
      </w:tc>
    </w:tr>
  </w:tbl>
  <w:p w14:paraId="7A1974C6" w14:textId="77777777" w:rsidR="005F019D" w:rsidRPr="00A40786" w:rsidRDefault="005F019D" w:rsidP="00A4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029"/>
      <w:gridCol w:w="5029"/>
    </w:tblGrid>
    <w:tr w:rsidR="005F019D" w14:paraId="0B5506EF" w14:textId="77777777" w:rsidTr="00A40786">
      <w:trPr>
        <w:jc w:val="center"/>
      </w:trPr>
      <w:tc>
        <w:tcPr>
          <w:tcW w:w="5029" w:type="dxa"/>
          <w:shd w:val="clear" w:color="auto" w:fill="auto"/>
        </w:tcPr>
        <w:p w14:paraId="01FFCE05" w14:textId="5D5ABE49" w:rsidR="005F019D" w:rsidRPr="00A40786" w:rsidRDefault="005F019D" w:rsidP="00A4078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01568">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1568">
            <w:rPr>
              <w:w w:val="103"/>
            </w:rPr>
            <w:t>22</w:t>
          </w:r>
          <w:r>
            <w:rPr>
              <w:w w:val="103"/>
            </w:rPr>
            <w:fldChar w:fldCharType="end"/>
          </w:r>
        </w:p>
      </w:tc>
      <w:tc>
        <w:tcPr>
          <w:tcW w:w="5029" w:type="dxa"/>
          <w:shd w:val="clear" w:color="auto" w:fill="auto"/>
        </w:tcPr>
        <w:p w14:paraId="4D8F3E47" w14:textId="77777777" w:rsidR="005F019D" w:rsidRPr="00A40786" w:rsidRDefault="005F019D" w:rsidP="00A40786">
          <w:pPr>
            <w:pStyle w:val="Footer"/>
            <w:rPr>
              <w:b w:val="0"/>
              <w:w w:val="103"/>
              <w:sz w:val="14"/>
            </w:rPr>
          </w:pPr>
        </w:p>
      </w:tc>
    </w:tr>
  </w:tbl>
  <w:p w14:paraId="57F7C0D6" w14:textId="77777777" w:rsidR="005F019D" w:rsidRPr="00A40786" w:rsidRDefault="005F019D" w:rsidP="00A4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59"/>
      <w:gridCol w:w="5029"/>
    </w:tblGrid>
    <w:tr w:rsidR="005F019D" w14:paraId="139ECE49" w14:textId="77777777" w:rsidTr="005F019D">
      <w:tc>
        <w:tcPr>
          <w:tcW w:w="3859" w:type="dxa"/>
        </w:tcPr>
        <w:p w14:paraId="7040E29A" w14:textId="77777777" w:rsidR="005F019D" w:rsidRPr="000E06BF" w:rsidRDefault="005F019D" w:rsidP="00D55A10">
          <w:pPr>
            <w:pStyle w:val="Footer"/>
            <w:ind w:right="1134"/>
            <w:rPr>
              <w:b w:val="0"/>
              <w:sz w:val="20"/>
            </w:rPr>
          </w:pPr>
          <w:r w:rsidRPr="000E06BF">
            <w:rPr>
              <w:b w:val="0"/>
              <w:sz w:val="20"/>
            </w:rPr>
            <w:t>GE.17-11037(E)</w:t>
          </w:r>
        </w:p>
        <w:p w14:paraId="34E55985" w14:textId="0442289B" w:rsidR="005F019D" w:rsidRPr="00A40786" w:rsidRDefault="005F019D" w:rsidP="00D55A10">
          <w:pPr>
            <w:pStyle w:val="Footer"/>
            <w:spacing w:line="210" w:lineRule="atLeast"/>
            <w:rPr>
              <w:rFonts w:ascii="Barcode 3 of 9 by request" w:hAnsi="Barcode 3 of 9 by request"/>
              <w:sz w:val="24"/>
              <w:lang w:val="en-GB"/>
            </w:rPr>
          </w:pPr>
          <w:r w:rsidRPr="0016590F">
            <w:rPr>
              <w:rFonts w:ascii="C39T30Lfz" w:hAnsi="C39T30Lfz"/>
              <w:b w:val="0"/>
              <w:sz w:val="56"/>
            </w:rPr>
            <w:t></w:t>
          </w:r>
          <w:r w:rsidRPr="0016590F">
            <w:rPr>
              <w:rFonts w:ascii="C39T30Lfz" w:hAnsi="C39T30Lfz"/>
              <w:b w:val="0"/>
              <w:sz w:val="56"/>
            </w:rPr>
            <w:t></w:t>
          </w:r>
          <w:r w:rsidRPr="0016590F">
            <w:rPr>
              <w:rFonts w:ascii="C39T30Lfz" w:hAnsi="C39T30Lfz"/>
              <w:b w:val="0"/>
              <w:sz w:val="56"/>
            </w:rPr>
            <w:t></w:t>
          </w:r>
          <w:r w:rsidRPr="0016590F">
            <w:rPr>
              <w:rFonts w:ascii="C39T30Lfz" w:hAnsi="C39T30Lfz"/>
              <w:b w:val="0"/>
              <w:sz w:val="56"/>
            </w:rPr>
            <w:t></w:t>
          </w:r>
          <w:r w:rsidRPr="0016590F">
            <w:rPr>
              <w:rFonts w:ascii="C39T30Lfz" w:hAnsi="C39T30Lfz"/>
              <w:b w:val="0"/>
              <w:sz w:val="56"/>
            </w:rPr>
            <w:t></w:t>
          </w:r>
          <w:r w:rsidRPr="0016590F">
            <w:rPr>
              <w:rFonts w:ascii="C39T30Lfz" w:hAnsi="C39T30Lfz"/>
              <w:b w:val="0"/>
              <w:sz w:val="56"/>
            </w:rPr>
            <w:t></w:t>
          </w:r>
          <w:r w:rsidRPr="0016590F">
            <w:rPr>
              <w:rFonts w:ascii="C39T30Lfz" w:hAnsi="C39T30Lfz"/>
              <w:b w:val="0"/>
              <w:sz w:val="56"/>
            </w:rPr>
            <w:t></w:t>
          </w:r>
          <w:r w:rsidRPr="0016590F">
            <w:rPr>
              <w:rFonts w:ascii="C39T30Lfz" w:hAnsi="C39T30Lfz"/>
              <w:b w:val="0"/>
              <w:sz w:val="56"/>
            </w:rPr>
            <w:t></w:t>
          </w:r>
          <w:r w:rsidRPr="0016590F">
            <w:rPr>
              <w:rFonts w:ascii="C39T30Lfz" w:hAnsi="C39T30Lfz"/>
              <w:b w:val="0"/>
              <w:sz w:val="56"/>
            </w:rPr>
            <w:t></w:t>
          </w:r>
        </w:p>
      </w:tc>
      <w:tc>
        <w:tcPr>
          <w:tcW w:w="5029" w:type="dxa"/>
        </w:tcPr>
        <w:p w14:paraId="5DA810F1" w14:textId="27178733" w:rsidR="005F019D" w:rsidRDefault="005F019D" w:rsidP="005F019D">
          <w:pPr>
            <w:pStyle w:val="Footer"/>
            <w:jc w:val="right"/>
            <w:rPr>
              <w:b w:val="0"/>
              <w:sz w:val="20"/>
            </w:rPr>
          </w:pPr>
          <w:r w:rsidRPr="00D55A10">
            <w:drawing>
              <wp:anchor distT="0" distB="0" distL="114300" distR="114300" simplePos="0" relativeHeight="251666432" behindDoc="1" locked="1" layoutInCell="1" allowOverlap="1" wp14:anchorId="4CAA8745" wp14:editId="230439C2">
                <wp:simplePos x="0" y="0"/>
                <wp:positionH relativeFrom="margin">
                  <wp:posOffset>2073910</wp:posOffset>
                </wp:positionH>
                <wp:positionV relativeFrom="margin">
                  <wp:posOffset>260350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E5C8D1A" w14:textId="26F6E202" w:rsidR="005F019D" w:rsidRPr="00A40786" w:rsidRDefault="005F019D" w:rsidP="00A40786">
    <w:pPr>
      <w:pStyle w:val="Footer"/>
      <w:spacing w:line="56" w:lineRule="auto"/>
      <w:rPr>
        <w:b w:val="0"/>
        <w:sz w:val="20"/>
      </w:rPr>
    </w:pPr>
    <w:r w:rsidRPr="00D55A10">
      <w:drawing>
        <wp:anchor distT="0" distB="0" distL="114300" distR="114300" simplePos="0" relativeHeight="251664384" behindDoc="0" locked="0" layoutInCell="1" allowOverlap="1" wp14:anchorId="63CA651C" wp14:editId="740E37F5">
          <wp:simplePos x="0" y="0"/>
          <wp:positionH relativeFrom="margin">
            <wp:posOffset>5622290</wp:posOffset>
          </wp:positionH>
          <wp:positionV relativeFrom="margin">
            <wp:posOffset>7000240</wp:posOffset>
          </wp:positionV>
          <wp:extent cx="638175" cy="638175"/>
          <wp:effectExtent l="0" t="0" r="9525" b="9525"/>
          <wp:wrapNone/>
          <wp:docPr id="9" name="Picture 9" descr="https://undocs.org/m2/QRCode.ashx?DS=CRC/C/DNK/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NK/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5E63" w14:textId="77777777" w:rsidR="005F019D" w:rsidRPr="003B4D4F" w:rsidRDefault="005F019D" w:rsidP="003B4D4F">
      <w:pPr>
        <w:pStyle w:val="Footer"/>
        <w:spacing w:after="80"/>
        <w:ind w:left="792"/>
        <w:rPr>
          <w:sz w:val="16"/>
        </w:rPr>
      </w:pPr>
      <w:r w:rsidRPr="003B4D4F">
        <w:rPr>
          <w:sz w:val="16"/>
        </w:rPr>
        <w:t>__________________</w:t>
      </w:r>
    </w:p>
  </w:footnote>
  <w:footnote w:type="continuationSeparator" w:id="0">
    <w:p w14:paraId="131316A1" w14:textId="77777777" w:rsidR="005F019D" w:rsidRPr="003B4D4F" w:rsidRDefault="005F019D" w:rsidP="003B4D4F">
      <w:pPr>
        <w:pStyle w:val="Footer"/>
        <w:spacing w:after="80"/>
        <w:ind w:left="792"/>
        <w:rPr>
          <w:sz w:val="16"/>
        </w:rPr>
      </w:pPr>
      <w:r w:rsidRPr="003B4D4F">
        <w:rPr>
          <w:sz w:val="16"/>
        </w:rPr>
        <w:t>__________________</w:t>
      </w:r>
    </w:p>
  </w:footnote>
  <w:footnote w:id="1">
    <w:p w14:paraId="1AC1AF18" w14:textId="77777777" w:rsidR="005F019D" w:rsidRDefault="005F019D" w:rsidP="003B4D4F">
      <w:pPr>
        <w:pStyle w:val="FootnoteText"/>
        <w:tabs>
          <w:tab w:val="clear" w:pos="418"/>
          <w:tab w:val="right" w:pos="1195"/>
          <w:tab w:val="left" w:pos="1267"/>
          <w:tab w:val="left" w:pos="1742"/>
          <w:tab w:val="left" w:pos="2218"/>
          <w:tab w:val="left" w:pos="2693"/>
        </w:tabs>
        <w:ind w:left="1267" w:right="1260" w:hanging="432"/>
        <w:rPr>
          <w:lang w:val="en-US"/>
        </w:rPr>
      </w:pPr>
      <w:r>
        <w:tab/>
      </w:r>
      <w:r w:rsidRPr="003C004A">
        <w:rPr>
          <w:rStyle w:val="FootnoteReference"/>
          <w:sz w:val="20"/>
        </w:rPr>
        <w:t>*</w:t>
      </w:r>
      <w:r w:rsidRPr="003C004A">
        <w:rPr>
          <w:sz w:val="20"/>
        </w:rPr>
        <w:tab/>
      </w:r>
      <w:r>
        <w:t>The present document is being issued without formal editing.</w:t>
      </w:r>
    </w:p>
  </w:footnote>
  <w:footnote w:id="2">
    <w:p w14:paraId="1366F36E" w14:textId="77777777" w:rsidR="005F019D" w:rsidRPr="00AF3B46" w:rsidRDefault="005F019D" w:rsidP="003B4D4F">
      <w:pPr>
        <w:pStyle w:val="FootnoteText"/>
        <w:tabs>
          <w:tab w:val="clear" w:pos="418"/>
          <w:tab w:val="right" w:pos="1195"/>
          <w:tab w:val="left" w:pos="1267"/>
          <w:tab w:val="left" w:pos="1742"/>
          <w:tab w:val="left" w:pos="2218"/>
          <w:tab w:val="left" w:pos="2693"/>
        </w:tabs>
        <w:ind w:left="1267" w:right="1260" w:hanging="432"/>
        <w:rPr>
          <w:lang w:val="en-US"/>
        </w:rPr>
      </w:pPr>
      <w:r>
        <w:rPr>
          <w:rStyle w:val="FootnoteReference"/>
        </w:rPr>
        <w:tab/>
      </w:r>
      <w:r w:rsidRPr="00AC6914">
        <w:rPr>
          <w:rStyle w:val="FootnoteReference"/>
          <w:sz w:val="20"/>
        </w:rPr>
        <w:t>**</w:t>
      </w:r>
      <w:r>
        <w:rPr>
          <w:rStyle w:val="FootnoteReference"/>
          <w:sz w:val="20"/>
        </w:rPr>
        <w:tab/>
      </w:r>
      <w:r w:rsidRPr="00555A75">
        <w:t>The annexes</w:t>
      </w:r>
      <w:r>
        <w:t xml:space="preserve"> </w:t>
      </w:r>
      <w:r w:rsidRPr="00555A75">
        <w:t xml:space="preserve">to the present report are on file with the Secretariat and are available for consultation. They may also be accessed from the web page of the </w:t>
      </w:r>
      <w:r>
        <w:t>Committee on the Rights of the C</w:t>
      </w:r>
      <w:r w:rsidRPr="00555A75">
        <w:t>hild.</w:t>
      </w:r>
    </w:p>
  </w:footnote>
  <w:footnote w:id="3">
    <w:p w14:paraId="6F956FEA" w14:textId="77777777" w:rsidR="005F019D" w:rsidRPr="00BE0FF0" w:rsidRDefault="005F019D" w:rsidP="003B4D4F">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835E24">
        <w:t>The figures for the period 2014-2016 are final based on administrative records from the Danish Alien’s Register, the electronic case and document handling system (ECDH) and registrations in the police system POLSAS.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1"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29"/>
    </w:tblGrid>
    <w:tr w:rsidR="005F019D" w14:paraId="6451657B" w14:textId="77777777" w:rsidTr="00A40786">
      <w:trPr>
        <w:trHeight w:hRule="exact" w:val="864"/>
        <w:jc w:val="center"/>
      </w:trPr>
      <w:tc>
        <w:tcPr>
          <w:tcW w:w="4882" w:type="dxa"/>
          <w:shd w:val="clear" w:color="auto" w:fill="auto"/>
          <w:vAlign w:val="bottom"/>
        </w:tcPr>
        <w:p w14:paraId="6650ECDA" w14:textId="0D6A5A32" w:rsidR="005F019D" w:rsidRPr="00A40786" w:rsidRDefault="005F019D" w:rsidP="00A40786">
          <w:pPr>
            <w:pStyle w:val="Header"/>
            <w:spacing w:after="80"/>
            <w:rPr>
              <w:b/>
            </w:rPr>
          </w:pPr>
          <w:r>
            <w:rPr>
              <w:b/>
            </w:rPr>
            <w:fldChar w:fldCharType="begin"/>
          </w:r>
          <w:r>
            <w:rPr>
              <w:b/>
            </w:rPr>
            <w:instrText xml:space="preserve"> DOCVARIABLE "sss1" \* MERGEFORMAT </w:instrText>
          </w:r>
          <w:r>
            <w:rPr>
              <w:b/>
            </w:rPr>
            <w:fldChar w:fldCharType="separate"/>
          </w:r>
          <w:r w:rsidR="00801568">
            <w:rPr>
              <w:b/>
            </w:rPr>
            <w:t>CRC/C/DNK/Q/5/Add.1</w:t>
          </w:r>
          <w:r>
            <w:rPr>
              <w:b/>
            </w:rPr>
            <w:fldChar w:fldCharType="end"/>
          </w:r>
        </w:p>
      </w:tc>
      <w:tc>
        <w:tcPr>
          <w:tcW w:w="5029" w:type="dxa"/>
          <w:shd w:val="clear" w:color="auto" w:fill="auto"/>
          <w:vAlign w:val="bottom"/>
        </w:tcPr>
        <w:p w14:paraId="499B4275" w14:textId="3F054AB6" w:rsidR="005F019D" w:rsidRDefault="005F019D" w:rsidP="00A40786">
          <w:pPr>
            <w:pStyle w:val="Header"/>
          </w:pPr>
        </w:p>
      </w:tc>
    </w:tr>
  </w:tbl>
  <w:p w14:paraId="21AF1DDD" w14:textId="05B2D700" w:rsidR="005F019D" w:rsidRPr="00A40786" w:rsidRDefault="005F019D" w:rsidP="00A4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1"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29"/>
    </w:tblGrid>
    <w:tr w:rsidR="005F019D" w14:paraId="190AF510" w14:textId="77777777" w:rsidTr="00A40786">
      <w:trPr>
        <w:trHeight w:hRule="exact" w:val="864"/>
        <w:jc w:val="center"/>
      </w:trPr>
      <w:tc>
        <w:tcPr>
          <w:tcW w:w="4882" w:type="dxa"/>
          <w:shd w:val="clear" w:color="auto" w:fill="auto"/>
          <w:vAlign w:val="bottom"/>
        </w:tcPr>
        <w:p w14:paraId="2ACF020F" w14:textId="77777777" w:rsidR="005F019D" w:rsidRDefault="005F019D" w:rsidP="00A40786">
          <w:pPr>
            <w:pStyle w:val="Header"/>
          </w:pPr>
        </w:p>
      </w:tc>
      <w:tc>
        <w:tcPr>
          <w:tcW w:w="5029" w:type="dxa"/>
          <w:shd w:val="clear" w:color="auto" w:fill="auto"/>
          <w:vAlign w:val="bottom"/>
        </w:tcPr>
        <w:p w14:paraId="628EBD8F" w14:textId="261820B5" w:rsidR="005F019D" w:rsidRPr="00A40786" w:rsidRDefault="005F019D" w:rsidP="00A40786">
          <w:pPr>
            <w:pStyle w:val="Header"/>
            <w:spacing w:after="80"/>
            <w:jc w:val="right"/>
            <w:rPr>
              <w:b/>
            </w:rPr>
          </w:pPr>
          <w:r>
            <w:rPr>
              <w:b/>
            </w:rPr>
            <w:fldChar w:fldCharType="begin"/>
          </w:r>
          <w:r>
            <w:rPr>
              <w:b/>
            </w:rPr>
            <w:instrText xml:space="preserve"> DOCVARIABLE "sss1" \* MERGEFORMAT </w:instrText>
          </w:r>
          <w:r>
            <w:rPr>
              <w:b/>
            </w:rPr>
            <w:fldChar w:fldCharType="separate"/>
          </w:r>
          <w:r w:rsidR="00801568">
            <w:rPr>
              <w:b/>
            </w:rPr>
            <w:t>CRC/C/DNK/Q/5/Add.1</w:t>
          </w:r>
          <w:r>
            <w:rPr>
              <w:b/>
            </w:rPr>
            <w:fldChar w:fldCharType="end"/>
          </w:r>
        </w:p>
      </w:tc>
    </w:tr>
  </w:tbl>
  <w:p w14:paraId="54681FAF" w14:textId="77777777" w:rsidR="005F019D" w:rsidRPr="00A40786" w:rsidRDefault="005F019D" w:rsidP="00A4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5F019D" w14:paraId="479C9FBB" w14:textId="77777777" w:rsidTr="00A40786">
      <w:trPr>
        <w:trHeight w:hRule="exact" w:val="864"/>
      </w:trPr>
      <w:tc>
        <w:tcPr>
          <w:tcW w:w="1267" w:type="dxa"/>
          <w:tcBorders>
            <w:bottom w:val="single" w:sz="4" w:space="0" w:color="auto"/>
          </w:tcBorders>
          <w:shd w:val="clear" w:color="auto" w:fill="auto"/>
          <w:vAlign w:val="bottom"/>
        </w:tcPr>
        <w:p w14:paraId="5FC1A31E" w14:textId="77777777" w:rsidR="005F019D" w:rsidRDefault="005F019D" w:rsidP="00A40786">
          <w:pPr>
            <w:pStyle w:val="Header"/>
            <w:spacing w:after="120"/>
          </w:pPr>
        </w:p>
      </w:tc>
      <w:tc>
        <w:tcPr>
          <w:tcW w:w="1872" w:type="dxa"/>
          <w:tcBorders>
            <w:bottom w:val="single" w:sz="4" w:space="0" w:color="auto"/>
          </w:tcBorders>
          <w:shd w:val="clear" w:color="auto" w:fill="auto"/>
          <w:vAlign w:val="bottom"/>
        </w:tcPr>
        <w:p w14:paraId="229BA671" w14:textId="77777777" w:rsidR="005F019D" w:rsidRPr="00A40786" w:rsidRDefault="005F019D" w:rsidP="00A4078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4D1025" w14:textId="77777777" w:rsidR="005F019D" w:rsidRDefault="005F019D" w:rsidP="00A40786">
          <w:pPr>
            <w:pStyle w:val="Header"/>
            <w:spacing w:after="120"/>
          </w:pPr>
        </w:p>
      </w:tc>
      <w:tc>
        <w:tcPr>
          <w:tcW w:w="6466" w:type="dxa"/>
          <w:gridSpan w:val="4"/>
          <w:tcBorders>
            <w:bottom w:val="single" w:sz="4" w:space="0" w:color="auto"/>
          </w:tcBorders>
          <w:shd w:val="clear" w:color="auto" w:fill="auto"/>
          <w:vAlign w:val="bottom"/>
        </w:tcPr>
        <w:p w14:paraId="4F714624" w14:textId="77777777" w:rsidR="005F019D" w:rsidRPr="00A40786" w:rsidRDefault="005F019D" w:rsidP="00A40786">
          <w:pPr>
            <w:spacing w:after="80" w:line="240" w:lineRule="auto"/>
            <w:jc w:val="right"/>
            <w:rPr>
              <w:position w:val="-4"/>
            </w:rPr>
          </w:pPr>
          <w:r>
            <w:rPr>
              <w:position w:val="-4"/>
              <w:sz w:val="40"/>
            </w:rPr>
            <w:t>CRC</w:t>
          </w:r>
          <w:r>
            <w:rPr>
              <w:position w:val="-4"/>
            </w:rPr>
            <w:t>/C/DNK/Q/5/Add.1</w:t>
          </w:r>
        </w:p>
      </w:tc>
    </w:tr>
    <w:tr w:rsidR="005F019D" w:rsidRPr="00A40786" w14:paraId="2944174B" w14:textId="77777777" w:rsidTr="00A40786">
      <w:trPr>
        <w:gridAfter w:val="1"/>
        <w:wAfter w:w="11" w:type="dxa"/>
        <w:trHeight w:hRule="exact" w:val="2880"/>
      </w:trPr>
      <w:tc>
        <w:tcPr>
          <w:tcW w:w="1267" w:type="dxa"/>
          <w:tcBorders>
            <w:top w:val="single" w:sz="4" w:space="0" w:color="auto"/>
            <w:bottom w:val="single" w:sz="12" w:space="0" w:color="auto"/>
          </w:tcBorders>
          <w:shd w:val="clear" w:color="auto" w:fill="auto"/>
        </w:tcPr>
        <w:p w14:paraId="5EA89BCE" w14:textId="77777777" w:rsidR="005F019D" w:rsidRPr="00A40786" w:rsidRDefault="005F019D" w:rsidP="00A40786">
          <w:pPr>
            <w:pStyle w:val="Header"/>
            <w:spacing w:before="120"/>
            <w:jc w:val="center"/>
          </w:pPr>
          <w:r>
            <w:t xml:space="preserve"> </w:t>
          </w:r>
          <w:r>
            <w:rPr>
              <w:lang w:val="en-GB" w:eastAsia="en-GB"/>
            </w:rPr>
            <w:drawing>
              <wp:inline distT="0" distB="0" distL="0" distR="0" wp14:anchorId="677BB949" wp14:editId="693D8D6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6E03A2" w14:textId="77777777" w:rsidR="005F019D" w:rsidRPr="00A40786" w:rsidRDefault="005F019D" w:rsidP="00A40786">
          <w:pPr>
            <w:pStyle w:val="XLarge"/>
            <w:spacing w:before="109" w:line="390" w:lineRule="atLeast"/>
          </w:pPr>
          <w:r>
            <w:t xml:space="preserve">Convention on the </w:t>
          </w:r>
          <w:r>
            <w:br/>
            <w:t>Rights of the Child</w:t>
          </w:r>
        </w:p>
      </w:tc>
      <w:tc>
        <w:tcPr>
          <w:tcW w:w="245" w:type="dxa"/>
          <w:tcBorders>
            <w:top w:val="single" w:sz="4" w:space="0" w:color="auto"/>
            <w:bottom w:val="single" w:sz="12" w:space="0" w:color="auto"/>
          </w:tcBorders>
          <w:shd w:val="clear" w:color="auto" w:fill="auto"/>
        </w:tcPr>
        <w:p w14:paraId="688E1080" w14:textId="77777777" w:rsidR="005F019D" w:rsidRPr="00A40786" w:rsidRDefault="005F019D" w:rsidP="00A40786">
          <w:pPr>
            <w:pStyle w:val="Header"/>
            <w:spacing w:before="109"/>
          </w:pPr>
        </w:p>
      </w:tc>
      <w:tc>
        <w:tcPr>
          <w:tcW w:w="3100" w:type="dxa"/>
          <w:tcBorders>
            <w:top w:val="single" w:sz="4" w:space="0" w:color="auto"/>
            <w:bottom w:val="single" w:sz="12" w:space="0" w:color="auto"/>
          </w:tcBorders>
          <w:shd w:val="clear" w:color="auto" w:fill="auto"/>
        </w:tcPr>
        <w:p w14:paraId="2D1BF69D" w14:textId="77777777" w:rsidR="005F019D" w:rsidRDefault="005F019D" w:rsidP="00A40786">
          <w:pPr>
            <w:pStyle w:val="Distribution"/>
            <w:rPr>
              <w:color w:val="010000"/>
            </w:rPr>
          </w:pPr>
          <w:r>
            <w:rPr>
              <w:color w:val="010000"/>
            </w:rPr>
            <w:t>Distr.: General</w:t>
          </w:r>
        </w:p>
        <w:p w14:paraId="24D09F08" w14:textId="341176F3" w:rsidR="005F019D" w:rsidRDefault="005F019D" w:rsidP="00A40786">
          <w:pPr>
            <w:pStyle w:val="Publication"/>
            <w:rPr>
              <w:color w:val="010000"/>
            </w:rPr>
          </w:pPr>
          <w:r>
            <w:rPr>
              <w:color w:val="010000"/>
            </w:rPr>
            <w:t>3 July 2017</w:t>
          </w:r>
        </w:p>
        <w:p w14:paraId="7271C002" w14:textId="77777777" w:rsidR="005F019D" w:rsidRDefault="005F019D" w:rsidP="00A40786"/>
        <w:p w14:paraId="10DFFF38" w14:textId="77777777" w:rsidR="005F019D" w:rsidRDefault="005F019D" w:rsidP="00A40786">
          <w:pPr>
            <w:pStyle w:val="Original"/>
            <w:rPr>
              <w:color w:val="010000"/>
            </w:rPr>
          </w:pPr>
          <w:r>
            <w:rPr>
              <w:color w:val="010000"/>
            </w:rPr>
            <w:t>Original: English</w:t>
          </w:r>
        </w:p>
        <w:p w14:paraId="7C4ECFCC" w14:textId="77777777" w:rsidR="005F019D" w:rsidRPr="002674CA" w:rsidRDefault="005F019D" w:rsidP="002674CA">
          <w:pPr>
            <w:jc w:val="both"/>
          </w:pPr>
          <w:r>
            <w:t>English, French and Spanish only</w:t>
          </w:r>
        </w:p>
        <w:p w14:paraId="7686B7BF" w14:textId="77777777" w:rsidR="005F019D" w:rsidRPr="00A40786" w:rsidRDefault="005F019D" w:rsidP="00A40786"/>
      </w:tc>
    </w:tr>
  </w:tbl>
  <w:p w14:paraId="343E6A4B" w14:textId="77777777" w:rsidR="005F019D" w:rsidRPr="00A40786" w:rsidRDefault="005F019D" w:rsidP="00A4078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9A2"/>
    <w:multiLevelType w:val="hybridMultilevel"/>
    <w:tmpl w:val="1262AD5A"/>
    <w:lvl w:ilvl="0" w:tplc="E182FCAE">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04228*"/>
    <w:docVar w:name="CreationDt" w:val="21/06/2017 10:27:04"/>
    <w:docVar w:name="DocCategory" w:val="Doc"/>
    <w:docVar w:name="DocType" w:val="Final"/>
    <w:docVar w:name="DutyStation" w:val="Vienna"/>
    <w:docVar w:name="FooterJN" w:val="V.17-04228"/>
    <w:docVar w:name="jobn" w:val="V.17-04228 (E)"/>
    <w:docVar w:name="jobnDT" w:val="V.17-04228 (E)   210617"/>
    <w:docVar w:name="jobnDTDT" w:val="V.17-04228 (E)   210617   210617"/>
    <w:docVar w:name="JobNo" w:val="V.1704228E"/>
    <w:docVar w:name="JobNo2" w:val="1704228E"/>
    <w:docVar w:name="LocalDrive" w:val="0"/>
    <w:docVar w:name="OandT" w:val="MJL"/>
    <w:docVar w:name="PaperSize" w:val="A4"/>
    <w:docVar w:name="sss1" w:val="CRC/C/DNK/Q/5/Add.1"/>
    <w:docVar w:name="sss2" w:val="-"/>
    <w:docVar w:name="Symbol1" w:val="CRC/C/DNK/Q/5/Add.1"/>
    <w:docVar w:name="Symbol2" w:val="-"/>
  </w:docVars>
  <w:rsids>
    <w:rsidRoot w:val="003B1167"/>
    <w:rsid w:val="0000113A"/>
    <w:rsid w:val="00003CD4"/>
    <w:rsid w:val="0000551C"/>
    <w:rsid w:val="000677DC"/>
    <w:rsid w:val="00125125"/>
    <w:rsid w:val="0019408C"/>
    <w:rsid w:val="00197B59"/>
    <w:rsid w:val="001A5E3C"/>
    <w:rsid w:val="001D30C0"/>
    <w:rsid w:val="001E4E7F"/>
    <w:rsid w:val="0021007F"/>
    <w:rsid w:val="0022068E"/>
    <w:rsid w:val="00245077"/>
    <w:rsid w:val="002577B1"/>
    <w:rsid w:val="002674CA"/>
    <w:rsid w:val="00282245"/>
    <w:rsid w:val="00282B55"/>
    <w:rsid w:val="002F0D48"/>
    <w:rsid w:val="002F4808"/>
    <w:rsid w:val="003057C8"/>
    <w:rsid w:val="00327C4A"/>
    <w:rsid w:val="00347F5E"/>
    <w:rsid w:val="00352901"/>
    <w:rsid w:val="00390E6C"/>
    <w:rsid w:val="003A2345"/>
    <w:rsid w:val="003B1167"/>
    <w:rsid w:val="003B4D4F"/>
    <w:rsid w:val="003B56FA"/>
    <w:rsid w:val="003E5344"/>
    <w:rsid w:val="003F5423"/>
    <w:rsid w:val="004076F3"/>
    <w:rsid w:val="00416C3E"/>
    <w:rsid w:val="004233BE"/>
    <w:rsid w:val="00470E3F"/>
    <w:rsid w:val="004E484C"/>
    <w:rsid w:val="004F1494"/>
    <w:rsid w:val="00504476"/>
    <w:rsid w:val="00506AAD"/>
    <w:rsid w:val="00523E17"/>
    <w:rsid w:val="005528B0"/>
    <w:rsid w:val="00592151"/>
    <w:rsid w:val="005F019D"/>
    <w:rsid w:val="00651D10"/>
    <w:rsid w:val="00656A82"/>
    <w:rsid w:val="00657A05"/>
    <w:rsid w:val="006B2EC2"/>
    <w:rsid w:val="006B3A99"/>
    <w:rsid w:val="006B56F8"/>
    <w:rsid w:val="006C0DD2"/>
    <w:rsid w:val="006E67C9"/>
    <w:rsid w:val="007167E8"/>
    <w:rsid w:val="007169E6"/>
    <w:rsid w:val="0076378A"/>
    <w:rsid w:val="00790095"/>
    <w:rsid w:val="007B5485"/>
    <w:rsid w:val="007D3E5A"/>
    <w:rsid w:val="007E17A1"/>
    <w:rsid w:val="007E3E0B"/>
    <w:rsid w:val="00801568"/>
    <w:rsid w:val="00807AE8"/>
    <w:rsid w:val="00812D97"/>
    <w:rsid w:val="00825744"/>
    <w:rsid w:val="008725AA"/>
    <w:rsid w:val="008A0913"/>
    <w:rsid w:val="008E5D75"/>
    <w:rsid w:val="00901531"/>
    <w:rsid w:val="00913FA4"/>
    <w:rsid w:val="00972E60"/>
    <w:rsid w:val="009A1DB5"/>
    <w:rsid w:val="009A67E2"/>
    <w:rsid w:val="009B02F8"/>
    <w:rsid w:val="009C7E92"/>
    <w:rsid w:val="009F2DE8"/>
    <w:rsid w:val="00A02682"/>
    <w:rsid w:val="00A0380C"/>
    <w:rsid w:val="00A12F66"/>
    <w:rsid w:val="00A13EEF"/>
    <w:rsid w:val="00A152DB"/>
    <w:rsid w:val="00A17DB0"/>
    <w:rsid w:val="00A3793F"/>
    <w:rsid w:val="00A40786"/>
    <w:rsid w:val="00A467DC"/>
    <w:rsid w:val="00A7047F"/>
    <w:rsid w:val="00A843F6"/>
    <w:rsid w:val="00AB5393"/>
    <w:rsid w:val="00AC7F82"/>
    <w:rsid w:val="00AE27EC"/>
    <w:rsid w:val="00AF0E68"/>
    <w:rsid w:val="00B3262E"/>
    <w:rsid w:val="00B4655B"/>
    <w:rsid w:val="00B9208E"/>
    <w:rsid w:val="00B931EC"/>
    <w:rsid w:val="00BB792A"/>
    <w:rsid w:val="00BF0033"/>
    <w:rsid w:val="00C00EC7"/>
    <w:rsid w:val="00C250AC"/>
    <w:rsid w:val="00C72835"/>
    <w:rsid w:val="00C904CB"/>
    <w:rsid w:val="00CA3F1D"/>
    <w:rsid w:val="00CB0BD6"/>
    <w:rsid w:val="00CE1520"/>
    <w:rsid w:val="00D3294A"/>
    <w:rsid w:val="00D35E51"/>
    <w:rsid w:val="00D55A10"/>
    <w:rsid w:val="00D85070"/>
    <w:rsid w:val="00DC15EB"/>
    <w:rsid w:val="00DD3754"/>
    <w:rsid w:val="00DE5E1A"/>
    <w:rsid w:val="00E46FF5"/>
    <w:rsid w:val="00E577E4"/>
    <w:rsid w:val="00E62D4C"/>
    <w:rsid w:val="00E77C09"/>
    <w:rsid w:val="00EA3B5A"/>
    <w:rsid w:val="00EA475D"/>
    <w:rsid w:val="00ED3715"/>
    <w:rsid w:val="00F54572"/>
    <w:rsid w:val="00F71E3B"/>
    <w:rsid w:val="00FA70DA"/>
    <w:rsid w:val="00FC7DB0"/>
    <w:rsid w:val="00FE6B99"/>
    <w:rsid w:val="00FF4C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3AA05"/>
  <w15:docId w15:val="{91857BE4-76EF-4952-B23F-C49B3B1A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AC"/>
    <w:pPr>
      <w:suppressAutoHyphens/>
      <w:spacing w:after="0" w:line="240" w:lineRule="atLeas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250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Normal"/>
    <w:rsid w:val="00C250AC"/>
    <w:pPr>
      <w:spacing w:line="300" w:lineRule="exact"/>
      <w:ind w:left="0" w:right="0" w:firstLine="0"/>
    </w:pPr>
    <w:rPr>
      <w:spacing w:val="-2"/>
      <w:sz w:val="28"/>
    </w:rPr>
  </w:style>
  <w:style w:type="paragraph" w:customStyle="1" w:styleId="HM">
    <w:name w:val="_ H __M"/>
    <w:basedOn w:val="HCh"/>
    <w:next w:val="Normal"/>
    <w:rsid w:val="00C250AC"/>
    <w:pPr>
      <w:spacing w:line="360" w:lineRule="exact"/>
    </w:pPr>
    <w:rPr>
      <w:spacing w:val="-3"/>
      <w:w w:val="99"/>
      <w:sz w:val="34"/>
    </w:rPr>
  </w:style>
  <w:style w:type="paragraph" w:customStyle="1" w:styleId="H23">
    <w:name w:val="_ H_2/3"/>
    <w:basedOn w:val="H1"/>
    <w:next w:val="SingleTxt"/>
    <w:rsid w:val="00C250AC"/>
    <w:pPr>
      <w:spacing w:line="240" w:lineRule="exact"/>
      <w:outlineLvl w:val="1"/>
    </w:pPr>
    <w:rPr>
      <w:spacing w:val="2"/>
      <w:sz w:val="20"/>
    </w:rPr>
  </w:style>
  <w:style w:type="paragraph" w:customStyle="1" w:styleId="H4">
    <w:name w:val="_ H_4"/>
    <w:basedOn w:val="Normal"/>
    <w:next w:val="Normal"/>
    <w:rsid w:val="00C250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C250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C250A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50A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50AC"/>
    <w:pPr>
      <w:spacing w:line="540" w:lineRule="exact"/>
    </w:pPr>
    <w:rPr>
      <w:spacing w:val="-8"/>
      <w:w w:val="96"/>
      <w:sz w:val="57"/>
    </w:rPr>
  </w:style>
  <w:style w:type="paragraph" w:customStyle="1" w:styleId="SS">
    <w:name w:val="__S_S"/>
    <w:basedOn w:val="HCh"/>
    <w:next w:val="Normal"/>
    <w:rsid w:val="00C250AC"/>
    <w:pPr>
      <w:ind w:left="1267" w:right="1267"/>
    </w:pPr>
  </w:style>
  <w:style w:type="paragraph" w:customStyle="1" w:styleId="SingleTxt">
    <w:name w:val="__Single Txt"/>
    <w:basedOn w:val="Normal"/>
    <w:rsid w:val="00C250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C250AC"/>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250AC"/>
    <w:pPr>
      <w:keepNext w:val="0"/>
      <w:keepLines w:val="0"/>
    </w:pPr>
  </w:style>
  <w:style w:type="paragraph" w:customStyle="1" w:styleId="AgendaTitleH2">
    <w:name w:val="Agenda_Title_H2"/>
    <w:basedOn w:val="TitleH1"/>
    <w:next w:val="Normal"/>
    <w:qFormat/>
    <w:rsid w:val="00C250AC"/>
    <w:pPr>
      <w:keepNext/>
      <w:keepLines/>
      <w:spacing w:line="240" w:lineRule="exact"/>
      <w:ind w:left="0" w:firstLine="0"/>
      <w:outlineLvl w:val="1"/>
    </w:pPr>
    <w:rPr>
      <w:sz w:val="20"/>
    </w:rPr>
  </w:style>
  <w:style w:type="paragraph" w:styleId="BalloonText">
    <w:name w:val="Balloon Text"/>
    <w:basedOn w:val="Normal"/>
    <w:link w:val="BalloonTextChar"/>
    <w:semiHidden/>
    <w:rsid w:val="00C250AC"/>
    <w:rPr>
      <w:rFonts w:ascii="Tahoma" w:hAnsi="Tahoma" w:cs="Tahoma"/>
      <w:sz w:val="16"/>
      <w:szCs w:val="16"/>
    </w:rPr>
  </w:style>
  <w:style w:type="character" w:customStyle="1" w:styleId="BalloonTextChar">
    <w:name w:val="Balloon Text Char"/>
    <w:basedOn w:val="DefaultParagraphFont"/>
    <w:link w:val="BalloonText"/>
    <w:semiHidden/>
    <w:rsid w:val="00C250AC"/>
    <w:rPr>
      <w:rFonts w:ascii="Tahoma" w:hAnsi="Tahoma" w:cs="Tahoma"/>
      <w:spacing w:val="4"/>
      <w:w w:val="103"/>
      <w:kern w:val="14"/>
      <w:sz w:val="16"/>
      <w:szCs w:val="16"/>
    </w:rPr>
  </w:style>
  <w:style w:type="paragraph" w:customStyle="1" w:styleId="Bullet1">
    <w:name w:val="Bullet 1"/>
    <w:basedOn w:val="Normal"/>
    <w:qFormat/>
    <w:rsid w:val="00C250AC"/>
    <w:pPr>
      <w:numPr>
        <w:numId w:val="1"/>
      </w:numPr>
      <w:spacing w:after="120"/>
      <w:ind w:right="1267"/>
      <w:jc w:val="both"/>
    </w:pPr>
  </w:style>
  <w:style w:type="paragraph" w:customStyle="1" w:styleId="Bullet3">
    <w:name w:val="Bullet 3"/>
    <w:basedOn w:val="SingleTxt"/>
    <w:qFormat/>
    <w:rsid w:val="00C250A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50AC"/>
    <w:rPr>
      <w:sz w:val="6"/>
    </w:rPr>
  </w:style>
  <w:style w:type="paragraph" w:customStyle="1" w:styleId="Distribution">
    <w:name w:val="Distribution"/>
    <w:next w:val="Normal"/>
    <w:rsid w:val="00C250AC"/>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250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50A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50AC"/>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250AC"/>
  </w:style>
  <w:style w:type="character" w:customStyle="1" w:styleId="EndnoteTextChar">
    <w:name w:val="Endnote Text Char"/>
    <w:basedOn w:val="DefaultParagraphFont"/>
    <w:link w:val="EndnoteText"/>
    <w:semiHidden/>
    <w:rsid w:val="00C250AC"/>
    <w:rPr>
      <w:rFonts w:ascii="Times New Roman" w:hAnsi="Times New Roman" w:cs="Times New Roman"/>
      <w:spacing w:val="5"/>
      <w:w w:val="103"/>
      <w:kern w:val="14"/>
      <w:sz w:val="17"/>
      <w:szCs w:val="20"/>
    </w:rPr>
  </w:style>
  <w:style w:type="paragraph" w:styleId="Footer">
    <w:name w:val="footer"/>
    <w:aliases w:val="3_G"/>
    <w:link w:val="FooterChar"/>
    <w:rsid w:val="00C250AC"/>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rsid w:val="00C250AC"/>
    <w:rPr>
      <w:rFonts w:ascii="Times New Roman" w:hAnsi="Times New Roman" w:cs="Times New Roman"/>
      <w:b/>
      <w:noProof/>
      <w:sz w:val="17"/>
      <w:szCs w:val="20"/>
      <w:lang w:val="en-US"/>
    </w:rPr>
  </w:style>
  <w:style w:type="character" w:styleId="FootnoteReference">
    <w:name w:val="footnote reference"/>
    <w:semiHidden/>
    <w:rsid w:val="00C250AC"/>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250AC"/>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250AC"/>
    <w:rPr>
      <w:rFonts w:ascii="Times New Roman" w:hAnsi="Times New Roman" w:cs="Times New Roman"/>
      <w:noProof/>
      <w:sz w:val="17"/>
      <w:szCs w:val="20"/>
      <w:lang w:val="en-US"/>
    </w:rPr>
  </w:style>
  <w:style w:type="character" w:styleId="Hyperlink">
    <w:name w:val="Hyperlink"/>
    <w:basedOn w:val="DefaultParagraphFont"/>
    <w:rsid w:val="00C250AC"/>
    <w:rPr>
      <w:color w:val="0000FF" w:themeColor="hyperlink"/>
      <w:u w:val="single"/>
    </w:rPr>
  </w:style>
  <w:style w:type="character" w:styleId="LineNumber">
    <w:name w:val="line number"/>
    <w:rsid w:val="00C250AC"/>
    <w:rPr>
      <w:sz w:val="14"/>
    </w:rPr>
  </w:style>
  <w:style w:type="paragraph" w:customStyle="1" w:styleId="Original">
    <w:name w:val="Original"/>
    <w:next w:val="Normal"/>
    <w:rsid w:val="00C250AC"/>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250A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50AC"/>
    <w:rPr>
      <w:rFonts w:ascii="Courier New" w:eastAsia="Times New Roman" w:hAnsi="Courier New" w:cs="Times New Roman"/>
      <w:sz w:val="20"/>
      <w:szCs w:val="20"/>
      <w:lang w:val="en-US" w:eastAsia="en-GB"/>
    </w:rPr>
  </w:style>
  <w:style w:type="paragraph" w:customStyle="1" w:styleId="Publication">
    <w:name w:val="Publication"/>
    <w:next w:val="Normal"/>
    <w:rsid w:val="00C250AC"/>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250AC"/>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250AC"/>
    <w:pPr>
      <w:ind w:left="0" w:firstLine="0"/>
    </w:pPr>
    <w:rPr>
      <w:spacing w:val="4"/>
    </w:rPr>
  </w:style>
  <w:style w:type="paragraph" w:customStyle="1" w:styleId="Small">
    <w:name w:val="Small"/>
    <w:basedOn w:val="Normal"/>
    <w:next w:val="Normal"/>
    <w:rsid w:val="00C250AC"/>
    <w:pPr>
      <w:tabs>
        <w:tab w:val="right" w:pos="9965"/>
      </w:tabs>
      <w:spacing w:line="210" w:lineRule="exact"/>
    </w:pPr>
    <w:rPr>
      <w:spacing w:val="5"/>
      <w:w w:val="104"/>
      <w:sz w:val="17"/>
    </w:rPr>
  </w:style>
  <w:style w:type="paragraph" w:customStyle="1" w:styleId="SmallX">
    <w:name w:val="SmallX"/>
    <w:basedOn w:val="Small"/>
    <w:next w:val="Normal"/>
    <w:rsid w:val="00C250AC"/>
    <w:pPr>
      <w:spacing w:line="180" w:lineRule="exact"/>
      <w:jc w:val="right"/>
    </w:pPr>
    <w:rPr>
      <w:spacing w:val="6"/>
      <w:w w:val="106"/>
      <w:sz w:val="14"/>
    </w:rPr>
  </w:style>
  <w:style w:type="table" w:styleId="TableGrid">
    <w:name w:val="Table Grid"/>
    <w:basedOn w:val="TableNormal"/>
    <w:rsid w:val="00C250A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Normal"/>
    <w:next w:val="SingleTxt"/>
    <w:qFormat/>
    <w:rsid w:val="00C250AC"/>
  </w:style>
  <w:style w:type="paragraph" w:customStyle="1" w:styleId="TitleH2">
    <w:name w:val="Title_H2"/>
    <w:basedOn w:val="H23"/>
    <w:qFormat/>
    <w:rsid w:val="00C250AC"/>
  </w:style>
  <w:style w:type="paragraph" w:customStyle="1" w:styleId="XLarge">
    <w:name w:val="XLarge"/>
    <w:basedOn w:val="HM"/>
    <w:rsid w:val="00C250AC"/>
    <w:pPr>
      <w:spacing w:line="390" w:lineRule="exact"/>
    </w:pPr>
    <w:rPr>
      <w:spacing w:val="-4"/>
      <w:w w:val="98"/>
      <w:sz w:val="40"/>
    </w:rPr>
  </w:style>
  <w:style w:type="paragraph" w:styleId="CommentText">
    <w:name w:val="annotation text"/>
    <w:basedOn w:val="Normal"/>
    <w:link w:val="CommentTextChar"/>
    <w:uiPriority w:val="99"/>
    <w:semiHidden/>
    <w:unhideWhenUsed/>
    <w:rsid w:val="00A40786"/>
    <w:pPr>
      <w:spacing w:line="240" w:lineRule="auto"/>
    </w:pPr>
  </w:style>
  <w:style w:type="character" w:customStyle="1" w:styleId="CommentTextChar">
    <w:name w:val="Comment Text Char"/>
    <w:basedOn w:val="DefaultParagraphFont"/>
    <w:link w:val="CommentText"/>
    <w:uiPriority w:val="99"/>
    <w:semiHidden/>
    <w:rsid w:val="00A4078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40786"/>
    <w:rPr>
      <w:b/>
      <w:bCs/>
    </w:rPr>
  </w:style>
  <w:style w:type="character" w:customStyle="1" w:styleId="CommentSubjectChar">
    <w:name w:val="Comment Subject Char"/>
    <w:basedOn w:val="CommentTextChar"/>
    <w:link w:val="CommentSubject"/>
    <w:uiPriority w:val="99"/>
    <w:semiHidden/>
    <w:rsid w:val="00A40786"/>
    <w:rPr>
      <w:rFonts w:ascii="Times New Roman" w:hAnsi="Times New Roman" w:cs="Times New Roman"/>
      <w:b/>
      <w:bCs/>
      <w:spacing w:val="4"/>
      <w:w w:val="103"/>
      <w:kern w:val="14"/>
      <w:sz w:val="20"/>
      <w:szCs w:val="20"/>
    </w:rPr>
  </w:style>
  <w:style w:type="table" w:customStyle="1" w:styleId="TableGrid1">
    <w:name w:val="Table Grid1"/>
    <w:basedOn w:val="TableNormal"/>
    <w:next w:val="TableGrid"/>
    <w:uiPriority w:val="59"/>
    <w:rsid w:val="00C00EC7"/>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C00EC7"/>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59"/>
    <w:rsid w:val="00C00EC7"/>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59"/>
    <w:rsid w:val="00A152DB"/>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59"/>
    <w:rsid w:val="009F2DE8"/>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eNormal"/>
    <w:next w:val="TableGrid"/>
    <w:uiPriority w:val="59"/>
    <w:rsid w:val="009F2DE8"/>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
    <w:name w:val="Table Grid7"/>
    <w:basedOn w:val="TableNormal"/>
    <w:next w:val="TableGrid"/>
    <w:uiPriority w:val="59"/>
    <w:rsid w:val="00ED371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59"/>
    <w:rsid w:val="00ED371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9">
    <w:name w:val="Table Grid9"/>
    <w:basedOn w:val="TableNormal"/>
    <w:next w:val="TableGrid"/>
    <w:uiPriority w:val="59"/>
    <w:rsid w:val="00ED371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0">
    <w:name w:val="Table Grid10"/>
    <w:basedOn w:val="TableNormal"/>
    <w:next w:val="TableGrid"/>
    <w:uiPriority w:val="59"/>
    <w:rsid w:val="00ED371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eNormal"/>
    <w:next w:val="TableGrid"/>
    <w:uiPriority w:val="59"/>
    <w:rsid w:val="00ED371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next w:val="TableGrid"/>
    <w:uiPriority w:val="59"/>
    <w:rsid w:val="00ED371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3">
    <w:name w:val="Table Grid13"/>
    <w:basedOn w:val="TableNormal"/>
    <w:next w:val="TableGrid"/>
    <w:uiPriority w:val="59"/>
    <w:rsid w:val="00C72835"/>
    <w:pPr>
      <w:spacing w:after="0" w:line="240" w:lineRule="auto"/>
    </w:pPr>
    <w:rPr>
      <w:rFonts w:ascii="Calibri" w:eastAsia="Calibri" w:hAnsi="Calibri"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72835"/>
    <w:pPr>
      <w:spacing w:after="0" w:line="240" w:lineRule="auto"/>
    </w:pPr>
    <w:rPr>
      <w:rFonts w:ascii="Calibri" w:eastAsia="Calibri" w:hAnsi="Calibri"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8431</Words>
  <Characters>48060</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Jacqueline Leiter</dc:creator>
  <cp:lastModifiedBy>Cristina BRIGOLI</cp:lastModifiedBy>
  <cp:revision>4</cp:revision>
  <cp:lastPrinted>2017-07-03T13:55:00Z</cp:lastPrinted>
  <dcterms:created xsi:type="dcterms:W3CDTF">2017-07-03T13:48:00Z</dcterms:created>
  <dcterms:modified xsi:type="dcterms:W3CDTF">2017-07-03T13:56:00Z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1704228</vt:lpwstr>
  </property>
  <property fmtid="{D5CDD505-2E9C-101B-9397-08002B2CF9AE}" pid="3" name="ODSRefJobNo">
    <vt:lpwstr>1704228E</vt:lpwstr>
  </property>
  <property fmtid="{D5CDD505-2E9C-101B-9397-08002B2CF9AE}" pid="4" name="Symbol1">
    <vt:lpwstr>CRC/C/DNK/Q/5/Add.1</vt:lpwstr>
  </property>
  <property fmtid="{D5CDD505-2E9C-101B-9397-08002B2CF9AE}" pid="5" name="Symbol2">
    <vt:lpwstr/>
  </property>
  <property fmtid="{D5CDD505-2E9C-101B-9397-08002B2CF9AE}" pid="6" name="Translator">
    <vt:lpwstr/>
  </property>
  <property fmtid="{D5CDD505-2E9C-101B-9397-08002B2CF9AE}" pid="7" name="Operator">
    <vt:lpwstr>MJL</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June 2017</vt:lpwstr>
  </property>
  <property fmtid="{D5CDD505-2E9C-101B-9397-08002B2CF9AE}" pid="12" name="Original">
    <vt:lpwstr>English</vt:lpwstr>
  </property>
  <property fmtid="{D5CDD505-2E9C-101B-9397-08002B2CF9AE}" pid="13" name="Release Date">
    <vt:lpwstr>210617</vt:lpwstr>
  </property>
</Properties>
</file>