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C860" w14:textId="77777777" w:rsidR="00685DAC" w:rsidRPr="00163B36" w:rsidRDefault="00685DAC" w:rsidP="00685DAC">
      <w:pPr>
        <w:spacing w:line="240" w:lineRule="auto"/>
        <w:rPr>
          <w:sz w:val="2"/>
        </w:rPr>
        <w:sectPr w:rsidR="00685DAC" w:rsidRPr="00163B36" w:rsidSect="00450F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Hlk97212667"/>
      <w:bookmarkStart w:id="1" w:name="_Hlk97293848"/>
      <w:bookmarkEnd w:id="0"/>
      <w:commentRangeStart w:id="2"/>
      <w:commentRangeEnd w:id="2"/>
      <w:r w:rsidRPr="00163B36">
        <w:rPr>
          <w:rStyle w:val="CommentReference"/>
        </w:rPr>
        <w:commentReference w:id="2"/>
      </w:r>
    </w:p>
    <w:p w14:paraId="48982006" w14:textId="3234630D" w:rsidR="00450F7E" w:rsidRPr="00EA5AB9" w:rsidRDefault="00450F7E" w:rsidP="00450F7E">
      <w:pPr>
        <w:pStyle w:val="H1"/>
        <w:tabs>
          <w:tab w:val="clear" w:pos="1742"/>
        </w:tabs>
        <w:ind w:left="0" w:right="4075" w:firstLine="0"/>
      </w:pPr>
      <w:r w:rsidRPr="00EA5AB9">
        <w:t>Committee on the Elimination of Discrimination against Women</w:t>
      </w:r>
    </w:p>
    <w:p w14:paraId="0F115409" w14:textId="77777777" w:rsidR="00450F7E" w:rsidRPr="00EA5AB9" w:rsidRDefault="00450F7E" w:rsidP="00450F7E">
      <w:pPr>
        <w:pStyle w:val="Session"/>
      </w:pPr>
      <w:r w:rsidRPr="00EA5AB9">
        <w:t>Eighty-second session</w:t>
      </w:r>
    </w:p>
    <w:p w14:paraId="26D1862F" w14:textId="072F6868" w:rsidR="00450F7E" w:rsidRPr="00163B36" w:rsidRDefault="0007129D" w:rsidP="00450F7E">
      <w:r>
        <w:t>13</w:t>
      </w:r>
      <w:r w:rsidR="00450F7E" w:rsidRPr="00163B36">
        <w:t xml:space="preserve"> June–</w:t>
      </w:r>
      <w:r>
        <w:t>1</w:t>
      </w:r>
      <w:r w:rsidR="00450F7E" w:rsidRPr="00163B36">
        <w:t xml:space="preserve"> July </w:t>
      </w:r>
      <w:r>
        <w:t>2022</w:t>
      </w:r>
    </w:p>
    <w:p w14:paraId="4F15734B" w14:textId="40C50DBC" w:rsidR="00450F7E" w:rsidRPr="00163B36" w:rsidRDefault="00450F7E" w:rsidP="00450F7E">
      <w:pPr>
        <w:pStyle w:val="AgendaItemNormal"/>
      </w:pPr>
      <w:r w:rsidRPr="00163B36">
        <w:t xml:space="preserve">Item </w:t>
      </w:r>
      <w:r w:rsidR="0007129D">
        <w:t>4</w:t>
      </w:r>
      <w:r w:rsidRPr="00163B36">
        <w:t xml:space="preserve"> of the provisional agenda</w:t>
      </w:r>
    </w:p>
    <w:p w14:paraId="04F4E342" w14:textId="199D62D6" w:rsidR="00450F7E" w:rsidRPr="00EA5AB9" w:rsidRDefault="00450F7E" w:rsidP="00450F7E">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170"/>
      </w:pPr>
      <w:r w:rsidRPr="00EA5AB9">
        <w:t xml:space="preserve">Consideration of reports submitted by States parties under article </w:t>
      </w:r>
      <w:r w:rsidR="0007129D">
        <w:t>18</w:t>
      </w:r>
      <w:r w:rsidRPr="00EA5AB9">
        <w:t xml:space="preserve"> of the Convention on the Elimination of All Forms of Discrimination against Women</w:t>
      </w:r>
    </w:p>
    <w:p w14:paraId="41BF1ABE" w14:textId="71DA7052" w:rsidR="00450F7E" w:rsidRPr="00163B36" w:rsidRDefault="00450F7E" w:rsidP="00450F7E">
      <w:pPr>
        <w:pStyle w:val="SingleTxt"/>
        <w:spacing w:after="0" w:line="120" w:lineRule="exact"/>
        <w:rPr>
          <w:sz w:val="10"/>
        </w:rPr>
      </w:pPr>
    </w:p>
    <w:p w14:paraId="6413E892" w14:textId="6ACE0520" w:rsidR="00450F7E" w:rsidRPr="00163B36" w:rsidRDefault="00450F7E" w:rsidP="00450F7E">
      <w:pPr>
        <w:pStyle w:val="SingleTxt"/>
        <w:spacing w:after="0" w:line="120" w:lineRule="exact"/>
        <w:rPr>
          <w:sz w:val="10"/>
        </w:rPr>
      </w:pPr>
    </w:p>
    <w:p w14:paraId="7CA77F87" w14:textId="40D45541" w:rsidR="00450F7E" w:rsidRPr="00163B36" w:rsidRDefault="00450F7E" w:rsidP="00450F7E">
      <w:pPr>
        <w:pStyle w:val="SingleTxt"/>
        <w:spacing w:after="0" w:line="120" w:lineRule="exact"/>
        <w:rPr>
          <w:sz w:val="10"/>
        </w:rPr>
      </w:pPr>
    </w:p>
    <w:p w14:paraId="19B146FA" w14:textId="496B109C" w:rsidR="009740EE" w:rsidRPr="00163B36" w:rsidRDefault="009740EE" w:rsidP="009740EE">
      <w:pPr>
        <w:framePr w:w="9792" w:h="432" w:hSpace="180" w:wrap="notBeside" w:hAnchor="page" w:x="1210" w:yAlign="bottom"/>
        <w:spacing w:line="240" w:lineRule="auto"/>
        <w:rPr>
          <w:sz w:val="2"/>
        </w:rPr>
      </w:pPr>
      <w:r w:rsidRPr="00163B36">
        <w:rPr>
          <w:noProof/>
          <w:w w:val="100"/>
          <w:sz w:val="2"/>
        </w:rPr>
        <mc:AlternateContent>
          <mc:Choice Requires="wps">
            <w:drawing>
              <wp:anchor distT="0" distB="0" distL="114300" distR="114300" simplePos="0" relativeHeight="251659264" behindDoc="0" locked="0" layoutInCell="1" allowOverlap="1" wp14:anchorId="2B68FE4D" wp14:editId="27F8188E">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A04A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F22BF14" w14:textId="7840C494" w:rsidR="009740EE" w:rsidRPr="00163B36" w:rsidRDefault="009740EE" w:rsidP="009740E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63B36">
        <w:rPr>
          <w:spacing w:val="5"/>
          <w:w w:val="104"/>
          <w:sz w:val="17"/>
        </w:rPr>
        <w:tab/>
        <w:t>*</w:t>
      </w:r>
      <w:r w:rsidRPr="00163B36">
        <w:rPr>
          <w:spacing w:val="5"/>
          <w:w w:val="104"/>
          <w:sz w:val="17"/>
        </w:rPr>
        <w:tab/>
        <w:t>The present document is being issued without formal editing.</w:t>
      </w:r>
    </w:p>
    <w:p w14:paraId="47CFDD5A" w14:textId="11FD7255" w:rsidR="009740EE" w:rsidRPr="00163B36" w:rsidRDefault="009740EE" w:rsidP="009740E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0" w:hanging="576"/>
        <w:rPr>
          <w:spacing w:val="5"/>
          <w:w w:val="104"/>
          <w:sz w:val="17"/>
        </w:rPr>
      </w:pPr>
      <w:r w:rsidRPr="00163B36">
        <w:rPr>
          <w:spacing w:val="5"/>
          <w:w w:val="104"/>
          <w:sz w:val="17"/>
        </w:rPr>
        <w:tab/>
        <w:t>**</w:t>
      </w:r>
      <w:r w:rsidRPr="00163B36">
        <w:rPr>
          <w:spacing w:val="5"/>
          <w:w w:val="104"/>
          <w:sz w:val="17"/>
        </w:rPr>
        <w:tab/>
        <w:t>The annexes to the present report may be accessed from the web page of the Committee.</w:t>
      </w:r>
    </w:p>
    <w:p w14:paraId="5B71B49A" w14:textId="08621C65" w:rsidR="00450F7E" w:rsidRPr="00EA5AB9" w:rsidRDefault="00450F7E" w:rsidP="00450F7E">
      <w:pPr>
        <w:pStyle w:val="TitleHCH"/>
        <w:ind w:left="1267" w:right="1260" w:hanging="1267"/>
      </w:pPr>
      <w:r w:rsidRPr="00EA5AB9">
        <w:tab/>
      </w:r>
      <w:r w:rsidRPr="00EA5AB9">
        <w:tab/>
        <w:t>Replies of Hungary to the list of issues and questions in relation to its ninth periodic report</w:t>
      </w:r>
      <w:proofErr w:type="gramStart"/>
      <w:r w:rsidRPr="00163B36">
        <w:rPr>
          <w:b w:val="0"/>
          <w:bCs/>
          <w:sz w:val="20"/>
        </w:rPr>
        <w:t>*</w:t>
      </w:r>
      <w:r w:rsidRPr="00163B36">
        <w:rPr>
          <w:b w:val="0"/>
          <w:bCs/>
          <w:sz w:val="20"/>
          <w:vertAlign w:val="superscript"/>
        </w:rPr>
        <w:t>,</w:t>
      </w:r>
      <w:r w:rsidRPr="00163B36">
        <w:rPr>
          <w:b w:val="0"/>
          <w:bCs/>
          <w:sz w:val="20"/>
        </w:rPr>
        <w:t>*</w:t>
      </w:r>
      <w:proofErr w:type="gramEnd"/>
      <w:r w:rsidRPr="00163B36">
        <w:rPr>
          <w:b w:val="0"/>
          <w:bCs/>
          <w:sz w:val="20"/>
        </w:rPr>
        <w:t>*</w:t>
      </w:r>
    </w:p>
    <w:p w14:paraId="2C92BEF7" w14:textId="77777777" w:rsidR="009740EE" w:rsidRPr="00163B36" w:rsidRDefault="009740EE" w:rsidP="009740EE">
      <w:pPr>
        <w:pStyle w:val="SingleTxt"/>
        <w:spacing w:after="0" w:line="120" w:lineRule="exact"/>
        <w:rPr>
          <w:sz w:val="10"/>
        </w:rPr>
      </w:pPr>
    </w:p>
    <w:p w14:paraId="078F0CCC" w14:textId="17D8D1DA" w:rsidR="00685DAC" w:rsidRPr="00163B36" w:rsidRDefault="00450F7E" w:rsidP="009740EE">
      <w:pPr>
        <w:pStyle w:val="SingleTxt"/>
        <w:jc w:val="right"/>
      </w:pPr>
      <w:r w:rsidRPr="00163B36">
        <w:t xml:space="preserve">[Date received: </w:t>
      </w:r>
      <w:r w:rsidR="00AD4B32">
        <w:t>9</w:t>
      </w:r>
      <w:r w:rsidRPr="00163B36">
        <w:t xml:space="preserve"> July </w:t>
      </w:r>
      <w:r w:rsidR="0007129D">
        <w:t>2021</w:t>
      </w:r>
      <w:r w:rsidRPr="00163B36">
        <w:t>]</w:t>
      </w:r>
    </w:p>
    <w:p w14:paraId="71C81DF3" w14:textId="2531E2EC" w:rsidR="009740EE" w:rsidRPr="00163B36" w:rsidRDefault="009740EE">
      <w:pPr>
        <w:suppressAutoHyphens w:val="0"/>
        <w:spacing w:after="200" w:line="276" w:lineRule="auto"/>
        <w:rPr>
          <w:sz w:val="10"/>
        </w:rPr>
      </w:pPr>
      <w:r w:rsidRPr="00163B36">
        <w:rPr>
          <w:sz w:val="10"/>
        </w:rPr>
        <w:br w:type="page"/>
      </w:r>
    </w:p>
    <w:p w14:paraId="2A5F1B48" w14:textId="77777777" w:rsidR="00C30C01" w:rsidRPr="00163B36" w:rsidRDefault="00C30C01" w:rsidP="00C30C01">
      <w:pPr>
        <w:pStyle w:val="HCh"/>
        <w:spacing w:after="120"/>
        <w:rPr>
          <w:b w:val="0"/>
        </w:rPr>
      </w:pPr>
      <w:r w:rsidRPr="00163B36">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C30C01" w:rsidRPr="00EA5AB9" w14:paraId="5D66ECE8" w14:textId="77777777" w:rsidTr="00C30C01">
        <w:tc>
          <w:tcPr>
            <w:tcW w:w="1060" w:type="dxa"/>
            <w:shd w:val="clear" w:color="auto" w:fill="auto"/>
          </w:tcPr>
          <w:p w14:paraId="240A8797" w14:textId="1271803A" w:rsidR="00C30C01" w:rsidRPr="00163B36" w:rsidRDefault="00C30C01" w:rsidP="00C30C01">
            <w:pPr>
              <w:spacing w:after="120" w:line="240" w:lineRule="auto"/>
              <w:jc w:val="right"/>
              <w:rPr>
                <w:i/>
                <w:sz w:val="14"/>
              </w:rPr>
            </w:pPr>
          </w:p>
        </w:tc>
        <w:tc>
          <w:tcPr>
            <w:tcW w:w="7315" w:type="dxa"/>
            <w:shd w:val="clear" w:color="auto" w:fill="auto"/>
          </w:tcPr>
          <w:p w14:paraId="43007BA7" w14:textId="64F5252F" w:rsidR="00C30C01" w:rsidRPr="00163B36" w:rsidRDefault="00C30C01" w:rsidP="00C30C01">
            <w:pPr>
              <w:spacing w:after="120" w:line="240" w:lineRule="auto"/>
              <w:rPr>
                <w:i/>
                <w:sz w:val="14"/>
              </w:rPr>
            </w:pPr>
          </w:p>
        </w:tc>
        <w:tc>
          <w:tcPr>
            <w:tcW w:w="994" w:type="dxa"/>
            <w:shd w:val="clear" w:color="auto" w:fill="auto"/>
          </w:tcPr>
          <w:p w14:paraId="0494A0AB" w14:textId="2BA076BC" w:rsidR="00C30C01" w:rsidRPr="00163B36" w:rsidRDefault="00C30C01" w:rsidP="00C30C01">
            <w:pPr>
              <w:spacing w:after="120" w:line="240" w:lineRule="auto"/>
              <w:jc w:val="right"/>
              <w:rPr>
                <w:i/>
                <w:sz w:val="14"/>
              </w:rPr>
            </w:pPr>
          </w:p>
        </w:tc>
        <w:tc>
          <w:tcPr>
            <w:tcW w:w="533" w:type="dxa"/>
            <w:shd w:val="clear" w:color="auto" w:fill="auto"/>
          </w:tcPr>
          <w:p w14:paraId="54E48248" w14:textId="041E21EF" w:rsidR="00C30C01" w:rsidRPr="00163B36" w:rsidRDefault="00C30C01" w:rsidP="00C30C01">
            <w:pPr>
              <w:spacing w:after="120" w:line="240" w:lineRule="auto"/>
              <w:jc w:val="right"/>
              <w:rPr>
                <w:i/>
                <w:sz w:val="14"/>
              </w:rPr>
            </w:pPr>
            <w:r w:rsidRPr="00EA5AB9">
              <w:rPr>
                <w:i/>
                <w:sz w:val="14"/>
              </w:rPr>
              <w:t>Page</w:t>
            </w:r>
          </w:p>
        </w:tc>
      </w:tr>
      <w:tr w:rsidR="00C30C01" w:rsidRPr="00EA5AB9" w14:paraId="300D89F0" w14:textId="77777777" w:rsidTr="00C30C01">
        <w:tc>
          <w:tcPr>
            <w:tcW w:w="9369" w:type="dxa"/>
            <w:gridSpan w:val="3"/>
            <w:shd w:val="clear" w:color="auto" w:fill="auto"/>
          </w:tcPr>
          <w:p w14:paraId="5CF735BF" w14:textId="31FB4E8E" w:rsidR="00C30C01" w:rsidRPr="00163B36" w:rsidRDefault="00B240BA" w:rsidP="00B240BA">
            <w:pPr>
              <w:pStyle w:val="ListParagraph"/>
              <w:numPr>
                <w:ilvl w:val="0"/>
                <w:numId w:val="25"/>
              </w:numPr>
              <w:tabs>
                <w:tab w:val="right" w:pos="1080"/>
                <w:tab w:val="left" w:pos="1296"/>
                <w:tab w:val="left" w:pos="1728"/>
                <w:tab w:val="left" w:pos="2160"/>
                <w:tab w:val="right" w:leader="dot" w:pos="9360"/>
              </w:tabs>
              <w:spacing w:after="120"/>
            </w:pPr>
            <w:r w:rsidRPr="00163B36">
              <w:tab/>
              <w:t>Introduction</w:t>
            </w:r>
            <w:r w:rsidRPr="00163B36">
              <w:rPr>
                <w:spacing w:val="60"/>
                <w:sz w:val="17"/>
              </w:rPr>
              <w:tab/>
            </w:r>
          </w:p>
        </w:tc>
        <w:tc>
          <w:tcPr>
            <w:tcW w:w="533" w:type="dxa"/>
            <w:shd w:val="clear" w:color="auto" w:fill="auto"/>
            <w:vAlign w:val="bottom"/>
          </w:tcPr>
          <w:p w14:paraId="12D5D308" w14:textId="293FF73D" w:rsidR="00C30C01" w:rsidRPr="00163B36" w:rsidRDefault="00333A03" w:rsidP="00C30C01">
            <w:pPr>
              <w:spacing w:after="120"/>
              <w:jc w:val="right"/>
            </w:pPr>
            <w:r>
              <w:t>3</w:t>
            </w:r>
          </w:p>
        </w:tc>
      </w:tr>
      <w:tr w:rsidR="00B240BA" w:rsidRPr="00EA5AB9" w14:paraId="3891F020" w14:textId="77777777" w:rsidTr="00C30C01">
        <w:tc>
          <w:tcPr>
            <w:tcW w:w="9369" w:type="dxa"/>
            <w:gridSpan w:val="3"/>
            <w:shd w:val="clear" w:color="auto" w:fill="auto"/>
          </w:tcPr>
          <w:p w14:paraId="7EF4C116" w14:textId="7FE3FE74" w:rsidR="00B240BA" w:rsidRPr="00163B36" w:rsidRDefault="00B240BA" w:rsidP="00B240BA">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163B36">
              <w:tab/>
              <w:t>Responses to the list of issues and questions</w:t>
            </w:r>
            <w:r w:rsidRPr="00163B36">
              <w:rPr>
                <w:spacing w:val="60"/>
                <w:sz w:val="17"/>
              </w:rPr>
              <w:tab/>
            </w:r>
          </w:p>
        </w:tc>
        <w:tc>
          <w:tcPr>
            <w:tcW w:w="533" w:type="dxa"/>
            <w:shd w:val="clear" w:color="auto" w:fill="auto"/>
            <w:vAlign w:val="bottom"/>
          </w:tcPr>
          <w:p w14:paraId="0EA05963" w14:textId="16613F94" w:rsidR="00B240BA" w:rsidRPr="00163B36" w:rsidRDefault="00333A03" w:rsidP="00C30C01">
            <w:pPr>
              <w:spacing w:after="120"/>
              <w:jc w:val="right"/>
            </w:pPr>
            <w:r>
              <w:t>3</w:t>
            </w:r>
          </w:p>
        </w:tc>
      </w:tr>
      <w:tr w:rsidR="00B240BA" w:rsidRPr="00EA5AB9" w14:paraId="6A51A4C1" w14:textId="77777777" w:rsidTr="00C30C01">
        <w:tc>
          <w:tcPr>
            <w:tcW w:w="9369" w:type="dxa"/>
            <w:gridSpan w:val="3"/>
            <w:shd w:val="clear" w:color="auto" w:fill="auto"/>
          </w:tcPr>
          <w:p w14:paraId="4C5FECA5" w14:textId="45A2D038" w:rsidR="00B240BA" w:rsidRPr="00163B36" w:rsidRDefault="00B240BA" w:rsidP="00B240BA">
            <w:pPr>
              <w:tabs>
                <w:tab w:val="right" w:pos="1080"/>
                <w:tab w:val="left" w:pos="1296"/>
                <w:tab w:val="left" w:pos="1728"/>
                <w:tab w:val="left" w:pos="2160"/>
                <w:tab w:val="left" w:pos="2592"/>
                <w:tab w:val="right" w:leader="dot" w:pos="9360"/>
              </w:tabs>
              <w:spacing w:after="120"/>
              <w:ind w:left="1728"/>
              <w:rPr>
                <w:spacing w:val="60"/>
                <w:sz w:val="17"/>
              </w:rPr>
            </w:pPr>
            <w:r w:rsidRPr="00163B36">
              <w:t>Visibility of the Convention, the Optional Protocol and the Committee</w:t>
            </w:r>
            <w:r w:rsidR="00024758">
              <w:t>’</w:t>
            </w:r>
            <w:r w:rsidRPr="00163B36">
              <w:t>s general recommendations</w:t>
            </w:r>
            <w:r w:rsidRPr="00163B36">
              <w:rPr>
                <w:spacing w:val="60"/>
                <w:sz w:val="17"/>
              </w:rPr>
              <w:tab/>
            </w:r>
          </w:p>
        </w:tc>
        <w:tc>
          <w:tcPr>
            <w:tcW w:w="533" w:type="dxa"/>
            <w:shd w:val="clear" w:color="auto" w:fill="auto"/>
            <w:vAlign w:val="bottom"/>
          </w:tcPr>
          <w:p w14:paraId="17065E05" w14:textId="047AFF63" w:rsidR="00B240BA" w:rsidRPr="00163B36" w:rsidRDefault="00333A03" w:rsidP="00B240BA">
            <w:pPr>
              <w:spacing w:after="120"/>
              <w:jc w:val="right"/>
            </w:pPr>
            <w:r>
              <w:t>3</w:t>
            </w:r>
          </w:p>
        </w:tc>
      </w:tr>
      <w:tr w:rsidR="00B240BA" w:rsidRPr="00EA5AB9" w14:paraId="4F8BC01A" w14:textId="77777777" w:rsidTr="00C30C01">
        <w:tc>
          <w:tcPr>
            <w:tcW w:w="9369" w:type="dxa"/>
            <w:gridSpan w:val="3"/>
            <w:shd w:val="clear" w:color="auto" w:fill="auto"/>
          </w:tcPr>
          <w:p w14:paraId="0BD075E0" w14:textId="2AC642D7" w:rsidR="00B240BA" w:rsidRPr="00163B36" w:rsidRDefault="00B240BA" w:rsidP="00A909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4320" w:hanging="2592"/>
              <w:rPr>
                <w:spacing w:val="60"/>
                <w:sz w:val="17"/>
              </w:rPr>
            </w:pPr>
            <w:r w:rsidRPr="00163B36">
              <w:t>Impact of the pandemic on women</w:t>
            </w:r>
            <w:r w:rsidR="00024758">
              <w:t>’</w:t>
            </w:r>
            <w:r w:rsidRPr="00163B36">
              <w:t>s rights and gender equality</w:t>
            </w:r>
            <w:r w:rsidR="00A909A6" w:rsidRPr="00163B36">
              <w:rPr>
                <w:spacing w:val="60"/>
                <w:sz w:val="17"/>
              </w:rPr>
              <w:tab/>
            </w:r>
          </w:p>
        </w:tc>
        <w:tc>
          <w:tcPr>
            <w:tcW w:w="533" w:type="dxa"/>
            <w:shd w:val="clear" w:color="auto" w:fill="auto"/>
            <w:vAlign w:val="bottom"/>
          </w:tcPr>
          <w:p w14:paraId="5746BB49" w14:textId="1E6C3B2C" w:rsidR="00B240BA" w:rsidRPr="00163B36" w:rsidRDefault="00333A03" w:rsidP="00C30C01">
            <w:pPr>
              <w:spacing w:after="120"/>
              <w:jc w:val="right"/>
            </w:pPr>
            <w:r>
              <w:t>3</w:t>
            </w:r>
          </w:p>
        </w:tc>
      </w:tr>
      <w:tr w:rsidR="00B240BA" w:rsidRPr="00EA5AB9" w14:paraId="228F86D2" w14:textId="77777777" w:rsidTr="00C30C01">
        <w:tc>
          <w:tcPr>
            <w:tcW w:w="9369" w:type="dxa"/>
            <w:gridSpan w:val="3"/>
            <w:shd w:val="clear" w:color="auto" w:fill="auto"/>
          </w:tcPr>
          <w:p w14:paraId="6D8AC447" w14:textId="3F57FA5A" w:rsidR="00B240BA" w:rsidRPr="00163B36" w:rsidRDefault="00A909A6" w:rsidP="00A909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rPr>
                <w:spacing w:val="60"/>
                <w:sz w:val="17"/>
              </w:rPr>
            </w:pPr>
            <w:r w:rsidRPr="00163B36">
              <w:t>Definition of equality and non-discrimination</w:t>
            </w:r>
            <w:r w:rsidRPr="00163B36">
              <w:rPr>
                <w:spacing w:val="60"/>
                <w:sz w:val="17"/>
              </w:rPr>
              <w:tab/>
            </w:r>
          </w:p>
        </w:tc>
        <w:tc>
          <w:tcPr>
            <w:tcW w:w="533" w:type="dxa"/>
            <w:shd w:val="clear" w:color="auto" w:fill="auto"/>
            <w:vAlign w:val="bottom"/>
          </w:tcPr>
          <w:p w14:paraId="7F98C376" w14:textId="21D6E3FC" w:rsidR="00B240BA" w:rsidRPr="00163B36" w:rsidRDefault="00333A03" w:rsidP="00C30C01">
            <w:pPr>
              <w:spacing w:after="120"/>
              <w:jc w:val="right"/>
            </w:pPr>
            <w:r>
              <w:t>4</w:t>
            </w:r>
          </w:p>
        </w:tc>
      </w:tr>
      <w:tr w:rsidR="00B240BA" w:rsidRPr="00EA5AB9" w14:paraId="162934B6" w14:textId="77777777" w:rsidTr="00C30C01">
        <w:tc>
          <w:tcPr>
            <w:tcW w:w="9369" w:type="dxa"/>
            <w:gridSpan w:val="3"/>
            <w:shd w:val="clear" w:color="auto" w:fill="auto"/>
          </w:tcPr>
          <w:p w14:paraId="0C46D56C" w14:textId="2AE0F0D2" w:rsidR="00B240BA" w:rsidRPr="00163B36" w:rsidRDefault="00A909A6" w:rsidP="00A909A6">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rPr>
                <w:spacing w:val="60"/>
                <w:sz w:val="17"/>
              </w:rPr>
            </w:pPr>
            <w:r w:rsidRPr="00163B36">
              <w:t>National Human Rights Institutions</w:t>
            </w:r>
            <w:r w:rsidRPr="00163B36">
              <w:rPr>
                <w:spacing w:val="60"/>
                <w:sz w:val="17"/>
              </w:rPr>
              <w:tab/>
            </w:r>
          </w:p>
        </w:tc>
        <w:tc>
          <w:tcPr>
            <w:tcW w:w="533" w:type="dxa"/>
            <w:shd w:val="clear" w:color="auto" w:fill="auto"/>
            <w:vAlign w:val="bottom"/>
          </w:tcPr>
          <w:p w14:paraId="14763703" w14:textId="102DD8E7" w:rsidR="00B240BA" w:rsidRPr="00163B36" w:rsidRDefault="00333A03" w:rsidP="00C30C01">
            <w:pPr>
              <w:spacing w:after="120"/>
              <w:jc w:val="right"/>
            </w:pPr>
            <w:r>
              <w:t>6</w:t>
            </w:r>
          </w:p>
        </w:tc>
      </w:tr>
      <w:tr w:rsidR="00B240BA" w:rsidRPr="00EA5AB9" w14:paraId="68613746" w14:textId="77777777" w:rsidTr="00C30C01">
        <w:tc>
          <w:tcPr>
            <w:tcW w:w="9369" w:type="dxa"/>
            <w:gridSpan w:val="3"/>
            <w:shd w:val="clear" w:color="auto" w:fill="auto"/>
          </w:tcPr>
          <w:p w14:paraId="45D7F84E" w14:textId="523B1503" w:rsidR="00B240BA" w:rsidRPr="00163B36" w:rsidRDefault="00A909A6" w:rsidP="00A909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rPr>
                <w:spacing w:val="60"/>
                <w:sz w:val="17"/>
              </w:rPr>
            </w:pPr>
            <w:r w:rsidRPr="00163B36">
              <w:t>National machinery for the advancement of women</w:t>
            </w:r>
            <w:r w:rsidRPr="00163B36">
              <w:rPr>
                <w:spacing w:val="60"/>
                <w:sz w:val="17"/>
              </w:rPr>
              <w:tab/>
            </w:r>
          </w:p>
        </w:tc>
        <w:tc>
          <w:tcPr>
            <w:tcW w:w="533" w:type="dxa"/>
            <w:shd w:val="clear" w:color="auto" w:fill="auto"/>
            <w:vAlign w:val="bottom"/>
          </w:tcPr>
          <w:p w14:paraId="095DA3CA" w14:textId="39275291" w:rsidR="00B240BA" w:rsidRPr="00163B36" w:rsidRDefault="00333A03" w:rsidP="00C30C01">
            <w:pPr>
              <w:spacing w:after="120"/>
              <w:jc w:val="right"/>
            </w:pPr>
            <w:r>
              <w:t>6</w:t>
            </w:r>
          </w:p>
        </w:tc>
      </w:tr>
      <w:tr w:rsidR="00B240BA" w:rsidRPr="00EA5AB9" w14:paraId="564E0EF8" w14:textId="77777777" w:rsidTr="00C30C01">
        <w:tc>
          <w:tcPr>
            <w:tcW w:w="9369" w:type="dxa"/>
            <w:gridSpan w:val="3"/>
            <w:shd w:val="clear" w:color="auto" w:fill="auto"/>
          </w:tcPr>
          <w:p w14:paraId="74926FCA" w14:textId="16F4FAC3" w:rsidR="00B240BA" w:rsidRPr="00163B36" w:rsidRDefault="00A909A6" w:rsidP="00A909A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728"/>
              <w:rPr>
                <w:spacing w:val="60"/>
                <w:sz w:val="17"/>
              </w:rPr>
            </w:pPr>
            <w:r w:rsidRPr="00163B36">
              <w:t xml:space="preserve">Women human rights defenders, civil </w:t>
            </w:r>
            <w:proofErr w:type="gramStart"/>
            <w:r w:rsidRPr="00163B36">
              <w:t>society</w:t>
            </w:r>
            <w:proofErr w:type="gramEnd"/>
            <w:r w:rsidRPr="00163B36">
              <w:t xml:space="preserve"> and non-governmental organizations</w:t>
            </w:r>
            <w:r w:rsidRPr="00163B36">
              <w:rPr>
                <w:spacing w:val="60"/>
                <w:sz w:val="17"/>
              </w:rPr>
              <w:tab/>
            </w:r>
          </w:p>
        </w:tc>
        <w:tc>
          <w:tcPr>
            <w:tcW w:w="533" w:type="dxa"/>
            <w:shd w:val="clear" w:color="auto" w:fill="auto"/>
            <w:vAlign w:val="bottom"/>
          </w:tcPr>
          <w:p w14:paraId="30D77FC9" w14:textId="6C62BFDA" w:rsidR="00B240BA" w:rsidRPr="00163B36" w:rsidRDefault="00333A03" w:rsidP="00C30C01">
            <w:pPr>
              <w:spacing w:after="120"/>
              <w:jc w:val="right"/>
            </w:pPr>
            <w:r>
              <w:t>10</w:t>
            </w:r>
          </w:p>
        </w:tc>
      </w:tr>
      <w:tr w:rsidR="00B240BA" w:rsidRPr="00EA5AB9" w14:paraId="1A85C406" w14:textId="77777777" w:rsidTr="00C30C01">
        <w:tc>
          <w:tcPr>
            <w:tcW w:w="9369" w:type="dxa"/>
            <w:gridSpan w:val="3"/>
            <w:shd w:val="clear" w:color="auto" w:fill="auto"/>
          </w:tcPr>
          <w:p w14:paraId="0BA12ED7" w14:textId="4022FBA8" w:rsidR="00B240BA" w:rsidRPr="00163B36" w:rsidRDefault="00A909A6" w:rsidP="00A909A6">
            <w:pPr>
              <w:tabs>
                <w:tab w:val="right" w:pos="1080"/>
                <w:tab w:val="left" w:pos="1296"/>
                <w:tab w:val="left" w:pos="1728"/>
                <w:tab w:val="left" w:pos="2160"/>
                <w:tab w:val="left" w:pos="2592"/>
                <w:tab w:val="left" w:pos="3024"/>
                <w:tab w:val="left" w:pos="3456"/>
                <w:tab w:val="left" w:pos="3888"/>
                <w:tab w:val="right" w:leader="dot" w:pos="9360"/>
              </w:tabs>
              <w:spacing w:after="120"/>
              <w:ind w:left="1728"/>
              <w:rPr>
                <w:spacing w:val="60"/>
                <w:sz w:val="17"/>
              </w:rPr>
            </w:pPr>
            <w:r w:rsidRPr="00163B36">
              <w:t>Temporary special measures</w:t>
            </w:r>
            <w:r w:rsidRPr="00163B36">
              <w:rPr>
                <w:spacing w:val="60"/>
                <w:sz w:val="17"/>
              </w:rPr>
              <w:tab/>
            </w:r>
          </w:p>
        </w:tc>
        <w:tc>
          <w:tcPr>
            <w:tcW w:w="533" w:type="dxa"/>
            <w:shd w:val="clear" w:color="auto" w:fill="auto"/>
            <w:vAlign w:val="bottom"/>
          </w:tcPr>
          <w:p w14:paraId="418EB36A" w14:textId="77E9425C" w:rsidR="00B240BA" w:rsidRPr="00163B36" w:rsidRDefault="00333A03" w:rsidP="00C30C01">
            <w:pPr>
              <w:spacing w:after="120"/>
              <w:jc w:val="right"/>
            </w:pPr>
            <w:r>
              <w:t>10</w:t>
            </w:r>
          </w:p>
        </w:tc>
      </w:tr>
      <w:tr w:rsidR="00B240BA" w:rsidRPr="00EA5AB9" w14:paraId="2771662A" w14:textId="77777777" w:rsidTr="00C30C01">
        <w:tc>
          <w:tcPr>
            <w:tcW w:w="9369" w:type="dxa"/>
            <w:gridSpan w:val="3"/>
            <w:shd w:val="clear" w:color="auto" w:fill="auto"/>
          </w:tcPr>
          <w:p w14:paraId="18BDDDD8" w14:textId="05A3B92F" w:rsidR="00B240BA" w:rsidRPr="00163B36" w:rsidRDefault="00A909A6" w:rsidP="00A909A6">
            <w:pPr>
              <w:tabs>
                <w:tab w:val="right" w:pos="1080"/>
                <w:tab w:val="left" w:pos="1296"/>
                <w:tab w:val="left" w:pos="1728"/>
                <w:tab w:val="left" w:pos="2160"/>
                <w:tab w:val="left" w:pos="2592"/>
                <w:tab w:val="left" w:pos="3024"/>
                <w:tab w:val="left" w:pos="3456"/>
                <w:tab w:val="left" w:pos="3888"/>
                <w:tab w:val="right" w:leader="dot" w:pos="9360"/>
              </w:tabs>
              <w:spacing w:after="120"/>
              <w:ind w:left="1728"/>
              <w:rPr>
                <w:spacing w:val="60"/>
                <w:sz w:val="17"/>
              </w:rPr>
            </w:pPr>
            <w:r w:rsidRPr="00163B36">
              <w:t>Discriminatory stereotypes</w:t>
            </w:r>
            <w:r w:rsidRPr="00163B36">
              <w:rPr>
                <w:spacing w:val="60"/>
                <w:sz w:val="17"/>
              </w:rPr>
              <w:tab/>
            </w:r>
          </w:p>
        </w:tc>
        <w:tc>
          <w:tcPr>
            <w:tcW w:w="533" w:type="dxa"/>
            <w:shd w:val="clear" w:color="auto" w:fill="auto"/>
            <w:vAlign w:val="bottom"/>
          </w:tcPr>
          <w:p w14:paraId="46F45BC5" w14:textId="01DFA0B8" w:rsidR="00B240BA" w:rsidRPr="00163B36" w:rsidRDefault="00333A03" w:rsidP="00C30C01">
            <w:pPr>
              <w:spacing w:after="120"/>
              <w:jc w:val="right"/>
            </w:pPr>
            <w:r>
              <w:t>11</w:t>
            </w:r>
          </w:p>
        </w:tc>
      </w:tr>
      <w:tr w:rsidR="00B240BA" w:rsidRPr="00EA5AB9" w14:paraId="06366AD0" w14:textId="77777777" w:rsidTr="00C30C01">
        <w:tc>
          <w:tcPr>
            <w:tcW w:w="9369" w:type="dxa"/>
            <w:gridSpan w:val="3"/>
            <w:shd w:val="clear" w:color="auto" w:fill="auto"/>
          </w:tcPr>
          <w:p w14:paraId="6DF5605B" w14:textId="401CBB89" w:rsidR="00B240BA" w:rsidRPr="00163B36" w:rsidRDefault="00A909A6" w:rsidP="00A909A6">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rPr>
                <w:spacing w:val="60"/>
                <w:sz w:val="17"/>
              </w:rPr>
            </w:pPr>
            <w:r w:rsidRPr="00163B36">
              <w:t>Gender-based violence against women</w:t>
            </w:r>
            <w:r w:rsidRPr="00163B36">
              <w:rPr>
                <w:spacing w:val="60"/>
                <w:sz w:val="17"/>
              </w:rPr>
              <w:tab/>
            </w:r>
          </w:p>
        </w:tc>
        <w:tc>
          <w:tcPr>
            <w:tcW w:w="533" w:type="dxa"/>
            <w:shd w:val="clear" w:color="auto" w:fill="auto"/>
            <w:vAlign w:val="bottom"/>
          </w:tcPr>
          <w:p w14:paraId="797E880E" w14:textId="0A681005" w:rsidR="00B240BA" w:rsidRPr="00163B36" w:rsidRDefault="00333A03" w:rsidP="00C30C01">
            <w:pPr>
              <w:spacing w:after="120"/>
              <w:jc w:val="right"/>
            </w:pPr>
            <w:r>
              <w:t>11</w:t>
            </w:r>
          </w:p>
        </w:tc>
      </w:tr>
      <w:tr w:rsidR="00B240BA" w:rsidRPr="00EA5AB9" w14:paraId="2315FF42" w14:textId="77777777" w:rsidTr="00C30C01">
        <w:tc>
          <w:tcPr>
            <w:tcW w:w="9369" w:type="dxa"/>
            <w:gridSpan w:val="3"/>
            <w:shd w:val="clear" w:color="auto" w:fill="auto"/>
          </w:tcPr>
          <w:p w14:paraId="70AC6C6D" w14:textId="500FF388" w:rsidR="00B240BA" w:rsidRPr="00163B36" w:rsidRDefault="00A909A6" w:rsidP="00A909A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rPr>
                <w:spacing w:val="60"/>
                <w:sz w:val="17"/>
              </w:rPr>
            </w:pPr>
            <w:r w:rsidRPr="00163B36">
              <w:t>Trafficking and exploitation of prostitution</w:t>
            </w:r>
            <w:r w:rsidRPr="00163B36">
              <w:rPr>
                <w:spacing w:val="60"/>
                <w:sz w:val="17"/>
              </w:rPr>
              <w:tab/>
            </w:r>
          </w:p>
        </w:tc>
        <w:tc>
          <w:tcPr>
            <w:tcW w:w="533" w:type="dxa"/>
            <w:shd w:val="clear" w:color="auto" w:fill="auto"/>
            <w:vAlign w:val="bottom"/>
          </w:tcPr>
          <w:p w14:paraId="21C87AA6" w14:textId="43C55A36" w:rsidR="00B240BA" w:rsidRPr="00163B36" w:rsidRDefault="00333A03" w:rsidP="00C30C01">
            <w:pPr>
              <w:spacing w:after="120"/>
              <w:jc w:val="right"/>
            </w:pPr>
            <w:r>
              <w:t>14</w:t>
            </w:r>
          </w:p>
        </w:tc>
      </w:tr>
      <w:tr w:rsidR="00B240BA" w:rsidRPr="00EA5AB9" w14:paraId="46517D72" w14:textId="77777777" w:rsidTr="00C30C01">
        <w:tc>
          <w:tcPr>
            <w:tcW w:w="9369" w:type="dxa"/>
            <w:gridSpan w:val="3"/>
            <w:shd w:val="clear" w:color="auto" w:fill="auto"/>
          </w:tcPr>
          <w:p w14:paraId="1DEE4F5C" w14:textId="70F48148" w:rsidR="00B240BA" w:rsidRPr="00163B36" w:rsidRDefault="00A909A6" w:rsidP="00A909A6">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rPr>
                <w:spacing w:val="60"/>
                <w:sz w:val="17"/>
              </w:rPr>
            </w:pPr>
            <w:r w:rsidRPr="00163B36">
              <w:t>Participation in political and public life</w:t>
            </w:r>
            <w:r w:rsidRPr="00163B36">
              <w:rPr>
                <w:spacing w:val="60"/>
                <w:sz w:val="17"/>
              </w:rPr>
              <w:tab/>
            </w:r>
          </w:p>
        </w:tc>
        <w:tc>
          <w:tcPr>
            <w:tcW w:w="533" w:type="dxa"/>
            <w:shd w:val="clear" w:color="auto" w:fill="auto"/>
            <w:vAlign w:val="bottom"/>
          </w:tcPr>
          <w:p w14:paraId="5A6741BB" w14:textId="630CE9F5" w:rsidR="00B240BA" w:rsidRPr="00163B36" w:rsidRDefault="00333A03" w:rsidP="00C30C01">
            <w:pPr>
              <w:spacing w:after="120"/>
              <w:jc w:val="right"/>
            </w:pPr>
            <w:r>
              <w:t>15</w:t>
            </w:r>
          </w:p>
        </w:tc>
      </w:tr>
      <w:tr w:rsidR="00B240BA" w:rsidRPr="00EA5AB9" w14:paraId="1C202D4B" w14:textId="77777777" w:rsidTr="00C30C01">
        <w:tc>
          <w:tcPr>
            <w:tcW w:w="9369" w:type="dxa"/>
            <w:gridSpan w:val="3"/>
            <w:shd w:val="clear" w:color="auto" w:fill="auto"/>
          </w:tcPr>
          <w:p w14:paraId="3F466870" w14:textId="60A4793A" w:rsidR="00B240BA" w:rsidRPr="00163B36" w:rsidRDefault="00A909A6" w:rsidP="00A909A6">
            <w:pPr>
              <w:tabs>
                <w:tab w:val="right" w:pos="1080"/>
                <w:tab w:val="left" w:pos="1296"/>
                <w:tab w:val="left" w:pos="1728"/>
                <w:tab w:val="left" w:pos="2160"/>
                <w:tab w:val="left" w:pos="2592"/>
                <w:tab w:val="right" w:leader="dot" w:pos="9360"/>
              </w:tabs>
              <w:spacing w:after="120"/>
              <w:ind w:left="1728"/>
              <w:rPr>
                <w:spacing w:val="60"/>
                <w:sz w:val="17"/>
              </w:rPr>
            </w:pPr>
            <w:r w:rsidRPr="00163B36">
              <w:t>Education</w:t>
            </w:r>
            <w:r w:rsidRPr="00163B36">
              <w:rPr>
                <w:spacing w:val="60"/>
                <w:sz w:val="17"/>
              </w:rPr>
              <w:tab/>
            </w:r>
          </w:p>
        </w:tc>
        <w:tc>
          <w:tcPr>
            <w:tcW w:w="533" w:type="dxa"/>
            <w:shd w:val="clear" w:color="auto" w:fill="auto"/>
            <w:vAlign w:val="bottom"/>
          </w:tcPr>
          <w:p w14:paraId="0B216B5B" w14:textId="65C16885" w:rsidR="00B240BA" w:rsidRPr="00163B36" w:rsidRDefault="00333A03" w:rsidP="00C30C01">
            <w:pPr>
              <w:spacing w:after="120"/>
              <w:jc w:val="right"/>
            </w:pPr>
            <w:r>
              <w:t>15</w:t>
            </w:r>
          </w:p>
        </w:tc>
      </w:tr>
      <w:tr w:rsidR="00B240BA" w:rsidRPr="00EA5AB9" w14:paraId="2DC1D8F9" w14:textId="77777777" w:rsidTr="00C30C01">
        <w:tc>
          <w:tcPr>
            <w:tcW w:w="9369" w:type="dxa"/>
            <w:gridSpan w:val="3"/>
            <w:shd w:val="clear" w:color="auto" w:fill="auto"/>
          </w:tcPr>
          <w:p w14:paraId="197668AB" w14:textId="30E3E81A" w:rsidR="00B240BA" w:rsidRPr="00163B36" w:rsidRDefault="00A909A6" w:rsidP="00B22784">
            <w:pPr>
              <w:tabs>
                <w:tab w:val="right" w:pos="1080"/>
                <w:tab w:val="left" w:pos="1296"/>
                <w:tab w:val="left" w:pos="1728"/>
                <w:tab w:val="left" w:pos="2160"/>
                <w:tab w:val="left" w:pos="2592"/>
                <w:tab w:val="right" w:leader="dot" w:pos="9360"/>
              </w:tabs>
              <w:spacing w:after="120"/>
              <w:ind w:left="1728"/>
              <w:rPr>
                <w:spacing w:val="60"/>
                <w:sz w:val="17"/>
              </w:rPr>
            </w:pPr>
            <w:r w:rsidRPr="00163B36">
              <w:t>Employment</w:t>
            </w:r>
            <w:r w:rsidR="00B22784" w:rsidRPr="00163B36">
              <w:rPr>
                <w:spacing w:val="60"/>
                <w:sz w:val="17"/>
              </w:rPr>
              <w:tab/>
            </w:r>
          </w:p>
        </w:tc>
        <w:tc>
          <w:tcPr>
            <w:tcW w:w="533" w:type="dxa"/>
            <w:shd w:val="clear" w:color="auto" w:fill="auto"/>
            <w:vAlign w:val="bottom"/>
          </w:tcPr>
          <w:p w14:paraId="6E9A3A77" w14:textId="1E46A3A3" w:rsidR="00B240BA" w:rsidRPr="00163B36" w:rsidRDefault="00333A03" w:rsidP="00C30C01">
            <w:pPr>
              <w:spacing w:after="120"/>
              <w:jc w:val="right"/>
            </w:pPr>
            <w:r>
              <w:t>16</w:t>
            </w:r>
          </w:p>
        </w:tc>
      </w:tr>
      <w:tr w:rsidR="00B240BA" w:rsidRPr="00EA5AB9" w14:paraId="7BD58D89" w14:textId="77777777" w:rsidTr="00C30C01">
        <w:tc>
          <w:tcPr>
            <w:tcW w:w="9369" w:type="dxa"/>
            <w:gridSpan w:val="3"/>
            <w:shd w:val="clear" w:color="auto" w:fill="auto"/>
          </w:tcPr>
          <w:p w14:paraId="144BCBAA" w14:textId="6CCA85E7" w:rsidR="00B240BA" w:rsidRPr="00163B36" w:rsidRDefault="00A909A6" w:rsidP="00B22784">
            <w:pPr>
              <w:tabs>
                <w:tab w:val="right" w:pos="1080"/>
                <w:tab w:val="left" w:pos="1296"/>
                <w:tab w:val="left" w:pos="1728"/>
                <w:tab w:val="left" w:pos="2160"/>
                <w:tab w:val="right" w:leader="dot" w:pos="9360"/>
              </w:tabs>
              <w:spacing w:after="120"/>
              <w:ind w:left="1728"/>
              <w:rPr>
                <w:spacing w:val="60"/>
                <w:sz w:val="17"/>
              </w:rPr>
            </w:pPr>
            <w:r w:rsidRPr="00163B36">
              <w:t>Health</w:t>
            </w:r>
            <w:r w:rsidR="00B22784" w:rsidRPr="00163B36">
              <w:rPr>
                <w:spacing w:val="60"/>
                <w:sz w:val="17"/>
              </w:rPr>
              <w:tab/>
            </w:r>
          </w:p>
        </w:tc>
        <w:tc>
          <w:tcPr>
            <w:tcW w:w="533" w:type="dxa"/>
            <w:shd w:val="clear" w:color="auto" w:fill="auto"/>
            <w:vAlign w:val="bottom"/>
          </w:tcPr>
          <w:p w14:paraId="3AD0EB09" w14:textId="75EE4385" w:rsidR="00B240BA" w:rsidRPr="00163B36" w:rsidRDefault="00333A03" w:rsidP="00C30C01">
            <w:pPr>
              <w:spacing w:after="120"/>
              <w:jc w:val="right"/>
            </w:pPr>
            <w:r>
              <w:t>19</w:t>
            </w:r>
          </w:p>
        </w:tc>
      </w:tr>
      <w:tr w:rsidR="00B240BA" w:rsidRPr="00EA5AB9" w14:paraId="0F66B9A7" w14:textId="77777777" w:rsidTr="00C30C01">
        <w:tc>
          <w:tcPr>
            <w:tcW w:w="9369" w:type="dxa"/>
            <w:gridSpan w:val="3"/>
            <w:shd w:val="clear" w:color="auto" w:fill="auto"/>
          </w:tcPr>
          <w:p w14:paraId="4AA3B5BB" w14:textId="62AC8F51" w:rsidR="00B240BA" w:rsidRPr="00163B36" w:rsidRDefault="00A909A6" w:rsidP="00B22784">
            <w:pPr>
              <w:tabs>
                <w:tab w:val="right" w:pos="1080"/>
                <w:tab w:val="left" w:pos="1296"/>
                <w:tab w:val="left" w:pos="1728"/>
                <w:tab w:val="left" w:pos="2160"/>
                <w:tab w:val="left" w:pos="2592"/>
                <w:tab w:val="left" w:pos="3024"/>
                <w:tab w:val="left" w:pos="3456"/>
                <w:tab w:val="left" w:pos="3888"/>
                <w:tab w:val="right" w:leader="dot" w:pos="9360"/>
              </w:tabs>
              <w:spacing w:after="120"/>
              <w:ind w:left="1728"/>
              <w:rPr>
                <w:spacing w:val="60"/>
                <w:sz w:val="17"/>
              </w:rPr>
            </w:pPr>
            <w:r w:rsidRPr="00163B36">
              <w:t>Economic and social benefits</w:t>
            </w:r>
            <w:r w:rsidR="00B22784" w:rsidRPr="00163B36">
              <w:rPr>
                <w:spacing w:val="60"/>
                <w:sz w:val="17"/>
              </w:rPr>
              <w:tab/>
            </w:r>
          </w:p>
        </w:tc>
        <w:tc>
          <w:tcPr>
            <w:tcW w:w="533" w:type="dxa"/>
            <w:shd w:val="clear" w:color="auto" w:fill="auto"/>
            <w:vAlign w:val="bottom"/>
          </w:tcPr>
          <w:p w14:paraId="057FB59B" w14:textId="00B83C7D" w:rsidR="00B240BA" w:rsidRPr="00163B36" w:rsidRDefault="00333A03" w:rsidP="00C30C01">
            <w:pPr>
              <w:spacing w:after="120"/>
              <w:jc w:val="right"/>
            </w:pPr>
            <w:r>
              <w:t>23</w:t>
            </w:r>
          </w:p>
        </w:tc>
      </w:tr>
      <w:tr w:rsidR="00B240BA" w:rsidRPr="00EA5AB9" w14:paraId="35A01B14" w14:textId="77777777" w:rsidTr="00C30C01">
        <w:tc>
          <w:tcPr>
            <w:tcW w:w="9369" w:type="dxa"/>
            <w:gridSpan w:val="3"/>
            <w:shd w:val="clear" w:color="auto" w:fill="auto"/>
          </w:tcPr>
          <w:p w14:paraId="72ECF3F0" w14:textId="5AF256B7" w:rsidR="00B240BA" w:rsidRPr="00163B36" w:rsidRDefault="00A909A6" w:rsidP="00B2278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728"/>
              <w:rPr>
                <w:spacing w:val="60"/>
                <w:sz w:val="17"/>
              </w:rPr>
            </w:pPr>
            <w:r w:rsidRPr="00163B36">
              <w:t>Disadvantaged groups of women</w:t>
            </w:r>
            <w:r w:rsidR="00B22784" w:rsidRPr="00163B36">
              <w:rPr>
                <w:spacing w:val="60"/>
                <w:sz w:val="17"/>
              </w:rPr>
              <w:tab/>
            </w:r>
          </w:p>
        </w:tc>
        <w:tc>
          <w:tcPr>
            <w:tcW w:w="533" w:type="dxa"/>
            <w:shd w:val="clear" w:color="auto" w:fill="auto"/>
            <w:vAlign w:val="bottom"/>
          </w:tcPr>
          <w:p w14:paraId="075727D7" w14:textId="18F2BD18" w:rsidR="00B240BA" w:rsidRPr="00163B36" w:rsidRDefault="00333A03" w:rsidP="00C30C01">
            <w:pPr>
              <w:spacing w:after="120"/>
              <w:jc w:val="right"/>
            </w:pPr>
            <w:r>
              <w:t>25</w:t>
            </w:r>
          </w:p>
        </w:tc>
      </w:tr>
      <w:tr w:rsidR="00B240BA" w:rsidRPr="00EA5AB9" w14:paraId="52A3E0AD" w14:textId="77777777" w:rsidTr="00C30C01">
        <w:tc>
          <w:tcPr>
            <w:tcW w:w="9369" w:type="dxa"/>
            <w:gridSpan w:val="3"/>
            <w:shd w:val="clear" w:color="auto" w:fill="auto"/>
          </w:tcPr>
          <w:p w14:paraId="5A3B9C0A" w14:textId="3DC66238" w:rsidR="00B240BA" w:rsidRPr="00163B36" w:rsidRDefault="00A909A6" w:rsidP="00B22784">
            <w:pPr>
              <w:tabs>
                <w:tab w:val="right" w:pos="1080"/>
                <w:tab w:val="left" w:pos="1296"/>
                <w:tab w:val="left" w:pos="1728"/>
                <w:tab w:val="left" w:pos="2160"/>
                <w:tab w:val="left" w:pos="2592"/>
                <w:tab w:val="left" w:pos="3024"/>
                <w:tab w:val="left" w:pos="3456"/>
                <w:tab w:val="left" w:pos="3888"/>
                <w:tab w:val="right" w:leader="dot" w:pos="9360"/>
              </w:tabs>
              <w:spacing w:after="120"/>
              <w:ind w:left="1728"/>
              <w:rPr>
                <w:spacing w:val="60"/>
                <w:sz w:val="17"/>
              </w:rPr>
            </w:pPr>
            <w:r w:rsidRPr="00163B36">
              <w:t>Marriage and family relations</w:t>
            </w:r>
            <w:r w:rsidR="00B22784" w:rsidRPr="00163B36">
              <w:rPr>
                <w:spacing w:val="60"/>
                <w:sz w:val="17"/>
              </w:rPr>
              <w:tab/>
            </w:r>
          </w:p>
        </w:tc>
        <w:tc>
          <w:tcPr>
            <w:tcW w:w="533" w:type="dxa"/>
            <w:shd w:val="clear" w:color="auto" w:fill="auto"/>
            <w:vAlign w:val="bottom"/>
          </w:tcPr>
          <w:p w14:paraId="3BDE1A4D" w14:textId="1BAD8B72" w:rsidR="00B240BA" w:rsidRPr="00163B36" w:rsidRDefault="00333A03" w:rsidP="00C30C01">
            <w:pPr>
              <w:spacing w:after="120"/>
              <w:jc w:val="right"/>
            </w:pPr>
            <w:r>
              <w:t>26</w:t>
            </w:r>
          </w:p>
        </w:tc>
      </w:tr>
      <w:tr w:rsidR="00B240BA" w:rsidRPr="00EA5AB9" w14:paraId="4B145637" w14:textId="77777777" w:rsidTr="00C30C01">
        <w:tc>
          <w:tcPr>
            <w:tcW w:w="9369" w:type="dxa"/>
            <w:gridSpan w:val="3"/>
            <w:shd w:val="clear" w:color="auto" w:fill="auto"/>
          </w:tcPr>
          <w:p w14:paraId="73EF2B7B" w14:textId="14EFAF36" w:rsidR="00B240BA" w:rsidRPr="00163B36" w:rsidRDefault="00A909A6" w:rsidP="00B2278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rPr>
                <w:spacing w:val="60"/>
                <w:sz w:val="17"/>
              </w:rPr>
            </w:pPr>
            <w:r w:rsidRPr="00163B36">
              <w:t>Climate change and disaster risk reduction</w:t>
            </w:r>
            <w:r w:rsidR="00B22784" w:rsidRPr="00163B36">
              <w:rPr>
                <w:spacing w:val="60"/>
                <w:sz w:val="17"/>
              </w:rPr>
              <w:tab/>
            </w:r>
          </w:p>
        </w:tc>
        <w:tc>
          <w:tcPr>
            <w:tcW w:w="533" w:type="dxa"/>
            <w:shd w:val="clear" w:color="auto" w:fill="auto"/>
            <w:vAlign w:val="bottom"/>
          </w:tcPr>
          <w:p w14:paraId="3963F755" w14:textId="3B4BCF7B" w:rsidR="00B240BA" w:rsidRPr="00163B36" w:rsidRDefault="00333A03" w:rsidP="00C30C01">
            <w:pPr>
              <w:spacing w:after="120"/>
              <w:jc w:val="right"/>
            </w:pPr>
            <w:r>
              <w:t>27</w:t>
            </w:r>
          </w:p>
        </w:tc>
      </w:tr>
    </w:tbl>
    <w:p w14:paraId="0324F5D9" w14:textId="77777777" w:rsidR="00B22784" w:rsidRPr="00163B36" w:rsidRDefault="00B22784">
      <w:pPr>
        <w:suppressAutoHyphens w:val="0"/>
        <w:spacing w:after="200" w:line="276" w:lineRule="auto"/>
      </w:pPr>
      <w:r w:rsidRPr="00163B36">
        <w:br w:type="page"/>
      </w:r>
    </w:p>
    <w:p w14:paraId="5303F9FD" w14:textId="77777777" w:rsidR="00163B36" w:rsidRPr="00EA5AB9" w:rsidRDefault="00163B36" w:rsidP="00163B36">
      <w:pPr>
        <w:pStyle w:val="HCh"/>
        <w:ind w:left="1267" w:right="1260" w:hanging="1267"/>
      </w:pPr>
      <w:r w:rsidRPr="00EA5AB9">
        <w:lastRenderedPageBreak/>
        <w:tab/>
        <w:t>I.</w:t>
      </w:r>
      <w:r w:rsidRPr="00EA5AB9">
        <w:tab/>
        <w:t>Introduction</w:t>
      </w:r>
    </w:p>
    <w:p w14:paraId="3748BD4E" w14:textId="77777777" w:rsidR="00163B36" w:rsidRPr="00163B36" w:rsidRDefault="00163B36" w:rsidP="00163B36">
      <w:pPr>
        <w:pStyle w:val="SingleTxt"/>
        <w:spacing w:after="0" w:line="120" w:lineRule="exact"/>
        <w:rPr>
          <w:sz w:val="10"/>
        </w:rPr>
      </w:pPr>
    </w:p>
    <w:p w14:paraId="350B3A70" w14:textId="77777777" w:rsidR="00163B36" w:rsidRPr="00163B36" w:rsidRDefault="00163B36" w:rsidP="00163B36">
      <w:pPr>
        <w:pStyle w:val="SingleTxt"/>
        <w:spacing w:after="0" w:line="120" w:lineRule="exact"/>
        <w:rPr>
          <w:sz w:val="10"/>
        </w:rPr>
      </w:pPr>
    </w:p>
    <w:p w14:paraId="5A9A3DD8" w14:textId="44B83F35" w:rsidR="00163B36" w:rsidRPr="00333A03" w:rsidRDefault="0007129D" w:rsidP="00163B36">
      <w:pPr>
        <w:pStyle w:val="SingleTxt"/>
        <w:rPr>
          <w:w w:val="102"/>
        </w:rPr>
      </w:pPr>
      <w:r w:rsidRPr="00333A03">
        <w:rPr>
          <w:w w:val="102"/>
        </w:rPr>
        <w:t>1</w:t>
      </w:r>
      <w:r w:rsidR="00163B36" w:rsidRPr="00333A03">
        <w:rPr>
          <w:w w:val="102"/>
        </w:rPr>
        <w:t>.</w:t>
      </w:r>
      <w:r w:rsidR="00163B36" w:rsidRPr="00333A03">
        <w:rPr>
          <w:w w:val="102"/>
        </w:rPr>
        <w:tab/>
        <w:t xml:space="preserve">Hungary has the honour to submit its responses to the List of issues and questions in relation to its ninth periodic report, dated </w:t>
      </w:r>
      <w:r w:rsidRPr="00333A03">
        <w:rPr>
          <w:w w:val="102"/>
        </w:rPr>
        <w:t>8</w:t>
      </w:r>
      <w:r w:rsidR="00163B36" w:rsidRPr="00333A03">
        <w:rPr>
          <w:w w:val="102"/>
        </w:rPr>
        <w:t xml:space="preserve"> March </w:t>
      </w:r>
      <w:r w:rsidRPr="00333A03">
        <w:rPr>
          <w:w w:val="102"/>
        </w:rPr>
        <w:t>2021</w:t>
      </w:r>
      <w:r w:rsidR="00163B36" w:rsidRPr="00333A03">
        <w:rPr>
          <w:w w:val="102"/>
        </w:rPr>
        <w:t>, issued by the Committee on the Elimination of All Forms of Discrimination against Women. The responses are based on the contributions of ministries and relevant national authorities and court institutions, coordinated by the Ministry of Foreign Affairs and Trade. Where indicated, supplementary information is included in the attached Annex.</w:t>
      </w:r>
    </w:p>
    <w:p w14:paraId="505E68FF" w14:textId="77777777" w:rsidR="00163B36" w:rsidRPr="00163B36" w:rsidRDefault="00163B36" w:rsidP="00163B36">
      <w:pPr>
        <w:pStyle w:val="SingleTxt"/>
        <w:spacing w:after="0" w:line="120" w:lineRule="exact"/>
        <w:rPr>
          <w:sz w:val="10"/>
        </w:rPr>
      </w:pPr>
    </w:p>
    <w:p w14:paraId="75699832" w14:textId="77777777" w:rsidR="00163B36" w:rsidRPr="00163B36" w:rsidRDefault="00163B36" w:rsidP="00163B36">
      <w:pPr>
        <w:pStyle w:val="SingleTxt"/>
        <w:spacing w:after="0" w:line="120" w:lineRule="exact"/>
        <w:rPr>
          <w:sz w:val="10"/>
        </w:rPr>
      </w:pPr>
    </w:p>
    <w:p w14:paraId="6A4366A0" w14:textId="50EED4E1" w:rsidR="00163B36" w:rsidRPr="00EA5AB9" w:rsidRDefault="00163B36" w:rsidP="00163B36">
      <w:pPr>
        <w:pStyle w:val="HCh"/>
        <w:ind w:left="1267" w:right="1260" w:hanging="1267"/>
      </w:pPr>
      <w:r w:rsidRPr="00EA5AB9">
        <w:tab/>
        <w:t>II.</w:t>
      </w:r>
      <w:r w:rsidRPr="00EA5AB9">
        <w:tab/>
        <w:t>Responses to the list of issues and questions</w:t>
      </w:r>
    </w:p>
    <w:p w14:paraId="0A35BC54" w14:textId="77777777" w:rsidR="00163B36" w:rsidRPr="00163B36" w:rsidRDefault="00163B36" w:rsidP="00163B36">
      <w:pPr>
        <w:pStyle w:val="SingleTxt"/>
        <w:spacing w:after="0" w:line="120" w:lineRule="exact"/>
        <w:rPr>
          <w:sz w:val="10"/>
        </w:rPr>
      </w:pPr>
    </w:p>
    <w:p w14:paraId="297CB434" w14:textId="77777777" w:rsidR="00163B36" w:rsidRPr="00163B36" w:rsidRDefault="00163B36" w:rsidP="00163B36">
      <w:pPr>
        <w:pStyle w:val="SingleTxt"/>
        <w:spacing w:after="0" w:line="120" w:lineRule="exact"/>
        <w:rPr>
          <w:sz w:val="10"/>
        </w:rPr>
      </w:pPr>
    </w:p>
    <w:p w14:paraId="36C4FC31" w14:textId="5C2F8375" w:rsidR="00163B36" w:rsidRPr="00EA5AB9" w:rsidRDefault="00163B36" w:rsidP="00163B36">
      <w:pPr>
        <w:pStyle w:val="H1"/>
        <w:ind w:right="1260"/>
      </w:pPr>
      <w:r w:rsidRPr="00EA5AB9">
        <w:tab/>
      </w:r>
      <w:r w:rsidRPr="00EA5AB9">
        <w:tab/>
        <w:t>Visibility of the Convention, the Optional Protocol and the Committee</w:t>
      </w:r>
      <w:r w:rsidR="00024758">
        <w:t>’</w:t>
      </w:r>
      <w:r w:rsidRPr="00EA5AB9">
        <w:t>s general recommendations</w:t>
      </w:r>
    </w:p>
    <w:p w14:paraId="705250AC" w14:textId="77777777" w:rsidR="00163B36" w:rsidRPr="00163B36" w:rsidRDefault="00163B36" w:rsidP="00163B36">
      <w:pPr>
        <w:pStyle w:val="SingleTxt"/>
        <w:spacing w:after="0" w:line="120" w:lineRule="exact"/>
        <w:rPr>
          <w:sz w:val="10"/>
        </w:rPr>
      </w:pPr>
    </w:p>
    <w:p w14:paraId="60492490" w14:textId="77777777" w:rsidR="00163B36" w:rsidRPr="00163B36" w:rsidRDefault="00163B36" w:rsidP="00163B36">
      <w:pPr>
        <w:pStyle w:val="SingleTxt"/>
        <w:spacing w:after="0" w:line="120" w:lineRule="exact"/>
        <w:rPr>
          <w:sz w:val="10"/>
        </w:rPr>
      </w:pPr>
    </w:p>
    <w:p w14:paraId="466C43FA" w14:textId="6B5D9B35" w:rsidR="00163B36" w:rsidRDefault="0007129D" w:rsidP="00163B36">
      <w:pPr>
        <w:pStyle w:val="SingleTxt"/>
      </w:pPr>
      <w:r>
        <w:t>2</w:t>
      </w:r>
      <w:r w:rsidR="00163B36" w:rsidRPr="00163B36">
        <w:t>.</w:t>
      </w:r>
      <w:r w:rsidR="00163B36" w:rsidRPr="00163B36">
        <w:tab/>
        <w:t>The prohibition of discrimination of women appears in various aspects of the Hungarian law enforcement system. Female detainees and convicts are positively discriminated as they have access to special screening tests, treatment for pregnant and sick women and mother-child protection.</w:t>
      </w:r>
    </w:p>
    <w:p w14:paraId="5FCB188A" w14:textId="7498254A" w:rsidR="00163B36" w:rsidRPr="00163B36" w:rsidRDefault="0007129D" w:rsidP="00163B36">
      <w:pPr>
        <w:pStyle w:val="SingleTxt"/>
      </w:pPr>
      <w:r w:rsidRPr="0007129D">
        <w:t>3.</w:t>
      </w:r>
      <w:r w:rsidRPr="0007129D">
        <w:tab/>
        <w:t>The topic is integrated in the training program of the judiciary and prosecutors. Between 2013 and 2021, 129 programs were held relating to domestic violence. In addition, several trainings were delivered to police officers about: (</w:t>
      </w:r>
      <w:proofErr w:type="spellStart"/>
      <w:r w:rsidRPr="0007129D">
        <w:t>i</w:t>
      </w:r>
      <w:proofErr w:type="spellEnd"/>
      <w:r w:rsidRPr="0007129D">
        <w:t>) handling domestic violence, (ii) identifying and managing harm of domestic violence and trafficking in human beings, (iii) gender-based violence and domestic violence and recognition of recurring and multiple domestic violence and (iv) sensitization (descriptions and participation data detailed in the Annex).</w:t>
      </w:r>
    </w:p>
    <w:p w14:paraId="0D794465" w14:textId="49DA7AC4" w:rsidR="00163B36" w:rsidRPr="00163B36" w:rsidRDefault="0007129D" w:rsidP="00163B36">
      <w:pPr>
        <w:pStyle w:val="SingleTxt"/>
      </w:pPr>
      <w:r w:rsidRPr="0007129D">
        <w:t>4.</w:t>
      </w:r>
      <w:r w:rsidRPr="0007129D">
        <w:tab/>
        <w:t xml:space="preserve">In addition, the </w:t>
      </w:r>
      <w:proofErr w:type="spellStart"/>
      <w:r w:rsidRPr="0007129D">
        <w:t>HNP</w:t>
      </w:r>
      <w:proofErr w:type="spellEnd"/>
      <w:r w:rsidRPr="0007129D">
        <w:t xml:space="preserve"> HQ Criminal Department continuously publishes criminal information related to human trafficking on the internal website </w:t>
      </w:r>
      <w:proofErr w:type="spellStart"/>
      <w:r w:rsidRPr="0007129D">
        <w:t>MyPolice</w:t>
      </w:r>
      <w:proofErr w:type="spellEnd"/>
      <w:r w:rsidRPr="0007129D">
        <w:t>, and makes professional materials and standards related to human trafficking available to all police officers.</w:t>
      </w:r>
    </w:p>
    <w:p w14:paraId="0785485F" w14:textId="77777777" w:rsidR="00163B36" w:rsidRPr="00163B36" w:rsidRDefault="00163B36" w:rsidP="00163B36">
      <w:pPr>
        <w:pStyle w:val="SingleTxt"/>
        <w:spacing w:after="0" w:line="120" w:lineRule="exact"/>
        <w:rPr>
          <w:sz w:val="10"/>
        </w:rPr>
      </w:pPr>
    </w:p>
    <w:p w14:paraId="77D32722" w14:textId="77777777" w:rsidR="00163B36" w:rsidRPr="00163B36" w:rsidRDefault="00163B36" w:rsidP="00163B36">
      <w:pPr>
        <w:pStyle w:val="SingleTxt"/>
        <w:spacing w:after="0" w:line="120" w:lineRule="exact"/>
        <w:rPr>
          <w:sz w:val="10"/>
        </w:rPr>
      </w:pPr>
    </w:p>
    <w:p w14:paraId="00419D81" w14:textId="2BAB8003" w:rsidR="00163B36" w:rsidRPr="00EA5AB9" w:rsidRDefault="00163B36" w:rsidP="00163B36">
      <w:pPr>
        <w:pStyle w:val="H1"/>
        <w:ind w:right="1260"/>
      </w:pPr>
      <w:r w:rsidRPr="00EA5AB9">
        <w:tab/>
      </w:r>
      <w:r w:rsidRPr="00EA5AB9">
        <w:tab/>
        <w:t>Impact of the pandemic on women</w:t>
      </w:r>
      <w:r w:rsidR="00024758">
        <w:t>’</w:t>
      </w:r>
      <w:r w:rsidRPr="00EA5AB9">
        <w:t>s rights and gender equality</w:t>
      </w:r>
    </w:p>
    <w:p w14:paraId="305841AA" w14:textId="77777777" w:rsidR="00163B36" w:rsidRPr="00163B36" w:rsidRDefault="00163B36" w:rsidP="00163B36">
      <w:pPr>
        <w:pStyle w:val="SingleTxt"/>
        <w:spacing w:after="0" w:line="120" w:lineRule="exact"/>
        <w:rPr>
          <w:sz w:val="10"/>
        </w:rPr>
      </w:pPr>
    </w:p>
    <w:p w14:paraId="422BCBF7" w14:textId="77777777" w:rsidR="00163B36" w:rsidRPr="00163B36" w:rsidRDefault="00163B36" w:rsidP="00163B36">
      <w:pPr>
        <w:pStyle w:val="SingleTxt"/>
        <w:spacing w:after="0" w:line="120" w:lineRule="exact"/>
        <w:rPr>
          <w:sz w:val="10"/>
        </w:rPr>
      </w:pPr>
    </w:p>
    <w:p w14:paraId="704403ED" w14:textId="695B84EA" w:rsidR="00163B36" w:rsidRPr="00163B36" w:rsidRDefault="0007129D" w:rsidP="00163B36">
      <w:pPr>
        <w:pStyle w:val="SingleTxt"/>
      </w:pPr>
      <w:r w:rsidRPr="0007129D">
        <w:t>5.</w:t>
      </w:r>
      <w:r w:rsidRPr="0007129D">
        <w:tab/>
        <w:t>The Hungarian Government took appropriate steps to mitigate the effects of the pandemic on the economic situation as well as on the everyday lives of women</w:t>
      </w:r>
      <w:r w:rsidR="006A7BE9">
        <w:t xml:space="preserve"> </w:t>
      </w:r>
      <w:r w:rsidR="006A7BE9" w:rsidRPr="006A7BE9">
        <w:t>–</w:t>
      </w:r>
      <w:r w:rsidR="006A7BE9">
        <w:t xml:space="preserve"> </w:t>
      </w:r>
      <w:r w:rsidRPr="0007129D">
        <w:t>notably women with small children</w:t>
      </w:r>
      <w:r w:rsidR="006A7BE9">
        <w:t xml:space="preserve"> </w:t>
      </w:r>
      <w:r w:rsidR="006A7BE9" w:rsidRPr="006A7BE9">
        <w:t>–</w:t>
      </w:r>
      <w:r w:rsidR="006A7BE9">
        <w:t xml:space="preserve"> </w:t>
      </w:r>
      <w:r w:rsidRPr="0007129D">
        <w:t>who faced heightened challenges, via the following measures:</w:t>
      </w:r>
    </w:p>
    <w:p w14:paraId="205DE994" w14:textId="77777777" w:rsidR="00163B36" w:rsidRPr="00163B36" w:rsidRDefault="00163B36" w:rsidP="00163B36">
      <w:pPr>
        <w:pStyle w:val="SingleTxt"/>
        <w:spacing w:after="0" w:line="120" w:lineRule="exact"/>
        <w:rPr>
          <w:sz w:val="10"/>
        </w:rPr>
      </w:pPr>
    </w:p>
    <w:p w14:paraId="7C577F6D" w14:textId="253C9647" w:rsidR="00163B36" w:rsidRPr="00EA5AB9" w:rsidRDefault="00163B36" w:rsidP="00163B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AB9">
        <w:tab/>
      </w:r>
      <w:r w:rsidRPr="00EA5AB9">
        <w:tab/>
        <w:t>Expanding the social protection of women</w:t>
      </w:r>
    </w:p>
    <w:p w14:paraId="39FA096C" w14:textId="77777777" w:rsidR="00163B36" w:rsidRPr="00163B36" w:rsidRDefault="00163B36" w:rsidP="00163B36">
      <w:pPr>
        <w:pStyle w:val="SingleTxt"/>
        <w:spacing w:after="0" w:line="120" w:lineRule="exact"/>
        <w:rPr>
          <w:sz w:val="10"/>
        </w:rPr>
      </w:pPr>
    </w:p>
    <w:p w14:paraId="43C06937" w14:textId="4ACBADCD" w:rsidR="00163B36" w:rsidRPr="00163B36" w:rsidRDefault="0007129D" w:rsidP="00163B36">
      <w:pPr>
        <w:pStyle w:val="SingleTxt"/>
      </w:pPr>
      <w:r w:rsidRPr="0007129D">
        <w:t>6.</w:t>
      </w:r>
      <w:r w:rsidRPr="0007129D">
        <w:tab/>
        <w:t>During the state of emergency, the Hungarian Government prolonged the entitlement for family benefits in the periods 11 March-30 June 2020, and 8 March</w:t>
      </w:r>
      <w:r>
        <w:t>–</w:t>
      </w:r>
      <w:r w:rsidRPr="0007129D">
        <w:t>7 April 2021, respectively. This means that if the parents</w:t>
      </w:r>
      <w:r w:rsidR="00024758">
        <w:t>’</w:t>
      </w:r>
      <w:r w:rsidRPr="0007129D">
        <w:t xml:space="preserve"> entitlement to childcare fee (a benefit based on social security status), childcare allowance (an individual entitlement) or child-raising support (a benefit for families with 3 or more children) expired during one of the above periods, they continued to receive the benefits until the end of the corresponding period. These measures also contributed to the preservation of jobs of women, because women could afford to stay on unpaid leave.</w:t>
      </w:r>
    </w:p>
    <w:p w14:paraId="261555D8" w14:textId="77777777" w:rsidR="00163B36" w:rsidRPr="00163B36" w:rsidRDefault="00163B36" w:rsidP="00163B36">
      <w:pPr>
        <w:pStyle w:val="SingleTxt"/>
        <w:spacing w:after="0" w:line="120" w:lineRule="exact"/>
        <w:rPr>
          <w:sz w:val="10"/>
        </w:rPr>
      </w:pPr>
    </w:p>
    <w:p w14:paraId="47913D1E" w14:textId="5AFFE587" w:rsidR="00163B36" w:rsidRPr="00EA5AB9" w:rsidRDefault="00163B36" w:rsidP="00163B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AB9">
        <w:tab/>
      </w:r>
      <w:r w:rsidRPr="00EA5AB9">
        <w:tab/>
        <w:t>Ensuring childcare services</w:t>
      </w:r>
    </w:p>
    <w:p w14:paraId="3F546008" w14:textId="77777777" w:rsidR="00163B36" w:rsidRPr="00163B36" w:rsidRDefault="00163B36" w:rsidP="00163B36">
      <w:pPr>
        <w:pStyle w:val="SingleTxt"/>
        <w:spacing w:after="0" w:line="120" w:lineRule="exact"/>
        <w:rPr>
          <w:sz w:val="10"/>
        </w:rPr>
      </w:pPr>
    </w:p>
    <w:p w14:paraId="09287F1D" w14:textId="77777777" w:rsidR="006A7BE9" w:rsidRDefault="006A7BE9" w:rsidP="00163B36">
      <w:pPr>
        <w:pStyle w:val="SingleTxt"/>
      </w:pPr>
      <w:r w:rsidRPr="006A7BE9">
        <w:t>7.</w:t>
      </w:r>
      <w:r w:rsidRPr="006A7BE9">
        <w:tab/>
        <w:t xml:space="preserve">During the first wave of the pandemic, extraordinary breaks were ordered in numerous kindergartens and nurseries. This put a heavy burden on working parents, especially women. To ease this burden, Hungary set up rules for establishing </w:t>
      </w:r>
      <w:r w:rsidRPr="006A7BE9">
        <w:lastRenderedPageBreak/>
        <w:t xml:space="preserve">workplace childcare services, to be provided by employers (detailed in the Annex). Furthermore, the Hungarian Government introduced a free, on-call service of childcare, organised by the self-governments. </w:t>
      </w:r>
    </w:p>
    <w:p w14:paraId="287D1ED0" w14:textId="3B117077" w:rsidR="00163B36" w:rsidRDefault="0007129D" w:rsidP="00163B36">
      <w:pPr>
        <w:pStyle w:val="SingleTxt"/>
      </w:pPr>
      <w:r w:rsidRPr="0007129D">
        <w:t>8.</w:t>
      </w:r>
      <w:r w:rsidRPr="0007129D">
        <w:tab/>
        <w:t>During the second and the third waves of the COVID-19, nurseries and kindergartens remained open due to the low level of infections among small children. In 2021, Hungary introduced a continuous substitution fee for nursery educators. Hungary</w:t>
      </w:r>
      <w:r w:rsidR="00024758">
        <w:t>’</w:t>
      </w:r>
      <w:r w:rsidRPr="0007129D">
        <w:t>s Recovery and Resilience Plan (2021), in addition to other forms of support, envisages the establishment of further nurseries (see paragraph 63).</w:t>
      </w:r>
    </w:p>
    <w:p w14:paraId="27144EE3" w14:textId="51232325" w:rsidR="006A7BE9" w:rsidRPr="005108D6" w:rsidRDefault="006A7BE9" w:rsidP="005108D6">
      <w:pPr>
        <w:pStyle w:val="SingleTxt"/>
        <w:spacing w:after="0" w:line="120" w:lineRule="exact"/>
        <w:rPr>
          <w:sz w:val="10"/>
        </w:rPr>
      </w:pPr>
    </w:p>
    <w:p w14:paraId="633B39A3" w14:textId="77777777" w:rsidR="006A7BE9" w:rsidRPr="00EA5AB9" w:rsidRDefault="006A7BE9" w:rsidP="006A7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AB9">
        <w:tab/>
      </w:r>
      <w:r w:rsidRPr="00EA5AB9">
        <w:tab/>
        <w:t>Supporting the victims of domestic violence</w:t>
      </w:r>
    </w:p>
    <w:p w14:paraId="2A84933E" w14:textId="77777777" w:rsidR="006A7BE9" w:rsidRPr="005108D6" w:rsidRDefault="006A7BE9" w:rsidP="005108D6">
      <w:pPr>
        <w:pStyle w:val="SingleTxt"/>
        <w:spacing w:after="0" w:line="120" w:lineRule="exact"/>
        <w:rPr>
          <w:sz w:val="10"/>
          <w:lang w:val="en-US"/>
        </w:rPr>
      </w:pPr>
    </w:p>
    <w:p w14:paraId="748BFF51" w14:textId="02519E58" w:rsidR="00163B36" w:rsidRPr="00163B36" w:rsidRDefault="0007129D" w:rsidP="00163B36">
      <w:pPr>
        <w:pStyle w:val="SingleTxt"/>
      </w:pPr>
      <w:r w:rsidRPr="0007129D">
        <w:t>9.</w:t>
      </w:r>
      <w:r w:rsidRPr="0007129D">
        <w:tab/>
        <w:t xml:space="preserve">During the first wave of the pandemic, the National Crisis </w:t>
      </w:r>
      <w:proofErr w:type="gramStart"/>
      <w:r w:rsidRPr="0007129D">
        <w:t>Management</w:t>
      </w:r>
      <w:proofErr w:type="gramEnd"/>
      <w:r w:rsidRPr="0007129D">
        <w:t xml:space="preserve"> and Information Telephone Service</w:t>
      </w:r>
      <w:r w:rsidR="006A7BE9">
        <w:t xml:space="preserve"> </w:t>
      </w:r>
      <w:r w:rsidR="006A7BE9" w:rsidRPr="006A7BE9">
        <w:t>–</w:t>
      </w:r>
      <w:r w:rsidR="006A7BE9">
        <w:t xml:space="preserve"> </w:t>
      </w:r>
      <w:r w:rsidRPr="0007129D">
        <w:t>available 24/7 free of charge</w:t>
      </w:r>
      <w:r w:rsidR="006A7BE9">
        <w:t xml:space="preserve"> </w:t>
      </w:r>
      <w:r w:rsidR="006A7BE9" w:rsidRPr="006A7BE9">
        <w:t>–</w:t>
      </w:r>
      <w:r w:rsidR="006A7BE9">
        <w:t xml:space="preserve"> </w:t>
      </w:r>
      <w:r w:rsidRPr="0007129D">
        <w:t>has experienced a growing number of emergency calls relating to domestic violence. The providing system was operating on full capacity. Where possible, quarantine rooms and all necessary facilities such as masks or disinfectants were provided.</w:t>
      </w:r>
    </w:p>
    <w:p w14:paraId="11D0870C" w14:textId="620CE4FA" w:rsidR="00163B36" w:rsidRPr="00163B36" w:rsidRDefault="0007129D" w:rsidP="00163B36">
      <w:pPr>
        <w:pStyle w:val="SingleTxt"/>
      </w:pPr>
      <w:r w:rsidRPr="0007129D">
        <w:t>10.</w:t>
      </w:r>
      <w:r w:rsidRPr="0007129D">
        <w:tab/>
        <w:t xml:space="preserve">Additionally, victim support continued via the Internet, too: crisis ambulance services were </w:t>
      </w:r>
      <w:proofErr w:type="gramStart"/>
      <w:r w:rsidRPr="0007129D">
        <w:t>provided</w:t>
      </w:r>
      <w:proofErr w:type="gramEnd"/>
      <w:r w:rsidRPr="0007129D">
        <w:t xml:space="preserve"> and virtual information leaflets were disseminated online. Furthermore, a smartphone application called </w:t>
      </w:r>
      <w:r w:rsidR="00024758">
        <w:t>‘</w:t>
      </w:r>
      <w:r w:rsidRPr="0007129D">
        <w:rPr>
          <w:i/>
          <w:iCs/>
        </w:rPr>
        <w:t>Realize and Connect</w:t>
      </w:r>
      <w:r w:rsidR="00024758">
        <w:t>’</w:t>
      </w:r>
      <w:r w:rsidRPr="0007129D">
        <w:t xml:space="preserve"> (</w:t>
      </w:r>
      <w:r w:rsidR="00024758">
        <w:t>‘</w:t>
      </w:r>
      <w:proofErr w:type="spellStart"/>
      <w:r w:rsidRPr="0007129D">
        <w:rPr>
          <w:i/>
          <w:iCs/>
        </w:rPr>
        <w:t>Kapcsolj</w:t>
      </w:r>
      <w:proofErr w:type="spellEnd"/>
      <w:r w:rsidRPr="0007129D">
        <w:rPr>
          <w:i/>
          <w:iCs/>
        </w:rPr>
        <w:t xml:space="preserve"> </w:t>
      </w:r>
      <w:proofErr w:type="spellStart"/>
      <w:r w:rsidRPr="0007129D">
        <w:rPr>
          <w:i/>
          <w:iCs/>
        </w:rPr>
        <w:t>egyből</w:t>
      </w:r>
      <w:proofErr w:type="spellEnd"/>
      <w:r w:rsidRPr="0007129D">
        <w:t>!</w:t>
      </w:r>
      <w:r w:rsidR="00024758">
        <w:t>’</w:t>
      </w:r>
      <w:r w:rsidRPr="0007129D">
        <w:t>) was developed in 2019 that was of great aid for victims during the curfew.</w:t>
      </w:r>
    </w:p>
    <w:p w14:paraId="7A19A528" w14:textId="77777777" w:rsidR="00163B36" w:rsidRPr="00163B36" w:rsidRDefault="00163B36" w:rsidP="00163B36">
      <w:pPr>
        <w:pStyle w:val="SingleTxt"/>
        <w:spacing w:after="0" w:line="120" w:lineRule="exact"/>
        <w:rPr>
          <w:sz w:val="10"/>
        </w:rPr>
      </w:pPr>
    </w:p>
    <w:p w14:paraId="07D99960" w14:textId="433F9A92" w:rsidR="00163B36" w:rsidRPr="00EA5AB9" w:rsidRDefault="00163B36" w:rsidP="00163B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AB9">
        <w:tab/>
      </w:r>
      <w:r w:rsidRPr="00EA5AB9">
        <w:tab/>
        <w:t>Supporting sectors in which women are overrepresented</w:t>
      </w:r>
    </w:p>
    <w:p w14:paraId="2B29CBDF" w14:textId="77777777" w:rsidR="00163B36" w:rsidRPr="00163B36" w:rsidRDefault="00163B36" w:rsidP="00163B36">
      <w:pPr>
        <w:pStyle w:val="SingleTxt"/>
        <w:spacing w:after="0" w:line="120" w:lineRule="exact"/>
        <w:rPr>
          <w:sz w:val="10"/>
        </w:rPr>
      </w:pPr>
    </w:p>
    <w:p w14:paraId="41DDAC53" w14:textId="0E719E64" w:rsidR="00163B36" w:rsidRPr="00163B36" w:rsidRDefault="0007129D" w:rsidP="00163B36">
      <w:pPr>
        <w:pStyle w:val="SingleTxt"/>
      </w:pPr>
      <w:r w:rsidRPr="0007129D">
        <w:t>11.</w:t>
      </w:r>
      <w:r w:rsidRPr="0007129D">
        <w:tab/>
        <w:t xml:space="preserve">Within the framework of the Economy Protection Action Plan, crucial </w:t>
      </w:r>
      <w:proofErr w:type="gramStart"/>
      <w:r w:rsidRPr="0007129D">
        <w:t>sectors</w:t>
      </w:r>
      <w:proofErr w:type="gramEnd"/>
      <w:r w:rsidRPr="0007129D">
        <w:t xml:space="preserve"> and industries most affected by the COVID-19</w:t>
      </w:r>
      <w:r w:rsidR="005A3F8D">
        <w:t xml:space="preserve"> </w:t>
      </w:r>
      <w:r w:rsidR="005A3F8D" w:rsidRPr="006A7BE9">
        <w:t>–</w:t>
      </w:r>
      <w:r w:rsidR="005A3F8D">
        <w:t xml:space="preserve"> </w:t>
      </w:r>
      <w:r w:rsidRPr="0007129D">
        <w:t>such as tourism, creative industry, health and food industry</w:t>
      </w:r>
      <w:r w:rsidR="005A3F8D">
        <w:t xml:space="preserve"> </w:t>
      </w:r>
      <w:r w:rsidR="005A3F8D" w:rsidRPr="006A7BE9">
        <w:t>–</w:t>
      </w:r>
      <w:r w:rsidR="005A3F8D">
        <w:t xml:space="preserve"> </w:t>
      </w:r>
      <w:r w:rsidRPr="0007129D">
        <w:t>received extra funding, tax cuts and wage subsidies. Further, Hungary provided a one-time bonus allowance of HUF 500,000 (USD 1,753) to health care professionals as they took on a special risk when fighting against the disease. During the third wave of the COVID-19, home office was introduced in the public administration, and the Government encouraged the private sector to offer teleworking for their employees. This measure also contributed to the greater involvement of fathers in caring for the children.</w:t>
      </w:r>
    </w:p>
    <w:p w14:paraId="0C08BC47" w14:textId="77777777" w:rsidR="00163B36" w:rsidRPr="00163B36" w:rsidRDefault="00163B36" w:rsidP="00163B36">
      <w:pPr>
        <w:pStyle w:val="SingleTxt"/>
        <w:spacing w:after="0" w:line="120" w:lineRule="exact"/>
        <w:rPr>
          <w:sz w:val="10"/>
        </w:rPr>
      </w:pPr>
    </w:p>
    <w:p w14:paraId="7028CBAF" w14:textId="7D7EFEFA" w:rsidR="00163B36" w:rsidRPr="00EA5AB9" w:rsidRDefault="00163B36" w:rsidP="00163B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5AB9">
        <w:tab/>
      </w:r>
      <w:r w:rsidRPr="00EA5AB9">
        <w:tab/>
        <w:t>Access to sexual and reproductive health care services</w:t>
      </w:r>
    </w:p>
    <w:p w14:paraId="12FB218D" w14:textId="77777777" w:rsidR="00163B36" w:rsidRPr="00163B36" w:rsidRDefault="00163B36" w:rsidP="00163B36">
      <w:pPr>
        <w:pStyle w:val="SingleTxt"/>
        <w:spacing w:after="0" w:line="120" w:lineRule="exact"/>
        <w:rPr>
          <w:sz w:val="10"/>
        </w:rPr>
      </w:pPr>
    </w:p>
    <w:p w14:paraId="681AE91D" w14:textId="23859B3B" w:rsidR="00163B36" w:rsidRPr="00163B36" w:rsidRDefault="0007129D" w:rsidP="00163B36">
      <w:pPr>
        <w:pStyle w:val="SingleTxt"/>
      </w:pPr>
      <w:r w:rsidRPr="0007129D">
        <w:t>12.</w:t>
      </w:r>
      <w:r w:rsidRPr="0007129D">
        <w:tab/>
        <w:t>Measures taken to control the pandemic did not limit the access of women to sexual and reproductive health care services. Acute gynaecological care, pregnancy care and abortions were continuously provided. Fathers also had the possibility to stay with their partner while she was giving birth.</w:t>
      </w:r>
    </w:p>
    <w:p w14:paraId="6C47F11B" w14:textId="77777777" w:rsidR="00163B36" w:rsidRPr="00163B36" w:rsidRDefault="00163B36" w:rsidP="00163B36">
      <w:pPr>
        <w:pStyle w:val="SingleTxt"/>
        <w:spacing w:after="0" w:line="120" w:lineRule="exact"/>
        <w:rPr>
          <w:sz w:val="10"/>
        </w:rPr>
      </w:pPr>
    </w:p>
    <w:p w14:paraId="67F71F44" w14:textId="77777777" w:rsidR="00163B36" w:rsidRPr="00163B36" w:rsidRDefault="00163B36" w:rsidP="00163B36">
      <w:pPr>
        <w:pStyle w:val="SingleTxt"/>
        <w:spacing w:after="0" w:line="120" w:lineRule="exact"/>
        <w:rPr>
          <w:sz w:val="10"/>
        </w:rPr>
      </w:pPr>
    </w:p>
    <w:p w14:paraId="6B6DF724" w14:textId="1EF995DE" w:rsidR="00163B36" w:rsidRPr="00EA5AB9" w:rsidRDefault="00163B36" w:rsidP="00163B36">
      <w:pPr>
        <w:pStyle w:val="H1"/>
        <w:ind w:right="1260"/>
      </w:pPr>
      <w:r w:rsidRPr="00EA5AB9">
        <w:tab/>
      </w:r>
      <w:r w:rsidRPr="00EA5AB9">
        <w:tab/>
        <w:t>Definition of equality and non-discrimination</w:t>
      </w:r>
    </w:p>
    <w:p w14:paraId="15D1D209" w14:textId="77777777" w:rsidR="00163B36" w:rsidRPr="00163B36" w:rsidRDefault="00163B36" w:rsidP="00163B36">
      <w:pPr>
        <w:pStyle w:val="SingleTxt"/>
        <w:spacing w:after="0" w:line="120" w:lineRule="exact"/>
        <w:rPr>
          <w:sz w:val="10"/>
        </w:rPr>
      </w:pPr>
    </w:p>
    <w:p w14:paraId="3FB0AE15" w14:textId="77777777" w:rsidR="00163B36" w:rsidRPr="00163B36" w:rsidRDefault="00163B36" w:rsidP="00163B36">
      <w:pPr>
        <w:pStyle w:val="SingleTxt"/>
        <w:spacing w:after="0" w:line="120" w:lineRule="exact"/>
        <w:rPr>
          <w:sz w:val="10"/>
        </w:rPr>
      </w:pPr>
    </w:p>
    <w:p w14:paraId="74AF18B6" w14:textId="7590A753" w:rsidR="00163B36" w:rsidRPr="00163B36" w:rsidRDefault="0007129D" w:rsidP="00163B36">
      <w:pPr>
        <w:pStyle w:val="SingleTxt"/>
      </w:pPr>
      <w:r w:rsidRPr="0007129D">
        <w:t>13.</w:t>
      </w:r>
      <w:r w:rsidRPr="0007129D">
        <w:tab/>
        <w:t xml:space="preserve">The right of women to non-discrimination and equality is ensured by the Fundamental Law of Hungary, as well as Act CXXV of 2003 on Equal Treatment and the Promotion of Equal Opportunities (the Equal Treatment Act). Article 8 of the Equal Treatment Act provides a non-exhaustive list of the protected characteristics upon which no discrimination is allowed. Out of these potential grounds for discrimination, more grounds may be invoked in the same complaint. Therefore, the Equal Treatment Act </w:t>
      </w:r>
      <w:proofErr w:type="gramStart"/>
      <w:r w:rsidRPr="0007129D">
        <w:t>is able to</w:t>
      </w:r>
      <w:proofErr w:type="gramEnd"/>
      <w:r w:rsidRPr="0007129D">
        <w:t xml:space="preserve"> combat multiple and intersecting forms of discrimination, and the previous Equal Treatment Authority—now a separate unit of the Office of the Commissioner for Fundamental Rights—has the competence to investigate such cases. A good example for that was the denial of the 13th month salary from women who were absent for a longer period to care for their permanently sick children (decision nr. </w:t>
      </w:r>
      <w:proofErr w:type="spellStart"/>
      <w:r w:rsidRPr="0007129D">
        <w:t>EBH</w:t>
      </w:r>
      <w:proofErr w:type="spellEnd"/>
      <w:r w:rsidRPr="0007129D">
        <w:t>/130/2017).</w:t>
      </w:r>
    </w:p>
    <w:p w14:paraId="09D3D2CA" w14:textId="1E2B015D" w:rsidR="00163B36" w:rsidRDefault="0007129D" w:rsidP="00163B36">
      <w:pPr>
        <w:pStyle w:val="SingleTxt"/>
      </w:pPr>
      <w:r w:rsidRPr="0007129D">
        <w:lastRenderedPageBreak/>
        <w:t>14.</w:t>
      </w:r>
      <w:r w:rsidRPr="0007129D">
        <w:tab/>
        <w:t xml:space="preserve">Another decision concerned a student whose admission to a primary school was denied because the parents formed a same-sex couple (decision nr. </w:t>
      </w:r>
      <w:proofErr w:type="spellStart"/>
      <w:r w:rsidRPr="0007129D">
        <w:t>EBH</w:t>
      </w:r>
      <w:proofErr w:type="spellEnd"/>
      <w:r w:rsidRPr="0007129D">
        <w:t xml:space="preserve">/366/2014). Although the decision did not consider </w:t>
      </w:r>
      <w:r w:rsidR="00024758">
        <w:t>‘</w:t>
      </w:r>
      <w:r w:rsidRPr="0007129D">
        <w:t>family status</w:t>
      </w:r>
      <w:r w:rsidR="00024758">
        <w:t>’</w:t>
      </w:r>
      <w:r w:rsidRPr="0007129D">
        <w:t xml:space="preserve"> as a separate ground of discrimination, the authority held that in this case the child became a victim of discrimination on the ground of (the mother</w:t>
      </w:r>
      <w:r w:rsidR="00024758">
        <w:t>’</w:t>
      </w:r>
      <w:r w:rsidRPr="0007129D">
        <w:t>s) sexual orientation.</w:t>
      </w:r>
    </w:p>
    <w:p w14:paraId="3A200644" w14:textId="3A09C989" w:rsidR="00163B36" w:rsidRPr="00163B36" w:rsidRDefault="0007129D" w:rsidP="00163B36">
      <w:pPr>
        <w:pStyle w:val="SingleTxt"/>
      </w:pPr>
      <w:r w:rsidRPr="0007129D">
        <w:t>15.</w:t>
      </w:r>
      <w:r w:rsidRPr="0007129D">
        <w:tab/>
        <w:t xml:space="preserve">The Hungarian legal environment does not have any definition for the concept of </w:t>
      </w:r>
      <w:r w:rsidR="00024758">
        <w:t>‘</w:t>
      </w:r>
      <w:r w:rsidRPr="0007129D">
        <w:t>gender</w:t>
      </w:r>
      <w:r w:rsidR="00024758">
        <w:t>’</w:t>
      </w:r>
      <w:r w:rsidRPr="0007129D">
        <w:t xml:space="preserve">. As to </w:t>
      </w:r>
      <w:r w:rsidR="00024758">
        <w:t>‘</w:t>
      </w:r>
      <w:r w:rsidRPr="0007129D">
        <w:t>sex</w:t>
      </w:r>
      <w:r w:rsidR="00024758">
        <w:t>’</w:t>
      </w:r>
      <w:r w:rsidRPr="0007129D">
        <w:t xml:space="preserve">, section 3 x) of Act I of 2010 on civil register proceedings defines </w:t>
      </w:r>
      <w:r w:rsidR="00024758">
        <w:t>‘</w:t>
      </w:r>
      <w:r w:rsidRPr="0007129D">
        <w:t>sex at birth</w:t>
      </w:r>
      <w:r w:rsidR="00024758">
        <w:t>’</w:t>
      </w:r>
      <w:r w:rsidRPr="0007129D">
        <w:t xml:space="preserve"> as </w:t>
      </w:r>
      <w:r w:rsidR="00024758">
        <w:t>‘</w:t>
      </w:r>
      <w:r w:rsidRPr="0007129D">
        <w:t>the biological sex, as defined by the primary sex characteristics and the chromosome</w:t>
      </w:r>
      <w:r w:rsidR="00024758">
        <w:t>’</w:t>
      </w:r>
      <w:r w:rsidRPr="0007129D">
        <w:t>.</w:t>
      </w:r>
    </w:p>
    <w:p w14:paraId="799D2C40" w14:textId="4EAED0F9" w:rsidR="00163B36" w:rsidRPr="00163B36" w:rsidRDefault="0007129D" w:rsidP="00163B36">
      <w:pPr>
        <w:pStyle w:val="SingleTxt"/>
      </w:pPr>
      <w:r w:rsidRPr="0007129D">
        <w:t>16.</w:t>
      </w:r>
      <w:r w:rsidRPr="0007129D">
        <w:tab/>
        <w:t xml:space="preserve">Hungary emphasises that the main reason for women experiencing disadvantages is that childbearing affects their career, their education, their engagement in public life, work-life </w:t>
      </w:r>
      <w:proofErr w:type="gramStart"/>
      <w:r w:rsidRPr="0007129D">
        <w:t>balance</w:t>
      </w:r>
      <w:proofErr w:type="gramEnd"/>
      <w:r w:rsidRPr="0007129D">
        <w:t xml:space="preserve"> and numerous other spheres of their life. Therefore, since 2010, the Hungarian Government has been striving to ensure that the choice to have a child does not cause any disadvantages to women.</w:t>
      </w:r>
    </w:p>
    <w:p w14:paraId="22837D21" w14:textId="45DFE1A1" w:rsidR="00163B36" w:rsidRDefault="0007129D" w:rsidP="00163B36">
      <w:pPr>
        <w:pStyle w:val="SingleTxt"/>
      </w:pPr>
      <w:r w:rsidRPr="0007129D">
        <w:t>17.</w:t>
      </w:r>
      <w:r w:rsidRPr="0007129D">
        <w:tab/>
        <w:t xml:space="preserve">As detailed in the 9th periodic report of Hungary, the Government of Hungary guarantees the protection of the economic, </w:t>
      </w:r>
      <w:proofErr w:type="gramStart"/>
      <w:r w:rsidRPr="0007129D">
        <w:t>social</w:t>
      </w:r>
      <w:proofErr w:type="gramEnd"/>
      <w:r w:rsidRPr="0007129D">
        <w:t xml:space="preserve"> and cultural rights and equal access to basic services of all persons in the Fundamental Law. The privatization of some services does not affect the right of citizens to basic public services. Concerning education, schools, </w:t>
      </w:r>
      <w:proofErr w:type="gramStart"/>
      <w:r w:rsidRPr="0007129D">
        <w:t>kindergartens</w:t>
      </w:r>
      <w:proofErr w:type="gramEnd"/>
      <w:r w:rsidRPr="0007129D">
        <w:t xml:space="preserve"> and nurseries may be established and maintained by the state, local governments, legal entities (churches, foundations etc.) or natural persons. About 90 per cent of the children attend public educational institutions, and the educational data of women shows a favourable trend: in 2016, 31.6 per cent of women had high school diplomas and 20.1 per cent of women had university degrees (as opposed to 27.1 per cent and 17.2 per cent of men, respectively).</w:t>
      </w:r>
      <w:r w:rsidR="00EA5AB9" w:rsidRPr="00EA5AB9">
        <w:rPr>
          <w:rStyle w:val="FootnoteReference"/>
        </w:rPr>
        <w:footnoteReference w:id="1"/>
      </w:r>
    </w:p>
    <w:p w14:paraId="0218140A" w14:textId="42A4E113" w:rsidR="00163B36" w:rsidRDefault="0007129D" w:rsidP="00163B36">
      <w:pPr>
        <w:pStyle w:val="SingleTxt"/>
      </w:pPr>
      <w:r w:rsidRPr="0007129D">
        <w:t>18.</w:t>
      </w:r>
      <w:r w:rsidRPr="0007129D">
        <w:tab/>
        <w:t xml:space="preserve">Concerning the health sector, the current Hungarian healthcare system is based on social security. Employers, employees, public servants etc. must pay a statutory contribution, while certain groups (minors, students, pensioners etc.) are entitled to health insurance benefits. For those in need for social reasons, entitlement to healthcare services is provided and the social security compensation is paid by the local government. Medical care in Hungary is, </w:t>
      </w:r>
      <w:proofErr w:type="gramStart"/>
      <w:r w:rsidRPr="0007129D">
        <w:t>as a general rule</w:t>
      </w:r>
      <w:proofErr w:type="gramEnd"/>
      <w:r w:rsidRPr="0007129D">
        <w:t>, free of charge. If the treatment is not prescribed by a physician, or is not provided through the normal hospital system, the fees imposed by the care-provider will be paid by the patient. To improve access to health care for disadvantaged women, special programmes were initiated, see paragraph 80.</w:t>
      </w:r>
    </w:p>
    <w:p w14:paraId="0C1F4CCE" w14:textId="0C23FE5A" w:rsidR="00163B36" w:rsidRPr="00163B36" w:rsidRDefault="0007129D" w:rsidP="00163B36">
      <w:pPr>
        <w:pStyle w:val="SingleTxt"/>
      </w:pPr>
      <w:r w:rsidRPr="0007129D">
        <w:t>19.</w:t>
      </w:r>
      <w:r w:rsidRPr="0007129D">
        <w:tab/>
        <w:t>In 2020, the Government adopted the Empowering Women in the Family and Society Action Plan 2021</w:t>
      </w:r>
      <w:r w:rsidR="00256690" w:rsidRPr="00256690">
        <w:t>–</w:t>
      </w:r>
      <w:r w:rsidRPr="0007129D">
        <w:t>2030 (the Action Plan 2021</w:t>
      </w:r>
      <w:r w:rsidR="00256690" w:rsidRPr="00256690">
        <w:t>–</w:t>
      </w:r>
      <w:r w:rsidRPr="0007129D">
        <w:t>2030) together with its first implementation plan covering the period 2021</w:t>
      </w:r>
      <w:r w:rsidR="00256690" w:rsidRPr="00256690">
        <w:t>–</w:t>
      </w:r>
      <w:r w:rsidRPr="0007129D">
        <w:t>2022.</w:t>
      </w:r>
      <w:r w:rsidR="00EA5AB9" w:rsidRPr="00EA5AB9">
        <w:rPr>
          <w:rStyle w:val="FootnoteReference"/>
        </w:rPr>
        <w:footnoteReference w:id="2"/>
      </w:r>
      <w:r w:rsidR="00163B36">
        <w:t xml:space="preserve"> </w:t>
      </w:r>
      <w:r w:rsidRPr="0007129D">
        <w:t>These plans cover numerous aspects of both public and private life, such as the better reconciliation of family life and work, empowering women in areas where they are underrepresented, creating equal economic, health and social protection for women and men. For the actual measures see paragraph 25.</w:t>
      </w:r>
    </w:p>
    <w:p w14:paraId="62B67C00" w14:textId="368546E5" w:rsidR="00163B36" w:rsidRDefault="0007129D" w:rsidP="00163B36">
      <w:pPr>
        <w:pStyle w:val="SingleTxt"/>
      </w:pPr>
      <w:r w:rsidRPr="0007129D">
        <w:t>20.</w:t>
      </w:r>
      <w:r w:rsidRPr="0007129D">
        <w:tab/>
        <w:t>Action Plan 2021-2030 was elaborated by a working group of experts from different professional areas (Working Group Responsible for the Elaboration of the Empowering Women in the Family and Society Action Plan 2021</w:t>
      </w:r>
      <w:r>
        <w:t>–</w:t>
      </w:r>
      <w:r w:rsidRPr="0007129D">
        <w:t>2030, the Working Group for Action Plan 2021</w:t>
      </w:r>
      <w:r>
        <w:t>–</w:t>
      </w:r>
      <w:r w:rsidRPr="0007129D">
        <w:t>2030) and consulted with NGOs. The Working Group for Action Plan 2021</w:t>
      </w:r>
      <w:r>
        <w:t>–</w:t>
      </w:r>
      <w:r w:rsidRPr="0007129D">
        <w:t>2030 serves as a general gender equality machinery, consisting of experts from all ministries, and it is responsible for the implementation of Action Plan 2021</w:t>
      </w:r>
      <w:r>
        <w:t>–</w:t>
      </w:r>
      <w:r w:rsidRPr="0007129D">
        <w:t>2030.</w:t>
      </w:r>
    </w:p>
    <w:p w14:paraId="0EC5780A" w14:textId="489AC8D3" w:rsidR="00EA5AB9" w:rsidRPr="00EA5AB9" w:rsidRDefault="00EA5AB9" w:rsidP="00EA5AB9">
      <w:pPr>
        <w:pStyle w:val="SingleTxt"/>
        <w:spacing w:after="0" w:line="120" w:lineRule="exact"/>
        <w:rPr>
          <w:sz w:val="10"/>
        </w:rPr>
      </w:pPr>
    </w:p>
    <w:p w14:paraId="47FF2570" w14:textId="70C578C1" w:rsidR="00163B36" w:rsidRPr="00EA5AB9" w:rsidRDefault="00163B36" w:rsidP="00EA5AB9">
      <w:pPr>
        <w:pStyle w:val="H1"/>
        <w:ind w:right="1260"/>
      </w:pPr>
      <w:r w:rsidRPr="00EA5AB9">
        <w:lastRenderedPageBreak/>
        <w:tab/>
      </w:r>
      <w:r w:rsidRPr="00EA5AB9">
        <w:tab/>
        <w:t>National Human Rights Institutions</w:t>
      </w:r>
    </w:p>
    <w:p w14:paraId="659240F5" w14:textId="77777777" w:rsidR="00EA5AB9" w:rsidRPr="00EA5AB9" w:rsidRDefault="00EA5AB9" w:rsidP="00EA5AB9">
      <w:pPr>
        <w:pStyle w:val="SingleTxt"/>
        <w:spacing w:after="0" w:line="120" w:lineRule="exact"/>
        <w:rPr>
          <w:sz w:val="10"/>
        </w:rPr>
      </w:pPr>
    </w:p>
    <w:p w14:paraId="5500EDD5" w14:textId="77777777" w:rsidR="00EA5AB9" w:rsidRPr="00EA5AB9" w:rsidRDefault="00EA5AB9" w:rsidP="00EA5AB9">
      <w:pPr>
        <w:pStyle w:val="SingleTxt"/>
        <w:spacing w:after="0" w:line="120" w:lineRule="exact"/>
        <w:rPr>
          <w:sz w:val="10"/>
        </w:rPr>
      </w:pPr>
    </w:p>
    <w:p w14:paraId="224C133B" w14:textId="2E1CF091" w:rsidR="00163B36" w:rsidRPr="00163B36" w:rsidRDefault="0007129D" w:rsidP="00163B36">
      <w:pPr>
        <w:pStyle w:val="SingleTxt"/>
      </w:pPr>
      <w:r w:rsidRPr="0007129D">
        <w:t>21.</w:t>
      </w:r>
      <w:r w:rsidRPr="0007129D">
        <w:tab/>
        <w:t xml:space="preserve">The Commissioner for Fundamental Rights (the Commissioner) is the general successor of the previous Equal Treatment Authority. This legal succession did not entail any change in the mandate that is set out in the Equal Treatment Act. The Commissioner may, </w:t>
      </w:r>
      <w:r w:rsidRPr="0007129D">
        <w:rPr>
          <w:i/>
          <w:iCs/>
        </w:rPr>
        <w:t>inter alia</w:t>
      </w:r>
      <w:r w:rsidRPr="0007129D">
        <w:t>, investigate any potential violation of the requirement of equal treatment both upon request or ex officio, he/she may initiate a class action to protect victims or groups of victims of discrimination, he/she opines draft legislation or governmental decisions concerning equal treatment, he/she regularly informs the National Assembly and the public opinion about the enforcement of the requirement of equal treatment etc. The mandate therefore covers the promotion of women</w:t>
      </w:r>
      <w:r w:rsidR="00024758">
        <w:t>’</w:t>
      </w:r>
      <w:r w:rsidRPr="0007129D">
        <w:t>s rights and their protection from all forms of discrimination.</w:t>
      </w:r>
    </w:p>
    <w:p w14:paraId="172EABC7" w14:textId="3FAE8A41" w:rsidR="00163B36" w:rsidRPr="00333A03" w:rsidRDefault="0007129D" w:rsidP="00163B36">
      <w:pPr>
        <w:pStyle w:val="SingleTxt"/>
        <w:rPr>
          <w:spacing w:val="2"/>
          <w:w w:val="102"/>
        </w:rPr>
      </w:pPr>
      <w:r w:rsidRPr="00333A03">
        <w:rPr>
          <w:spacing w:val="2"/>
          <w:w w:val="102"/>
        </w:rPr>
        <w:t>22.</w:t>
      </w:r>
      <w:r w:rsidRPr="00333A03">
        <w:rPr>
          <w:spacing w:val="2"/>
          <w:w w:val="102"/>
        </w:rPr>
        <w:tab/>
        <w:t>In 2020, the Equal Treatment Authority received an initial budget support of HUF 462 million (approx. USD 1.54 million), which increased to a total of HUF 484.7 million (approx. USD 1.62 million) due to a one-off mid-year budget support. In 2021, the National Assembly allocated the same budget support (</w:t>
      </w:r>
      <w:proofErr w:type="gramStart"/>
      <w:r w:rsidRPr="00333A03">
        <w:rPr>
          <w:spacing w:val="2"/>
          <w:w w:val="102"/>
        </w:rPr>
        <w:t>i.e.</w:t>
      </w:r>
      <w:proofErr w:type="gramEnd"/>
      <w:r w:rsidRPr="00333A03">
        <w:rPr>
          <w:spacing w:val="2"/>
          <w:w w:val="102"/>
        </w:rPr>
        <w:t xml:space="preserve"> HUF 462 million).</w:t>
      </w:r>
    </w:p>
    <w:p w14:paraId="09460853" w14:textId="6B779DC2" w:rsidR="00163B36" w:rsidRDefault="0007129D" w:rsidP="00163B36">
      <w:pPr>
        <w:pStyle w:val="SingleTxt"/>
      </w:pPr>
      <w:r w:rsidRPr="0007129D">
        <w:t>23.</w:t>
      </w:r>
      <w:r w:rsidRPr="0007129D">
        <w:tab/>
        <w:t>Before its integration, the Equal Treatment Authority had nine public servants performing the professional authority tasks, eight of whom have continued to work at the General Directorate for Equal Treatment of the Office of the Commissioner, ensuring that this General Directorate continues to operate on an equally high level.</w:t>
      </w:r>
    </w:p>
    <w:p w14:paraId="7A7FBA35" w14:textId="77777777" w:rsidR="00EA5AB9" w:rsidRPr="00EA5AB9" w:rsidRDefault="00EA5AB9" w:rsidP="00EA5AB9">
      <w:pPr>
        <w:pStyle w:val="SingleTxt"/>
        <w:spacing w:after="0" w:line="120" w:lineRule="exact"/>
        <w:rPr>
          <w:sz w:val="10"/>
        </w:rPr>
      </w:pPr>
    </w:p>
    <w:p w14:paraId="5CE78494" w14:textId="399E92FE" w:rsidR="00EA5AB9" w:rsidRPr="00EA5AB9" w:rsidRDefault="00EA5AB9" w:rsidP="00EA5A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EA5AB9">
        <w:rPr>
          <w:b w:val="0"/>
          <w:bCs/>
        </w:rPr>
        <w:tab/>
      </w:r>
      <w:r w:rsidRPr="00EA5AB9">
        <w:rPr>
          <w:b w:val="0"/>
          <w:bCs/>
        </w:rPr>
        <w:tab/>
      </w:r>
      <w:r w:rsidR="00163B36" w:rsidRPr="00EA5AB9">
        <w:rPr>
          <w:b w:val="0"/>
          <w:bCs/>
        </w:rPr>
        <w:t xml:space="preserve">Table </w:t>
      </w:r>
      <w:r w:rsidR="00024758">
        <w:rPr>
          <w:b w:val="0"/>
          <w:bCs/>
        </w:rPr>
        <w:t>1</w:t>
      </w:r>
    </w:p>
    <w:p w14:paraId="6C742851" w14:textId="269C1459" w:rsidR="00163B36" w:rsidRDefault="00EA5AB9" w:rsidP="00EA5A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A5AB9">
        <w:tab/>
      </w:r>
      <w:r w:rsidRPr="00EA5AB9">
        <w:tab/>
      </w:r>
      <w:r w:rsidR="00163B36" w:rsidRPr="00EA5AB9">
        <w:t>Number of cases concerning discrimination based on sex, pregnancy/parenthood (submitted by a woman) and gender identity</w:t>
      </w:r>
    </w:p>
    <w:p w14:paraId="4CC559F2" w14:textId="4A187AEC" w:rsidR="00CA50BA" w:rsidRPr="00CA50BA" w:rsidRDefault="00CA50BA" w:rsidP="00CA50BA">
      <w:pPr>
        <w:pStyle w:val="SingleTxt"/>
        <w:spacing w:after="0" w:line="120" w:lineRule="exact"/>
        <w:rPr>
          <w:sz w:val="10"/>
          <w:lang w:val="en-US"/>
        </w:rPr>
      </w:pPr>
    </w:p>
    <w:p w14:paraId="283079B1" w14:textId="66B9397D" w:rsidR="00CA50BA" w:rsidRPr="00CA50BA" w:rsidRDefault="00CA50BA" w:rsidP="00CA50BA">
      <w:pPr>
        <w:pStyle w:val="SingleTxt"/>
        <w:spacing w:after="0" w:line="120" w:lineRule="exact"/>
        <w:rPr>
          <w:sz w:val="10"/>
          <w:lang w:val="en-US"/>
        </w:rPr>
      </w:pPr>
    </w:p>
    <w:tbl>
      <w:tblPr>
        <w:tblStyle w:val="TableGrid"/>
        <w:tblW w:w="8573" w:type="dxa"/>
        <w:tblInd w:w="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1"/>
        <w:gridCol w:w="1075"/>
        <w:gridCol w:w="1075"/>
        <w:gridCol w:w="1076"/>
        <w:gridCol w:w="1114"/>
        <w:gridCol w:w="1114"/>
        <w:gridCol w:w="76"/>
        <w:gridCol w:w="1038"/>
        <w:gridCol w:w="1114"/>
      </w:tblGrid>
      <w:tr w:rsidR="00487C32" w:rsidRPr="00B71CEC" w14:paraId="1980D0F6" w14:textId="77777777" w:rsidTr="00B572F3">
        <w:trPr>
          <w:tblHeader/>
        </w:trPr>
        <w:tc>
          <w:tcPr>
            <w:tcW w:w="891" w:type="dxa"/>
            <w:vMerge w:val="restart"/>
            <w:tcBorders>
              <w:top w:val="single" w:sz="4" w:space="0" w:color="auto"/>
            </w:tcBorders>
            <w:shd w:val="clear" w:color="auto" w:fill="auto"/>
            <w:vAlign w:val="bottom"/>
          </w:tcPr>
          <w:p w14:paraId="7DB0F69A" w14:textId="77777777" w:rsidR="00487C32" w:rsidRPr="00B71CEC" w:rsidRDefault="00487C32" w:rsidP="00B572F3">
            <w:pPr>
              <w:pStyle w:val="SingleTxt"/>
              <w:spacing w:before="81" w:after="81" w:line="160" w:lineRule="exact"/>
              <w:ind w:left="0" w:right="40"/>
              <w:rPr>
                <w:i/>
                <w:sz w:val="14"/>
              </w:rPr>
            </w:pPr>
            <w:r w:rsidRPr="00B71CEC">
              <w:rPr>
                <w:i/>
                <w:sz w:val="14"/>
              </w:rPr>
              <w:t>Year</w:t>
            </w:r>
          </w:p>
        </w:tc>
        <w:tc>
          <w:tcPr>
            <w:tcW w:w="1075" w:type="dxa"/>
            <w:vMerge w:val="restart"/>
            <w:tcBorders>
              <w:top w:val="single" w:sz="4" w:space="0" w:color="auto"/>
            </w:tcBorders>
            <w:shd w:val="clear" w:color="auto" w:fill="auto"/>
            <w:vAlign w:val="bottom"/>
          </w:tcPr>
          <w:p w14:paraId="08F16125" w14:textId="77777777" w:rsidR="00487C32" w:rsidRPr="00B71CEC" w:rsidRDefault="00487C32" w:rsidP="00B572F3">
            <w:pPr>
              <w:pStyle w:val="SingleTxt"/>
              <w:spacing w:before="81" w:after="81" w:line="160" w:lineRule="exact"/>
              <w:ind w:left="144" w:right="40"/>
              <w:jc w:val="right"/>
              <w:rPr>
                <w:i/>
                <w:sz w:val="14"/>
              </w:rPr>
            </w:pPr>
            <w:r w:rsidRPr="00B71CEC">
              <w:rPr>
                <w:i/>
                <w:sz w:val="14"/>
              </w:rPr>
              <w:t>Total</w:t>
            </w:r>
          </w:p>
        </w:tc>
        <w:tc>
          <w:tcPr>
            <w:tcW w:w="4379" w:type="dxa"/>
            <w:gridSpan w:val="4"/>
            <w:tcBorders>
              <w:top w:val="single" w:sz="4" w:space="0" w:color="auto"/>
              <w:bottom w:val="single" w:sz="4" w:space="0" w:color="auto"/>
            </w:tcBorders>
            <w:shd w:val="clear" w:color="auto" w:fill="auto"/>
            <w:vAlign w:val="bottom"/>
          </w:tcPr>
          <w:p w14:paraId="2F286AD6"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B71CEC">
              <w:rPr>
                <w:i/>
                <w:sz w:val="14"/>
              </w:rPr>
              <w:t>Outcome</w:t>
            </w:r>
          </w:p>
        </w:tc>
        <w:tc>
          <w:tcPr>
            <w:tcW w:w="76" w:type="dxa"/>
            <w:tcBorders>
              <w:top w:val="single" w:sz="4" w:space="0" w:color="auto"/>
            </w:tcBorders>
            <w:shd w:val="clear" w:color="auto" w:fill="auto"/>
            <w:vAlign w:val="bottom"/>
          </w:tcPr>
          <w:p w14:paraId="3C975588"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152" w:type="dxa"/>
            <w:gridSpan w:val="2"/>
            <w:tcBorders>
              <w:top w:val="single" w:sz="4" w:space="0" w:color="auto"/>
              <w:bottom w:val="single" w:sz="4" w:space="0" w:color="auto"/>
            </w:tcBorders>
            <w:shd w:val="clear" w:color="auto" w:fill="auto"/>
            <w:vAlign w:val="bottom"/>
          </w:tcPr>
          <w:p w14:paraId="14B90851"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B71CEC">
              <w:rPr>
                <w:i/>
                <w:sz w:val="14"/>
              </w:rPr>
              <w:t>Region</w:t>
            </w:r>
          </w:p>
        </w:tc>
      </w:tr>
      <w:tr w:rsidR="00487C32" w:rsidRPr="00B71CEC" w14:paraId="0D2C4C52" w14:textId="77777777" w:rsidTr="00B572F3">
        <w:trPr>
          <w:tblHeader/>
        </w:trPr>
        <w:tc>
          <w:tcPr>
            <w:tcW w:w="891" w:type="dxa"/>
            <w:vMerge/>
            <w:tcBorders>
              <w:bottom w:val="single" w:sz="12" w:space="0" w:color="auto"/>
            </w:tcBorders>
            <w:shd w:val="clear" w:color="auto" w:fill="auto"/>
            <w:vAlign w:val="bottom"/>
          </w:tcPr>
          <w:p w14:paraId="7DDD366B"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075" w:type="dxa"/>
            <w:vMerge/>
            <w:tcBorders>
              <w:bottom w:val="single" w:sz="12" w:space="0" w:color="auto"/>
            </w:tcBorders>
            <w:shd w:val="clear" w:color="auto" w:fill="auto"/>
            <w:vAlign w:val="bottom"/>
          </w:tcPr>
          <w:p w14:paraId="2A7DAAE5"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075" w:type="dxa"/>
            <w:tcBorders>
              <w:top w:val="single" w:sz="4" w:space="0" w:color="auto"/>
              <w:bottom w:val="single" w:sz="12" w:space="0" w:color="auto"/>
            </w:tcBorders>
            <w:shd w:val="clear" w:color="auto" w:fill="auto"/>
            <w:vAlign w:val="bottom"/>
          </w:tcPr>
          <w:p w14:paraId="3211EF21"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71CEC">
              <w:rPr>
                <w:i/>
                <w:sz w:val="14"/>
              </w:rPr>
              <w:t>Violation</w:t>
            </w:r>
          </w:p>
        </w:tc>
        <w:tc>
          <w:tcPr>
            <w:tcW w:w="1076" w:type="dxa"/>
            <w:tcBorders>
              <w:top w:val="single" w:sz="4" w:space="0" w:color="auto"/>
              <w:bottom w:val="single" w:sz="12" w:space="0" w:color="auto"/>
            </w:tcBorders>
            <w:shd w:val="clear" w:color="auto" w:fill="auto"/>
            <w:vAlign w:val="bottom"/>
          </w:tcPr>
          <w:p w14:paraId="750F99F4"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71CEC">
              <w:rPr>
                <w:i/>
                <w:sz w:val="14"/>
              </w:rPr>
              <w:t>Settlement</w:t>
            </w:r>
          </w:p>
        </w:tc>
        <w:tc>
          <w:tcPr>
            <w:tcW w:w="1114" w:type="dxa"/>
            <w:tcBorders>
              <w:top w:val="single" w:sz="4" w:space="0" w:color="auto"/>
              <w:bottom w:val="single" w:sz="12" w:space="0" w:color="auto"/>
            </w:tcBorders>
            <w:shd w:val="clear" w:color="auto" w:fill="auto"/>
            <w:vAlign w:val="bottom"/>
          </w:tcPr>
          <w:p w14:paraId="72922517"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71CEC">
              <w:rPr>
                <w:i/>
                <w:sz w:val="14"/>
              </w:rPr>
              <w:t>Termination on procedural grounds</w:t>
            </w:r>
          </w:p>
        </w:tc>
        <w:tc>
          <w:tcPr>
            <w:tcW w:w="1114" w:type="dxa"/>
            <w:tcBorders>
              <w:top w:val="single" w:sz="4" w:space="0" w:color="auto"/>
              <w:bottom w:val="single" w:sz="12" w:space="0" w:color="auto"/>
            </w:tcBorders>
            <w:shd w:val="clear" w:color="auto" w:fill="auto"/>
            <w:vAlign w:val="bottom"/>
          </w:tcPr>
          <w:p w14:paraId="6BA5E282"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71CEC">
              <w:rPr>
                <w:i/>
                <w:sz w:val="14"/>
              </w:rPr>
              <w:t>Rejection of complaint</w:t>
            </w:r>
          </w:p>
        </w:tc>
        <w:tc>
          <w:tcPr>
            <w:tcW w:w="1114" w:type="dxa"/>
            <w:gridSpan w:val="2"/>
            <w:tcBorders>
              <w:bottom w:val="single" w:sz="12" w:space="0" w:color="auto"/>
            </w:tcBorders>
            <w:shd w:val="clear" w:color="auto" w:fill="auto"/>
            <w:vAlign w:val="bottom"/>
          </w:tcPr>
          <w:p w14:paraId="55EF7881"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71CEC">
              <w:rPr>
                <w:i/>
                <w:sz w:val="14"/>
              </w:rPr>
              <w:t>Budapest</w:t>
            </w:r>
          </w:p>
        </w:tc>
        <w:tc>
          <w:tcPr>
            <w:tcW w:w="1114" w:type="dxa"/>
            <w:tcBorders>
              <w:bottom w:val="single" w:sz="12" w:space="0" w:color="auto"/>
            </w:tcBorders>
            <w:shd w:val="clear" w:color="auto" w:fill="auto"/>
            <w:vAlign w:val="bottom"/>
          </w:tcPr>
          <w:p w14:paraId="5EEEE0A0"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71CEC">
              <w:rPr>
                <w:i/>
                <w:sz w:val="14"/>
              </w:rPr>
              <w:t>Outside Budapest</w:t>
            </w:r>
          </w:p>
        </w:tc>
      </w:tr>
      <w:tr w:rsidR="00487C32" w:rsidRPr="00B71CEC" w14:paraId="0BA2530C" w14:textId="77777777" w:rsidTr="00B572F3">
        <w:trPr>
          <w:trHeight w:hRule="exact" w:val="115"/>
          <w:tblHeader/>
        </w:trPr>
        <w:tc>
          <w:tcPr>
            <w:tcW w:w="891" w:type="dxa"/>
            <w:tcBorders>
              <w:top w:val="single" w:sz="12" w:space="0" w:color="auto"/>
            </w:tcBorders>
            <w:shd w:val="clear" w:color="auto" w:fill="auto"/>
            <w:vAlign w:val="bottom"/>
          </w:tcPr>
          <w:p w14:paraId="7778925E"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75" w:type="dxa"/>
            <w:tcBorders>
              <w:top w:val="single" w:sz="12" w:space="0" w:color="auto"/>
            </w:tcBorders>
            <w:shd w:val="clear" w:color="auto" w:fill="auto"/>
            <w:vAlign w:val="bottom"/>
          </w:tcPr>
          <w:p w14:paraId="67942345"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5" w:type="dxa"/>
            <w:tcBorders>
              <w:top w:val="single" w:sz="12" w:space="0" w:color="auto"/>
            </w:tcBorders>
            <w:shd w:val="clear" w:color="auto" w:fill="auto"/>
            <w:vAlign w:val="bottom"/>
          </w:tcPr>
          <w:p w14:paraId="391A0979"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6" w:type="dxa"/>
            <w:tcBorders>
              <w:top w:val="single" w:sz="12" w:space="0" w:color="auto"/>
            </w:tcBorders>
            <w:shd w:val="clear" w:color="auto" w:fill="auto"/>
            <w:vAlign w:val="bottom"/>
          </w:tcPr>
          <w:p w14:paraId="36EA4704"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14" w:type="dxa"/>
            <w:tcBorders>
              <w:top w:val="single" w:sz="12" w:space="0" w:color="auto"/>
            </w:tcBorders>
            <w:shd w:val="clear" w:color="auto" w:fill="auto"/>
            <w:vAlign w:val="bottom"/>
          </w:tcPr>
          <w:p w14:paraId="54B3390C"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14" w:type="dxa"/>
            <w:tcBorders>
              <w:top w:val="single" w:sz="12" w:space="0" w:color="auto"/>
            </w:tcBorders>
            <w:shd w:val="clear" w:color="auto" w:fill="auto"/>
            <w:vAlign w:val="bottom"/>
          </w:tcPr>
          <w:p w14:paraId="7AA05DF8"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14" w:type="dxa"/>
            <w:gridSpan w:val="2"/>
            <w:tcBorders>
              <w:top w:val="single" w:sz="12" w:space="0" w:color="auto"/>
            </w:tcBorders>
            <w:shd w:val="clear" w:color="auto" w:fill="auto"/>
            <w:vAlign w:val="bottom"/>
          </w:tcPr>
          <w:p w14:paraId="7541E069"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14" w:type="dxa"/>
            <w:tcBorders>
              <w:top w:val="single" w:sz="12" w:space="0" w:color="auto"/>
            </w:tcBorders>
            <w:shd w:val="clear" w:color="auto" w:fill="auto"/>
            <w:vAlign w:val="bottom"/>
          </w:tcPr>
          <w:p w14:paraId="7B4B1CF1"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87C32" w:rsidRPr="00B71CEC" w14:paraId="6295A3E0" w14:textId="77777777" w:rsidTr="00B572F3">
        <w:tc>
          <w:tcPr>
            <w:tcW w:w="891" w:type="dxa"/>
            <w:shd w:val="clear" w:color="auto" w:fill="auto"/>
            <w:vAlign w:val="bottom"/>
          </w:tcPr>
          <w:p w14:paraId="6D58B2D2"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71CEC">
              <w:rPr>
                <w:sz w:val="17"/>
              </w:rPr>
              <w:t>2013</w:t>
            </w:r>
          </w:p>
        </w:tc>
        <w:tc>
          <w:tcPr>
            <w:tcW w:w="1075" w:type="dxa"/>
            <w:shd w:val="clear" w:color="auto" w:fill="auto"/>
            <w:vAlign w:val="bottom"/>
          </w:tcPr>
          <w:p w14:paraId="7ED11CB8"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39</w:t>
            </w:r>
          </w:p>
        </w:tc>
        <w:tc>
          <w:tcPr>
            <w:tcW w:w="1075" w:type="dxa"/>
            <w:shd w:val="clear" w:color="auto" w:fill="auto"/>
            <w:vAlign w:val="bottom"/>
          </w:tcPr>
          <w:p w14:paraId="3747B78E"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4</w:t>
            </w:r>
          </w:p>
        </w:tc>
        <w:tc>
          <w:tcPr>
            <w:tcW w:w="1076" w:type="dxa"/>
            <w:shd w:val="clear" w:color="auto" w:fill="auto"/>
            <w:vAlign w:val="bottom"/>
          </w:tcPr>
          <w:p w14:paraId="55598E0A"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4</w:t>
            </w:r>
          </w:p>
        </w:tc>
        <w:tc>
          <w:tcPr>
            <w:tcW w:w="1114" w:type="dxa"/>
            <w:shd w:val="clear" w:color="auto" w:fill="auto"/>
            <w:vAlign w:val="bottom"/>
          </w:tcPr>
          <w:p w14:paraId="67AAEC19"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21</w:t>
            </w:r>
          </w:p>
        </w:tc>
        <w:tc>
          <w:tcPr>
            <w:tcW w:w="1114" w:type="dxa"/>
            <w:shd w:val="clear" w:color="auto" w:fill="auto"/>
            <w:vAlign w:val="bottom"/>
          </w:tcPr>
          <w:p w14:paraId="23306C73"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10</w:t>
            </w:r>
          </w:p>
        </w:tc>
        <w:tc>
          <w:tcPr>
            <w:tcW w:w="1114" w:type="dxa"/>
            <w:gridSpan w:val="2"/>
            <w:shd w:val="clear" w:color="auto" w:fill="auto"/>
            <w:vAlign w:val="bottom"/>
          </w:tcPr>
          <w:p w14:paraId="13BD4ACD"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13</w:t>
            </w:r>
          </w:p>
        </w:tc>
        <w:tc>
          <w:tcPr>
            <w:tcW w:w="1114" w:type="dxa"/>
            <w:shd w:val="clear" w:color="auto" w:fill="auto"/>
            <w:vAlign w:val="bottom"/>
          </w:tcPr>
          <w:p w14:paraId="5FEB57D6"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26</w:t>
            </w:r>
          </w:p>
        </w:tc>
      </w:tr>
      <w:tr w:rsidR="00487C32" w:rsidRPr="00B71CEC" w14:paraId="46322185" w14:textId="77777777" w:rsidTr="00B572F3">
        <w:tc>
          <w:tcPr>
            <w:tcW w:w="891" w:type="dxa"/>
            <w:shd w:val="clear" w:color="auto" w:fill="auto"/>
            <w:vAlign w:val="bottom"/>
          </w:tcPr>
          <w:p w14:paraId="21BCC13D"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71CEC">
              <w:rPr>
                <w:sz w:val="17"/>
              </w:rPr>
              <w:t>2014</w:t>
            </w:r>
          </w:p>
        </w:tc>
        <w:tc>
          <w:tcPr>
            <w:tcW w:w="1075" w:type="dxa"/>
            <w:shd w:val="clear" w:color="auto" w:fill="auto"/>
            <w:vAlign w:val="bottom"/>
          </w:tcPr>
          <w:p w14:paraId="614DF41C"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30</w:t>
            </w:r>
          </w:p>
        </w:tc>
        <w:tc>
          <w:tcPr>
            <w:tcW w:w="1075" w:type="dxa"/>
            <w:shd w:val="clear" w:color="auto" w:fill="auto"/>
            <w:vAlign w:val="bottom"/>
          </w:tcPr>
          <w:p w14:paraId="069AC3CC"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3</w:t>
            </w:r>
          </w:p>
        </w:tc>
        <w:tc>
          <w:tcPr>
            <w:tcW w:w="1076" w:type="dxa"/>
            <w:shd w:val="clear" w:color="auto" w:fill="auto"/>
            <w:vAlign w:val="bottom"/>
          </w:tcPr>
          <w:p w14:paraId="7A56129E"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3</w:t>
            </w:r>
          </w:p>
        </w:tc>
        <w:tc>
          <w:tcPr>
            <w:tcW w:w="1114" w:type="dxa"/>
            <w:shd w:val="clear" w:color="auto" w:fill="auto"/>
            <w:vAlign w:val="bottom"/>
          </w:tcPr>
          <w:p w14:paraId="5315295D"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7</w:t>
            </w:r>
          </w:p>
        </w:tc>
        <w:tc>
          <w:tcPr>
            <w:tcW w:w="1114" w:type="dxa"/>
            <w:shd w:val="clear" w:color="auto" w:fill="auto"/>
            <w:vAlign w:val="bottom"/>
          </w:tcPr>
          <w:p w14:paraId="6DE0B943"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17</w:t>
            </w:r>
          </w:p>
        </w:tc>
        <w:tc>
          <w:tcPr>
            <w:tcW w:w="1114" w:type="dxa"/>
            <w:gridSpan w:val="2"/>
            <w:shd w:val="clear" w:color="auto" w:fill="auto"/>
            <w:vAlign w:val="bottom"/>
          </w:tcPr>
          <w:p w14:paraId="61302F6E"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13</w:t>
            </w:r>
          </w:p>
        </w:tc>
        <w:tc>
          <w:tcPr>
            <w:tcW w:w="1114" w:type="dxa"/>
            <w:shd w:val="clear" w:color="auto" w:fill="auto"/>
            <w:vAlign w:val="bottom"/>
          </w:tcPr>
          <w:p w14:paraId="109884FA"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17</w:t>
            </w:r>
          </w:p>
        </w:tc>
      </w:tr>
      <w:tr w:rsidR="00487C32" w:rsidRPr="00B71CEC" w14:paraId="3C0546F7" w14:textId="77777777" w:rsidTr="00B572F3">
        <w:tc>
          <w:tcPr>
            <w:tcW w:w="891" w:type="dxa"/>
            <w:shd w:val="clear" w:color="auto" w:fill="auto"/>
            <w:vAlign w:val="bottom"/>
          </w:tcPr>
          <w:p w14:paraId="0C3CB5B9"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71CEC">
              <w:rPr>
                <w:sz w:val="17"/>
              </w:rPr>
              <w:t>2015</w:t>
            </w:r>
          </w:p>
        </w:tc>
        <w:tc>
          <w:tcPr>
            <w:tcW w:w="1075" w:type="dxa"/>
            <w:shd w:val="clear" w:color="auto" w:fill="auto"/>
            <w:vAlign w:val="bottom"/>
          </w:tcPr>
          <w:p w14:paraId="10143BD9"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29</w:t>
            </w:r>
          </w:p>
        </w:tc>
        <w:tc>
          <w:tcPr>
            <w:tcW w:w="1075" w:type="dxa"/>
            <w:shd w:val="clear" w:color="auto" w:fill="auto"/>
            <w:vAlign w:val="bottom"/>
          </w:tcPr>
          <w:p w14:paraId="7348ABCD"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5</w:t>
            </w:r>
          </w:p>
        </w:tc>
        <w:tc>
          <w:tcPr>
            <w:tcW w:w="1076" w:type="dxa"/>
            <w:shd w:val="clear" w:color="auto" w:fill="auto"/>
            <w:vAlign w:val="bottom"/>
          </w:tcPr>
          <w:p w14:paraId="45F3CB9D"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0</w:t>
            </w:r>
          </w:p>
        </w:tc>
        <w:tc>
          <w:tcPr>
            <w:tcW w:w="1114" w:type="dxa"/>
            <w:shd w:val="clear" w:color="auto" w:fill="auto"/>
            <w:vAlign w:val="bottom"/>
          </w:tcPr>
          <w:p w14:paraId="34D70E7E"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13</w:t>
            </w:r>
          </w:p>
        </w:tc>
        <w:tc>
          <w:tcPr>
            <w:tcW w:w="1114" w:type="dxa"/>
            <w:shd w:val="clear" w:color="auto" w:fill="auto"/>
            <w:vAlign w:val="bottom"/>
          </w:tcPr>
          <w:p w14:paraId="3953C40D"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11</w:t>
            </w:r>
          </w:p>
        </w:tc>
        <w:tc>
          <w:tcPr>
            <w:tcW w:w="1114" w:type="dxa"/>
            <w:gridSpan w:val="2"/>
            <w:shd w:val="clear" w:color="auto" w:fill="auto"/>
            <w:vAlign w:val="bottom"/>
          </w:tcPr>
          <w:p w14:paraId="5D94FD1D"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9</w:t>
            </w:r>
          </w:p>
        </w:tc>
        <w:tc>
          <w:tcPr>
            <w:tcW w:w="1114" w:type="dxa"/>
            <w:shd w:val="clear" w:color="auto" w:fill="auto"/>
            <w:vAlign w:val="bottom"/>
          </w:tcPr>
          <w:p w14:paraId="37BF2BEF"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20</w:t>
            </w:r>
          </w:p>
        </w:tc>
      </w:tr>
      <w:tr w:rsidR="00487C32" w:rsidRPr="00B71CEC" w14:paraId="59557B91" w14:textId="77777777" w:rsidTr="00B572F3">
        <w:tc>
          <w:tcPr>
            <w:tcW w:w="891" w:type="dxa"/>
            <w:shd w:val="clear" w:color="auto" w:fill="auto"/>
            <w:vAlign w:val="bottom"/>
          </w:tcPr>
          <w:p w14:paraId="31805516"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71CEC">
              <w:rPr>
                <w:sz w:val="17"/>
              </w:rPr>
              <w:t>2016</w:t>
            </w:r>
          </w:p>
        </w:tc>
        <w:tc>
          <w:tcPr>
            <w:tcW w:w="1075" w:type="dxa"/>
            <w:shd w:val="clear" w:color="auto" w:fill="auto"/>
            <w:vAlign w:val="bottom"/>
          </w:tcPr>
          <w:p w14:paraId="234D014A"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33</w:t>
            </w:r>
          </w:p>
        </w:tc>
        <w:tc>
          <w:tcPr>
            <w:tcW w:w="1075" w:type="dxa"/>
            <w:shd w:val="clear" w:color="auto" w:fill="auto"/>
            <w:vAlign w:val="bottom"/>
          </w:tcPr>
          <w:p w14:paraId="5C37349F"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5</w:t>
            </w:r>
          </w:p>
        </w:tc>
        <w:tc>
          <w:tcPr>
            <w:tcW w:w="1076" w:type="dxa"/>
            <w:shd w:val="clear" w:color="auto" w:fill="auto"/>
            <w:vAlign w:val="bottom"/>
          </w:tcPr>
          <w:p w14:paraId="4CEA8F34"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5</w:t>
            </w:r>
          </w:p>
        </w:tc>
        <w:tc>
          <w:tcPr>
            <w:tcW w:w="1114" w:type="dxa"/>
            <w:shd w:val="clear" w:color="auto" w:fill="auto"/>
            <w:vAlign w:val="bottom"/>
          </w:tcPr>
          <w:p w14:paraId="5D8496C1"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8</w:t>
            </w:r>
          </w:p>
        </w:tc>
        <w:tc>
          <w:tcPr>
            <w:tcW w:w="1114" w:type="dxa"/>
            <w:shd w:val="clear" w:color="auto" w:fill="auto"/>
            <w:vAlign w:val="bottom"/>
          </w:tcPr>
          <w:p w14:paraId="42985449"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15</w:t>
            </w:r>
          </w:p>
        </w:tc>
        <w:tc>
          <w:tcPr>
            <w:tcW w:w="1114" w:type="dxa"/>
            <w:gridSpan w:val="2"/>
            <w:shd w:val="clear" w:color="auto" w:fill="auto"/>
            <w:vAlign w:val="bottom"/>
          </w:tcPr>
          <w:p w14:paraId="68E65D1E"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10</w:t>
            </w:r>
          </w:p>
        </w:tc>
        <w:tc>
          <w:tcPr>
            <w:tcW w:w="1114" w:type="dxa"/>
            <w:shd w:val="clear" w:color="auto" w:fill="auto"/>
            <w:vAlign w:val="bottom"/>
          </w:tcPr>
          <w:p w14:paraId="688F379D"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13</w:t>
            </w:r>
          </w:p>
        </w:tc>
      </w:tr>
      <w:tr w:rsidR="00487C32" w:rsidRPr="00B71CEC" w14:paraId="0369BCE4" w14:textId="77777777" w:rsidTr="00B572F3">
        <w:tc>
          <w:tcPr>
            <w:tcW w:w="891" w:type="dxa"/>
            <w:shd w:val="clear" w:color="auto" w:fill="auto"/>
            <w:vAlign w:val="bottom"/>
          </w:tcPr>
          <w:p w14:paraId="3F725B58"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71CEC">
              <w:rPr>
                <w:sz w:val="17"/>
              </w:rPr>
              <w:t>2017</w:t>
            </w:r>
          </w:p>
        </w:tc>
        <w:tc>
          <w:tcPr>
            <w:tcW w:w="1075" w:type="dxa"/>
            <w:shd w:val="clear" w:color="auto" w:fill="auto"/>
            <w:vAlign w:val="bottom"/>
          </w:tcPr>
          <w:p w14:paraId="21270780"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37</w:t>
            </w:r>
          </w:p>
        </w:tc>
        <w:tc>
          <w:tcPr>
            <w:tcW w:w="1075" w:type="dxa"/>
            <w:shd w:val="clear" w:color="auto" w:fill="auto"/>
            <w:vAlign w:val="bottom"/>
          </w:tcPr>
          <w:p w14:paraId="71578CBE"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4</w:t>
            </w:r>
          </w:p>
        </w:tc>
        <w:tc>
          <w:tcPr>
            <w:tcW w:w="1076" w:type="dxa"/>
            <w:shd w:val="clear" w:color="auto" w:fill="auto"/>
            <w:vAlign w:val="bottom"/>
          </w:tcPr>
          <w:p w14:paraId="46BF4DA8"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7</w:t>
            </w:r>
          </w:p>
        </w:tc>
        <w:tc>
          <w:tcPr>
            <w:tcW w:w="1114" w:type="dxa"/>
            <w:shd w:val="clear" w:color="auto" w:fill="auto"/>
            <w:vAlign w:val="bottom"/>
          </w:tcPr>
          <w:p w14:paraId="341310F4"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11</w:t>
            </w:r>
          </w:p>
        </w:tc>
        <w:tc>
          <w:tcPr>
            <w:tcW w:w="1114" w:type="dxa"/>
            <w:shd w:val="clear" w:color="auto" w:fill="auto"/>
            <w:vAlign w:val="bottom"/>
          </w:tcPr>
          <w:p w14:paraId="5A7E4232"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15</w:t>
            </w:r>
          </w:p>
        </w:tc>
        <w:tc>
          <w:tcPr>
            <w:tcW w:w="1114" w:type="dxa"/>
            <w:gridSpan w:val="2"/>
            <w:shd w:val="clear" w:color="auto" w:fill="auto"/>
            <w:vAlign w:val="bottom"/>
          </w:tcPr>
          <w:p w14:paraId="38BE6509"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9</w:t>
            </w:r>
          </w:p>
        </w:tc>
        <w:tc>
          <w:tcPr>
            <w:tcW w:w="1114" w:type="dxa"/>
            <w:shd w:val="clear" w:color="auto" w:fill="auto"/>
            <w:vAlign w:val="bottom"/>
          </w:tcPr>
          <w:p w14:paraId="7B36E12F"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28</w:t>
            </w:r>
          </w:p>
        </w:tc>
      </w:tr>
      <w:tr w:rsidR="00487C32" w:rsidRPr="00B71CEC" w14:paraId="63DEDF27" w14:textId="77777777" w:rsidTr="00B572F3">
        <w:tc>
          <w:tcPr>
            <w:tcW w:w="891" w:type="dxa"/>
            <w:shd w:val="clear" w:color="auto" w:fill="auto"/>
            <w:vAlign w:val="bottom"/>
          </w:tcPr>
          <w:p w14:paraId="0A803133"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71CEC">
              <w:rPr>
                <w:sz w:val="17"/>
              </w:rPr>
              <w:t>2018</w:t>
            </w:r>
          </w:p>
        </w:tc>
        <w:tc>
          <w:tcPr>
            <w:tcW w:w="1075" w:type="dxa"/>
            <w:shd w:val="clear" w:color="auto" w:fill="auto"/>
            <w:vAlign w:val="bottom"/>
          </w:tcPr>
          <w:p w14:paraId="72EC381B"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21</w:t>
            </w:r>
          </w:p>
        </w:tc>
        <w:tc>
          <w:tcPr>
            <w:tcW w:w="1075" w:type="dxa"/>
            <w:shd w:val="clear" w:color="auto" w:fill="auto"/>
            <w:vAlign w:val="bottom"/>
          </w:tcPr>
          <w:p w14:paraId="6B31680E"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6</w:t>
            </w:r>
          </w:p>
        </w:tc>
        <w:tc>
          <w:tcPr>
            <w:tcW w:w="1076" w:type="dxa"/>
            <w:shd w:val="clear" w:color="auto" w:fill="auto"/>
            <w:vAlign w:val="bottom"/>
          </w:tcPr>
          <w:p w14:paraId="6171D1DA"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2</w:t>
            </w:r>
          </w:p>
        </w:tc>
        <w:tc>
          <w:tcPr>
            <w:tcW w:w="1114" w:type="dxa"/>
            <w:shd w:val="clear" w:color="auto" w:fill="auto"/>
            <w:vAlign w:val="bottom"/>
          </w:tcPr>
          <w:p w14:paraId="668C8045"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3</w:t>
            </w:r>
          </w:p>
        </w:tc>
        <w:tc>
          <w:tcPr>
            <w:tcW w:w="1114" w:type="dxa"/>
            <w:shd w:val="clear" w:color="auto" w:fill="auto"/>
            <w:vAlign w:val="bottom"/>
          </w:tcPr>
          <w:p w14:paraId="3721BC5F"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10</w:t>
            </w:r>
          </w:p>
        </w:tc>
        <w:tc>
          <w:tcPr>
            <w:tcW w:w="1114" w:type="dxa"/>
            <w:gridSpan w:val="2"/>
            <w:shd w:val="clear" w:color="auto" w:fill="auto"/>
            <w:vAlign w:val="bottom"/>
          </w:tcPr>
          <w:p w14:paraId="2444522B"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3</w:t>
            </w:r>
          </w:p>
        </w:tc>
        <w:tc>
          <w:tcPr>
            <w:tcW w:w="1114" w:type="dxa"/>
            <w:shd w:val="clear" w:color="auto" w:fill="auto"/>
            <w:vAlign w:val="bottom"/>
          </w:tcPr>
          <w:p w14:paraId="6C11044D"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18</w:t>
            </w:r>
          </w:p>
        </w:tc>
      </w:tr>
      <w:tr w:rsidR="00487C32" w:rsidRPr="00B71CEC" w14:paraId="068261A1" w14:textId="77777777" w:rsidTr="00B572F3">
        <w:tc>
          <w:tcPr>
            <w:tcW w:w="891" w:type="dxa"/>
            <w:shd w:val="clear" w:color="auto" w:fill="auto"/>
            <w:vAlign w:val="bottom"/>
          </w:tcPr>
          <w:p w14:paraId="7823CBA2"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71CEC">
              <w:rPr>
                <w:sz w:val="17"/>
              </w:rPr>
              <w:t>2019</w:t>
            </w:r>
          </w:p>
        </w:tc>
        <w:tc>
          <w:tcPr>
            <w:tcW w:w="1075" w:type="dxa"/>
            <w:shd w:val="clear" w:color="auto" w:fill="auto"/>
            <w:vAlign w:val="bottom"/>
          </w:tcPr>
          <w:p w14:paraId="1047F858"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34*</w:t>
            </w:r>
          </w:p>
        </w:tc>
        <w:tc>
          <w:tcPr>
            <w:tcW w:w="1075" w:type="dxa"/>
            <w:shd w:val="clear" w:color="auto" w:fill="auto"/>
            <w:vAlign w:val="bottom"/>
          </w:tcPr>
          <w:p w14:paraId="340F106D"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9</w:t>
            </w:r>
          </w:p>
        </w:tc>
        <w:tc>
          <w:tcPr>
            <w:tcW w:w="1076" w:type="dxa"/>
            <w:shd w:val="clear" w:color="auto" w:fill="auto"/>
            <w:vAlign w:val="bottom"/>
          </w:tcPr>
          <w:p w14:paraId="40F5F1E0"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3</w:t>
            </w:r>
          </w:p>
        </w:tc>
        <w:tc>
          <w:tcPr>
            <w:tcW w:w="1114" w:type="dxa"/>
            <w:shd w:val="clear" w:color="auto" w:fill="auto"/>
            <w:vAlign w:val="bottom"/>
          </w:tcPr>
          <w:p w14:paraId="364CF4C5"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8</w:t>
            </w:r>
          </w:p>
        </w:tc>
        <w:tc>
          <w:tcPr>
            <w:tcW w:w="1114" w:type="dxa"/>
            <w:shd w:val="clear" w:color="auto" w:fill="auto"/>
            <w:vAlign w:val="bottom"/>
          </w:tcPr>
          <w:p w14:paraId="4156ED9A"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11</w:t>
            </w:r>
          </w:p>
        </w:tc>
        <w:tc>
          <w:tcPr>
            <w:tcW w:w="1114" w:type="dxa"/>
            <w:gridSpan w:val="2"/>
            <w:shd w:val="clear" w:color="auto" w:fill="auto"/>
            <w:vAlign w:val="bottom"/>
          </w:tcPr>
          <w:p w14:paraId="3EE60416"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8</w:t>
            </w:r>
          </w:p>
        </w:tc>
        <w:tc>
          <w:tcPr>
            <w:tcW w:w="1114" w:type="dxa"/>
            <w:shd w:val="clear" w:color="auto" w:fill="auto"/>
            <w:vAlign w:val="bottom"/>
          </w:tcPr>
          <w:p w14:paraId="1937A35A"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26</w:t>
            </w:r>
          </w:p>
        </w:tc>
      </w:tr>
      <w:tr w:rsidR="00487C32" w:rsidRPr="00B71CEC" w14:paraId="0E089181" w14:textId="77777777" w:rsidTr="00B572F3">
        <w:tc>
          <w:tcPr>
            <w:tcW w:w="891" w:type="dxa"/>
            <w:tcBorders>
              <w:bottom w:val="single" w:sz="12" w:space="0" w:color="auto"/>
            </w:tcBorders>
            <w:shd w:val="clear" w:color="auto" w:fill="auto"/>
            <w:vAlign w:val="bottom"/>
          </w:tcPr>
          <w:p w14:paraId="52E81E3A"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71CEC">
              <w:rPr>
                <w:sz w:val="17"/>
              </w:rPr>
              <w:t>2020</w:t>
            </w:r>
          </w:p>
        </w:tc>
        <w:tc>
          <w:tcPr>
            <w:tcW w:w="1075" w:type="dxa"/>
            <w:tcBorders>
              <w:bottom w:val="single" w:sz="12" w:space="0" w:color="auto"/>
            </w:tcBorders>
            <w:shd w:val="clear" w:color="auto" w:fill="auto"/>
            <w:vAlign w:val="bottom"/>
          </w:tcPr>
          <w:p w14:paraId="2DDC6E83"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33*</w:t>
            </w:r>
          </w:p>
        </w:tc>
        <w:tc>
          <w:tcPr>
            <w:tcW w:w="1075" w:type="dxa"/>
            <w:tcBorders>
              <w:bottom w:val="single" w:sz="12" w:space="0" w:color="auto"/>
            </w:tcBorders>
            <w:shd w:val="clear" w:color="auto" w:fill="auto"/>
            <w:vAlign w:val="bottom"/>
          </w:tcPr>
          <w:p w14:paraId="7C887074"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8</w:t>
            </w:r>
          </w:p>
        </w:tc>
        <w:tc>
          <w:tcPr>
            <w:tcW w:w="1076" w:type="dxa"/>
            <w:tcBorders>
              <w:bottom w:val="single" w:sz="12" w:space="0" w:color="auto"/>
            </w:tcBorders>
            <w:shd w:val="clear" w:color="auto" w:fill="auto"/>
            <w:vAlign w:val="bottom"/>
          </w:tcPr>
          <w:p w14:paraId="194EFC51"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0</w:t>
            </w:r>
          </w:p>
        </w:tc>
        <w:tc>
          <w:tcPr>
            <w:tcW w:w="1114" w:type="dxa"/>
            <w:tcBorders>
              <w:bottom w:val="single" w:sz="12" w:space="0" w:color="auto"/>
            </w:tcBorders>
            <w:shd w:val="clear" w:color="auto" w:fill="auto"/>
            <w:vAlign w:val="bottom"/>
          </w:tcPr>
          <w:p w14:paraId="063271BE"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11</w:t>
            </w:r>
          </w:p>
        </w:tc>
        <w:tc>
          <w:tcPr>
            <w:tcW w:w="1114" w:type="dxa"/>
            <w:tcBorders>
              <w:bottom w:val="single" w:sz="12" w:space="0" w:color="auto"/>
            </w:tcBorders>
            <w:shd w:val="clear" w:color="auto" w:fill="auto"/>
            <w:vAlign w:val="bottom"/>
          </w:tcPr>
          <w:p w14:paraId="58422FFB"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11</w:t>
            </w:r>
          </w:p>
        </w:tc>
        <w:tc>
          <w:tcPr>
            <w:tcW w:w="1114" w:type="dxa"/>
            <w:gridSpan w:val="2"/>
            <w:tcBorders>
              <w:bottom w:val="single" w:sz="12" w:space="0" w:color="auto"/>
            </w:tcBorders>
            <w:shd w:val="clear" w:color="auto" w:fill="auto"/>
            <w:vAlign w:val="bottom"/>
          </w:tcPr>
          <w:p w14:paraId="7E37A598"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6</w:t>
            </w:r>
          </w:p>
        </w:tc>
        <w:tc>
          <w:tcPr>
            <w:tcW w:w="1114" w:type="dxa"/>
            <w:tcBorders>
              <w:bottom w:val="single" w:sz="12" w:space="0" w:color="auto"/>
            </w:tcBorders>
            <w:shd w:val="clear" w:color="auto" w:fill="auto"/>
            <w:vAlign w:val="bottom"/>
          </w:tcPr>
          <w:p w14:paraId="37D8AA43" w14:textId="77777777" w:rsidR="00487C32" w:rsidRPr="00B71CEC" w:rsidRDefault="00487C32" w:rsidP="00B572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71CEC">
              <w:rPr>
                <w:sz w:val="17"/>
              </w:rPr>
              <w:t>27</w:t>
            </w:r>
          </w:p>
        </w:tc>
      </w:tr>
    </w:tbl>
    <w:p w14:paraId="22D2C900" w14:textId="79C2A813" w:rsidR="00EA5AB9" w:rsidRPr="00487C32" w:rsidRDefault="00EA5AB9" w:rsidP="00487C32">
      <w:pPr>
        <w:pStyle w:val="SingleTxt"/>
        <w:spacing w:after="0" w:line="120" w:lineRule="exact"/>
        <w:rPr>
          <w:noProof/>
          <w:sz w:val="10"/>
        </w:rPr>
      </w:pPr>
    </w:p>
    <w:p w14:paraId="674A215B" w14:textId="38C706D6" w:rsidR="00163B36" w:rsidRPr="00163B36" w:rsidRDefault="00EA5AB9" w:rsidP="00EA5AB9">
      <w:pPr>
        <w:pStyle w:val="FootnoteText"/>
        <w:tabs>
          <w:tab w:val="clear" w:pos="418"/>
          <w:tab w:val="right" w:pos="1476"/>
          <w:tab w:val="left" w:pos="1548"/>
          <w:tab w:val="right" w:pos="1836"/>
          <w:tab w:val="left" w:pos="1908"/>
        </w:tabs>
        <w:ind w:left="1548" w:hanging="288"/>
      </w:pPr>
      <w:r>
        <w:tab/>
      </w:r>
      <w:r w:rsidR="00163B36" w:rsidRPr="00163B36">
        <w:t>*</w:t>
      </w:r>
      <w:r>
        <w:tab/>
      </w:r>
      <w:r w:rsidR="00163B36" w:rsidRPr="00333A03">
        <w:rPr>
          <w:i/>
          <w:iCs/>
        </w:rPr>
        <w:t>Includes cases suspended due to labour court litigation</w:t>
      </w:r>
      <w:r w:rsidR="00163B36" w:rsidRPr="00163B36">
        <w:t>.</w:t>
      </w:r>
    </w:p>
    <w:p w14:paraId="1F8D22E5" w14:textId="77777777" w:rsidR="00EA5AB9" w:rsidRPr="00EA5AB9" w:rsidRDefault="00EA5AB9" w:rsidP="00EA5AB9">
      <w:pPr>
        <w:pStyle w:val="SingleTxt"/>
        <w:spacing w:after="0" w:line="120" w:lineRule="exact"/>
        <w:rPr>
          <w:sz w:val="10"/>
        </w:rPr>
      </w:pPr>
    </w:p>
    <w:p w14:paraId="4D6604A7" w14:textId="77777777" w:rsidR="00EA5AB9" w:rsidRPr="00EA5AB9" w:rsidRDefault="00EA5AB9" w:rsidP="00EA5AB9">
      <w:pPr>
        <w:pStyle w:val="SingleTxt"/>
        <w:spacing w:after="0" w:line="120" w:lineRule="exact"/>
        <w:rPr>
          <w:sz w:val="10"/>
        </w:rPr>
      </w:pPr>
    </w:p>
    <w:p w14:paraId="29B40AF3" w14:textId="77777777" w:rsidR="00EA5AB9" w:rsidRPr="00EA5AB9" w:rsidRDefault="00EA5AB9" w:rsidP="00EA5AB9">
      <w:pPr>
        <w:pStyle w:val="SingleTxt"/>
        <w:spacing w:after="0" w:line="120" w:lineRule="exact"/>
        <w:rPr>
          <w:sz w:val="10"/>
        </w:rPr>
      </w:pPr>
    </w:p>
    <w:p w14:paraId="21EE9FF7" w14:textId="5DCD57F4" w:rsidR="00163B36" w:rsidRPr="00EA5AB9" w:rsidRDefault="00163B36" w:rsidP="00EA5AB9">
      <w:pPr>
        <w:pStyle w:val="H1"/>
        <w:ind w:right="1260"/>
      </w:pPr>
      <w:r w:rsidRPr="00EA5AB9">
        <w:tab/>
      </w:r>
      <w:r w:rsidRPr="00EA5AB9">
        <w:tab/>
        <w:t>National machinery for the advancement of women</w:t>
      </w:r>
    </w:p>
    <w:p w14:paraId="6C11DB77" w14:textId="77777777" w:rsidR="00EA5AB9" w:rsidRPr="00EA5AB9" w:rsidRDefault="00EA5AB9" w:rsidP="00EA5AB9">
      <w:pPr>
        <w:pStyle w:val="SingleTxt"/>
        <w:spacing w:after="0" w:line="120" w:lineRule="exact"/>
        <w:rPr>
          <w:sz w:val="10"/>
        </w:rPr>
      </w:pPr>
    </w:p>
    <w:p w14:paraId="73446EDE" w14:textId="77777777" w:rsidR="00EA5AB9" w:rsidRPr="00EA5AB9" w:rsidRDefault="00EA5AB9" w:rsidP="00EA5AB9">
      <w:pPr>
        <w:pStyle w:val="SingleTxt"/>
        <w:spacing w:after="0" w:line="120" w:lineRule="exact"/>
        <w:rPr>
          <w:sz w:val="10"/>
        </w:rPr>
      </w:pPr>
    </w:p>
    <w:p w14:paraId="0EE20E59" w14:textId="7942C521" w:rsidR="0007129D" w:rsidRPr="00333A03" w:rsidRDefault="0007129D" w:rsidP="0007129D">
      <w:pPr>
        <w:pStyle w:val="SingleTxt"/>
        <w:rPr>
          <w:spacing w:val="2"/>
          <w:w w:val="102"/>
        </w:rPr>
      </w:pPr>
      <w:r w:rsidRPr="00333A03">
        <w:rPr>
          <w:spacing w:val="2"/>
          <w:w w:val="102"/>
        </w:rPr>
        <w:t>24.</w:t>
      </w:r>
      <w:r w:rsidRPr="00333A03">
        <w:rPr>
          <w:spacing w:val="2"/>
          <w:w w:val="102"/>
        </w:rPr>
        <w:tab/>
        <w:t>No dedicated impact assessment was prepared on the National Strategy for the Promotion of Gender Equality 2010</w:t>
      </w:r>
      <w:r w:rsidR="00CB0BA5" w:rsidRPr="00333A03">
        <w:rPr>
          <w:spacing w:val="2"/>
          <w:w w:val="102"/>
        </w:rPr>
        <w:t>–</w:t>
      </w:r>
      <w:r w:rsidRPr="00333A03">
        <w:rPr>
          <w:spacing w:val="2"/>
          <w:w w:val="102"/>
        </w:rPr>
        <w:t xml:space="preserve">2021. Yet some favourable trends may be observed, such as the labour market data of women, detailed under the heading </w:t>
      </w:r>
      <w:r w:rsidR="00024758" w:rsidRPr="00333A03">
        <w:rPr>
          <w:spacing w:val="2"/>
          <w:w w:val="102"/>
        </w:rPr>
        <w:t>‘</w:t>
      </w:r>
      <w:r w:rsidRPr="00333A03">
        <w:rPr>
          <w:spacing w:val="2"/>
          <w:w w:val="102"/>
        </w:rPr>
        <w:t>Employment</w:t>
      </w:r>
      <w:r w:rsidR="00024758" w:rsidRPr="00333A03">
        <w:rPr>
          <w:spacing w:val="2"/>
          <w:w w:val="102"/>
        </w:rPr>
        <w:t>’</w:t>
      </w:r>
      <w:r w:rsidRPr="00333A03">
        <w:rPr>
          <w:spacing w:val="2"/>
          <w:w w:val="102"/>
        </w:rPr>
        <w:t xml:space="preserve">. </w:t>
      </w:r>
    </w:p>
    <w:p w14:paraId="4E6530EB" w14:textId="5758B65F" w:rsidR="00163B36" w:rsidRPr="00163B36" w:rsidRDefault="0007129D" w:rsidP="0007129D">
      <w:pPr>
        <w:pStyle w:val="SingleTxt"/>
      </w:pPr>
      <w:r>
        <w:t>25.</w:t>
      </w:r>
      <w:r>
        <w:tab/>
        <w:t>This National Strategy for the Promotion of Gender Equality 2010</w:t>
      </w:r>
      <w:r w:rsidR="00CB0BA5" w:rsidRPr="00CB0BA5">
        <w:t>–</w:t>
      </w:r>
      <w:r>
        <w:t>2021 was replaced by Action Plan 2021</w:t>
      </w:r>
      <w:r w:rsidR="00CB0BA5" w:rsidRPr="00CB0BA5">
        <w:t>–</w:t>
      </w:r>
      <w:r>
        <w:t>2030. This contains several goals and measures for empowering women, ranging from enhancing the participation of women in education and science to the prevention of social disadvantages of and violence against women, as presented below.</w:t>
      </w:r>
    </w:p>
    <w:tbl>
      <w:tblPr>
        <w:tblStyle w:val="TableGrid"/>
        <w:tblW w:w="8514" w:type="dxa"/>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
        <w:gridCol w:w="236"/>
        <w:gridCol w:w="129"/>
        <w:gridCol w:w="342"/>
        <w:gridCol w:w="7787"/>
      </w:tblGrid>
      <w:tr w:rsidR="00EA5AB9" w:rsidRPr="00F143E5" w14:paraId="41D40A55" w14:textId="77777777" w:rsidTr="00333A03">
        <w:trPr>
          <w:tblHeader/>
        </w:trPr>
        <w:tc>
          <w:tcPr>
            <w:tcW w:w="8514" w:type="dxa"/>
            <w:gridSpan w:val="5"/>
            <w:tcBorders>
              <w:top w:val="single" w:sz="4" w:space="0" w:color="auto"/>
              <w:bottom w:val="single" w:sz="12" w:space="0" w:color="auto"/>
            </w:tcBorders>
            <w:shd w:val="clear" w:color="auto" w:fill="auto"/>
            <w:vAlign w:val="bottom"/>
          </w:tcPr>
          <w:p w14:paraId="0B7FD326" w14:textId="607110DB" w:rsidR="00EA5AB9" w:rsidRPr="00F143E5" w:rsidRDefault="00EA5AB9" w:rsidP="00F143E5">
            <w:pPr>
              <w:pStyle w:val="SingleTxtG"/>
              <w:tabs>
                <w:tab w:val="clear" w:pos="1701"/>
                <w:tab w:val="clear" w:pos="2268"/>
                <w:tab w:val="clear" w:pos="2835"/>
              </w:tabs>
              <w:spacing w:before="81" w:after="81" w:line="160" w:lineRule="exact"/>
              <w:ind w:left="0" w:right="40"/>
              <w:jc w:val="left"/>
              <w:rPr>
                <w:i/>
                <w:sz w:val="14"/>
                <w:highlight w:val="yellow"/>
              </w:rPr>
            </w:pPr>
            <w:r w:rsidRPr="00F143E5">
              <w:rPr>
                <w:i/>
                <w:sz w:val="14"/>
              </w:rPr>
              <w:lastRenderedPageBreak/>
              <w:t>Empowering Women in the Family and Society Action Plan</w:t>
            </w:r>
            <w:r w:rsidR="008645DF" w:rsidRPr="00F143E5">
              <w:rPr>
                <w:i/>
                <w:sz w:val="14"/>
              </w:rPr>
              <w:t xml:space="preserve"> 2021–2030</w:t>
            </w:r>
          </w:p>
        </w:tc>
      </w:tr>
      <w:tr w:rsidR="00F143E5" w:rsidRPr="00F143E5" w14:paraId="07D1698A" w14:textId="77777777" w:rsidTr="00333A03">
        <w:trPr>
          <w:trHeight w:hRule="exact" w:val="115"/>
          <w:tblHeader/>
        </w:trPr>
        <w:tc>
          <w:tcPr>
            <w:tcW w:w="8514" w:type="dxa"/>
            <w:gridSpan w:val="5"/>
            <w:tcBorders>
              <w:top w:val="single" w:sz="12" w:space="0" w:color="auto"/>
            </w:tcBorders>
            <w:shd w:val="clear" w:color="auto" w:fill="auto"/>
            <w:vAlign w:val="bottom"/>
          </w:tcPr>
          <w:p w14:paraId="3C96FF6A" w14:textId="77777777" w:rsidR="00F143E5" w:rsidRPr="00F143E5" w:rsidRDefault="00F143E5" w:rsidP="00F143E5">
            <w:pPr>
              <w:pStyle w:val="SingleTxtG"/>
              <w:tabs>
                <w:tab w:val="clear" w:pos="1701"/>
                <w:tab w:val="clear" w:pos="2268"/>
                <w:tab w:val="clear" w:pos="2835"/>
              </w:tabs>
              <w:spacing w:before="40" w:line="240" w:lineRule="exact"/>
              <w:ind w:left="144" w:right="40"/>
              <w:jc w:val="left"/>
              <w:rPr>
                <w:b/>
              </w:rPr>
            </w:pPr>
          </w:p>
        </w:tc>
      </w:tr>
      <w:tr w:rsidR="00EA5AB9" w:rsidRPr="00F143E5" w14:paraId="70F4983F" w14:textId="77777777" w:rsidTr="00333A03">
        <w:tc>
          <w:tcPr>
            <w:tcW w:w="8514" w:type="dxa"/>
            <w:gridSpan w:val="5"/>
            <w:shd w:val="clear" w:color="auto" w:fill="auto"/>
          </w:tcPr>
          <w:p w14:paraId="7E9D3B30" w14:textId="6CA094F2"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b/>
                <w:highlight w:val="cyan"/>
              </w:rPr>
            </w:pPr>
            <w:r w:rsidRPr="00F143E5">
              <w:rPr>
                <w:b/>
              </w:rPr>
              <w:t xml:space="preserve">Chapter </w:t>
            </w:r>
            <w:r w:rsidR="008645DF" w:rsidRPr="00F143E5">
              <w:rPr>
                <w:b/>
              </w:rPr>
              <w:t>1</w:t>
            </w:r>
            <w:r w:rsidRPr="00F143E5">
              <w:rPr>
                <w:b/>
              </w:rPr>
              <w:t xml:space="preserve">: Supporting the reconciliation of family life and work </w:t>
            </w:r>
          </w:p>
        </w:tc>
      </w:tr>
      <w:tr w:rsidR="00EA5AB9" w:rsidRPr="00F143E5" w14:paraId="3C86B1EE" w14:textId="77777777" w:rsidTr="00333A03">
        <w:tc>
          <w:tcPr>
            <w:tcW w:w="385" w:type="dxa"/>
            <w:gridSpan w:val="3"/>
            <w:shd w:val="clear" w:color="auto" w:fill="auto"/>
          </w:tcPr>
          <w:p w14:paraId="728193CE" w14:textId="77777777" w:rsidR="00EA5AB9" w:rsidRPr="00F143E5" w:rsidRDefault="00EA5AB9" w:rsidP="00F143E5">
            <w:pPr>
              <w:pStyle w:val="SingleTxtG"/>
              <w:numPr>
                <w:ilvl w:val="0"/>
                <w:numId w:val="26"/>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70104DD4" w14:textId="77777777" w:rsidR="00EA5AB9" w:rsidRPr="005108D6"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5108D6">
              <w:rPr>
                <w:i/>
                <w:iCs/>
              </w:rPr>
              <w:t xml:space="preserve">Promoting the division of </w:t>
            </w:r>
            <w:proofErr w:type="spellStart"/>
            <w:r w:rsidRPr="005108D6">
              <w:rPr>
                <w:i/>
                <w:iCs/>
              </w:rPr>
              <w:t>labour</w:t>
            </w:r>
            <w:proofErr w:type="spellEnd"/>
            <w:r w:rsidRPr="005108D6">
              <w:rPr>
                <w:i/>
                <w:iCs/>
              </w:rPr>
              <w:t xml:space="preserve"> between women and men via</w:t>
            </w:r>
          </w:p>
        </w:tc>
      </w:tr>
      <w:tr w:rsidR="00EA5AB9" w:rsidRPr="00F143E5" w14:paraId="28207A1B" w14:textId="77777777" w:rsidTr="00333A03">
        <w:tc>
          <w:tcPr>
            <w:tcW w:w="385" w:type="dxa"/>
            <w:gridSpan w:val="3"/>
            <w:shd w:val="clear" w:color="auto" w:fill="auto"/>
          </w:tcPr>
          <w:p w14:paraId="1664D14E"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34BE48A5"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02F5BB56"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Encouraging atypical forms of employment </w:t>
            </w:r>
            <w:proofErr w:type="gramStart"/>
            <w:r w:rsidRPr="00F143E5">
              <w:t>e.g.</w:t>
            </w:r>
            <w:proofErr w:type="gramEnd"/>
            <w:r w:rsidRPr="00F143E5">
              <w:t xml:space="preserve"> by the expansion of the Family-Friendly Workplace tender program;</w:t>
            </w:r>
          </w:p>
        </w:tc>
      </w:tr>
      <w:tr w:rsidR="00EA5AB9" w:rsidRPr="00F143E5" w14:paraId="06BD23B3" w14:textId="77777777" w:rsidTr="00333A03">
        <w:tc>
          <w:tcPr>
            <w:tcW w:w="385" w:type="dxa"/>
            <w:gridSpan w:val="3"/>
            <w:shd w:val="clear" w:color="auto" w:fill="auto"/>
          </w:tcPr>
          <w:p w14:paraId="00F92991"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71BC5C4A"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22D8110" w14:textId="0DD4CAC1"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Assessing the needs of women and men and the reasons for low levels of atypical forms of employment. To this end, an analysis of the gender employment gap will be carried out through an </w:t>
            </w:r>
            <w:r w:rsidR="008645DF" w:rsidRPr="00F143E5">
              <w:t>18</w:t>
            </w:r>
            <w:r w:rsidRPr="00F143E5">
              <w:t xml:space="preserve">-month Structural Reform Support Program, including research on the low participation of women in the </w:t>
            </w:r>
            <w:proofErr w:type="spellStart"/>
            <w:r w:rsidRPr="00F143E5">
              <w:t>labour</w:t>
            </w:r>
            <w:proofErr w:type="spellEnd"/>
            <w:r w:rsidRPr="00F143E5">
              <w:t xml:space="preserve"> market despite measures taken, and the development of new measures.</w:t>
            </w:r>
          </w:p>
        </w:tc>
      </w:tr>
      <w:tr w:rsidR="00EA5AB9" w:rsidRPr="00F143E5" w14:paraId="5DEBB5EC" w14:textId="77777777" w:rsidTr="00333A03">
        <w:tc>
          <w:tcPr>
            <w:tcW w:w="385" w:type="dxa"/>
            <w:gridSpan w:val="3"/>
            <w:shd w:val="clear" w:color="auto" w:fill="auto"/>
          </w:tcPr>
          <w:p w14:paraId="210F382F" w14:textId="77777777" w:rsidR="00EA5AB9" w:rsidRPr="00F143E5" w:rsidRDefault="00EA5AB9" w:rsidP="00F143E5">
            <w:pPr>
              <w:pStyle w:val="SingleTxtG"/>
              <w:numPr>
                <w:ilvl w:val="0"/>
                <w:numId w:val="26"/>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5FEB38B7" w14:textId="130424E6" w:rsidR="00EA5AB9" w:rsidRPr="005108D6"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5108D6">
              <w:rPr>
                <w:i/>
                <w:iCs/>
              </w:rPr>
              <w:t>Increased recognition of women</w:t>
            </w:r>
            <w:r w:rsidR="00024758" w:rsidRPr="005108D6">
              <w:rPr>
                <w:i/>
                <w:iCs/>
              </w:rPr>
              <w:t>’</w:t>
            </w:r>
            <w:r w:rsidRPr="005108D6">
              <w:rPr>
                <w:i/>
                <w:iCs/>
              </w:rPr>
              <w:t xml:space="preserve">s </w:t>
            </w:r>
            <w:r w:rsidR="008645DF" w:rsidRPr="005108D6">
              <w:rPr>
                <w:i/>
                <w:iCs/>
              </w:rPr>
              <w:t>“</w:t>
            </w:r>
            <w:r w:rsidRPr="005108D6">
              <w:rPr>
                <w:i/>
                <w:iCs/>
              </w:rPr>
              <w:t>invisible</w:t>
            </w:r>
            <w:r w:rsidR="008645DF" w:rsidRPr="005108D6">
              <w:rPr>
                <w:i/>
                <w:iCs/>
              </w:rPr>
              <w:t>”</w:t>
            </w:r>
            <w:r w:rsidRPr="005108D6">
              <w:rPr>
                <w:i/>
                <w:iCs/>
              </w:rPr>
              <w:t xml:space="preserve">, </w:t>
            </w:r>
            <w:r w:rsidR="008645DF" w:rsidRPr="005108D6">
              <w:rPr>
                <w:i/>
                <w:iCs/>
              </w:rPr>
              <w:t>“</w:t>
            </w:r>
            <w:r w:rsidRPr="005108D6">
              <w:rPr>
                <w:i/>
                <w:iCs/>
              </w:rPr>
              <w:t>unpaid</w:t>
            </w:r>
            <w:r w:rsidR="008645DF" w:rsidRPr="005108D6">
              <w:rPr>
                <w:i/>
                <w:iCs/>
              </w:rPr>
              <w:t>”</w:t>
            </w:r>
            <w:r w:rsidRPr="005108D6">
              <w:rPr>
                <w:i/>
                <w:iCs/>
              </w:rPr>
              <w:t xml:space="preserve"> work via</w:t>
            </w:r>
          </w:p>
        </w:tc>
      </w:tr>
      <w:tr w:rsidR="00EA5AB9" w:rsidRPr="00F143E5" w14:paraId="658C8EF3" w14:textId="77777777" w:rsidTr="00333A03">
        <w:tc>
          <w:tcPr>
            <w:tcW w:w="385" w:type="dxa"/>
            <w:gridSpan w:val="3"/>
            <w:shd w:val="clear" w:color="auto" w:fill="auto"/>
          </w:tcPr>
          <w:p w14:paraId="36AEF8B9"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7188B0D0"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23F41313"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Awareness-raising campaigns; </w:t>
            </w:r>
          </w:p>
        </w:tc>
      </w:tr>
      <w:tr w:rsidR="00EA5AB9" w:rsidRPr="00F143E5" w14:paraId="46401FAE" w14:textId="77777777" w:rsidTr="00333A03">
        <w:tc>
          <w:tcPr>
            <w:tcW w:w="385" w:type="dxa"/>
            <w:gridSpan w:val="3"/>
            <w:shd w:val="clear" w:color="auto" w:fill="auto"/>
          </w:tcPr>
          <w:p w14:paraId="5C54F251"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41E0F8CC"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EB58F1C" w14:textId="1FA693FA"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Researching the participation of women and men in </w:t>
            </w:r>
            <w:r w:rsidR="00024758">
              <w:t>‘</w:t>
            </w:r>
            <w:r w:rsidRPr="00F143E5">
              <w:t>unpaid</w:t>
            </w:r>
            <w:r w:rsidR="00024758">
              <w:t>’</w:t>
            </w:r>
            <w:r w:rsidRPr="00F143E5">
              <w:t xml:space="preserve"> work;</w:t>
            </w:r>
          </w:p>
        </w:tc>
      </w:tr>
      <w:tr w:rsidR="00EA5AB9" w:rsidRPr="00F143E5" w14:paraId="3148D23C" w14:textId="77777777" w:rsidTr="00333A03">
        <w:tc>
          <w:tcPr>
            <w:tcW w:w="385" w:type="dxa"/>
            <w:gridSpan w:val="3"/>
            <w:shd w:val="clear" w:color="auto" w:fill="auto"/>
          </w:tcPr>
          <w:p w14:paraId="250C2F74"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5F85356D"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145F90F5"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Researching nursing tasks (caring for a sick or elderly relative);</w:t>
            </w:r>
          </w:p>
        </w:tc>
      </w:tr>
      <w:tr w:rsidR="00EA5AB9" w:rsidRPr="00F143E5" w14:paraId="69C6BA16" w14:textId="77777777" w:rsidTr="00333A03">
        <w:tc>
          <w:tcPr>
            <w:tcW w:w="385" w:type="dxa"/>
            <w:gridSpan w:val="3"/>
            <w:shd w:val="clear" w:color="auto" w:fill="auto"/>
          </w:tcPr>
          <w:p w14:paraId="51B6095C"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4F91E5CA"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2B294848"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roofErr w:type="spellStart"/>
            <w:r w:rsidRPr="00F143E5">
              <w:t>Recognising</w:t>
            </w:r>
            <w:proofErr w:type="spellEnd"/>
            <w:r w:rsidRPr="00F143E5">
              <w:t xml:space="preserve"> grandparent responsibilities.</w:t>
            </w:r>
          </w:p>
        </w:tc>
      </w:tr>
      <w:tr w:rsidR="00EA5AB9" w:rsidRPr="00F143E5" w14:paraId="395C8F1F" w14:textId="77777777" w:rsidTr="00333A03">
        <w:tc>
          <w:tcPr>
            <w:tcW w:w="385" w:type="dxa"/>
            <w:gridSpan w:val="3"/>
            <w:shd w:val="clear" w:color="auto" w:fill="auto"/>
          </w:tcPr>
          <w:p w14:paraId="07DDC639" w14:textId="77777777" w:rsidR="00EA5AB9" w:rsidRPr="00F143E5" w:rsidRDefault="00EA5AB9" w:rsidP="00F143E5">
            <w:pPr>
              <w:pStyle w:val="SingleTxtG"/>
              <w:numPr>
                <w:ilvl w:val="0"/>
                <w:numId w:val="26"/>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620A1F38" w14:textId="77777777" w:rsidR="00EA5AB9" w:rsidRPr="005108D6"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5108D6">
              <w:rPr>
                <w:i/>
                <w:iCs/>
              </w:rPr>
              <w:t>Reconciliation of work and family life between women and men with regards to parental leave via</w:t>
            </w:r>
          </w:p>
        </w:tc>
      </w:tr>
      <w:tr w:rsidR="00EA5AB9" w:rsidRPr="00F143E5" w14:paraId="231029B4" w14:textId="77777777" w:rsidTr="00333A03">
        <w:tc>
          <w:tcPr>
            <w:tcW w:w="385" w:type="dxa"/>
            <w:gridSpan w:val="3"/>
            <w:shd w:val="clear" w:color="auto" w:fill="auto"/>
          </w:tcPr>
          <w:p w14:paraId="2EEB61B1"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170F9D71"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4D17BF3B" w14:textId="4DE77C01"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Programs/tenders that support contact with the workplace during childcare;</w:t>
            </w:r>
          </w:p>
        </w:tc>
      </w:tr>
      <w:tr w:rsidR="00EA5AB9" w:rsidRPr="00F143E5" w14:paraId="5C0DA187" w14:textId="77777777" w:rsidTr="00333A03">
        <w:tc>
          <w:tcPr>
            <w:tcW w:w="385" w:type="dxa"/>
            <w:gridSpan w:val="3"/>
            <w:shd w:val="clear" w:color="auto" w:fill="auto"/>
          </w:tcPr>
          <w:p w14:paraId="3E1CAE1D"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6D507290"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4247EAF5"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Researching the role of men in the family;</w:t>
            </w:r>
          </w:p>
        </w:tc>
      </w:tr>
      <w:tr w:rsidR="00EA5AB9" w:rsidRPr="00F143E5" w14:paraId="57A2FD5D" w14:textId="77777777" w:rsidTr="00333A03">
        <w:tc>
          <w:tcPr>
            <w:tcW w:w="385" w:type="dxa"/>
            <w:gridSpan w:val="3"/>
            <w:shd w:val="clear" w:color="auto" w:fill="auto"/>
          </w:tcPr>
          <w:p w14:paraId="11FAA0CC"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56F76309"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B9F418F"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Supporting the division of </w:t>
            </w:r>
            <w:proofErr w:type="spellStart"/>
            <w:r w:rsidRPr="00F143E5">
              <w:t>labour</w:t>
            </w:r>
            <w:proofErr w:type="spellEnd"/>
            <w:r w:rsidRPr="00F143E5">
              <w:t xml:space="preserve"> between women and men.</w:t>
            </w:r>
          </w:p>
        </w:tc>
      </w:tr>
      <w:tr w:rsidR="00EA5AB9" w:rsidRPr="00F143E5" w14:paraId="01A4AFF3" w14:textId="77777777" w:rsidTr="00333A03">
        <w:tc>
          <w:tcPr>
            <w:tcW w:w="385" w:type="dxa"/>
            <w:gridSpan w:val="3"/>
            <w:shd w:val="clear" w:color="auto" w:fill="auto"/>
          </w:tcPr>
          <w:p w14:paraId="22DEC0B6" w14:textId="77777777" w:rsidR="00EA5AB9" w:rsidRPr="00F143E5" w:rsidRDefault="00EA5AB9" w:rsidP="00F143E5">
            <w:pPr>
              <w:pStyle w:val="SingleTxtG"/>
              <w:numPr>
                <w:ilvl w:val="0"/>
                <w:numId w:val="26"/>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5693DD7C" w14:textId="77777777" w:rsidR="00EA5AB9" w:rsidRPr="005108D6"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i/>
                <w:iCs/>
                <w:highlight w:val="yellow"/>
              </w:rPr>
            </w:pPr>
            <w:r w:rsidRPr="005108D6">
              <w:rPr>
                <w:i/>
                <w:iCs/>
              </w:rPr>
              <w:t>State and employer assistance in care tasks via</w:t>
            </w:r>
          </w:p>
        </w:tc>
      </w:tr>
      <w:tr w:rsidR="00EA5AB9" w:rsidRPr="00F143E5" w14:paraId="36CAD30F" w14:textId="77777777" w:rsidTr="00333A03">
        <w:tc>
          <w:tcPr>
            <w:tcW w:w="20" w:type="dxa"/>
            <w:shd w:val="clear" w:color="auto" w:fill="auto"/>
          </w:tcPr>
          <w:p w14:paraId="25FE9ED9"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236" w:type="dxa"/>
            <w:shd w:val="clear" w:color="auto" w:fill="auto"/>
          </w:tcPr>
          <w:p w14:paraId="3420ACB2" w14:textId="77777777" w:rsidR="00EA5AB9" w:rsidRPr="00F143E5" w:rsidRDefault="00EA5AB9" w:rsidP="00F143E5">
            <w:pPr>
              <w:pStyle w:val="SingleTxtG"/>
              <w:numPr>
                <w:ilvl w:val="0"/>
                <w:numId w:val="30"/>
              </w:numPr>
              <w:tabs>
                <w:tab w:val="clear" w:pos="1701"/>
                <w:tab w:val="clear" w:pos="2268"/>
                <w:tab w:val="clear" w:pos="2835"/>
                <w:tab w:val="left" w:pos="288"/>
                <w:tab w:val="left" w:pos="576"/>
                <w:tab w:val="left" w:pos="864"/>
                <w:tab w:val="left" w:pos="1152"/>
              </w:tabs>
              <w:spacing w:before="40" w:line="240" w:lineRule="exact"/>
              <w:ind w:right="40"/>
              <w:jc w:val="left"/>
            </w:pPr>
          </w:p>
        </w:tc>
        <w:tc>
          <w:tcPr>
            <w:tcW w:w="8258" w:type="dxa"/>
            <w:gridSpan w:val="3"/>
            <w:shd w:val="clear" w:color="auto" w:fill="auto"/>
          </w:tcPr>
          <w:p w14:paraId="648E010A" w14:textId="77777777" w:rsidR="00EA5AB9" w:rsidRPr="00F143E5" w:rsidRDefault="00EA5AB9" w:rsidP="00F143E5">
            <w:pPr>
              <w:pStyle w:val="SingleTxtG"/>
              <w:numPr>
                <w:ilvl w:val="0"/>
                <w:numId w:val="30"/>
              </w:numPr>
              <w:tabs>
                <w:tab w:val="clear" w:pos="1701"/>
                <w:tab w:val="clear" w:pos="2268"/>
                <w:tab w:val="clear" w:pos="2835"/>
                <w:tab w:val="left" w:pos="288"/>
                <w:tab w:val="left" w:pos="576"/>
                <w:tab w:val="left" w:pos="864"/>
                <w:tab w:val="left" w:pos="1152"/>
              </w:tabs>
              <w:spacing w:before="40" w:line="240" w:lineRule="exact"/>
              <w:ind w:right="40"/>
              <w:jc w:val="left"/>
            </w:pPr>
            <w:r w:rsidRPr="00F143E5">
              <w:t>Increasing the number of workplaces nurseries and kindergartens;</w:t>
            </w:r>
          </w:p>
        </w:tc>
      </w:tr>
      <w:tr w:rsidR="00EA5AB9" w:rsidRPr="00F143E5" w14:paraId="713511DB" w14:textId="77777777" w:rsidTr="00333A03">
        <w:tc>
          <w:tcPr>
            <w:tcW w:w="20" w:type="dxa"/>
            <w:shd w:val="clear" w:color="auto" w:fill="auto"/>
          </w:tcPr>
          <w:p w14:paraId="1E0FB055"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236" w:type="dxa"/>
            <w:shd w:val="clear" w:color="auto" w:fill="auto"/>
          </w:tcPr>
          <w:p w14:paraId="5AEC641A" w14:textId="77777777" w:rsidR="00EA5AB9" w:rsidRPr="00F143E5" w:rsidRDefault="00EA5AB9" w:rsidP="00F143E5">
            <w:pPr>
              <w:pStyle w:val="SingleTxtG"/>
              <w:numPr>
                <w:ilvl w:val="0"/>
                <w:numId w:val="30"/>
              </w:numPr>
              <w:tabs>
                <w:tab w:val="clear" w:pos="1701"/>
                <w:tab w:val="clear" w:pos="2268"/>
                <w:tab w:val="clear" w:pos="2835"/>
                <w:tab w:val="left" w:pos="288"/>
                <w:tab w:val="left" w:pos="576"/>
                <w:tab w:val="left" w:pos="864"/>
                <w:tab w:val="left" w:pos="1152"/>
              </w:tabs>
              <w:spacing w:before="40" w:line="240" w:lineRule="exact"/>
              <w:ind w:right="40"/>
              <w:jc w:val="left"/>
            </w:pPr>
          </w:p>
        </w:tc>
        <w:tc>
          <w:tcPr>
            <w:tcW w:w="8258" w:type="dxa"/>
            <w:gridSpan w:val="3"/>
            <w:shd w:val="clear" w:color="auto" w:fill="auto"/>
          </w:tcPr>
          <w:p w14:paraId="39C90E44" w14:textId="77777777" w:rsidR="00EA5AB9" w:rsidRPr="00F143E5" w:rsidRDefault="00EA5AB9" w:rsidP="00F143E5">
            <w:pPr>
              <w:pStyle w:val="SingleTxtG"/>
              <w:numPr>
                <w:ilvl w:val="0"/>
                <w:numId w:val="30"/>
              </w:numPr>
              <w:tabs>
                <w:tab w:val="clear" w:pos="1701"/>
                <w:tab w:val="clear" w:pos="2268"/>
                <w:tab w:val="clear" w:pos="2835"/>
                <w:tab w:val="left" w:pos="288"/>
                <w:tab w:val="left" w:pos="576"/>
                <w:tab w:val="left" w:pos="864"/>
                <w:tab w:val="left" w:pos="1152"/>
              </w:tabs>
              <w:spacing w:before="40" w:line="240" w:lineRule="exact"/>
              <w:ind w:right="40"/>
              <w:jc w:val="left"/>
            </w:pPr>
            <w:r w:rsidRPr="00F143E5">
              <w:t>Supporting those involved in care tasks.</w:t>
            </w:r>
          </w:p>
        </w:tc>
      </w:tr>
      <w:tr w:rsidR="00EA5AB9" w:rsidRPr="00F143E5" w14:paraId="5DCCCE50" w14:textId="77777777" w:rsidTr="00333A03">
        <w:tc>
          <w:tcPr>
            <w:tcW w:w="385" w:type="dxa"/>
            <w:gridSpan w:val="3"/>
            <w:shd w:val="clear" w:color="auto" w:fill="auto"/>
          </w:tcPr>
          <w:p w14:paraId="1BFADF85" w14:textId="77777777" w:rsidR="00EA5AB9" w:rsidRPr="00F143E5" w:rsidRDefault="00EA5AB9" w:rsidP="00F143E5">
            <w:pPr>
              <w:pStyle w:val="SingleTxtG"/>
              <w:numPr>
                <w:ilvl w:val="0"/>
                <w:numId w:val="26"/>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025DA698" w14:textId="77777777" w:rsidR="00EA5AB9" w:rsidRPr="005108D6"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5108D6">
              <w:rPr>
                <w:i/>
                <w:iCs/>
              </w:rPr>
              <w:t>Awareness-raising in education via</w:t>
            </w:r>
          </w:p>
        </w:tc>
      </w:tr>
      <w:tr w:rsidR="00EA5AB9" w:rsidRPr="00F143E5" w14:paraId="6813DB20" w14:textId="77777777" w:rsidTr="00333A03">
        <w:tc>
          <w:tcPr>
            <w:tcW w:w="385" w:type="dxa"/>
            <w:gridSpan w:val="3"/>
            <w:shd w:val="clear" w:color="auto" w:fill="auto"/>
          </w:tcPr>
          <w:p w14:paraId="1513BCA4"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3138A770"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57C2E94"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Strengthening the Education for Family Life program with an emphasis on harmonious co-operation between women and men from kindergarten onwards and involving health visitors in primary and secondary education;</w:t>
            </w:r>
          </w:p>
        </w:tc>
      </w:tr>
      <w:tr w:rsidR="00EA5AB9" w:rsidRPr="00F143E5" w14:paraId="4626EEA0" w14:textId="77777777" w:rsidTr="00333A03">
        <w:tc>
          <w:tcPr>
            <w:tcW w:w="385" w:type="dxa"/>
            <w:gridSpan w:val="3"/>
            <w:shd w:val="clear" w:color="auto" w:fill="auto"/>
          </w:tcPr>
          <w:p w14:paraId="5CCA4206"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5653D37E"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8E57784"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Continuing the programs of the Digital Child Protection Strategy of Hungary;</w:t>
            </w:r>
          </w:p>
        </w:tc>
      </w:tr>
      <w:tr w:rsidR="00EA5AB9" w:rsidRPr="00F143E5" w14:paraId="394C7740" w14:textId="77777777" w:rsidTr="00333A03">
        <w:tc>
          <w:tcPr>
            <w:tcW w:w="385" w:type="dxa"/>
            <w:gridSpan w:val="3"/>
            <w:shd w:val="clear" w:color="auto" w:fill="auto"/>
          </w:tcPr>
          <w:p w14:paraId="5E9D4AA3"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5345393D"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21B1B3D3"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Developing methodologies and supporting material for teachers, kindergarten, school social support professionals and school psychologists.</w:t>
            </w:r>
          </w:p>
        </w:tc>
      </w:tr>
      <w:tr w:rsidR="00EA5AB9" w:rsidRPr="00F143E5" w14:paraId="4A55B2C2" w14:textId="77777777" w:rsidTr="00333A03">
        <w:tc>
          <w:tcPr>
            <w:tcW w:w="385" w:type="dxa"/>
            <w:gridSpan w:val="3"/>
            <w:shd w:val="clear" w:color="auto" w:fill="auto"/>
          </w:tcPr>
          <w:p w14:paraId="4587A4AC" w14:textId="77777777" w:rsidR="00EA5AB9" w:rsidRPr="00F143E5" w:rsidRDefault="00EA5AB9" w:rsidP="00F143E5">
            <w:pPr>
              <w:pStyle w:val="SingleTxtG"/>
              <w:numPr>
                <w:ilvl w:val="0"/>
                <w:numId w:val="26"/>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7FC52CD4" w14:textId="77777777" w:rsidR="00EA5AB9" w:rsidRPr="005108D6"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5108D6">
              <w:rPr>
                <w:i/>
                <w:iCs/>
              </w:rPr>
              <w:t>Awareness-raising of companies via</w:t>
            </w:r>
          </w:p>
        </w:tc>
      </w:tr>
      <w:tr w:rsidR="00EA5AB9" w:rsidRPr="00F143E5" w14:paraId="5B6AD79B" w14:textId="77777777" w:rsidTr="00333A03">
        <w:tc>
          <w:tcPr>
            <w:tcW w:w="385" w:type="dxa"/>
            <w:gridSpan w:val="3"/>
            <w:shd w:val="clear" w:color="auto" w:fill="auto"/>
          </w:tcPr>
          <w:p w14:paraId="54B78C20"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208784B0"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09FA1E58"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Updating the National Action Plan on Corporate Social Responsibility </w:t>
            </w:r>
            <w:proofErr w:type="gramStart"/>
            <w:r w:rsidRPr="00F143E5">
              <w:t>in order to</w:t>
            </w:r>
            <w:proofErr w:type="gramEnd"/>
            <w:r w:rsidRPr="00F143E5">
              <w:t xml:space="preserve"> reinforce the responsible </w:t>
            </w:r>
            <w:proofErr w:type="spellStart"/>
            <w:r w:rsidRPr="00F143E5">
              <w:t>behaviour</w:t>
            </w:r>
            <w:proofErr w:type="spellEnd"/>
            <w:r w:rsidRPr="00F143E5">
              <w:t xml:space="preserve"> of companies.</w:t>
            </w:r>
          </w:p>
        </w:tc>
      </w:tr>
      <w:tr w:rsidR="00EA5AB9" w:rsidRPr="00F143E5" w14:paraId="5CF17126" w14:textId="77777777" w:rsidTr="00333A03">
        <w:tc>
          <w:tcPr>
            <w:tcW w:w="385" w:type="dxa"/>
            <w:gridSpan w:val="3"/>
            <w:shd w:val="clear" w:color="auto" w:fill="auto"/>
          </w:tcPr>
          <w:p w14:paraId="2CDE33A5" w14:textId="77777777" w:rsidR="00EA5AB9" w:rsidRPr="00F143E5" w:rsidRDefault="00EA5AB9" w:rsidP="00F143E5">
            <w:pPr>
              <w:pStyle w:val="SingleTxtG"/>
              <w:numPr>
                <w:ilvl w:val="0"/>
                <w:numId w:val="26"/>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63700EB7" w14:textId="77777777" w:rsidR="00EA5AB9" w:rsidRPr="005108D6"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5108D6">
              <w:rPr>
                <w:i/>
                <w:iCs/>
              </w:rPr>
              <w:t>Creating a family and child-friendly environment via</w:t>
            </w:r>
          </w:p>
        </w:tc>
      </w:tr>
      <w:tr w:rsidR="00EA5AB9" w:rsidRPr="00F143E5" w14:paraId="336F8C3A" w14:textId="77777777" w:rsidTr="00333A03">
        <w:tc>
          <w:tcPr>
            <w:tcW w:w="385" w:type="dxa"/>
            <w:gridSpan w:val="3"/>
            <w:shd w:val="clear" w:color="auto" w:fill="auto"/>
          </w:tcPr>
          <w:p w14:paraId="358EA382"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3C2390DD"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3B793192"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Introducing tenders and awards.</w:t>
            </w:r>
          </w:p>
        </w:tc>
      </w:tr>
      <w:tr w:rsidR="00EA5AB9" w:rsidRPr="00F143E5" w14:paraId="518A5731" w14:textId="77777777" w:rsidTr="00333A03">
        <w:tc>
          <w:tcPr>
            <w:tcW w:w="8514" w:type="dxa"/>
            <w:gridSpan w:val="5"/>
            <w:shd w:val="clear" w:color="auto" w:fill="auto"/>
          </w:tcPr>
          <w:p w14:paraId="59634CE8" w14:textId="7D29B2C8" w:rsidR="00EA5AB9" w:rsidRPr="00F143E5" w:rsidRDefault="00EA5AB9" w:rsidP="00F143E5">
            <w:pPr>
              <w:pStyle w:val="SingleTxtG"/>
              <w:keepNext/>
              <w:keepLines/>
              <w:widowControl w:val="0"/>
              <w:tabs>
                <w:tab w:val="clear" w:pos="1701"/>
                <w:tab w:val="clear" w:pos="2268"/>
                <w:tab w:val="clear" w:pos="2835"/>
                <w:tab w:val="left" w:pos="288"/>
                <w:tab w:val="left" w:pos="576"/>
                <w:tab w:val="left" w:pos="864"/>
                <w:tab w:val="left" w:pos="1152"/>
              </w:tabs>
              <w:spacing w:before="40" w:line="240" w:lineRule="exact"/>
              <w:ind w:left="0" w:right="43"/>
              <w:jc w:val="left"/>
              <w:rPr>
                <w:b/>
                <w:highlight w:val="cyan"/>
              </w:rPr>
            </w:pPr>
            <w:r w:rsidRPr="00F143E5">
              <w:rPr>
                <w:b/>
              </w:rPr>
              <w:t>Chapter</w:t>
            </w:r>
            <w:r w:rsidR="00CB0BA5">
              <w:rPr>
                <w:b/>
              </w:rPr>
              <w:t xml:space="preserve"> 2</w:t>
            </w:r>
            <w:r w:rsidRPr="00F143E5">
              <w:rPr>
                <w:b/>
              </w:rPr>
              <w:t>: Facilitating the participation of women in areas where they are underrepresented</w:t>
            </w:r>
          </w:p>
        </w:tc>
      </w:tr>
      <w:tr w:rsidR="00EA5AB9" w:rsidRPr="00F143E5" w14:paraId="467F24E1" w14:textId="77777777" w:rsidTr="00333A03">
        <w:tc>
          <w:tcPr>
            <w:tcW w:w="385" w:type="dxa"/>
            <w:gridSpan w:val="3"/>
            <w:shd w:val="clear" w:color="auto" w:fill="auto"/>
          </w:tcPr>
          <w:p w14:paraId="433FD6C1" w14:textId="77777777" w:rsidR="00EA5AB9" w:rsidRPr="00F143E5" w:rsidRDefault="00EA5AB9" w:rsidP="00F143E5">
            <w:pPr>
              <w:pStyle w:val="SingleTxtG"/>
              <w:numPr>
                <w:ilvl w:val="0"/>
                <w:numId w:val="27"/>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031E8FCC" w14:textId="70CC778B" w:rsidR="00EA5AB9" w:rsidRPr="005108D6" w:rsidRDefault="00EA5AB9" w:rsidP="00F143E5">
            <w:pPr>
              <w:pStyle w:val="SingleTxtG"/>
              <w:keepNext/>
              <w:keepLines/>
              <w:widowControl w:val="0"/>
              <w:tabs>
                <w:tab w:val="clear" w:pos="1701"/>
                <w:tab w:val="clear" w:pos="2268"/>
                <w:tab w:val="clear" w:pos="2835"/>
                <w:tab w:val="left" w:pos="288"/>
                <w:tab w:val="left" w:pos="576"/>
                <w:tab w:val="left" w:pos="864"/>
                <w:tab w:val="left" w:pos="1152"/>
              </w:tabs>
              <w:spacing w:before="40" w:line="240" w:lineRule="exact"/>
              <w:ind w:left="0" w:right="43"/>
              <w:jc w:val="left"/>
              <w:rPr>
                <w:i/>
                <w:iCs/>
              </w:rPr>
            </w:pPr>
            <w:r w:rsidRPr="005108D6">
              <w:rPr>
                <w:i/>
                <w:iCs/>
              </w:rPr>
              <w:t>Promoting women</w:t>
            </w:r>
            <w:r w:rsidR="00024758" w:rsidRPr="005108D6">
              <w:rPr>
                <w:i/>
                <w:iCs/>
              </w:rPr>
              <w:t>’</w:t>
            </w:r>
            <w:r w:rsidRPr="005108D6">
              <w:rPr>
                <w:i/>
                <w:iCs/>
              </w:rPr>
              <w:t>s participation in decision-making in the public sphere via</w:t>
            </w:r>
          </w:p>
        </w:tc>
      </w:tr>
      <w:tr w:rsidR="00EA5AB9" w:rsidRPr="00F143E5" w14:paraId="3AE9958C" w14:textId="77777777" w:rsidTr="00333A03">
        <w:tc>
          <w:tcPr>
            <w:tcW w:w="385" w:type="dxa"/>
            <w:gridSpan w:val="3"/>
            <w:shd w:val="clear" w:color="auto" w:fill="auto"/>
          </w:tcPr>
          <w:p w14:paraId="16B6A62F"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78120667"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68C997F"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Training and mentoring.</w:t>
            </w:r>
          </w:p>
        </w:tc>
      </w:tr>
      <w:tr w:rsidR="00EA5AB9" w:rsidRPr="00F143E5" w14:paraId="6B5DB136" w14:textId="77777777" w:rsidTr="00333A03">
        <w:tc>
          <w:tcPr>
            <w:tcW w:w="385" w:type="dxa"/>
            <w:gridSpan w:val="3"/>
            <w:shd w:val="clear" w:color="auto" w:fill="auto"/>
          </w:tcPr>
          <w:p w14:paraId="2E1AF1BB" w14:textId="77777777" w:rsidR="00EA5AB9" w:rsidRPr="00F143E5" w:rsidRDefault="00EA5AB9" w:rsidP="00F143E5">
            <w:pPr>
              <w:pStyle w:val="SingleTxtG"/>
              <w:numPr>
                <w:ilvl w:val="0"/>
                <w:numId w:val="27"/>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5AB84C8D" w14:textId="08C90F86" w:rsidR="00EA5AB9" w:rsidRPr="005108D6"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5108D6">
              <w:rPr>
                <w:i/>
                <w:iCs/>
              </w:rPr>
              <w:t>Promoting women</w:t>
            </w:r>
            <w:r w:rsidR="00CB0BA5" w:rsidRPr="005108D6">
              <w:rPr>
                <w:i/>
                <w:iCs/>
              </w:rPr>
              <w:t>’</w:t>
            </w:r>
            <w:r w:rsidRPr="005108D6">
              <w:rPr>
                <w:i/>
                <w:iCs/>
              </w:rPr>
              <w:t>s leadership within the business sector via</w:t>
            </w:r>
          </w:p>
        </w:tc>
      </w:tr>
      <w:tr w:rsidR="00EA5AB9" w:rsidRPr="00F143E5" w14:paraId="5110186E" w14:textId="77777777" w:rsidTr="00333A03">
        <w:tc>
          <w:tcPr>
            <w:tcW w:w="385" w:type="dxa"/>
            <w:gridSpan w:val="3"/>
            <w:shd w:val="clear" w:color="auto" w:fill="auto"/>
          </w:tcPr>
          <w:p w14:paraId="0464455B"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15C5545B"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4E41E58C"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Career guidance in secondary education;</w:t>
            </w:r>
          </w:p>
        </w:tc>
      </w:tr>
      <w:tr w:rsidR="00EA5AB9" w:rsidRPr="00F143E5" w14:paraId="11A92CF5" w14:textId="77777777" w:rsidTr="00333A03">
        <w:tc>
          <w:tcPr>
            <w:tcW w:w="385" w:type="dxa"/>
            <w:gridSpan w:val="3"/>
            <w:shd w:val="clear" w:color="auto" w:fill="auto"/>
          </w:tcPr>
          <w:p w14:paraId="7186155D"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3FEE9615"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3F0082DD"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Presenting the example of female leaders;</w:t>
            </w:r>
          </w:p>
        </w:tc>
      </w:tr>
      <w:tr w:rsidR="00EA5AB9" w:rsidRPr="00F143E5" w14:paraId="29470E5D" w14:textId="77777777" w:rsidTr="00333A03">
        <w:tc>
          <w:tcPr>
            <w:tcW w:w="385" w:type="dxa"/>
            <w:gridSpan w:val="3"/>
            <w:shd w:val="clear" w:color="auto" w:fill="auto"/>
          </w:tcPr>
          <w:p w14:paraId="222E7039"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6A93FD8A"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4A72983C"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Mentoring program;</w:t>
            </w:r>
          </w:p>
        </w:tc>
      </w:tr>
      <w:tr w:rsidR="00EA5AB9" w:rsidRPr="00F143E5" w14:paraId="07D45A81" w14:textId="77777777" w:rsidTr="00333A03">
        <w:tc>
          <w:tcPr>
            <w:tcW w:w="385" w:type="dxa"/>
            <w:gridSpan w:val="3"/>
            <w:shd w:val="clear" w:color="auto" w:fill="auto"/>
          </w:tcPr>
          <w:p w14:paraId="25FED416"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3C1B22B7"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780F8E55"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Establishing awards;</w:t>
            </w:r>
          </w:p>
        </w:tc>
      </w:tr>
      <w:tr w:rsidR="00EA5AB9" w:rsidRPr="00F143E5" w14:paraId="6E0B3F84" w14:textId="77777777" w:rsidTr="00333A03">
        <w:tc>
          <w:tcPr>
            <w:tcW w:w="385" w:type="dxa"/>
            <w:gridSpan w:val="3"/>
            <w:shd w:val="clear" w:color="auto" w:fill="auto"/>
          </w:tcPr>
          <w:p w14:paraId="78A0B1A5"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47CBFC47" w14:textId="77777777" w:rsidR="00EA5AB9" w:rsidRPr="00F143E5" w:rsidRDefault="00EA5AB9" w:rsidP="00F143E5">
            <w:pPr>
              <w:pStyle w:val="SingleTxtG"/>
              <w:widowControl w:val="0"/>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779A1B03" w14:textId="77777777" w:rsidR="00EA5AB9" w:rsidRPr="00333A03"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rPr>
                <w:spacing w:val="-4"/>
              </w:rPr>
            </w:pPr>
            <w:r w:rsidRPr="00333A03">
              <w:rPr>
                <w:spacing w:val="-4"/>
              </w:rPr>
              <w:t>Increasing the proportion of higher education institutions offering family-friendly solutions, with the support of family-friendly workplaces as well as the assistance of post-secondary institutions.</w:t>
            </w:r>
          </w:p>
        </w:tc>
      </w:tr>
      <w:tr w:rsidR="00EA5AB9" w:rsidRPr="00F143E5" w14:paraId="52893B37" w14:textId="77777777" w:rsidTr="00333A03">
        <w:tc>
          <w:tcPr>
            <w:tcW w:w="385" w:type="dxa"/>
            <w:gridSpan w:val="3"/>
            <w:shd w:val="clear" w:color="auto" w:fill="auto"/>
          </w:tcPr>
          <w:p w14:paraId="4090ADDA" w14:textId="77777777" w:rsidR="00EA5AB9" w:rsidRPr="00F143E5" w:rsidRDefault="00EA5AB9" w:rsidP="00F143E5">
            <w:pPr>
              <w:pStyle w:val="SingleTxtG"/>
              <w:widowControl w:val="0"/>
              <w:numPr>
                <w:ilvl w:val="0"/>
                <w:numId w:val="27"/>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096A6AA0" w14:textId="77777777" w:rsidR="00EA5AB9" w:rsidRPr="005108D6"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5108D6">
              <w:rPr>
                <w:i/>
                <w:iCs/>
              </w:rPr>
              <w:t>Breaking down invisible barriers to women in science via</w:t>
            </w:r>
          </w:p>
        </w:tc>
      </w:tr>
      <w:tr w:rsidR="00EA5AB9" w:rsidRPr="00F143E5" w14:paraId="681D879E" w14:textId="77777777" w:rsidTr="00333A03">
        <w:tc>
          <w:tcPr>
            <w:tcW w:w="385" w:type="dxa"/>
            <w:gridSpan w:val="3"/>
            <w:shd w:val="clear" w:color="auto" w:fill="auto"/>
          </w:tcPr>
          <w:p w14:paraId="75B18492"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3637BBD7" w14:textId="77777777" w:rsidR="00EA5AB9" w:rsidRPr="00F143E5" w:rsidRDefault="00EA5AB9" w:rsidP="00F143E5">
            <w:pPr>
              <w:pStyle w:val="SingleTxtG"/>
              <w:widowControl w:val="0"/>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132E090A"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Supporting PhD students who have dropped out of research due to childcare; </w:t>
            </w:r>
          </w:p>
        </w:tc>
      </w:tr>
      <w:tr w:rsidR="00EA5AB9" w:rsidRPr="00F143E5" w14:paraId="0944C6F1" w14:textId="77777777" w:rsidTr="00333A03">
        <w:tc>
          <w:tcPr>
            <w:tcW w:w="385" w:type="dxa"/>
            <w:gridSpan w:val="3"/>
            <w:shd w:val="clear" w:color="auto" w:fill="auto"/>
          </w:tcPr>
          <w:p w14:paraId="4FE8A113"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2A78263A" w14:textId="77777777" w:rsidR="00EA5AB9" w:rsidRPr="00F143E5" w:rsidRDefault="00EA5AB9" w:rsidP="00F143E5">
            <w:pPr>
              <w:pStyle w:val="SingleTxtG"/>
              <w:widowControl w:val="0"/>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5E5F4E1E" w14:textId="3463D978"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r w:rsidRPr="00F143E5">
              <w:t>Supporting investments in child-friendly solutions (changing and breastfeeding areas, children</w:t>
            </w:r>
            <w:r w:rsidR="00024758">
              <w:t>’</w:t>
            </w:r>
            <w:r w:rsidRPr="00F143E5">
              <w:t>s corners, childcare) in educational and research institutions;</w:t>
            </w:r>
          </w:p>
        </w:tc>
      </w:tr>
      <w:tr w:rsidR="00EA5AB9" w:rsidRPr="00F143E5" w14:paraId="1EC4BE30" w14:textId="77777777" w:rsidTr="00333A03">
        <w:tc>
          <w:tcPr>
            <w:tcW w:w="385" w:type="dxa"/>
            <w:gridSpan w:val="3"/>
            <w:shd w:val="clear" w:color="auto" w:fill="auto"/>
          </w:tcPr>
          <w:p w14:paraId="2E90D090"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049DE2F5" w14:textId="77777777" w:rsidR="00EA5AB9" w:rsidRPr="00F143E5" w:rsidRDefault="00EA5AB9" w:rsidP="00F143E5">
            <w:pPr>
              <w:pStyle w:val="SingleTxtG"/>
              <w:widowControl w:val="0"/>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38187EC9"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r w:rsidRPr="00F143E5">
              <w:t>Presenting best practices of women researchers, PhD students in media campaigns</w:t>
            </w:r>
          </w:p>
        </w:tc>
      </w:tr>
      <w:tr w:rsidR="00EA5AB9" w:rsidRPr="00F143E5" w14:paraId="26C60413" w14:textId="77777777" w:rsidTr="00333A03">
        <w:tc>
          <w:tcPr>
            <w:tcW w:w="385" w:type="dxa"/>
            <w:gridSpan w:val="3"/>
            <w:shd w:val="clear" w:color="auto" w:fill="auto"/>
          </w:tcPr>
          <w:p w14:paraId="7CC0F0C1" w14:textId="77777777" w:rsidR="00EA5AB9" w:rsidRPr="00F143E5" w:rsidRDefault="00EA5AB9" w:rsidP="00F143E5">
            <w:pPr>
              <w:pStyle w:val="SingleTxtG"/>
              <w:widowControl w:val="0"/>
              <w:numPr>
                <w:ilvl w:val="0"/>
                <w:numId w:val="27"/>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10E11A98" w14:textId="77777777" w:rsidR="00EA5AB9" w:rsidRPr="005108D6"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5108D6">
              <w:rPr>
                <w:i/>
                <w:iCs/>
              </w:rPr>
              <w:t>Supporting the orientation of girls and women towards STEM careers via</w:t>
            </w:r>
          </w:p>
        </w:tc>
      </w:tr>
      <w:tr w:rsidR="00EA5AB9" w:rsidRPr="00F143E5" w14:paraId="1D6CA526" w14:textId="77777777" w:rsidTr="00333A03">
        <w:tc>
          <w:tcPr>
            <w:tcW w:w="385" w:type="dxa"/>
            <w:gridSpan w:val="3"/>
            <w:shd w:val="clear" w:color="auto" w:fill="auto"/>
          </w:tcPr>
          <w:p w14:paraId="159711FD"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5F99DC84" w14:textId="77777777" w:rsidR="00EA5AB9" w:rsidRPr="00F143E5" w:rsidRDefault="00EA5AB9" w:rsidP="00F143E5">
            <w:pPr>
              <w:pStyle w:val="SingleTxtG"/>
              <w:widowControl w:val="0"/>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2CADAA57"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r w:rsidRPr="00F143E5">
              <w:t>Organizing related career guidance sessions in secondary education;</w:t>
            </w:r>
          </w:p>
        </w:tc>
      </w:tr>
      <w:tr w:rsidR="00EA5AB9" w:rsidRPr="00F143E5" w14:paraId="5957C129" w14:textId="77777777" w:rsidTr="00333A03">
        <w:tc>
          <w:tcPr>
            <w:tcW w:w="385" w:type="dxa"/>
            <w:gridSpan w:val="3"/>
            <w:shd w:val="clear" w:color="auto" w:fill="auto"/>
          </w:tcPr>
          <w:p w14:paraId="6C08589A"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173BF5D2" w14:textId="77777777" w:rsidR="00EA5AB9" w:rsidRPr="00F143E5" w:rsidRDefault="00EA5AB9" w:rsidP="00F143E5">
            <w:pPr>
              <w:pStyle w:val="SingleTxtG"/>
              <w:widowControl w:val="0"/>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72524616"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r w:rsidRPr="00F143E5">
              <w:t>Providing related scholarships in higher education.</w:t>
            </w:r>
          </w:p>
        </w:tc>
      </w:tr>
      <w:tr w:rsidR="00EA5AB9" w:rsidRPr="00F143E5" w14:paraId="204A1170" w14:textId="77777777" w:rsidTr="00333A03">
        <w:tc>
          <w:tcPr>
            <w:tcW w:w="385" w:type="dxa"/>
            <w:gridSpan w:val="3"/>
            <w:shd w:val="clear" w:color="auto" w:fill="auto"/>
          </w:tcPr>
          <w:p w14:paraId="169A35D0" w14:textId="77777777" w:rsidR="00EA5AB9" w:rsidRPr="00F143E5" w:rsidRDefault="00EA5AB9" w:rsidP="00F143E5">
            <w:pPr>
              <w:pStyle w:val="SingleTxtG"/>
              <w:widowControl w:val="0"/>
              <w:numPr>
                <w:ilvl w:val="0"/>
                <w:numId w:val="27"/>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350F1FF7" w14:textId="77777777" w:rsidR="00EA5AB9" w:rsidRPr="005108D6"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5108D6">
              <w:rPr>
                <w:i/>
                <w:iCs/>
              </w:rPr>
              <w:t>Promoting the participation of girls and women in vocational training and higher education, reducing their drop-out rates via</w:t>
            </w:r>
          </w:p>
        </w:tc>
      </w:tr>
      <w:tr w:rsidR="00EA5AB9" w:rsidRPr="00F143E5" w14:paraId="2049B35C" w14:textId="77777777" w:rsidTr="00333A03">
        <w:tc>
          <w:tcPr>
            <w:tcW w:w="385" w:type="dxa"/>
            <w:gridSpan w:val="3"/>
            <w:shd w:val="clear" w:color="auto" w:fill="auto"/>
          </w:tcPr>
          <w:p w14:paraId="548BACD5"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0D725B99" w14:textId="77777777" w:rsidR="00EA5AB9" w:rsidRPr="00F143E5" w:rsidRDefault="00EA5AB9" w:rsidP="00F143E5">
            <w:pPr>
              <w:pStyle w:val="SingleTxtG"/>
              <w:widowControl w:val="0"/>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7730A57D"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r w:rsidRPr="00F143E5">
              <w:t>Developing and applying special educational organization models;</w:t>
            </w:r>
          </w:p>
        </w:tc>
      </w:tr>
      <w:tr w:rsidR="00EA5AB9" w:rsidRPr="00F143E5" w14:paraId="12E56D4A" w14:textId="77777777" w:rsidTr="00333A03">
        <w:tc>
          <w:tcPr>
            <w:tcW w:w="385" w:type="dxa"/>
            <w:gridSpan w:val="3"/>
            <w:shd w:val="clear" w:color="auto" w:fill="auto"/>
          </w:tcPr>
          <w:p w14:paraId="46728924"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3304172D" w14:textId="77777777" w:rsidR="00EA5AB9" w:rsidRPr="00F143E5" w:rsidRDefault="00EA5AB9" w:rsidP="00F143E5">
            <w:pPr>
              <w:pStyle w:val="SingleTxtG"/>
              <w:widowControl w:val="0"/>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3EF9DECE"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r w:rsidRPr="00F143E5">
              <w:t>Implementing catch-up and development courses;</w:t>
            </w:r>
          </w:p>
        </w:tc>
      </w:tr>
      <w:tr w:rsidR="00EA5AB9" w:rsidRPr="00F143E5" w14:paraId="475241E4" w14:textId="77777777" w:rsidTr="00333A03">
        <w:tc>
          <w:tcPr>
            <w:tcW w:w="385" w:type="dxa"/>
            <w:gridSpan w:val="3"/>
            <w:shd w:val="clear" w:color="auto" w:fill="auto"/>
          </w:tcPr>
          <w:p w14:paraId="069E6B4E"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06874464" w14:textId="77777777" w:rsidR="00EA5AB9" w:rsidRPr="00F143E5" w:rsidRDefault="00EA5AB9" w:rsidP="00F143E5">
            <w:pPr>
              <w:pStyle w:val="SingleTxtG"/>
              <w:widowControl w:val="0"/>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0E575486" w14:textId="7E82F526"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Organizing vocational training and higher education programs, </w:t>
            </w:r>
            <w:proofErr w:type="gramStart"/>
            <w:r w:rsidRPr="00F143E5">
              <w:t>developing</w:t>
            </w:r>
            <w:proofErr w:type="gramEnd"/>
            <w:r w:rsidRPr="00F143E5">
              <w:t xml:space="preserve"> and operating an incentive system to participate in the programs, specific (early) career guidance, skills development and implementing communication programs, supporting forms of further education compatible with parenting for the </w:t>
            </w:r>
            <w:r w:rsidR="00024758">
              <w:t>‘</w:t>
            </w:r>
            <w:r w:rsidRPr="00F143E5">
              <w:t>unemployed, out of education and training</w:t>
            </w:r>
            <w:r w:rsidR="00024758">
              <w:t>’</w:t>
            </w:r>
            <w:r w:rsidRPr="00F143E5">
              <w:t>;</w:t>
            </w:r>
          </w:p>
        </w:tc>
      </w:tr>
      <w:tr w:rsidR="00EA5AB9" w:rsidRPr="00F143E5" w14:paraId="441551CD" w14:textId="77777777" w:rsidTr="00333A03">
        <w:tc>
          <w:tcPr>
            <w:tcW w:w="385" w:type="dxa"/>
            <w:gridSpan w:val="3"/>
            <w:shd w:val="clear" w:color="auto" w:fill="auto"/>
          </w:tcPr>
          <w:p w14:paraId="39B69DEC"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2DD53543" w14:textId="77777777" w:rsidR="00EA5AB9" w:rsidRPr="00F143E5" w:rsidRDefault="00EA5AB9" w:rsidP="00F143E5">
            <w:pPr>
              <w:pStyle w:val="SingleTxtG"/>
              <w:widowControl w:val="0"/>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7690C9A"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r w:rsidRPr="00F143E5">
              <w:t>Launching a large-scale digital competence development program for women.</w:t>
            </w:r>
          </w:p>
        </w:tc>
      </w:tr>
      <w:tr w:rsidR="00EA5AB9" w:rsidRPr="00F143E5" w14:paraId="69CD3A39" w14:textId="77777777" w:rsidTr="00333A03">
        <w:tc>
          <w:tcPr>
            <w:tcW w:w="385" w:type="dxa"/>
            <w:gridSpan w:val="3"/>
            <w:shd w:val="clear" w:color="auto" w:fill="auto"/>
          </w:tcPr>
          <w:p w14:paraId="00F007DC" w14:textId="77777777" w:rsidR="00EA5AB9" w:rsidRPr="00F143E5" w:rsidRDefault="00EA5AB9" w:rsidP="00F143E5">
            <w:pPr>
              <w:pStyle w:val="SingleTxtG"/>
              <w:widowControl w:val="0"/>
              <w:numPr>
                <w:ilvl w:val="0"/>
                <w:numId w:val="27"/>
              </w:numPr>
              <w:tabs>
                <w:tab w:val="clear" w:pos="1701"/>
                <w:tab w:val="clear" w:pos="2268"/>
                <w:tab w:val="clear" w:pos="2835"/>
                <w:tab w:val="left" w:pos="288"/>
                <w:tab w:val="left" w:pos="576"/>
                <w:tab w:val="left" w:pos="864"/>
                <w:tab w:val="left" w:pos="1152"/>
              </w:tabs>
              <w:spacing w:before="40" w:line="240" w:lineRule="exact"/>
              <w:ind w:left="0" w:right="40" w:firstLine="0"/>
              <w:jc w:val="left"/>
            </w:pPr>
            <w:bookmarkStart w:id="3" w:name="_Ref76542292"/>
          </w:p>
        </w:tc>
        <w:bookmarkEnd w:id="3"/>
        <w:tc>
          <w:tcPr>
            <w:tcW w:w="8129" w:type="dxa"/>
            <w:gridSpan w:val="2"/>
            <w:shd w:val="clear" w:color="auto" w:fill="auto"/>
          </w:tcPr>
          <w:p w14:paraId="136A22FF" w14:textId="77777777" w:rsidR="00EA5AB9" w:rsidRPr="005108D6"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5108D6">
              <w:rPr>
                <w:i/>
                <w:iCs/>
              </w:rPr>
              <w:t>Development of gender equality expertise via</w:t>
            </w:r>
          </w:p>
        </w:tc>
      </w:tr>
      <w:tr w:rsidR="00EA5AB9" w:rsidRPr="00F143E5" w14:paraId="1BED5733" w14:textId="77777777" w:rsidTr="00333A03">
        <w:tc>
          <w:tcPr>
            <w:tcW w:w="385" w:type="dxa"/>
            <w:gridSpan w:val="3"/>
            <w:shd w:val="clear" w:color="auto" w:fill="auto"/>
          </w:tcPr>
          <w:p w14:paraId="013F7AC9" w14:textId="77777777"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7B56132F" w14:textId="77777777" w:rsidR="00EA5AB9" w:rsidRPr="00F143E5" w:rsidRDefault="00EA5AB9" w:rsidP="00F143E5">
            <w:pPr>
              <w:pStyle w:val="SingleTxtG"/>
              <w:widowControl w:val="0"/>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79A07675" w14:textId="448D11D2" w:rsidR="00EA5AB9" w:rsidRPr="00F143E5" w:rsidRDefault="00EA5AB9" w:rsidP="00F143E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0"/>
              <w:jc w:val="left"/>
            </w:pPr>
            <w:r w:rsidRPr="00F143E5">
              <w:t>Providing training in public administration.</w:t>
            </w:r>
          </w:p>
        </w:tc>
      </w:tr>
      <w:tr w:rsidR="00EA5AB9" w:rsidRPr="00F143E5" w14:paraId="072932A0" w14:textId="77777777" w:rsidTr="00333A03">
        <w:tc>
          <w:tcPr>
            <w:tcW w:w="8514" w:type="dxa"/>
            <w:gridSpan w:val="5"/>
            <w:shd w:val="clear" w:color="auto" w:fill="auto"/>
          </w:tcPr>
          <w:p w14:paraId="7B36FA31" w14:textId="3D741F80" w:rsidR="00EA5AB9" w:rsidRPr="005108D6" w:rsidRDefault="00EA5AB9" w:rsidP="00CB0BA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3"/>
              <w:jc w:val="left"/>
              <w:rPr>
                <w:rFonts w:ascii="Times New Roman Bold" w:hAnsi="Times New Roman Bold" w:cs="Times New Roman Bold"/>
                <w:b/>
                <w:spacing w:val="-2"/>
                <w:highlight w:val="cyan"/>
              </w:rPr>
            </w:pPr>
            <w:r w:rsidRPr="005108D6">
              <w:rPr>
                <w:rFonts w:ascii="Times New Roman Bold" w:hAnsi="Times New Roman Bold" w:cs="Times New Roman Bold"/>
                <w:b/>
                <w:spacing w:val="-2"/>
              </w:rPr>
              <w:t>Chapter</w:t>
            </w:r>
            <w:r w:rsidR="00CB0BA5" w:rsidRPr="005108D6">
              <w:rPr>
                <w:rFonts w:ascii="Times New Roman Bold" w:hAnsi="Times New Roman Bold" w:cs="Times New Roman Bold"/>
                <w:b/>
                <w:spacing w:val="-2"/>
              </w:rPr>
              <w:t xml:space="preserve"> 3</w:t>
            </w:r>
            <w:r w:rsidRPr="005108D6">
              <w:rPr>
                <w:rFonts w:ascii="Times New Roman Bold" w:hAnsi="Times New Roman Bold" w:cs="Times New Roman Bold"/>
                <w:b/>
                <w:spacing w:val="-2"/>
              </w:rPr>
              <w:t>: Achieving equal economic, health and social protection of women and men</w:t>
            </w:r>
          </w:p>
        </w:tc>
      </w:tr>
      <w:tr w:rsidR="00EA5AB9" w:rsidRPr="00F143E5" w14:paraId="2573B0B9" w14:textId="77777777" w:rsidTr="00333A03">
        <w:tc>
          <w:tcPr>
            <w:tcW w:w="385" w:type="dxa"/>
            <w:gridSpan w:val="3"/>
            <w:shd w:val="clear" w:color="auto" w:fill="auto"/>
          </w:tcPr>
          <w:p w14:paraId="5287CB50" w14:textId="77777777" w:rsidR="00EA5AB9" w:rsidRPr="00F143E5" w:rsidRDefault="00EA5AB9" w:rsidP="00F143E5">
            <w:pPr>
              <w:pStyle w:val="SingleTxtG"/>
              <w:widowControl w:val="0"/>
              <w:numPr>
                <w:ilvl w:val="0"/>
                <w:numId w:val="28"/>
              </w:numPr>
              <w:tabs>
                <w:tab w:val="clear" w:pos="1701"/>
                <w:tab w:val="clear" w:pos="2268"/>
                <w:tab w:val="clear" w:pos="2835"/>
                <w:tab w:val="left" w:pos="288"/>
                <w:tab w:val="left" w:pos="576"/>
                <w:tab w:val="left" w:pos="864"/>
                <w:tab w:val="left" w:pos="1152"/>
              </w:tabs>
              <w:spacing w:before="40" w:line="240" w:lineRule="exact"/>
              <w:ind w:left="0" w:right="43" w:firstLine="0"/>
              <w:jc w:val="left"/>
            </w:pPr>
          </w:p>
        </w:tc>
        <w:tc>
          <w:tcPr>
            <w:tcW w:w="8129" w:type="dxa"/>
            <w:gridSpan w:val="2"/>
            <w:shd w:val="clear" w:color="auto" w:fill="auto"/>
          </w:tcPr>
          <w:p w14:paraId="3E8F95D4" w14:textId="54AE97D3" w:rsidR="00EA5AB9" w:rsidRPr="00333A03" w:rsidRDefault="00EA5AB9" w:rsidP="00CB0BA5">
            <w:pPr>
              <w:pStyle w:val="SingleTxtG"/>
              <w:widowControl w:val="0"/>
              <w:tabs>
                <w:tab w:val="clear" w:pos="1701"/>
                <w:tab w:val="clear" w:pos="2268"/>
                <w:tab w:val="clear" w:pos="2835"/>
                <w:tab w:val="left" w:pos="288"/>
                <w:tab w:val="left" w:pos="576"/>
                <w:tab w:val="left" w:pos="864"/>
                <w:tab w:val="left" w:pos="1152"/>
              </w:tabs>
              <w:spacing w:before="40" w:line="240" w:lineRule="exact"/>
              <w:ind w:left="0" w:right="43"/>
              <w:jc w:val="left"/>
              <w:rPr>
                <w:i/>
                <w:iCs/>
              </w:rPr>
            </w:pPr>
            <w:r w:rsidRPr="00333A03">
              <w:rPr>
                <w:i/>
                <w:iCs/>
              </w:rPr>
              <w:t xml:space="preserve">Support of the employment of women with children aged under </w:t>
            </w:r>
            <w:r w:rsidR="008645DF" w:rsidRPr="00333A03">
              <w:rPr>
                <w:i/>
                <w:iCs/>
              </w:rPr>
              <w:t>6</w:t>
            </w:r>
            <w:r w:rsidRPr="00333A03">
              <w:rPr>
                <w:i/>
                <w:iCs/>
              </w:rPr>
              <w:t xml:space="preserve">, in addition to the objectives set out in Chapter </w:t>
            </w:r>
            <w:r w:rsidR="008645DF" w:rsidRPr="00333A03">
              <w:rPr>
                <w:i/>
                <w:iCs/>
              </w:rPr>
              <w:t>1</w:t>
            </w:r>
            <w:r w:rsidRPr="00333A03">
              <w:rPr>
                <w:i/>
                <w:iCs/>
              </w:rPr>
              <w:t xml:space="preserve"> via</w:t>
            </w:r>
          </w:p>
        </w:tc>
      </w:tr>
      <w:tr w:rsidR="00EA5AB9" w:rsidRPr="00F143E5" w14:paraId="7BFB1CF3" w14:textId="77777777" w:rsidTr="00333A03">
        <w:tc>
          <w:tcPr>
            <w:tcW w:w="385" w:type="dxa"/>
            <w:gridSpan w:val="3"/>
            <w:shd w:val="clear" w:color="auto" w:fill="auto"/>
          </w:tcPr>
          <w:p w14:paraId="624F605A"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1A3050E9"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4A9CC9EB"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Career counselling for young women, building a mentor network;</w:t>
            </w:r>
          </w:p>
        </w:tc>
      </w:tr>
      <w:tr w:rsidR="00EA5AB9" w:rsidRPr="00F143E5" w14:paraId="248FC1F1" w14:textId="77777777" w:rsidTr="00333A03">
        <w:tc>
          <w:tcPr>
            <w:tcW w:w="385" w:type="dxa"/>
            <w:gridSpan w:val="3"/>
            <w:shd w:val="clear" w:color="auto" w:fill="auto"/>
          </w:tcPr>
          <w:p w14:paraId="6B929BA6"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726A156E"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AC50CFA"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Training and counselling for mothers with small children;</w:t>
            </w:r>
          </w:p>
        </w:tc>
      </w:tr>
      <w:tr w:rsidR="00EA5AB9" w:rsidRPr="00F143E5" w14:paraId="677380AA" w14:textId="77777777" w:rsidTr="00333A03">
        <w:tc>
          <w:tcPr>
            <w:tcW w:w="385" w:type="dxa"/>
            <w:gridSpan w:val="3"/>
            <w:shd w:val="clear" w:color="auto" w:fill="auto"/>
          </w:tcPr>
          <w:p w14:paraId="3A0FFC6A"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12533B63"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1E1A0661"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Increasing the capacity of institutions providing nursery care;</w:t>
            </w:r>
          </w:p>
        </w:tc>
      </w:tr>
      <w:tr w:rsidR="00EA5AB9" w:rsidRPr="00F143E5" w14:paraId="75F48E37" w14:textId="77777777" w:rsidTr="00333A03">
        <w:tc>
          <w:tcPr>
            <w:tcW w:w="385" w:type="dxa"/>
            <w:gridSpan w:val="3"/>
            <w:shd w:val="clear" w:color="auto" w:fill="auto"/>
          </w:tcPr>
          <w:p w14:paraId="551BFA42"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2D5CA386"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55FA1495"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Facilitating disadvantaged mothers without qualifications having at least four children to work in sectors such healthcare, social sphere, </w:t>
            </w:r>
            <w:proofErr w:type="gramStart"/>
            <w:r w:rsidRPr="00F143E5">
              <w:t>child</w:t>
            </w:r>
            <w:proofErr w:type="gramEnd"/>
            <w:r w:rsidRPr="00F143E5">
              <w:t xml:space="preserve"> or elderly care (sectors that recognize the experience acquired at home as a mother), if there is no way of employment in their original job.</w:t>
            </w:r>
          </w:p>
        </w:tc>
      </w:tr>
      <w:tr w:rsidR="00EA5AB9" w:rsidRPr="00F143E5" w14:paraId="07CA31C3" w14:textId="77777777" w:rsidTr="00333A03">
        <w:tc>
          <w:tcPr>
            <w:tcW w:w="385" w:type="dxa"/>
            <w:gridSpan w:val="3"/>
            <w:shd w:val="clear" w:color="auto" w:fill="auto"/>
          </w:tcPr>
          <w:p w14:paraId="4200B803" w14:textId="77777777" w:rsidR="00EA5AB9" w:rsidRPr="00F143E5" w:rsidRDefault="00EA5AB9" w:rsidP="00F143E5">
            <w:pPr>
              <w:pStyle w:val="SingleTxtG"/>
              <w:numPr>
                <w:ilvl w:val="0"/>
                <w:numId w:val="28"/>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30A01173" w14:textId="77777777" w:rsidR="00EA5AB9" w:rsidRPr="00333A03"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333A03">
              <w:rPr>
                <w:i/>
                <w:iCs/>
              </w:rPr>
              <w:t>Supporting female entrepreneurs via</w:t>
            </w:r>
          </w:p>
        </w:tc>
      </w:tr>
      <w:tr w:rsidR="00EA5AB9" w:rsidRPr="00F143E5" w14:paraId="7CA4F9AA" w14:textId="77777777" w:rsidTr="00333A03">
        <w:tc>
          <w:tcPr>
            <w:tcW w:w="385" w:type="dxa"/>
            <w:gridSpan w:val="3"/>
            <w:shd w:val="clear" w:color="auto" w:fill="auto"/>
          </w:tcPr>
          <w:p w14:paraId="72E3B62A"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24D06F88"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B537B10"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Competence development, training, </w:t>
            </w:r>
            <w:proofErr w:type="gramStart"/>
            <w:r w:rsidRPr="00F143E5">
              <w:t>research</w:t>
            </w:r>
            <w:proofErr w:type="gramEnd"/>
            <w:r w:rsidRPr="00F143E5">
              <w:t xml:space="preserve"> and mentoring programs;</w:t>
            </w:r>
          </w:p>
        </w:tc>
      </w:tr>
      <w:tr w:rsidR="00EA5AB9" w:rsidRPr="00F143E5" w14:paraId="529B0B93" w14:textId="77777777" w:rsidTr="00333A03">
        <w:tc>
          <w:tcPr>
            <w:tcW w:w="385" w:type="dxa"/>
            <w:gridSpan w:val="3"/>
            <w:shd w:val="clear" w:color="auto" w:fill="auto"/>
          </w:tcPr>
          <w:p w14:paraId="600ADB7A"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1B92C6BE"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8DF1E51"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Presenting models of successful female entrepreneurs.</w:t>
            </w:r>
          </w:p>
        </w:tc>
      </w:tr>
      <w:tr w:rsidR="00EA5AB9" w:rsidRPr="00F143E5" w14:paraId="642D5904" w14:textId="77777777" w:rsidTr="00333A03">
        <w:tc>
          <w:tcPr>
            <w:tcW w:w="385" w:type="dxa"/>
            <w:gridSpan w:val="3"/>
            <w:shd w:val="clear" w:color="auto" w:fill="auto"/>
          </w:tcPr>
          <w:p w14:paraId="2117F3CD" w14:textId="77777777" w:rsidR="00EA5AB9" w:rsidRPr="00F143E5" w:rsidRDefault="00EA5AB9" w:rsidP="00F143E5">
            <w:pPr>
              <w:pStyle w:val="SingleTxtG"/>
              <w:numPr>
                <w:ilvl w:val="0"/>
                <w:numId w:val="28"/>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2EF0BA71" w14:textId="77777777" w:rsidR="00EA5AB9" w:rsidRPr="00333A03"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333A03">
              <w:rPr>
                <w:i/>
                <w:iCs/>
              </w:rPr>
              <w:t>Closing the gender pay gap via</w:t>
            </w:r>
          </w:p>
        </w:tc>
      </w:tr>
      <w:tr w:rsidR="00EA5AB9" w:rsidRPr="00F143E5" w14:paraId="31B836B1" w14:textId="77777777" w:rsidTr="00333A03">
        <w:tc>
          <w:tcPr>
            <w:tcW w:w="385" w:type="dxa"/>
            <w:gridSpan w:val="3"/>
            <w:shd w:val="clear" w:color="auto" w:fill="auto"/>
          </w:tcPr>
          <w:p w14:paraId="3ABCD1BC"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78C6E69F"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018A4CFD"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Researching the root causes;</w:t>
            </w:r>
          </w:p>
        </w:tc>
      </w:tr>
      <w:tr w:rsidR="00EA5AB9" w:rsidRPr="00F143E5" w14:paraId="2D4C4976" w14:textId="77777777" w:rsidTr="00333A03">
        <w:tc>
          <w:tcPr>
            <w:tcW w:w="385" w:type="dxa"/>
            <w:gridSpan w:val="3"/>
            <w:shd w:val="clear" w:color="auto" w:fill="auto"/>
          </w:tcPr>
          <w:p w14:paraId="0316E14C"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1FCDDA0B"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3732A763"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Carrying out targeted measures;</w:t>
            </w:r>
          </w:p>
        </w:tc>
      </w:tr>
      <w:tr w:rsidR="00EA5AB9" w:rsidRPr="00F143E5" w14:paraId="24DA68DB" w14:textId="77777777" w:rsidTr="00333A03">
        <w:tc>
          <w:tcPr>
            <w:tcW w:w="385" w:type="dxa"/>
            <w:gridSpan w:val="3"/>
            <w:shd w:val="clear" w:color="auto" w:fill="auto"/>
          </w:tcPr>
          <w:p w14:paraId="62AAF068"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52D5BCFE"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CC035BC" w14:textId="010973D4"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Researching the differences between women</w:t>
            </w:r>
            <w:r w:rsidR="00024758">
              <w:t>’</w:t>
            </w:r>
            <w:r w:rsidRPr="00F143E5">
              <w:t>s and men</w:t>
            </w:r>
            <w:r w:rsidR="00024758">
              <w:t>’</w:t>
            </w:r>
            <w:r w:rsidRPr="00F143E5">
              <w:t>s pensions.</w:t>
            </w:r>
          </w:p>
        </w:tc>
      </w:tr>
      <w:tr w:rsidR="00EA5AB9" w:rsidRPr="00F143E5" w14:paraId="16485C6C" w14:textId="77777777" w:rsidTr="00333A03">
        <w:tc>
          <w:tcPr>
            <w:tcW w:w="385" w:type="dxa"/>
            <w:gridSpan w:val="3"/>
            <w:shd w:val="clear" w:color="auto" w:fill="auto"/>
          </w:tcPr>
          <w:p w14:paraId="69F56143" w14:textId="77777777" w:rsidR="00EA5AB9" w:rsidRPr="00F143E5" w:rsidRDefault="00EA5AB9" w:rsidP="00F143E5">
            <w:pPr>
              <w:pStyle w:val="SingleTxtG"/>
              <w:numPr>
                <w:ilvl w:val="0"/>
                <w:numId w:val="28"/>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8129" w:type="dxa"/>
            <w:gridSpan w:val="2"/>
            <w:shd w:val="clear" w:color="auto" w:fill="auto"/>
          </w:tcPr>
          <w:p w14:paraId="05A14107" w14:textId="77777777" w:rsidR="00EA5AB9" w:rsidRPr="00333A03"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rPr>
                <w:i/>
                <w:iCs/>
              </w:rPr>
            </w:pPr>
            <w:r w:rsidRPr="00333A03">
              <w:rPr>
                <w:i/>
                <w:iCs/>
              </w:rPr>
              <w:t xml:space="preserve">Reducing the risk of poverty in the areas of employment, social security, </w:t>
            </w:r>
            <w:proofErr w:type="gramStart"/>
            <w:r w:rsidRPr="00333A03">
              <w:rPr>
                <w:i/>
                <w:iCs/>
              </w:rPr>
              <w:t>health</w:t>
            </w:r>
            <w:proofErr w:type="gramEnd"/>
            <w:r w:rsidRPr="00333A03">
              <w:rPr>
                <w:i/>
                <w:iCs/>
              </w:rPr>
              <w:t xml:space="preserve"> and social care as well as digitization via</w:t>
            </w:r>
          </w:p>
        </w:tc>
      </w:tr>
      <w:tr w:rsidR="00EA5AB9" w:rsidRPr="00F143E5" w14:paraId="54F167B3" w14:textId="77777777" w:rsidTr="00333A03">
        <w:tc>
          <w:tcPr>
            <w:tcW w:w="385" w:type="dxa"/>
            <w:gridSpan w:val="3"/>
            <w:shd w:val="clear" w:color="auto" w:fill="auto"/>
          </w:tcPr>
          <w:p w14:paraId="710E5B85"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4ED9F7AC"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1AFF7327"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Conducting sex-disaggregated data collections and data evaluations on specific target groups (single parents, children with disabilities, large families, disadvantaged individuals);</w:t>
            </w:r>
          </w:p>
        </w:tc>
      </w:tr>
      <w:tr w:rsidR="00EA5AB9" w:rsidRPr="00F143E5" w14:paraId="77459117" w14:textId="77777777" w:rsidTr="00333A03">
        <w:tc>
          <w:tcPr>
            <w:tcW w:w="385" w:type="dxa"/>
            <w:gridSpan w:val="3"/>
            <w:shd w:val="clear" w:color="auto" w:fill="auto"/>
          </w:tcPr>
          <w:p w14:paraId="4C241146"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1EB77CB4"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0037C9CE"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Providing beneficial educational opportunities for pregnant mothers;</w:t>
            </w:r>
          </w:p>
        </w:tc>
      </w:tr>
      <w:tr w:rsidR="00EA5AB9" w:rsidRPr="00F143E5" w14:paraId="0EF60849" w14:textId="77777777" w:rsidTr="00333A03">
        <w:tc>
          <w:tcPr>
            <w:tcW w:w="385" w:type="dxa"/>
            <w:gridSpan w:val="3"/>
            <w:shd w:val="clear" w:color="auto" w:fill="auto"/>
          </w:tcPr>
          <w:p w14:paraId="42DC1478"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100A243A"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701C765F"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Further developing the network of Family and Career Points;</w:t>
            </w:r>
          </w:p>
        </w:tc>
      </w:tr>
      <w:tr w:rsidR="00EA5AB9" w:rsidRPr="00F143E5" w14:paraId="5B1D1A87" w14:textId="77777777" w:rsidTr="00333A03">
        <w:tc>
          <w:tcPr>
            <w:tcW w:w="385" w:type="dxa"/>
            <w:gridSpan w:val="3"/>
            <w:shd w:val="clear" w:color="auto" w:fill="auto"/>
          </w:tcPr>
          <w:p w14:paraId="0FA8900B"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50AAC053"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41A1112F"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Further announcing and expanding the Family-Friendly Obstetrics and Family-Friendly Hospital tender;</w:t>
            </w:r>
          </w:p>
        </w:tc>
      </w:tr>
      <w:tr w:rsidR="00EA5AB9" w:rsidRPr="00F143E5" w14:paraId="51C5D42C" w14:textId="77777777" w:rsidTr="00333A03">
        <w:tc>
          <w:tcPr>
            <w:tcW w:w="385" w:type="dxa"/>
            <w:gridSpan w:val="3"/>
            <w:shd w:val="clear" w:color="auto" w:fill="auto"/>
          </w:tcPr>
          <w:p w14:paraId="068FA0D0"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4F18F107"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0AE36C7E"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Strengthening the network of health visitors through introducing incentives, raising wages, with special emphasis on disadvantaged settlements </w:t>
            </w:r>
            <w:proofErr w:type="gramStart"/>
            <w:r w:rsidRPr="00F143E5">
              <w:t>in order to</w:t>
            </w:r>
            <w:proofErr w:type="gramEnd"/>
            <w:r w:rsidRPr="00F143E5">
              <w:t xml:space="preserve"> provide more support to pregnant mothers;</w:t>
            </w:r>
          </w:p>
        </w:tc>
      </w:tr>
      <w:tr w:rsidR="00EA5AB9" w:rsidRPr="00F143E5" w14:paraId="4485B357" w14:textId="77777777" w:rsidTr="00333A03">
        <w:tc>
          <w:tcPr>
            <w:tcW w:w="385" w:type="dxa"/>
            <w:gridSpan w:val="3"/>
            <w:shd w:val="clear" w:color="auto" w:fill="auto"/>
          </w:tcPr>
          <w:p w14:paraId="2D6970E1"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411C39DC"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72E489C1"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Raising awareness on the health of disadvantaged women and encouraging them to take part in organized public health screenings;</w:t>
            </w:r>
          </w:p>
        </w:tc>
      </w:tr>
      <w:tr w:rsidR="00EA5AB9" w:rsidRPr="00F143E5" w14:paraId="00010033" w14:textId="77777777" w:rsidTr="00333A03">
        <w:tc>
          <w:tcPr>
            <w:tcW w:w="385" w:type="dxa"/>
            <w:gridSpan w:val="3"/>
            <w:shd w:val="clear" w:color="auto" w:fill="auto"/>
          </w:tcPr>
          <w:p w14:paraId="583DDEC1"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58977D42"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46AD4370"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Offering free mental health counselling, by providing psychologists in Health Promotion Offices for disadvantaged women;</w:t>
            </w:r>
          </w:p>
        </w:tc>
      </w:tr>
      <w:tr w:rsidR="00EA5AB9" w:rsidRPr="00F143E5" w14:paraId="71E3FED3" w14:textId="77777777" w:rsidTr="00333A03">
        <w:tc>
          <w:tcPr>
            <w:tcW w:w="385" w:type="dxa"/>
            <w:gridSpan w:val="3"/>
            <w:shd w:val="clear" w:color="auto" w:fill="auto"/>
          </w:tcPr>
          <w:p w14:paraId="41715634"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3404F324"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3CF08325"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 xml:space="preserve">Integrating people living in poverty and Roma women into the </w:t>
            </w:r>
            <w:proofErr w:type="spellStart"/>
            <w:r w:rsidRPr="00F143E5">
              <w:t>labour</w:t>
            </w:r>
            <w:proofErr w:type="spellEnd"/>
            <w:r w:rsidRPr="00F143E5">
              <w:t xml:space="preserve"> market, </w:t>
            </w:r>
            <w:proofErr w:type="gramStart"/>
            <w:r w:rsidRPr="00F143E5">
              <w:t>taking into account</w:t>
            </w:r>
            <w:proofErr w:type="gramEnd"/>
            <w:r w:rsidRPr="00F143E5">
              <w:t xml:space="preserve"> the further development and expansion of early school leaving prevention programs;</w:t>
            </w:r>
          </w:p>
        </w:tc>
      </w:tr>
      <w:tr w:rsidR="00EA5AB9" w:rsidRPr="00F143E5" w14:paraId="2452D807" w14:textId="77777777" w:rsidTr="00333A03">
        <w:tc>
          <w:tcPr>
            <w:tcW w:w="385" w:type="dxa"/>
            <w:gridSpan w:val="3"/>
            <w:shd w:val="clear" w:color="auto" w:fill="auto"/>
          </w:tcPr>
          <w:p w14:paraId="52B3E36E"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5A28D9B0"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6C340FE6" w14:textId="2A7A493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Strengthening the child-raising competencies of disadvantaged mothers (by expanding the network of Sure Start Children</w:t>
            </w:r>
            <w:r w:rsidR="00024758">
              <w:t>’</w:t>
            </w:r>
            <w:r w:rsidRPr="00F143E5">
              <w:t xml:space="preserve"> Homes);</w:t>
            </w:r>
          </w:p>
        </w:tc>
      </w:tr>
      <w:tr w:rsidR="00EA5AB9" w:rsidRPr="00F143E5" w14:paraId="17F4030A" w14:textId="77777777" w:rsidTr="00333A03">
        <w:tc>
          <w:tcPr>
            <w:tcW w:w="385" w:type="dxa"/>
            <w:gridSpan w:val="3"/>
            <w:shd w:val="clear" w:color="auto" w:fill="auto"/>
          </w:tcPr>
          <w:p w14:paraId="1936468F"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523D9066"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1ED97897" w14:textId="77777777" w:rsidR="00EA5AB9" w:rsidRPr="00333A03" w:rsidRDefault="00EA5AB9" w:rsidP="00333A03">
            <w:pPr>
              <w:pStyle w:val="SingleTxtG"/>
              <w:tabs>
                <w:tab w:val="clear" w:pos="1701"/>
                <w:tab w:val="clear" w:pos="2268"/>
                <w:tab w:val="clear" w:pos="2835"/>
                <w:tab w:val="left" w:pos="288"/>
                <w:tab w:val="left" w:pos="576"/>
                <w:tab w:val="left" w:pos="864"/>
                <w:tab w:val="left" w:pos="1152"/>
              </w:tabs>
              <w:spacing w:before="40" w:line="240" w:lineRule="exact"/>
              <w:ind w:left="0" w:right="14"/>
              <w:jc w:val="left"/>
              <w:rPr>
                <w:spacing w:val="-4"/>
              </w:rPr>
            </w:pPr>
            <w:r w:rsidRPr="00333A03">
              <w:rPr>
                <w:spacing w:val="-4"/>
              </w:rPr>
              <w:t>Supporting single-parent families living in poverty, providing study grants for single-parent children;</w:t>
            </w:r>
          </w:p>
        </w:tc>
      </w:tr>
      <w:tr w:rsidR="00EA5AB9" w:rsidRPr="00F143E5" w14:paraId="580D5BE6" w14:textId="77777777" w:rsidTr="00333A03">
        <w:tc>
          <w:tcPr>
            <w:tcW w:w="385" w:type="dxa"/>
            <w:gridSpan w:val="3"/>
            <w:shd w:val="clear" w:color="auto" w:fill="auto"/>
          </w:tcPr>
          <w:p w14:paraId="0725435E"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shd w:val="clear" w:color="auto" w:fill="auto"/>
          </w:tcPr>
          <w:p w14:paraId="3B96317C"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shd w:val="clear" w:color="auto" w:fill="auto"/>
          </w:tcPr>
          <w:p w14:paraId="0BF52EB4"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Recognizing the work of women caring for an elderly relative at home;</w:t>
            </w:r>
          </w:p>
        </w:tc>
      </w:tr>
      <w:tr w:rsidR="00EA5AB9" w:rsidRPr="00F143E5" w14:paraId="185B1AA0" w14:textId="77777777" w:rsidTr="00333A03">
        <w:tc>
          <w:tcPr>
            <w:tcW w:w="385" w:type="dxa"/>
            <w:gridSpan w:val="3"/>
            <w:tcBorders>
              <w:bottom w:val="single" w:sz="12" w:space="0" w:color="auto"/>
            </w:tcBorders>
            <w:shd w:val="clear" w:color="auto" w:fill="auto"/>
          </w:tcPr>
          <w:p w14:paraId="138B5C5A"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p>
        </w:tc>
        <w:tc>
          <w:tcPr>
            <w:tcW w:w="342" w:type="dxa"/>
            <w:tcBorders>
              <w:bottom w:val="single" w:sz="12" w:space="0" w:color="auto"/>
            </w:tcBorders>
            <w:shd w:val="clear" w:color="auto" w:fill="auto"/>
          </w:tcPr>
          <w:p w14:paraId="64629B58" w14:textId="77777777" w:rsidR="00EA5AB9" w:rsidRPr="00F143E5" w:rsidRDefault="00EA5AB9" w:rsidP="00F143E5">
            <w:pPr>
              <w:pStyle w:val="SingleTxtG"/>
              <w:numPr>
                <w:ilvl w:val="0"/>
                <w:numId w:val="29"/>
              </w:numPr>
              <w:tabs>
                <w:tab w:val="clear" w:pos="1701"/>
                <w:tab w:val="clear" w:pos="2268"/>
                <w:tab w:val="clear" w:pos="2835"/>
                <w:tab w:val="left" w:pos="288"/>
                <w:tab w:val="left" w:pos="576"/>
                <w:tab w:val="left" w:pos="864"/>
                <w:tab w:val="left" w:pos="1152"/>
              </w:tabs>
              <w:spacing w:before="40" w:line="240" w:lineRule="exact"/>
              <w:ind w:left="0" w:right="40" w:firstLine="0"/>
              <w:jc w:val="left"/>
            </w:pPr>
          </w:p>
        </w:tc>
        <w:tc>
          <w:tcPr>
            <w:tcW w:w="7787" w:type="dxa"/>
            <w:tcBorders>
              <w:bottom w:val="single" w:sz="12" w:space="0" w:color="auto"/>
            </w:tcBorders>
            <w:shd w:val="clear" w:color="auto" w:fill="auto"/>
          </w:tcPr>
          <w:p w14:paraId="35EE7714" w14:textId="77777777" w:rsidR="00EA5AB9" w:rsidRPr="00F143E5" w:rsidRDefault="00EA5AB9" w:rsidP="00F143E5">
            <w:pPr>
              <w:pStyle w:val="SingleTxtG"/>
              <w:tabs>
                <w:tab w:val="clear" w:pos="1701"/>
                <w:tab w:val="clear" w:pos="2268"/>
                <w:tab w:val="clear" w:pos="2835"/>
                <w:tab w:val="left" w:pos="288"/>
                <w:tab w:val="left" w:pos="576"/>
                <w:tab w:val="left" w:pos="864"/>
                <w:tab w:val="left" w:pos="1152"/>
              </w:tabs>
              <w:spacing w:before="40" w:line="240" w:lineRule="exact"/>
              <w:ind w:left="0" w:right="40"/>
              <w:jc w:val="left"/>
            </w:pPr>
            <w:r w:rsidRPr="00F143E5">
              <w:t>Promoting digital literacy.</w:t>
            </w:r>
          </w:p>
        </w:tc>
      </w:tr>
    </w:tbl>
    <w:p w14:paraId="78C54671" w14:textId="302B6B27" w:rsidR="00163B36" w:rsidRPr="009B6BDD" w:rsidRDefault="00163B36" w:rsidP="009B6BDD">
      <w:pPr>
        <w:pStyle w:val="SingleTxt"/>
        <w:spacing w:after="0" w:line="120" w:lineRule="exact"/>
        <w:rPr>
          <w:sz w:val="10"/>
        </w:rPr>
      </w:pPr>
    </w:p>
    <w:p w14:paraId="0CBA8E9D" w14:textId="6BFDCF89" w:rsidR="009B6BDD" w:rsidRPr="009B6BDD" w:rsidRDefault="009B6BDD" w:rsidP="009B6BDD">
      <w:pPr>
        <w:pStyle w:val="SingleTxt"/>
        <w:spacing w:after="0" w:line="120" w:lineRule="exact"/>
        <w:rPr>
          <w:sz w:val="10"/>
        </w:rPr>
      </w:pPr>
    </w:p>
    <w:p w14:paraId="44535FE5" w14:textId="736E75FE" w:rsidR="00163B36" w:rsidRDefault="009B6BDD" w:rsidP="00163B36">
      <w:pPr>
        <w:pStyle w:val="SingleTxt"/>
      </w:pPr>
      <w:r>
        <w:t>26.</w:t>
      </w:r>
      <w:r w:rsidR="00163B36" w:rsidRPr="00163B36">
        <w:tab/>
        <w:t xml:space="preserve">The result-oriented targets of the Action Plan </w:t>
      </w:r>
      <w:r>
        <w:t>2021</w:t>
      </w:r>
      <w:r w:rsidR="00EA5AB9">
        <w:t>–</w:t>
      </w:r>
      <w:r>
        <w:t>2030</w:t>
      </w:r>
      <w:r w:rsidR="00163B36" w:rsidRPr="00163B36">
        <w:t xml:space="preserve"> are:</w:t>
      </w:r>
    </w:p>
    <w:p w14:paraId="42221982" w14:textId="6FB18BC7" w:rsidR="00163B36" w:rsidRPr="00163B36" w:rsidRDefault="009B6BDD" w:rsidP="00A41110">
      <w:pPr>
        <w:pStyle w:val="SingleTxt"/>
        <w:tabs>
          <w:tab w:val="right" w:pos="1685"/>
        </w:tabs>
        <w:ind w:left="1742" w:hanging="475"/>
      </w:pPr>
      <w:r>
        <w:tab/>
      </w:r>
      <w:r w:rsidR="00163B36" w:rsidRPr="00163B36">
        <w:t>•</w:t>
      </w:r>
      <w:r w:rsidR="00163B36" w:rsidRPr="00163B36">
        <w:tab/>
        <w:t xml:space="preserve">Providing sufficient capacity for nursery </w:t>
      </w:r>
      <w:proofErr w:type="gramStart"/>
      <w:r w:rsidR="00163B36" w:rsidRPr="00163B36">
        <w:t>care;</w:t>
      </w:r>
      <w:proofErr w:type="gramEnd"/>
    </w:p>
    <w:p w14:paraId="31396545" w14:textId="7810ED45" w:rsidR="00163B36" w:rsidRPr="00163B36" w:rsidRDefault="009B6BDD" w:rsidP="00A41110">
      <w:pPr>
        <w:pStyle w:val="SingleTxt"/>
        <w:tabs>
          <w:tab w:val="right" w:pos="1685"/>
        </w:tabs>
        <w:ind w:left="1742" w:hanging="475"/>
      </w:pPr>
      <w:r>
        <w:tab/>
      </w:r>
      <w:r w:rsidR="00163B36" w:rsidRPr="00163B36">
        <w:t>•</w:t>
      </w:r>
      <w:r w:rsidR="00163B36" w:rsidRPr="00163B36">
        <w:tab/>
        <w:t xml:space="preserve">Increasing the proportion of people working in atypical forms of employment by </w:t>
      </w:r>
      <w:r>
        <w:t>8</w:t>
      </w:r>
      <w:r w:rsidR="00163B36" w:rsidRPr="00163B36">
        <w:t xml:space="preserve"> per </w:t>
      </w:r>
      <w:proofErr w:type="gramStart"/>
      <w:r w:rsidR="00163B36" w:rsidRPr="00163B36">
        <w:t>cent;</w:t>
      </w:r>
      <w:proofErr w:type="gramEnd"/>
    </w:p>
    <w:p w14:paraId="01EEE821" w14:textId="628048E6" w:rsidR="00163B36" w:rsidRPr="00163B36" w:rsidRDefault="009B6BDD" w:rsidP="00A41110">
      <w:pPr>
        <w:pStyle w:val="SingleTxt"/>
        <w:tabs>
          <w:tab w:val="right" w:pos="1685"/>
        </w:tabs>
        <w:ind w:left="1742" w:hanging="475"/>
      </w:pPr>
      <w:r>
        <w:tab/>
      </w:r>
      <w:r w:rsidR="00163B36" w:rsidRPr="00163B36">
        <w:t>•</w:t>
      </w:r>
      <w:r w:rsidR="00163B36" w:rsidRPr="00163B36">
        <w:tab/>
        <w:t xml:space="preserve">Increasing the number of higher education institutions with family-friendly solutions by </w:t>
      </w:r>
      <w:r w:rsidR="00E51695">
        <w:t>10</w:t>
      </w:r>
      <w:r w:rsidR="00163B36" w:rsidRPr="00163B36">
        <w:t xml:space="preserve"> per </w:t>
      </w:r>
      <w:proofErr w:type="gramStart"/>
      <w:r w:rsidR="00163B36" w:rsidRPr="00163B36">
        <w:t>cent;</w:t>
      </w:r>
      <w:proofErr w:type="gramEnd"/>
    </w:p>
    <w:p w14:paraId="0FC67399" w14:textId="02043FD1" w:rsidR="00163B36" w:rsidRDefault="009B6BDD" w:rsidP="00A41110">
      <w:pPr>
        <w:pStyle w:val="SingleTxt"/>
        <w:tabs>
          <w:tab w:val="right" w:pos="1685"/>
        </w:tabs>
        <w:ind w:left="1742" w:hanging="475"/>
      </w:pPr>
      <w:r>
        <w:tab/>
      </w:r>
      <w:r w:rsidR="00163B36" w:rsidRPr="00163B36">
        <w:t>•</w:t>
      </w:r>
      <w:r w:rsidR="00163B36" w:rsidRPr="00163B36">
        <w:tab/>
        <w:t xml:space="preserve">Increasing the number of family-friendly hospital wards by </w:t>
      </w:r>
      <w:r>
        <w:t>10</w:t>
      </w:r>
      <w:r w:rsidR="00163B36" w:rsidRPr="00163B36">
        <w:t xml:space="preserve"> per cent.</w:t>
      </w:r>
    </w:p>
    <w:p w14:paraId="74B1CCB4" w14:textId="0D6E650D" w:rsidR="00163B36" w:rsidRDefault="009B6BDD" w:rsidP="00163B36">
      <w:pPr>
        <w:pStyle w:val="SingleTxt"/>
      </w:pPr>
      <w:r>
        <w:lastRenderedPageBreak/>
        <w:t>27.</w:t>
      </w:r>
      <w:r w:rsidR="00163B36" w:rsidRPr="00163B36">
        <w:tab/>
        <w:t xml:space="preserve">The financial support behind the Action Plan </w:t>
      </w:r>
      <w:r>
        <w:t>2021</w:t>
      </w:r>
      <w:r w:rsidR="00EA5AB9">
        <w:t>–</w:t>
      </w:r>
      <w:r>
        <w:t>2030</w:t>
      </w:r>
      <w:r w:rsidR="00163B36" w:rsidRPr="00163B36">
        <w:t xml:space="preserve"> stems from both domestic and EU resources. The exact budget and the responsible ministries are specified in the implementation plans that are adopted by the Working Group for Action Plan </w:t>
      </w:r>
      <w:r>
        <w:t>2021</w:t>
      </w:r>
      <w:r w:rsidR="00EA5AB9">
        <w:t>–</w:t>
      </w:r>
      <w:r>
        <w:t>2030</w:t>
      </w:r>
      <w:r w:rsidR="00163B36" w:rsidRPr="00163B36">
        <w:t>.</w:t>
      </w:r>
    </w:p>
    <w:p w14:paraId="7CF70F6E" w14:textId="274A63EB" w:rsidR="00163B36" w:rsidRPr="00333A03" w:rsidRDefault="009B6BDD" w:rsidP="00163B36">
      <w:pPr>
        <w:pStyle w:val="SingleTxt"/>
        <w:rPr>
          <w:spacing w:val="3"/>
          <w:w w:val="102"/>
        </w:rPr>
      </w:pPr>
      <w:r w:rsidRPr="00333A03">
        <w:rPr>
          <w:spacing w:val="3"/>
          <w:w w:val="102"/>
        </w:rPr>
        <w:t>28.</w:t>
      </w:r>
      <w:r w:rsidR="00163B36" w:rsidRPr="00333A03">
        <w:rPr>
          <w:spacing w:val="3"/>
          <w:w w:val="102"/>
        </w:rPr>
        <w:tab/>
        <w:t xml:space="preserve">In </w:t>
      </w:r>
      <w:r w:rsidRPr="00333A03">
        <w:rPr>
          <w:spacing w:val="3"/>
          <w:w w:val="102"/>
        </w:rPr>
        <w:t>2020</w:t>
      </w:r>
      <w:r w:rsidR="00163B36" w:rsidRPr="00333A03">
        <w:rPr>
          <w:spacing w:val="3"/>
          <w:w w:val="102"/>
        </w:rPr>
        <w:t xml:space="preserve">, Katalin </w:t>
      </w:r>
      <w:proofErr w:type="spellStart"/>
      <w:r w:rsidR="00163B36" w:rsidRPr="00333A03">
        <w:rPr>
          <w:spacing w:val="3"/>
          <w:w w:val="102"/>
        </w:rPr>
        <w:t>Novák</w:t>
      </w:r>
      <w:proofErr w:type="spellEnd"/>
      <w:r w:rsidR="00163B36" w:rsidRPr="00333A03">
        <w:rPr>
          <w:spacing w:val="3"/>
          <w:w w:val="102"/>
        </w:rPr>
        <w:t xml:space="preserve"> was appointed as Minister without Portfolio for Families, and her tasks include the work towards gender equality and the empowerment of women. To carry out this task, a separate body called Gender Equality Unit handles the gender aspects of legislations or governmental measures of the other ministries (without taking these measures out of the competence of the respective ministries).</w:t>
      </w:r>
    </w:p>
    <w:p w14:paraId="6BD76106" w14:textId="02DF70BC" w:rsidR="00163B36" w:rsidRPr="00163B36" w:rsidRDefault="009B6BDD" w:rsidP="00163B36">
      <w:pPr>
        <w:pStyle w:val="SingleTxt"/>
      </w:pPr>
      <w:r>
        <w:t>29</w:t>
      </w:r>
      <w:r w:rsidR="00333A03">
        <w:t>.</w:t>
      </w:r>
      <w:r w:rsidR="00163B36" w:rsidRPr="00163B36">
        <w:tab/>
        <w:t xml:space="preserve">The Working Group for Action Plan </w:t>
      </w:r>
      <w:r w:rsidR="00B36017">
        <w:t>2021</w:t>
      </w:r>
      <w:r w:rsidR="00EA5AB9">
        <w:t>–</w:t>
      </w:r>
      <w:r w:rsidR="00B36017">
        <w:t>2030</w:t>
      </w:r>
      <w:r w:rsidR="00163B36" w:rsidRPr="00163B36">
        <w:t xml:space="preserve"> (presented in paragraph </w:t>
      </w:r>
      <w:r w:rsidR="00B36017">
        <w:t>20</w:t>
      </w:r>
      <w:r w:rsidR="00163B36" w:rsidRPr="00163B36">
        <w:t xml:space="preserve">), while implementing the Action Plan </w:t>
      </w:r>
      <w:r w:rsidR="00B36017">
        <w:t>2021</w:t>
      </w:r>
      <w:r w:rsidR="00EA5AB9">
        <w:t>–</w:t>
      </w:r>
      <w:r w:rsidR="00B36017">
        <w:t>2030</w:t>
      </w:r>
      <w:r w:rsidR="00163B36" w:rsidRPr="00163B36">
        <w:t>, also coordinates between ministries on gender equality issues.</w:t>
      </w:r>
    </w:p>
    <w:p w14:paraId="0A41CFCE" w14:textId="50F49B16" w:rsidR="00163B36" w:rsidRDefault="009B6BDD" w:rsidP="00163B36">
      <w:pPr>
        <w:pStyle w:val="SingleTxt"/>
      </w:pPr>
      <w:r>
        <w:t>30</w:t>
      </w:r>
      <w:r w:rsidR="00333A03">
        <w:t>.</w:t>
      </w:r>
      <w:r w:rsidR="00163B36" w:rsidRPr="00163B36">
        <w:tab/>
        <w:t xml:space="preserve">Action Plan </w:t>
      </w:r>
      <w:r w:rsidR="00B36017">
        <w:t>2021</w:t>
      </w:r>
      <w:r w:rsidR="00EA5AB9">
        <w:t>–</w:t>
      </w:r>
      <w:r w:rsidR="00B36017">
        <w:t>2030</w:t>
      </w:r>
      <w:r w:rsidR="00163B36" w:rsidRPr="00163B36">
        <w:t xml:space="preserve"> explicitly sets out strategic measures for the systematic training of public servants on women</w:t>
      </w:r>
      <w:r w:rsidR="00024758">
        <w:t>’</w:t>
      </w:r>
      <w:r w:rsidR="00163B36" w:rsidRPr="00163B36">
        <w:t xml:space="preserve">s rights and gender equality (see paragraph </w:t>
      </w:r>
      <w:proofErr w:type="spellStart"/>
      <w:r w:rsidR="00B36017">
        <w:t>25</w:t>
      </w:r>
      <w:r w:rsidR="00163B36" w:rsidRPr="00163B36">
        <w:t>.</w:t>
      </w:r>
      <w:r w:rsidR="00B36017">
        <w:t>2</w:t>
      </w:r>
      <w:r w:rsidR="00163B36" w:rsidRPr="00163B36">
        <w:t>.f</w:t>
      </w:r>
      <w:proofErr w:type="spellEnd"/>
      <w:r w:rsidR="00163B36" w:rsidRPr="00163B36">
        <w:t>) above).</w:t>
      </w:r>
    </w:p>
    <w:p w14:paraId="430B9D7B" w14:textId="77777777" w:rsidR="009B6BDD" w:rsidRPr="009B6BDD" w:rsidRDefault="009B6BDD" w:rsidP="009B6BDD">
      <w:pPr>
        <w:pStyle w:val="SingleTxt"/>
        <w:spacing w:after="0" w:line="120" w:lineRule="exact"/>
        <w:rPr>
          <w:sz w:val="10"/>
        </w:rPr>
      </w:pPr>
    </w:p>
    <w:p w14:paraId="71C86F48" w14:textId="77777777" w:rsidR="009B6BDD" w:rsidRPr="009B6BDD" w:rsidRDefault="009B6BDD" w:rsidP="009B6BDD">
      <w:pPr>
        <w:pStyle w:val="SingleTxt"/>
        <w:spacing w:after="0" w:line="120" w:lineRule="exact"/>
        <w:rPr>
          <w:sz w:val="10"/>
        </w:rPr>
      </w:pPr>
    </w:p>
    <w:p w14:paraId="0D7A12F9" w14:textId="1BF1A4F4" w:rsidR="00163B36" w:rsidRPr="00163B36" w:rsidRDefault="00163B36" w:rsidP="009B6BDD">
      <w:pPr>
        <w:pStyle w:val="H1"/>
        <w:ind w:right="1260"/>
      </w:pPr>
      <w:r w:rsidRPr="00163B36">
        <w:tab/>
      </w:r>
      <w:r w:rsidRPr="00163B36">
        <w:tab/>
        <w:t>Women human rights defenders, civil society and non</w:t>
      </w:r>
      <w:r w:rsidR="00B36017">
        <w:noBreakHyphen/>
      </w:r>
      <w:r w:rsidRPr="00163B36">
        <w:t>governmental organizations</w:t>
      </w:r>
    </w:p>
    <w:p w14:paraId="1D26D77F" w14:textId="77777777" w:rsidR="009B6BDD" w:rsidRPr="009B6BDD" w:rsidRDefault="009B6BDD" w:rsidP="009B6BDD">
      <w:pPr>
        <w:pStyle w:val="SingleTxt"/>
        <w:spacing w:after="0" w:line="120" w:lineRule="exact"/>
        <w:rPr>
          <w:sz w:val="10"/>
        </w:rPr>
      </w:pPr>
    </w:p>
    <w:p w14:paraId="2858CC29" w14:textId="77777777" w:rsidR="009B6BDD" w:rsidRPr="009B6BDD" w:rsidRDefault="009B6BDD" w:rsidP="009B6BDD">
      <w:pPr>
        <w:pStyle w:val="SingleTxt"/>
        <w:spacing w:after="0" w:line="120" w:lineRule="exact"/>
        <w:rPr>
          <w:sz w:val="10"/>
        </w:rPr>
      </w:pPr>
    </w:p>
    <w:p w14:paraId="1F36A457" w14:textId="52EE7D13" w:rsidR="00163B36" w:rsidRPr="00163B36" w:rsidRDefault="009B6BDD" w:rsidP="00163B36">
      <w:pPr>
        <w:pStyle w:val="SingleTxt"/>
      </w:pPr>
      <w:r>
        <w:t>31</w:t>
      </w:r>
      <w:r w:rsidR="00333A03">
        <w:t>.</w:t>
      </w:r>
      <w:r w:rsidR="00163B36" w:rsidRPr="00163B36">
        <w:tab/>
        <w:t xml:space="preserve">In its decision of </w:t>
      </w:r>
      <w:r>
        <w:t>2012</w:t>
      </w:r>
      <w:r w:rsidR="00163B36" w:rsidRPr="00163B36">
        <w:t xml:space="preserve">, the Government established the Human Rights Working Group with the main purpose of monitoring the implementation of human rights in Hungary, conducting consultations with civil society organisations, representative </w:t>
      </w:r>
      <w:proofErr w:type="gramStart"/>
      <w:r w:rsidR="00163B36" w:rsidRPr="00163B36">
        <w:t>associations</w:t>
      </w:r>
      <w:proofErr w:type="gramEnd"/>
      <w:r w:rsidR="00163B36" w:rsidRPr="00163B36">
        <w:t xml:space="preserve"> and other professional and constitutional bodies, and promoting professional communication on the implementation of human rights in Hungary.</w:t>
      </w:r>
    </w:p>
    <w:p w14:paraId="0E4B54D5" w14:textId="224129D4" w:rsidR="00163B36" w:rsidRPr="00163B36" w:rsidRDefault="009B6BDD" w:rsidP="00163B36">
      <w:pPr>
        <w:pStyle w:val="SingleTxt"/>
      </w:pPr>
      <w:r>
        <w:t>32</w:t>
      </w:r>
      <w:r w:rsidR="00333A03">
        <w:t>.</w:t>
      </w:r>
      <w:r w:rsidR="00163B36" w:rsidRPr="00163B36">
        <w:tab/>
        <w:t xml:space="preserve">The Working Group established the Human Rights Roundtable in </w:t>
      </w:r>
      <w:r>
        <w:t>2012</w:t>
      </w:r>
      <w:r w:rsidR="00163B36" w:rsidRPr="00163B36">
        <w:t xml:space="preserve">, which currently operates with </w:t>
      </w:r>
      <w:r>
        <w:t>72</w:t>
      </w:r>
      <w:r w:rsidR="00163B36" w:rsidRPr="00163B36">
        <w:t xml:space="preserve"> civil organisation members. Further, </w:t>
      </w:r>
      <w:r>
        <w:t>40</w:t>
      </w:r>
      <w:r w:rsidR="00163B36" w:rsidRPr="00163B36">
        <w:t xml:space="preserve"> organisations take part in the activities of the thematic working groups based on invitation. The Roundtable holds its meetings in </w:t>
      </w:r>
      <w:r>
        <w:t>11</w:t>
      </w:r>
      <w:r w:rsidR="00163B36" w:rsidRPr="00163B36">
        <w:t xml:space="preserve"> thematic working groups; each of them is intended to deal separately with legal and practical problems of and sectoral political proposals for vulnerable groups of society. The Thematic Working Group Responsible for Women</w:t>
      </w:r>
      <w:r w:rsidR="00024758">
        <w:t>’</w:t>
      </w:r>
      <w:r w:rsidR="00163B36" w:rsidRPr="00163B36">
        <w:t>s Rights aims to monitor the enforcement of women</w:t>
      </w:r>
      <w:r w:rsidR="00024758">
        <w:t>’</w:t>
      </w:r>
      <w:r w:rsidR="00163B36" w:rsidRPr="00163B36">
        <w:t xml:space="preserve">s fundamental human rights in Hungary, particularly in the field of employment, education, health care and partnership. This working group invites various participants of the civil society: </w:t>
      </w:r>
      <w:r>
        <w:t>26</w:t>
      </w:r>
      <w:r w:rsidR="00163B36" w:rsidRPr="00163B36">
        <w:t xml:space="preserve"> civil society organisations are </w:t>
      </w:r>
      <w:proofErr w:type="gramStart"/>
      <w:r w:rsidR="00163B36" w:rsidRPr="00163B36">
        <w:t>members</w:t>
      </w:r>
      <w:proofErr w:type="gramEnd"/>
      <w:r w:rsidR="00163B36" w:rsidRPr="00163B36">
        <w:t xml:space="preserve"> and an additional </w:t>
      </w:r>
      <w:r>
        <w:t>10</w:t>
      </w:r>
      <w:r w:rsidR="00163B36" w:rsidRPr="00163B36">
        <w:t xml:space="preserve"> organisations participate with consultative status in the work of the Thematic Working Group.</w:t>
      </w:r>
    </w:p>
    <w:p w14:paraId="7B021DD5" w14:textId="7C05AEBC" w:rsidR="00163B36" w:rsidRPr="00163B36" w:rsidRDefault="009B6BDD" w:rsidP="00163B36">
      <w:pPr>
        <w:pStyle w:val="SingleTxt"/>
      </w:pPr>
      <w:r>
        <w:t>33</w:t>
      </w:r>
      <w:r w:rsidR="00333A03">
        <w:t>.</w:t>
      </w:r>
      <w:r w:rsidR="00163B36" w:rsidRPr="00163B36">
        <w:tab/>
        <w:t>In accordance with the judgment of the Court of Justice of the European Union in Case C-</w:t>
      </w:r>
      <w:r>
        <w:t>78</w:t>
      </w:r>
      <w:hyperlink r:id="rId18" w:history="1">
        <w:r w:rsidR="00163B36" w:rsidRPr="00EA5AB9">
          <w:rPr>
            <w:rStyle w:val="Hyperlink"/>
          </w:rPr>
          <w:t>/</w:t>
        </w:r>
      </w:hyperlink>
      <w:r>
        <w:t>18</w:t>
      </w:r>
      <w:r w:rsidR="00163B36" w:rsidRPr="00163B36">
        <w:t xml:space="preserve"> Commission v Hungary, Act on the Transparency of Organisations Receiving Funding From Abroad was repealed by Act XLIX of </w:t>
      </w:r>
      <w:r w:rsidR="00BD20AE">
        <w:t>2021</w:t>
      </w:r>
      <w:r w:rsidR="00163B36" w:rsidRPr="00163B36">
        <w:t xml:space="preserve"> on the transparency of civil organisations carrying out activities that are able to influence public life. Pursuant to the new law, every civil association and foundation having a yearly balance sheet total exceeding HUF </w:t>
      </w:r>
      <w:r w:rsidR="00AE7569">
        <w:t>20</w:t>
      </w:r>
      <w:r w:rsidR="00163B36" w:rsidRPr="00163B36">
        <w:t xml:space="preserve"> million (approx. USD </w:t>
      </w:r>
      <w:r w:rsidR="00BD20AE">
        <w:t>68</w:t>
      </w:r>
      <w:r w:rsidR="00163B36" w:rsidRPr="00163B36">
        <w:t>,</w:t>
      </w:r>
      <w:r w:rsidR="00BD20AE">
        <w:t>027</w:t>
      </w:r>
      <w:r w:rsidR="00163B36" w:rsidRPr="00163B36">
        <w:t>) is controlled by the State Audit Office.</w:t>
      </w:r>
    </w:p>
    <w:p w14:paraId="7B96F6AD" w14:textId="77777777" w:rsidR="00BD20AE" w:rsidRPr="00BD20AE" w:rsidRDefault="00BD20AE" w:rsidP="00BD20AE">
      <w:pPr>
        <w:pStyle w:val="SingleTxt"/>
        <w:spacing w:after="0" w:line="120" w:lineRule="exact"/>
        <w:rPr>
          <w:sz w:val="10"/>
        </w:rPr>
      </w:pPr>
    </w:p>
    <w:p w14:paraId="462CE767" w14:textId="77777777" w:rsidR="00BD20AE" w:rsidRPr="00BD20AE" w:rsidRDefault="00BD20AE" w:rsidP="00BD20AE">
      <w:pPr>
        <w:pStyle w:val="SingleTxt"/>
        <w:spacing w:after="0" w:line="120" w:lineRule="exact"/>
        <w:rPr>
          <w:sz w:val="10"/>
        </w:rPr>
      </w:pPr>
    </w:p>
    <w:p w14:paraId="1B3F65E6" w14:textId="698248BA" w:rsidR="00163B36" w:rsidRPr="00163B36" w:rsidRDefault="00163B36" w:rsidP="00BD20AE">
      <w:pPr>
        <w:pStyle w:val="H1"/>
        <w:ind w:right="1260"/>
      </w:pPr>
      <w:r w:rsidRPr="00163B36">
        <w:tab/>
      </w:r>
      <w:r w:rsidRPr="00163B36">
        <w:tab/>
        <w:t>Temporary special measures</w:t>
      </w:r>
    </w:p>
    <w:p w14:paraId="41D42492" w14:textId="77777777" w:rsidR="00BD20AE" w:rsidRPr="00BD20AE" w:rsidRDefault="00BD20AE" w:rsidP="00BD20AE">
      <w:pPr>
        <w:pStyle w:val="SingleTxt"/>
        <w:spacing w:after="0" w:line="120" w:lineRule="exact"/>
        <w:rPr>
          <w:sz w:val="10"/>
        </w:rPr>
      </w:pPr>
    </w:p>
    <w:p w14:paraId="458CE1F1" w14:textId="77777777" w:rsidR="00BD20AE" w:rsidRPr="00BD20AE" w:rsidRDefault="00BD20AE" w:rsidP="00BD20AE">
      <w:pPr>
        <w:pStyle w:val="SingleTxt"/>
        <w:spacing w:after="0" w:line="120" w:lineRule="exact"/>
        <w:rPr>
          <w:sz w:val="10"/>
        </w:rPr>
      </w:pPr>
    </w:p>
    <w:p w14:paraId="056807A1" w14:textId="30E65E80" w:rsidR="00163B36" w:rsidRDefault="00BD20AE" w:rsidP="00163B36">
      <w:pPr>
        <w:pStyle w:val="SingleTxt"/>
      </w:pPr>
      <w:r>
        <w:t>34</w:t>
      </w:r>
      <w:r w:rsidR="00333A03">
        <w:t>.</w:t>
      </w:r>
      <w:r w:rsidR="00163B36" w:rsidRPr="00163B36">
        <w:tab/>
        <w:t>It is the Women</w:t>
      </w:r>
      <w:r w:rsidR="00024758">
        <w:t>’</w:t>
      </w:r>
      <w:r w:rsidR="00163B36" w:rsidRPr="00163B36">
        <w:t>s Public Leadership Training Program</w:t>
      </w:r>
      <w:r>
        <w:rPr>
          <w:rStyle w:val="FootnoteReference"/>
        </w:rPr>
        <w:footnoteReference w:id="3"/>
      </w:r>
      <w:r w:rsidR="00163B36">
        <w:t xml:space="preserve"> </w:t>
      </w:r>
      <w:r w:rsidR="00163B36" w:rsidRPr="00163B36">
        <w:t xml:space="preserve">that serves as a temporary special measure for the motivation and education of women to take part in political and public decision-making. The free training program is organised by a private educational institution, and it targets women aged </w:t>
      </w:r>
      <w:r>
        <w:t>18–36</w:t>
      </w:r>
      <w:r w:rsidR="00163B36" w:rsidRPr="00163B36">
        <w:t xml:space="preserve"> who speak English </w:t>
      </w:r>
      <w:r w:rsidR="00163B36" w:rsidRPr="00163B36">
        <w:lastRenderedPageBreak/>
        <w:t xml:space="preserve">and Hungarian (irrespective of their educational background). The trainers come from both the public and the private sector. The Government of Hungary supports the training program with HUF </w:t>
      </w:r>
      <w:r>
        <w:t>20</w:t>
      </w:r>
      <w:r w:rsidR="00163B36" w:rsidRPr="00163B36">
        <w:t xml:space="preserve"> million (USD </w:t>
      </w:r>
      <w:r>
        <w:t>70</w:t>
      </w:r>
      <w:r w:rsidR="00163B36" w:rsidRPr="00163B36">
        <w:t>,</w:t>
      </w:r>
      <w:r>
        <w:t>282</w:t>
      </w:r>
      <w:r w:rsidR="00163B36" w:rsidRPr="00163B36">
        <w:t>) per year.</w:t>
      </w:r>
    </w:p>
    <w:p w14:paraId="4A2F3C00" w14:textId="77777777" w:rsidR="00BD20AE" w:rsidRPr="00BD20AE" w:rsidRDefault="00BD20AE" w:rsidP="00BD20AE">
      <w:pPr>
        <w:pStyle w:val="SingleTxt"/>
        <w:spacing w:after="0" w:line="120" w:lineRule="exact"/>
        <w:rPr>
          <w:sz w:val="10"/>
        </w:rPr>
      </w:pPr>
    </w:p>
    <w:p w14:paraId="3AA94CAE" w14:textId="77777777" w:rsidR="00BD20AE" w:rsidRPr="00BD20AE" w:rsidRDefault="00BD20AE" w:rsidP="00BD20AE">
      <w:pPr>
        <w:pStyle w:val="SingleTxt"/>
        <w:spacing w:after="0" w:line="120" w:lineRule="exact"/>
        <w:rPr>
          <w:sz w:val="10"/>
        </w:rPr>
      </w:pPr>
    </w:p>
    <w:p w14:paraId="09FDE42B" w14:textId="111DAE02" w:rsidR="00163B36" w:rsidRPr="00163B36" w:rsidRDefault="00163B36" w:rsidP="00BD20AE">
      <w:pPr>
        <w:pStyle w:val="H1"/>
        <w:ind w:right="1260"/>
      </w:pPr>
      <w:r w:rsidRPr="00163B36">
        <w:tab/>
      </w:r>
      <w:r w:rsidRPr="00163B36">
        <w:tab/>
        <w:t>Discriminatory stereotypes</w:t>
      </w:r>
    </w:p>
    <w:p w14:paraId="010496E8" w14:textId="77777777" w:rsidR="00BD20AE" w:rsidRPr="00BD20AE" w:rsidRDefault="00BD20AE" w:rsidP="00BD20AE">
      <w:pPr>
        <w:pStyle w:val="SingleTxt"/>
        <w:spacing w:after="0" w:line="120" w:lineRule="exact"/>
        <w:rPr>
          <w:sz w:val="10"/>
        </w:rPr>
      </w:pPr>
    </w:p>
    <w:p w14:paraId="1E44DDDA" w14:textId="77777777" w:rsidR="00BD20AE" w:rsidRPr="00BD20AE" w:rsidRDefault="00BD20AE" w:rsidP="00BD20AE">
      <w:pPr>
        <w:pStyle w:val="SingleTxt"/>
        <w:spacing w:after="0" w:line="120" w:lineRule="exact"/>
        <w:rPr>
          <w:sz w:val="10"/>
        </w:rPr>
      </w:pPr>
    </w:p>
    <w:p w14:paraId="311979CC" w14:textId="684C68EE" w:rsidR="00163B36" w:rsidRDefault="00BD20AE" w:rsidP="00163B36">
      <w:pPr>
        <w:pStyle w:val="SingleTxt"/>
      </w:pPr>
      <w:r>
        <w:t>35.</w:t>
      </w:r>
      <w:r w:rsidR="00163B36" w:rsidRPr="00163B36">
        <w:tab/>
        <w:t xml:space="preserve">As detailed in paragraph </w:t>
      </w:r>
      <w:r>
        <w:t>25</w:t>
      </w:r>
      <w:r w:rsidR="00163B36" w:rsidRPr="00163B36">
        <w:t xml:space="preserve">, Action Plan </w:t>
      </w:r>
      <w:r>
        <w:t>2021</w:t>
      </w:r>
      <w:r w:rsidR="00EA5AB9">
        <w:t>–</w:t>
      </w:r>
      <w:r>
        <w:t>2030</w:t>
      </w:r>
      <w:r w:rsidR="00163B36" w:rsidRPr="00163B36">
        <w:t xml:space="preserve"> includes crucial measures for awareness-raising in education with regards to the role of women and men.</w:t>
      </w:r>
    </w:p>
    <w:p w14:paraId="09C485C8" w14:textId="6DC32309" w:rsidR="00163B36" w:rsidRDefault="00BD20AE" w:rsidP="00163B36">
      <w:pPr>
        <w:pStyle w:val="SingleTxt"/>
      </w:pPr>
      <w:r>
        <w:t>36.</w:t>
      </w:r>
      <w:r w:rsidR="00163B36" w:rsidRPr="00163B36">
        <w:tab/>
        <w:t xml:space="preserve">The revision of the National Core Curriculum (the </w:t>
      </w:r>
      <w:proofErr w:type="spellStart"/>
      <w:r w:rsidR="00163B36" w:rsidRPr="00163B36">
        <w:t>NCC</w:t>
      </w:r>
      <w:proofErr w:type="spellEnd"/>
      <w:r w:rsidR="00163B36" w:rsidRPr="00163B36">
        <w:t>)</w:t>
      </w:r>
      <w:r>
        <w:rPr>
          <w:rStyle w:val="FootnoteReference"/>
        </w:rPr>
        <w:footnoteReference w:id="4"/>
      </w:r>
      <w:r w:rsidR="00163B36">
        <w:t xml:space="preserve"> </w:t>
      </w:r>
      <w:r w:rsidR="00163B36" w:rsidRPr="00163B36">
        <w:t xml:space="preserve">was introduced in a yearly phasing-in schedule starting in September </w:t>
      </w:r>
      <w:r>
        <w:t>2020</w:t>
      </w:r>
      <w:r w:rsidR="00163B36" w:rsidRPr="00163B36">
        <w:t xml:space="preserve">. It prescribes the full respect for human rights throughout the whole education cycle, including the respect for equality, </w:t>
      </w:r>
      <w:proofErr w:type="gramStart"/>
      <w:r w:rsidR="00163B36" w:rsidRPr="00163B36">
        <w:t>democracy</w:t>
      </w:r>
      <w:proofErr w:type="gramEnd"/>
      <w:r w:rsidR="00163B36" w:rsidRPr="00163B36">
        <w:t xml:space="preserve"> and religious diversity as well as the knowledge of basic concepts concerning gender equality and anti-discrimination.</w:t>
      </w:r>
    </w:p>
    <w:p w14:paraId="4B69D518" w14:textId="2921B2C1" w:rsidR="00163B36" w:rsidRDefault="00BD20AE" w:rsidP="00163B36">
      <w:pPr>
        <w:pStyle w:val="SingleTxt"/>
      </w:pPr>
      <w:r>
        <w:t>37</w:t>
      </w:r>
      <w:r w:rsidR="00163B36" w:rsidRPr="00163B36">
        <w:t>.</w:t>
      </w:r>
      <w:r w:rsidR="00163B36" w:rsidRPr="00163B36">
        <w:tab/>
        <w:t xml:space="preserve">The </w:t>
      </w:r>
      <w:proofErr w:type="spellStart"/>
      <w:r w:rsidR="00163B36" w:rsidRPr="00163B36">
        <w:t>NCC</w:t>
      </w:r>
      <w:proofErr w:type="spellEnd"/>
      <w:r w:rsidR="00163B36" w:rsidRPr="00163B36">
        <w:t xml:space="preserve"> lists the twelve most important development areas that include </w:t>
      </w:r>
      <w:r w:rsidR="00024758">
        <w:t>‘</w:t>
      </w:r>
      <w:r w:rsidR="00163B36" w:rsidRPr="00BD20AE">
        <w:rPr>
          <w:i/>
          <w:iCs/>
        </w:rPr>
        <w:t>Education for citizenship and democracy</w:t>
      </w:r>
      <w:r w:rsidR="00024758">
        <w:t>’</w:t>
      </w:r>
      <w:r w:rsidR="00163B36" w:rsidRPr="00163B36">
        <w:t xml:space="preserve">, </w:t>
      </w:r>
      <w:r w:rsidR="00024758">
        <w:t>‘</w:t>
      </w:r>
      <w:r w:rsidR="00163B36" w:rsidRPr="00BD20AE">
        <w:rPr>
          <w:i/>
          <w:iCs/>
        </w:rPr>
        <w:t>Education for sustainability and environment consciousness</w:t>
      </w:r>
      <w:r w:rsidR="00024758">
        <w:t>’</w:t>
      </w:r>
      <w:r w:rsidR="00163B36" w:rsidRPr="00163B36">
        <w:t xml:space="preserve"> and </w:t>
      </w:r>
      <w:r w:rsidR="00024758">
        <w:t>‘</w:t>
      </w:r>
      <w:r w:rsidR="00163B36" w:rsidRPr="00BD20AE">
        <w:rPr>
          <w:i/>
          <w:iCs/>
        </w:rPr>
        <w:t>Education for Family Life</w:t>
      </w:r>
      <w:r w:rsidR="00024758">
        <w:t>’</w:t>
      </w:r>
      <w:r w:rsidR="00163B36" w:rsidRPr="00163B36">
        <w:t>. The educational goals must be embedded in each school subject.</w:t>
      </w:r>
    </w:p>
    <w:p w14:paraId="3DAA9F6E" w14:textId="5BB9CF2E" w:rsidR="00163B36" w:rsidRPr="00163B36" w:rsidRDefault="00BD20AE" w:rsidP="00163B36">
      <w:pPr>
        <w:pStyle w:val="SingleTxt"/>
      </w:pPr>
      <w:r>
        <w:t>38</w:t>
      </w:r>
      <w:r w:rsidR="00163B36" w:rsidRPr="00163B36">
        <w:t>.</w:t>
      </w:r>
      <w:r w:rsidR="00163B36" w:rsidRPr="00163B36">
        <w:tab/>
        <w:t xml:space="preserve">School subjects like </w:t>
      </w:r>
      <w:r w:rsidR="00163B36" w:rsidRPr="00BD20AE">
        <w:rPr>
          <w:i/>
          <w:iCs/>
        </w:rPr>
        <w:t>History</w:t>
      </w:r>
      <w:r w:rsidR="00163B36" w:rsidRPr="00163B36">
        <w:t xml:space="preserve"> and </w:t>
      </w:r>
      <w:r w:rsidR="00163B36" w:rsidRPr="00BD20AE">
        <w:rPr>
          <w:i/>
          <w:iCs/>
        </w:rPr>
        <w:t>Civic Studies</w:t>
      </w:r>
      <w:r w:rsidR="00163B36" w:rsidRPr="00163B36">
        <w:t xml:space="preserve"> are special in respect of </w:t>
      </w:r>
      <w:proofErr w:type="spellStart"/>
      <w:r w:rsidR="00163B36" w:rsidRPr="00163B36">
        <w:t>GCED</w:t>
      </w:r>
      <w:proofErr w:type="spellEnd"/>
      <w:r>
        <w:rPr>
          <w:rStyle w:val="FootnoteReference"/>
        </w:rPr>
        <w:footnoteReference w:id="5"/>
      </w:r>
      <w:r w:rsidR="00163B36">
        <w:t xml:space="preserve"> </w:t>
      </w:r>
      <w:r w:rsidR="00163B36" w:rsidRPr="00163B36">
        <w:t xml:space="preserve">as they provide the best channels for creating democratic commitment. Gender equality is among the so-called </w:t>
      </w:r>
      <w:r w:rsidR="00024758">
        <w:t>‘</w:t>
      </w:r>
      <w:r w:rsidR="00163B36" w:rsidRPr="00163B36">
        <w:t>comprehensive</w:t>
      </w:r>
      <w:r w:rsidR="00024758">
        <w:t>’</w:t>
      </w:r>
      <w:r w:rsidR="00163B36" w:rsidRPr="00163B36">
        <w:t xml:space="preserve"> topics in </w:t>
      </w:r>
      <w:r w:rsidR="00163B36" w:rsidRPr="00BD20AE">
        <w:rPr>
          <w:i/>
          <w:iCs/>
        </w:rPr>
        <w:t>History</w:t>
      </w:r>
      <w:r w:rsidR="00163B36" w:rsidRPr="00163B36">
        <w:t>, which means that the issues concerning men</w:t>
      </w:r>
      <w:r w:rsidR="00024758">
        <w:t>’</w:t>
      </w:r>
      <w:r w:rsidR="00163B36" w:rsidRPr="00163B36">
        <w:t>s and women</w:t>
      </w:r>
      <w:r w:rsidR="00024758">
        <w:t>’</w:t>
      </w:r>
      <w:r w:rsidR="00163B36" w:rsidRPr="00163B36">
        <w:t>s lifestyles, social status, and emancipation are to be tackled in a recurring way during the whole teaching-learning process.</w:t>
      </w:r>
    </w:p>
    <w:p w14:paraId="55B313DB" w14:textId="6F900913" w:rsidR="00163B36" w:rsidRPr="00163B36" w:rsidRDefault="00BD20AE" w:rsidP="00163B36">
      <w:pPr>
        <w:pStyle w:val="SingleTxt"/>
      </w:pPr>
      <w:r>
        <w:t>39</w:t>
      </w:r>
      <w:r w:rsidR="00163B36" w:rsidRPr="00163B36">
        <w:t>.</w:t>
      </w:r>
      <w:r w:rsidR="00163B36" w:rsidRPr="00163B36">
        <w:tab/>
        <w:t xml:space="preserve">The preparation for family life helps children and adolescents to form responsible relationships, to manage conflicts arising in their current and future families and to deepen their understanding about gender equality. The </w:t>
      </w:r>
      <w:proofErr w:type="spellStart"/>
      <w:r w:rsidR="00163B36" w:rsidRPr="00163B36">
        <w:t>NCC</w:t>
      </w:r>
      <w:proofErr w:type="spellEnd"/>
      <w:r w:rsidR="00163B36" w:rsidRPr="00163B36">
        <w:t xml:space="preserve"> allows that </w:t>
      </w:r>
      <w:r w:rsidR="00024758">
        <w:t>‘</w:t>
      </w:r>
      <w:r w:rsidR="00163B36" w:rsidRPr="00163B36">
        <w:t>Education for Family Life</w:t>
      </w:r>
      <w:r w:rsidR="00024758">
        <w:t>’</w:t>
      </w:r>
      <w:r w:rsidR="00163B36" w:rsidRPr="00163B36">
        <w:t xml:space="preserve"> is taught as a separate subject.</w:t>
      </w:r>
    </w:p>
    <w:p w14:paraId="22B1BA06" w14:textId="7969F06F" w:rsidR="00163B36" w:rsidRDefault="00BD20AE" w:rsidP="00163B36">
      <w:pPr>
        <w:pStyle w:val="SingleTxt"/>
      </w:pPr>
      <w:r>
        <w:t>40</w:t>
      </w:r>
      <w:r w:rsidR="00163B36" w:rsidRPr="00163B36">
        <w:t>.</w:t>
      </w:r>
      <w:r w:rsidR="00163B36" w:rsidRPr="00163B36">
        <w:tab/>
        <w:t xml:space="preserve">Education for Family Life is elaborated according to the maturity and mental development of students in the various age groups (grades </w:t>
      </w:r>
      <w:r w:rsidR="00605A99">
        <w:t>1–4</w:t>
      </w:r>
      <w:r w:rsidR="00163B36" w:rsidRPr="00163B36">
        <w:t xml:space="preserve">, </w:t>
      </w:r>
      <w:r w:rsidR="00605A99">
        <w:t>5</w:t>
      </w:r>
      <w:r w:rsidR="009F527F">
        <w:t>–</w:t>
      </w:r>
      <w:r w:rsidR="00605A99">
        <w:t>8</w:t>
      </w:r>
      <w:r w:rsidR="00163B36" w:rsidRPr="00163B36">
        <w:t xml:space="preserve">, </w:t>
      </w:r>
      <w:r w:rsidR="00605A99">
        <w:t>9–12</w:t>
      </w:r>
      <w:r w:rsidR="00163B36" w:rsidRPr="00163B36">
        <w:t xml:space="preserve">.). The curriculum deals with the identity of women and men, the basic differences between them (sex characteristics, brain activity, communication), and the role of women and men in a relationship and as a mother or father. The curriculum supports the positive experience of biological, mental, and behavioural changes in adolescence, dismantles negative stereotypes, and presents different forms of male-female relationships. The course also touches upon the issues of social relations, communication, conflict management, self-knowledge, emotional </w:t>
      </w:r>
      <w:proofErr w:type="gramStart"/>
      <w:r w:rsidR="00163B36" w:rsidRPr="00163B36">
        <w:t>intelligence</w:t>
      </w:r>
      <w:proofErr w:type="gramEnd"/>
      <w:r w:rsidR="00163B36" w:rsidRPr="00163B36">
        <w:t xml:space="preserve"> and resilience. In terms of methodology, the course uses tools related to non-formal learning, involving experimental learning and interactive methods.</w:t>
      </w:r>
    </w:p>
    <w:p w14:paraId="69F8A22B" w14:textId="77777777" w:rsidR="00605A99" w:rsidRPr="00605A99" w:rsidRDefault="00605A99" w:rsidP="00605A99">
      <w:pPr>
        <w:pStyle w:val="SingleTxt"/>
        <w:spacing w:after="0" w:line="120" w:lineRule="exact"/>
        <w:rPr>
          <w:sz w:val="10"/>
        </w:rPr>
      </w:pPr>
    </w:p>
    <w:p w14:paraId="73558C08" w14:textId="77777777" w:rsidR="00605A99" w:rsidRPr="00605A99" w:rsidRDefault="00605A99" w:rsidP="00605A99">
      <w:pPr>
        <w:pStyle w:val="SingleTxt"/>
        <w:spacing w:after="0" w:line="120" w:lineRule="exact"/>
        <w:rPr>
          <w:sz w:val="10"/>
        </w:rPr>
      </w:pPr>
    </w:p>
    <w:p w14:paraId="6C8E120B" w14:textId="02723B32" w:rsidR="00163B36" w:rsidRPr="00163B36" w:rsidRDefault="00163B36" w:rsidP="00605A99">
      <w:pPr>
        <w:pStyle w:val="H1"/>
        <w:ind w:right="1260"/>
      </w:pPr>
      <w:r w:rsidRPr="00163B36">
        <w:tab/>
      </w:r>
      <w:r w:rsidRPr="00163B36">
        <w:tab/>
        <w:t>Gender-based violence against women</w:t>
      </w:r>
    </w:p>
    <w:p w14:paraId="346118B6" w14:textId="77777777" w:rsidR="00605A99" w:rsidRPr="00605A99" w:rsidRDefault="00605A99" w:rsidP="00605A99">
      <w:pPr>
        <w:pStyle w:val="SingleTxt"/>
        <w:spacing w:after="0" w:line="120" w:lineRule="exact"/>
        <w:rPr>
          <w:sz w:val="10"/>
        </w:rPr>
      </w:pPr>
    </w:p>
    <w:p w14:paraId="2308128D" w14:textId="77777777" w:rsidR="00605A99" w:rsidRPr="00605A99" w:rsidRDefault="00605A99" w:rsidP="00605A99">
      <w:pPr>
        <w:pStyle w:val="SingleTxt"/>
        <w:spacing w:after="0" w:line="120" w:lineRule="exact"/>
        <w:rPr>
          <w:sz w:val="10"/>
        </w:rPr>
      </w:pPr>
    </w:p>
    <w:p w14:paraId="21573239" w14:textId="0BFDCF58" w:rsidR="00163B36" w:rsidRPr="00163B36" w:rsidRDefault="00163B36" w:rsidP="00605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3B36">
        <w:tab/>
      </w:r>
      <w:r w:rsidRPr="00163B36">
        <w:tab/>
      </w:r>
      <w:proofErr w:type="spellStart"/>
      <w:r w:rsidRPr="00163B36">
        <w:t>Criminalisation</w:t>
      </w:r>
      <w:proofErr w:type="spellEnd"/>
      <w:r w:rsidRPr="00163B36">
        <w:t xml:space="preserve"> of stalking</w:t>
      </w:r>
    </w:p>
    <w:p w14:paraId="6280D411" w14:textId="77777777" w:rsidR="00605A99" w:rsidRPr="00605A99" w:rsidRDefault="00605A99" w:rsidP="00605A99">
      <w:pPr>
        <w:pStyle w:val="SingleTxt"/>
        <w:spacing w:after="0" w:line="120" w:lineRule="exact"/>
        <w:rPr>
          <w:sz w:val="10"/>
        </w:rPr>
      </w:pPr>
    </w:p>
    <w:p w14:paraId="292E82DC" w14:textId="3B7F9746" w:rsidR="00163B36" w:rsidRPr="00333A03" w:rsidRDefault="00605A99" w:rsidP="00163B36">
      <w:pPr>
        <w:pStyle w:val="SingleTxt"/>
        <w:rPr>
          <w:spacing w:val="2"/>
          <w:w w:val="102"/>
        </w:rPr>
      </w:pPr>
      <w:r w:rsidRPr="00333A03">
        <w:rPr>
          <w:spacing w:val="2"/>
          <w:w w:val="102"/>
        </w:rPr>
        <w:t>41</w:t>
      </w:r>
      <w:r w:rsidR="00163B36" w:rsidRPr="00333A03">
        <w:rPr>
          <w:spacing w:val="2"/>
          <w:w w:val="102"/>
        </w:rPr>
        <w:t>.</w:t>
      </w:r>
      <w:r w:rsidR="00163B36" w:rsidRPr="00333A03">
        <w:rPr>
          <w:spacing w:val="2"/>
          <w:w w:val="102"/>
        </w:rPr>
        <w:tab/>
        <w:t xml:space="preserve">According to Article </w:t>
      </w:r>
      <w:r w:rsidRPr="00333A03">
        <w:rPr>
          <w:spacing w:val="2"/>
          <w:w w:val="102"/>
        </w:rPr>
        <w:t>34</w:t>
      </w:r>
      <w:r w:rsidR="00163B36" w:rsidRPr="00333A03">
        <w:rPr>
          <w:spacing w:val="2"/>
          <w:w w:val="102"/>
        </w:rPr>
        <w:t xml:space="preserve"> of the Istanbul Convention, stalking means the “</w:t>
      </w:r>
      <w:r w:rsidR="00163B36" w:rsidRPr="00333A03">
        <w:rPr>
          <w:i/>
          <w:iCs/>
          <w:spacing w:val="2"/>
          <w:w w:val="102"/>
        </w:rPr>
        <w:t>intentional conduct of repeatedly engaging in threatening conduct directed at another person, causing her or him to fear for her or his safety</w:t>
      </w:r>
      <w:r w:rsidR="00163B36" w:rsidRPr="00333A03">
        <w:rPr>
          <w:spacing w:val="2"/>
          <w:w w:val="102"/>
        </w:rPr>
        <w:t xml:space="preserve">”. In Hungary, section </w:t>
      </w:r>
      <w:r w:rsidR="001F2E59" w:rsidRPr="00333A03">
        <w:rPr>
          <w:spacing w:val="2"/>
          <w:w w:val="102"/>
        </w:rPr>
        <w:t>222</w:t>
      </w:r>
      <w:r w:rsidR="00163B36" w:rsidRPr="00333A03">
        <w:rPr>
          <w:spacing w:val="2"/>
          <w:w w:val="102"/>
        </w:rPr>
        <w:t xml:space="preserve"> on harassment of the Criminal Code renders such behaviours punishable.</w:t>
      </w:r>
      <w:r w:rsidRPr="00333A03">
        <w:rPr>
          <w:rStyle w:val="FootnoteReference"/>
          <w:spacing w:val="2"/>
          <w:w w:val="102"/>
        </w:rPr>
        <w:footnoteReference w:id="6"/>
      </w:r>
      <w:r w:rsidR="00163B36" w:rsidRPr="00333A03">
        <w:rPr>
          <w:spacing w:val="2"/>
          <w:w w:val="102"/>
        </w:rPr>
        <w:t xml:space="preserve"> Due to the personal nature of the crime, it can only be prosecuted upon a private motion filed by the person </w:t>
      </w:r>
      <w:r w:rsidR="00163B36" w:rsidRPr="00333A03">
        <w:rPr>
          <w:spacing w:val="2"/>
          <w:w w:val="102"/>
        </w:rPr>
        <w:lastRenderedPageBreak/>
        <w:t>concerned. Since the disturbing and harassing acts have various forms, the Criminal Code uses the general term “</w:t>
      </w:r>
      <w:r w:rsidR="00163B36" w:rsidRPr="00333A03">
        <w:rPr>
          <w:i/>
          <w:iCs/>
          <w:spacing w:val="2"/>
          <w:w w:val="102"/>
        </w:rPr>
        <w:t>disturbs another person regularly or permanently</w:t>
      </w:r>
      <w:r w:rsidR="00163B36" w:rsidRPr="00333A03">
        <w:rPr>
          <w:spacing w:val="2"/>
          <w:w w:val="102"/>
        </w:rPr>
        <w:t>”, that is “</w:t>
      </w:r>
      <w:r w:rsidR="00163B36" w:rsidRPr="00333A03">
        <w:rPr>
          <w:i/>
          <w:iCs/>
          <w:spacing w:val="2"/>
          <w:w w:val="102"/>
        </w:rPr>
        <w:t>causing fear or interfering with the private life or daily lifestyle of</w:t>
      </w:r>
      <w:r w:rsidR="00163B36" w:rsidRPr="00333A03">
        <w:rPr>
          <w:spacing w:val="2"/>
          <w:w w:val="102"/>
        </w:rPr>
        <w:t>” the other person.</w:t>
      </w:r>
    </w:p>
    <w:p w14:paraId="785EF6B4" w14:textId="35A81862" w:rsidR="00163B36" w:rsidRPr="00163B36" w:rsidRDefault="00605A99" w:rsidP="00163B36">
      <w:pPr>
        <w:pStyle w:val="SingleTxt"/>
      </w:pPr>
      <w:r>
        <w:t>42</w:t>
      </w:r>
      <w:r w:rsidR="00163B36" w:rsidRPr="00163B36">
        <w:t>.</w:t>
      </w:r>
      <w:r w:rsidR="00163B36" w:rsidRPr="00163B36">
        <w:tab/>
        <w:t>Harassment covers the threatening of someone with the commission of a violent act against a person or an act causing public danger; or to pretend that an event harming or directly endangering the life, physical integrity or health of another person is about to take place. These acts are punishable more severely.</w:t>
      </w:r>
    </w:p>
    <w:p w14:paraId="5536DAC5" w14:textId="77777777" w:rsidR="00605A99" w:rsidRPr="00605A99" w:rsidRDefault="00605A99" w:rsidP="00605A99">
      <w:pPr>
        <w:pStyle w:val="SingleTxt"/>
        <w:spacing w:after="0" w:line="120" w:lineRule="exact"/>
        <w:rPr>
          <w:sz w:val="10"/>
        </w:rPr>
      </w:pPr>
    </w:p>
    <w:p w14:paraId="6E2B4DDA" w14:textId="517D7679" w:rsidR="00163B36" w:rsidRPr="00163B36" w:rsidRDefault="00163B36" w:rsidP="00605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3B36">
        <w:tab/>
      </w:r>
      <w:r w:rsidRPr="00163B36">
        <w:tab/>
        <w:t>Legislation concerning restraining orders</w:t>
      </w:r>
    </w:p>
    <w:p w14:paraId="51788AA0" w14:textId="77777777" w:rsidR="00605A99" w:rsidRPr="00605A99" w:rsidRDefault="00605A99" w:rsidP="00605A99">
      <w:pPr>
        <w:pStyle w:val="SingleTxt"/>
        <w:spacing w:after="0" w:line="120" w:lineRule="exact"/>
        <w:rPr>
          <w:sz w:val="10"/>
        </w:rPr>
      </w:pPr>
    </w:p>
    <w:p w14:paraId="2E3F16FB" w14:textId="6CB6E6BB" w:rsidR="00163B36" w:rsidRDefault="00605A99" w:rsidP="00163B36">
      <w:pPr>
        <w:pStyle w:val="SingleTxt"/>
      </w:pPr>
      <w:r>
        <w:t>43</w:t>
      </w:r>
      <w:r w:rsidR="00163B36" w:rsidRPr="00163B36">
        <w:t>.</w:t>
      </w:r>
      <w:r w:rsidR="00163B36" w:rsidRPr="00163B36">
        <w:tab/>
        <w:t xml:space="preserve">Act XC of </w:t>
      </w:r>
      <w:r>
        <w:t>2017</w:t>
      </w:r>
      <w:r w:rsidR="00163B36" w:rsidRPr="00163B36">
        <w:t xml:space="preserve"> on criminal proceedings (the Criminal Procedure Code) has significantly amended the rules of restraining orders with effect from </w:t>
      </w:r>
      <w:r>
        <w:t>1</w:t>
      </w:r>
      <w:r w:rsidR="00163B36" w:rsidRPr="00163B36">
        <w:t xml:space="preserve"> July </w:t>
      </w:r>
      <w:r>
        <w:t>2018</w:t>
      </w:r>
      <w:r w:rsidR="00163B36" w:rsidRPr="00163B36">
        <w:t xml:space="preserve"> (as detailed in Hungary</w:t>
      </w:r>
      <w:r w:rsidR="00024758">
        <w:t>’</w:t>
      </w:r>
      <w:r w:rsidR="00163B36" w:rsidRPr="00163B36">
        <w:t xml:space="preserve">s </w:t>
      </w:r>
      <w:r>
        <w:t>9</w:t>
      </w:r>
      <w:r w:rsidR="00163B36" w:rsidRPr="00163B36">
        <w:t>th Periodic Report).</w:t>
      </w:r>
      <w:r w:rsidR="00163B36">
        <w:t xml:space="preserve"> </w:t>
      </w:r>
      <w:r w:rsidR="00163B36" w:rsidRPr="00163B36">
        <w:t>The Criminal Procedure Code does not restrict the application of these rules to certain types of domestic relationships or cohabitation, and it is not limited to couples sharing children. Restraining orders can be issued in any case where it is necessary to avoid obstruction or frustration of taking evidence, or to eliminate the possibility of committing another offence regarding the victim against a defendant who is reasonably suspected of having committed a criminal offence punishable by imprisonment or who has been indicted.</w:t>
      </w:r>
    </w:p>
    <w:p w14:paraId="2830A561" w14:textId="46445BBE" w:rsidR="00163B36" w:rsidRPr="00163B36" w:rsidRDefault="000016D4" w:rsidP="00163B36">
      <w:pPr>
        <w:pStyle w:val="SingleTxt"/>
      </w:pPr>
      <w:r>
        <w:t>44</w:t>
      </w:r>
      <w:r w:rsidR="00163B36" w:rsidRPr="00163B36">
        <w:t>.</w:t>
      </w:r>
      <w:r w:rsidR="00163B36" w:rsidRPr="00163B36">
        <w:tab/>
        <w:t xml:space="preserve">In </w:t>
      </w:r>
      <w:r>
        <w:t>2020</w:t>
      </w:r>
      <w:r w:rsidR="00163B36" w:rsidRPr="00163B36">
        <w:t xml:space="preserve">, the Criminal Code was amended to tighten the conditions of parole (see section </w:t>
      </w:r>
      <w:r>
        <w:t>38</w:t>
      </w:r>
      <w:r w:rsidR="00163B36" w:rsidRPr="00163B36">
        <w:t xml:space="preserve">). If the perpetrator commits a violent crime against its relative and later is on probation, it may be placed under supervision, too (section </w:t>
      </w:r>
      <w:r>
        <w:t>69</w:t>
      </w:r>
      <w:r w:rsidR="00163B36" w:rsidRPr="00163B36">
        <w:t>(</w:t>
      </w:r>
      <w:r>
        <w:t>2</w:t>
      </w:r>
      <w:r w:rsidR="00163B36" w:rsidRPr="00163B36">
        <w:t xml:space="preserve">)). In these cases, the perpetrator is required to stay away from the home or habitual residence, workplace, </w:t>
      </w:r>
      <w:proofErr w:type="gramStart"/>
      <w:r w:rsidR="00163B36" w:rsidRPr="00163B36">
        <w:t>institutions</w:t>
      </w:r>
      <w:proofErr w:type="gramEnd"/>
      <w:r w:rsidR="00163B36" w:rsidRPr="00163B36">
        <w:t xml:space="preserve"> or other places</w:t>
      </w:r>
      <w:r w:rsidR="008C2ECD">
        <w:t xml:space="preserve"> </w:t>
      </w:r>
      <w:r w:rsidR="00EA5AB9">
        <w:t>–</w:t>
      </w:r>
      <w:r w:rsidR="008C2ECD">
        <w:t xml:space="preserve"> </w:t>
      </w:r>
      <w:r w:rsidR="00163B36" w:rsidRPr="00163B36">
        <w:t>in particular nurseries, kindergartens, schools, health care institution, religious sites</w:t>
      </w:r>
      <w:r w:rsidR="008C2ECD">
        <w:t xml:space="preserve"> </w:t>
      </w:r>
      <w:r w:rsidR="00EA5AB9">
        <w:t>–</w:t>
      </w:r>
      <w:r w:rsidR="008C2ECD">
        <w:t xml:space="preserve"> </w:t>
      </w:r>
      <w:r w:rsidR="00163B36" w:rsidRPr="00163B36">
        <w:t>regularly visited by the victim, the victim</w:t>
      </w:r>
      <w:r w:rsidR="00024758">
        <w:t>’</w:t>
      </w:r>
      <w:r w:rsidR="00163B36" w:rsidRPr="00163B36">
        <w:t xml:space="preserve">s relatives or other individuals affected (section </w:t>
      </w:r>
      <w:r>
        <w:t>71</w:t>
      </w:r>
      <w:r w:rsidR="00163B36" w:rsidRPr="00163B36">
        <w:t>).</w:t>
      </w:r>
    </w:p>
    <w:p w14:paraId="20909AC7" w14:textId="77777777" w:rsidR="000016D4" w:rsidRPr="000016D4" w:rsidRDefault="000016D4" w:rsidP="000016D4">
      <w:pPr>
        <w:pStyle w:val="SingleTxt"/>
        <w:spacing w:after="0" w:line="120" w:lineRule="exact"/>
        <w:rPr>
          <w:sz w:val="10"/>
        </w:rPr>
      </w:pPr>
    </w:p>
    <w:p w14:paraId="4363A06D" w14:textId="709B8E4C" w:rsidR="00163B36" w:rsidRPr="00333A03" w:rsidRDefault="00163B36" w:rsidP="00333A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00" w:hanging="1267"/>
        <w:rPr>
          <w:rFonts w:ascii="Times New Roman Bold" w:hAnsi="Times New Roman Bold" w:cs="Times New Roman Bold"/>
          <w:spacing w:val="2"/>
          <w:w w:val="101"/>
        </w:rPr>
      </w:pPr>
      <w:r w:rsidRPr="00333A03">
        <w:rPr>
          <w:rFonts w:ascii="Times New Roman Bold" w:hAnsi="Times New Roman Bold" w:cs="Times New Roman Bold"/>
          <w:spacing w:val="2"/>
          <w:w w:val="101"/>
        </w:rPr>
        <w:tab/>
      </w:r>
      <w:r w:rsidRPr="00333A03">
        <w:rPr>
          <w:rFonts w:ascii="Times New Roman Bold" w:hAnsi="Times New Roman Bold" w:cs="Times New Roman Bold"/>
          <w:spacing w:val="2"/>
          <w:w w:val="101"/>
        </w:rPr>
        <w:tab/>
        <w:t xml:space="preserve">Measures undertaken to criminalize rape upon the lack of consent, instead of based on the use of force, and the relation of </w:t>
      </w:r>
      <w:r w:rsidR="00024758" w:rsidRPr="00333A03">
        <w:rPr>
          <w:rFonts w:ascii="Times New Roman Bold" w:hAnsi="Times New Roman Bold" w:cs="Times New Roman Bold"/>
          <w:spacing w:val="2"/>
          <w:w w:val="101"/>
        </w:rPr>
        <w:t>‘</w:t>
      </w:r>
      <w:r w:rsidRPr="00333A03">
        <w:rPr>
          <w:rFonts w:ascii="Times New Roman Bold" w:hAnsi="Times New Roman Bold" w:cs="Times New Roman Bold"/>
          <w:spacing w:val="2"/>
          <w:w w:val="101"/>
        </w:rPr>
        <w:t>sexual coercion</w:t>
      </w:r>
      <w:r w:rsidR="00024758" w:rsidRPr="00333A03">
        <w:rPr>
          <w:rFonts w:ascii="Times New Roman Bold" w:hAnsi="Times New Roman Bold" w:cs="Times New Roman Bold"/>
          <w:spacing w:val="2"/>
          <w:w w:val="101"/>
        </w:rPr>
        <w:t>’</w:t>
      </w:r>
      <w:r w:rsidRPr="00333A03">
        <w:rPr>
          <w:rFonts w:ascii="Times New Roman Bold" w:hAnsi="Times New Roman Bold" w:cs="Times New Roman Bold"/>
          <w:spacing w:val="2"/>
          <w:w w:val="101"/>
        </w:rPr>
        <w:t xml:space="preserve"> to the offence of rape</w:t>
      </w:r>
    </w:p>
    <w:p w14:paraId="028732E4" w14:textId="77777777" w:rsidR="000016D4" w:rsidRPr="000016D4" w:rsidRDefault="000016D4" w:rsidP="000016D4">
      <w:pPr>
        <w:pStyle w:val="SingleTxt"/>
        <w:spacing w:after="0" w:line="120" w:lineRule="exact"/>
        <w:rPr>
          <w:sz w:val="10"/>
        </w:rPr>
      </w:pPr>
    </w:p>
    <w:p w14:paraId="14DA55EB" w14:textId="03A556DA" w:rsidR="00163B36" w:rsidRPr="00333A03" w:rsidRDefault="000016D4" w:rsidP="00163B36">
      <w:pPr>
        <w:pStyle w:val="SingleTxt"/>
        <w:rPr>
          <w:spacing w:val="1"/>
          <w:w w:val="101"/>
        </w:rPr>
      </w:pPr>
      <w:r w:rsidRPr="00333A03">
        <w:rPr>
          <w:spacing w:val="1"/>
          <w:w w:val="101"/>
        </w:rPr>
        <w:t>45</w:t>
      </w:r>
      <w:r w:rsidR="00163B36" w:rsidRPr="00333A03">
        <w:rPr>
          <w:spacing w:val="1"/>
          <w:w w:val="101"/>
        </w:rPr>
        <w:t>.</w:t>
      </w:r>
      <w:r w:rsidR="00163B36" w:rsidRPr="00333A03">
        <w:rPr>
          <w:spacing w:val="1"/>
          <w:w w:val="101"/>
        </w:rPr>
        <w:tab/>
        <w:t xml:space="preserve">The criminal offense of </w:t>
      </w:r>
      <w:r w:rsidR="00024758" w:rsidRPr="00333A03">
        <w:rPr>
          <w:spacing w:val="1"/>
          <w:w w:val="101"/>
        </w:rPr>
        <w:t>‘</w:t>
      </w:r>
      <w:r w:rsidR="00163B36" w:rsidRPr="00333A03">
        <w:rPr>
          <w:spacing w:val="1"/>
          <w:w w:val="101"/>
        </w:rPr>
        <w:t>sexual coercion</w:t>
      </w:r>
      <w:r w:rsidR="00024758" w:rsidRPr="00333A03">
        <w:rPr>
          <w:spacing w:val="1"/>
          <w:w w:val="101"/>
        </w:rPr>
        <w:t>’</w:t>
      </w:r>
      <w:r w:rsidR="00163B36" w:rsidRPr="00333A03">
        <w:rPr>
          <w:spacing w:val="1"/>
          <w:w w:val="101"/>
        </w:rPr>
        <w:t xml:space="preserve"> (section </w:t>
      </w:r>
      <w:r w:rsidRPr="00333A03">
        <w:rPr>
          <w:spacing w:val="1"/>
          <w:w w:val="101"/>
        </w:rPr>
        <w:t>196</w:t>
      </w:r>
      <w:r w:rsidR="00163B36" w:rsidRPr="00333A03">
        <w:rPr>
          <w:spacing w:val="1"/>
          <w:w w:val="101"/>
        </w:rPr>
        <w:t xml:space="preserve"> of the Criminal Code) ensures earlier protection by criminal law than the criminal offence of sexual violence (section </w:t>
      </w:r>
      <w:r w:rsidRPr="00333A03">
        <w:rPr>
          <w:spacing w:val="1"/>
          <w:w w:val="101"/>
        </w:rPr>
        <w:t>197</w:t>
      </w:r>
      <w:r w:rsidR="00163B36" w:rsidRPr="00333A03">
        <w:rPr>
          <w:spacing w:val="1"/>
          <w:w w:val="101"/>
        </w:rPr>
        <w:t xml:space="preserve"> of the Criminal Code). The term </w:t>
      </w:r>
      <w:r w:rsidR="00024758" w:rsidRPr="00333A03">
        <w:rPr>
          <w:spacing w:val="1"/>
          <w:w w:val="101"/>
        </w:rPr>
        <w:t>‘</w:t>
      </w:r>
      <w:r w:rsidR="00163B36" w:rsidRPr="00333A03">
        <w:rPr>
          <w:spacing w:val="1"/>
          <w:w w:val="101"/>
        </w:rPr>
        <w:t>rape</w:t>
      </w:r>
      <w:r w:rsidR="00024758" w:rsidRPr="00333A03">
        <w:rPr>
          <w:spacing w:val="1"/>
          <w:w w:val="101"/>
        </w:rPr>
        <w:t>’</w:t>
      </w:r>
      <w:r w:rsidR="00163B36" w:rsidRPr="00333A03">
        <w:rPr>
          <w:spacing w:val="1"/>
          <w:w w:val="101"/>
        </w:rPr>
        <w:t xml:space="preserve"> is covered by these two criminal offences.</w:t>
      </w:r>
    </w:p>
    <w:p w14:paraId="171EDA89" w14:textId="7FD92233" w:rsidR="00163B36" w:rsidRPr="00333A03" w:rsidRDefault="000016D4" w:rsidP="00163B36">
      <w:pPr>
        <w:pStyle w:val="SingleTxt"/>
        <w:rPr>
          <w:spacing w:val="2"/>
          <w:w w:val="102"/>
        </w:rPr>
      </w:pPr>
      <w:r w:rsidRPr="00333A03">
        <w:rPr>
          <w:spacing w:val="2"/>
          <w:w w:val="102"/>
        </w:rPr>
        <w:t>46</w:t>
      </w:r>
      <w:r w:rsidR="00163B36" w:rsidRPr="00333A03">
        <w:rPr>
          <w:spacing w:val="2"/>
          <w:w w:val="102"/>
        </w:rPr>
        <w:t>.</w:t>
      </w:r>
      <w:r w:rsidR="00163B36" w:rsidRPr="00333A03">
        <w:rPr>
          <w:spacing w:val="2"/>
          <w:w w:val="102"/>
        </w:rPr>
        <w:tab/>
        <w:t xml:space="preserve">The offence of sexual coercion renders punishable a sexual act committed by intimidation. This intimidation does not have to be direct; is not </w:t>
      </w:r>
      <w:r w:rsidR="00163B36" w:rsidRPr="00333A03">
        <w:rPr>
          <w:i/>
          <w:iCs/>
          <w:spacing w:val="2"/>
          <w:w w:val="102"/>
        </w:rPr>
        <w:t>vis absolute</w:t>
      </w:r>
      <w:r w:rsidR="00163B36" w:rsidRPr="00333A03">
        <w:rPr>
          <w:spacing w:val="2"/>
          <w:w w:val="102"/>
        </w:rPr>
        <w:t xml:space="preserve"> (like in the case of sexual violence) but rather </w:t>
      </w:r>
      <w:r w:rsidR="00163B36" w:rsidRPr="00333A03">
        <w:rPr>
          <w:i/>
          <w:iCs/>
          <w:spacing w:val="2"/>
          <w:w w:val="102"/>
        </w:rPr>
        <w:t xml:space="preserve">vis </w:t>
      </w:r>
      <w:proofErr w:type="spellStart"/>
      <w:r w:rsidR="00163B36" w:rsidRPr="00333A03">
        <w:rPr>
          <w:i/>
          <w:iCs/>
          <w:spacing w:val="2"/>
          <w:w w:val="102"/>
        </w:rPr>
        <w:t>compulsiva</w:t>
      </w:r>
      <w:proofErr w:type="spellEnd"/>
      <w:r w:rsidR="00163B36" w:rsidRPr="00333A03">
        <w:rPr>
          <w:spacing w:val="2"/>
          <w:w w:val="102"/>
        </w:rPr>
        <w:t>, and it does not actually qualify as threat or violence, it is only capable of bending the will of another person. Coercing someone to engage in or endure a sexual act includes every kind of behaviour that causes the victim not to give voluntary and free consent to the sexual act, thereby implying the lack of consent. This offence can be established even if the perpetrator performs the sexual act by exploiting the relative age difference between him/her and the victim. The number of prosecutions, convictions and sentences imposed are detailed in the Annex.</w:t>
      </w:r>
    </w:p>
    <w:p w14:paraId="1F3B56AC" w14:textId="72288857" w:rsidR="00163B36" w:rsidRDefault="000016D4" w:rsidP="00163B36">
      <w:pPr>
        <w:pStyle w:val="SingleTxt"/>
      </w:pPr>
      <w:r>
        <w:t>47</w:t>
      </w:r>
      <w:r w:rsidR="00163B36" w:rsidRPr="00163B36">
        <w:t>.</w:t>
      </w:r>
      <w:r w:rsidR="00163B36" w:rsidRPr="00163B36">
        <w:tab/>
        <w:t xml:space="preserve">By contrast, the offense </w:t>
      </w:r>
      <w:r w:rsidR="00024758">
        <w:t>‘</w:t>
      </w:r>
      <w:r w:rsidR="00163B36" w:rsidRPr="00163B36">
        <w:t>sexual violence</w:t>
      </w:r>
      <w:r w:rsidR="00024758">
        <w:t>’</w:t>
      </w:r>
      <w:r w:rsidR="00163B36" w:rsidRPr="00163B36">
        <w:t xml:space="preserve"> covers sexual acts committed by violence or a direct threat against life or bodily integrity. It also covers cases in which the victim is incapable of self-defence (</w:t>
      </w:r>
      <w:proofErr w:type="gramStart"/>
      <w:r w:rsidR="00163B36" w:rsidRPr="00163B36">
        <w:t>e.g.</w:t>
      </w:r>
      <w:proofErr w:type="gramEnd"/>
      <w:r w:rsidR="00163B36" w:rsidRPr="00163B36">
        <w:t xml:space="preserve"> unconscious) or of declaring his/her will for a sexual act (e.g. being under the influence of drugs or alcohol, or having mental disabilities. Performing a sexual act with a person under </w:t>
      </w:r>
      <w:r>
        <w:t>12</w:t>
      </w:r>
      <w:r w:rsidR="00163B36" w:rsidRPr="00163B36">
        <w:t xml:space="preserve"> years old constitutes sexual violence even if the victim had given consent.</w:t>
      </w:r>
    </w:p>
    <w:p w14:paraId="7B51E1D2" w14:textId="4433DF45" w:rsidR="00163B36" w:rsidRPr="00163B36" w:rsidRDefault="000016D4" w:rsidP="00163B36">
      <w:pPr>
        <w:pStyle w:val="SingleTxt"/>
      </w:pPr>
      <w:r>
        <w:t>48</w:t>
      </w:r>
      <w:r w:rsidR="00163B36" w:rsidRPr="00163B36">
        <w:t>.</w:t>
      </w:r>
      <w:r w:rsidR="00163B36" w:rsidRPr="00163B36">
        <w:tab/>
        <w:t xml:space="preserve">The Criminal Code also introduced a new criminal sanction, namely </w:t>
      </w:r>
      <w:r>
        <w:t>“</w:t>
      </w:r>
      <w:r w:rsidR="00163B36" w:rsidRPr="00163B36">
        <w:t>rendering electronic data permanently inaccessible</w:t>
      </w:r>
      <w:r>
        <w:t>”</w:t>
      </w:r>
      <w:r w:rsidR="00163B36" w:rsidRPr="00163B36">
        <w:t xml:space="preserve"> (section </w:t>
      </w:r>
      <w:r>
        <w:t>77</w:t>
      </w:r>
      <w:r w:rsidR="00163B36" w:rsidRPr="00163B36">
        <w:t xml:space="preserve">), applicable since </w:t>
      </w:r>
      <w:r>
        <w:t>2013</w:t>
      </w:r>
      <w:r w:rsidR="00163B36" w:rsidRPr="00163B36">
        <w:t>. The introduction of this sanction addresses offenses committed via online means.</w:t>
      </w:r>
    </w:p>
    <w:p w14:paraId="0F512695" w14:textId="7A7DDEAE" w:rsidR="00163B36" w:rsidRPr="00163B36" w:rsidRDefault="000016D4" w:rsidP="00163B36">
      <w:pPr>
        <w:pStyle w:val="SingleTxt"/>
      </w:pPr>
      <w:r>
        <w:t>49</w:t>
      </w:r>
      <w:r w:rsidR="00163B36" w:rsidRPr="00163B36">
        <w:t>.</w:t>
      </w:r>
      <w:r w:rsidR="00163B36" w:rsidRPr="00163B36">
        <w:tab/>
        <w:t xml:space="preserve">The prosecutors, judiciary and the police are also members of the child protection alert system that plays a very important role in identifying the indicators </w:t>
      </w:r>
      <w:r w:rsidR="00163B36" w:rsidRPr="00163B36">
        <w:lastRenderedPageBreak/>
        <w:t xml:space="preserve">of domestic violence. Within the national priority project </w:t>
      </w:r>
      <w:r w:rsidR="00024758">
        <w:t>‘</w:t>
      </w:r>
      <w:r w:rsidR="00163B36" w:rsidRPr="00163B36">
        <w:t>Development of Crisis Management Services</w:t>
      </w:r>
      <w:r w:rsidR="00024758">
        <w:t>’</w:t>
      </w:r>
      <w:r w:rsidR="00163B36" w:rsidRPr="00163B36">
        <w:t xml:space="preserve">, </w:t>
      </w:r>
      <w:r>
        <w:t>5000</w:t>
      </w:r>
      <w:r w:rsidR="00163B36" w:rsidRPr="00163B36">
        <w:t xml:space="preserve"> members of this alarm-type system were trained </w:t>
      </w:r>
      <w:proofErr w:type="gramStart"/>
      <w:r w:rsidR="00163B36" w:rsidRPr="00163B36">
        <w:t>during the course of</w:t>
      </w:r>
      <w:proofErr w:type="gramEnd"/>
      <w:r w:rsidR="00163B36" w:rsidRPr="00163B36">
        <w:t xml:space="preserve"> </w:t>
      </w:r>
      <w:r>
        <w:t>2</w:t>
      </w:r>
      <w:r w:rsidR="00163B36" w:rsidRPr="00163B36">
        <w:t xml:space="preserve"> years (</w:t>
      </w:r>
      <w:r>
        <w:t>2019</w:t>
      </w:r>
      <w:r w:rsidR="00EA5AB9">
        <w:t>–</w:t>
      </w:r>
      <w:r>
        <w:t>2020</w:t>
      </w:r>
      <w:r w:rsidR="00163B36" w:rsidRPr="00163B36">
        <w:t xml:space="preserve">) at </w:t>
      </w:r>
      <w:r>
        <w:t>200</w:t>
      </w:r>
      <w:r w:rsidR="00163B36" w:rsidRPr="00163B36">
        <w:t xml:space="preserve"> different training locations. We also reiterate the training program for the police mentioned under question </w:t>
      </w:r>
      <w:r>
        <w:t>1</w:t>
      </w:r>
      <w:r w:rsidR="00163B36" w:rsidRPr="00163B36">
        <w:t>, detailed in the Annex.</w:t>
      </w:r>
    </w:p>
    <w:p w14:paraId="305DBA31" w14:textId="2EF70F68" w:rsidR="00163B36" w:rsidRDefault="000016D4" w:rsidP="00163B36">
      <w:pPr>
        <w:pStyle w:val="SingleTxt"/>
      </w:pPr>
      <w:r>
        <w:t>50</w:t>
      </w:r>
      <w:r w:rsidR="00163B36" w:rsidRPr="00163B36">
        <w:t>.</w:t>
      </w:r>
      <w:r w:rsidR="00163B36" w:rsidRPr="00163B36">
        <w:tab/>
        <w:t xml:space="preserve">The victim support system in Hungary is based on several institutional pillars. The first pillar is the regional victim support services operating in all counties and in the capital as part of the Government Offices. The second pillar consists of </w:t>
      </w:r>
      <w:r>
        <w:t>7</w:t>
      </w:r>
      <w:r w:rsidR="00163B36" w:rsidRPr="00163B36">
        <w:t xml:space="preserve"> victim support centres across the country, that will become a national network until </w:t>
      </w:r>
      <w:r>
        <w:t>2025</w:t>
      </w:r>
      <w:r w:rsidR="00163B36" w:rsidRPr="00163B36">
        <w:t xml:space="preserve">. The third pillar is the Victim Support Line, which is available </w:t>
      </w:r>
      <w:r>
        <w:t>24</w:t>
      </w:r>
      <w:r w:rsidR="00163B36" w:rsidRPr="00163B36">
        <w:t xml:space="preserve"> hours a day, </w:t>
      </w:r>
      <w:r>
        <w:t>7</w:t>
      </w:r>
      <w:r w:rsidR="00163B36" w:rsidRPr="00163B36">
        <w:t xml:space="preserve"> days a week on </w:t>
      </w:r>
      <w:r>
        <w:t>06</w:t>
      </w:r>
      <w:r w:rsidR="00163B36" w:rsidRPr="00163B36">
        <w:t xml:space="preserve"> </w:t>
      </w:r>
      <w:r>
        <w:t>80</w:t>
      </w:r>
      <w:r w:rsidR="00163B36" w:rsidRPr="00163B36">
        <w:t xml:space="preserve"> </w:t>
      </w:r>
      <w:r>
        <w:t>225</w:t>
      </w:r>
      <w:r w:rsidR="00163B36" w:rsidRPr="00163B36">
        <w:t xml:space="preserve"> </w:t>
      </w:r>
      <w:r>
        <w:t>225</w:t>
      </w:r>
      <w:r w:rsidR="00163B36" w:rsidRPr="00163B36">
        <w:t>. This support system is professionally managed and coordinated by the Ministry of Justice. These victim support services are available to all victims of crime, including victims of gender-based violence.</w:t>
      </w:r>
    </w:p>
    <w:p w14:paraId="775B428F" w14:textId="2E7BCF9A" w:rsidR="00163B36" w:rsidRPr="00163B36" w:rsidRDefault="000016D4" w:rsidP="00163B36">
      <w:pPr>
        <w:pStyle w:val="SingleTxt"/>
      </w:pPr>
      <w:r>
        <w:t>51</w:t>
      </w:r>
      <w:r w:rsidR="00163B36" w:rsidRPr="00163B36">
        <w:t>.</w:t>
      </w:r>
      <w:r w:rsidR="00163B36" w:rsidRPr="00163B36">
        <w:tab/>
      </w:r>
      <w:r w:rsidR="00163B36" w:rsidRPr="00333A03">
        <w:rPr>
          <w:spacing w:val="2"/>
        </w:rPr>
        <w:t xml:space="preserve">In addition to the above, crisis centres and secret shelters are operating (maintained mostly by civil organisations, see their presentation in paragraphs </w:t>
      </w:r>
      <w:r w:rsidR="006A4072" w:rsidRPr="00333A03">
        <w:rPr>
          <w:spacing w:val="2"/>
        </w:rPr>
        <w:t>111–117</w:t>
      </w:r>
      <w:r w:rsidR="00163B36" w:rsidRPr="00163B36">
        <w:t xml:space="preserve"> of the </w:t>
      </w:r>
      <w:r w:rsidR="006A4072">
        <w:t>9</w:t>
      </w:r>
      <w:r w:rsidR="00163B36" w:rsidRPr="00163B36">
        <w:t xml:space="preserve">th periodic report of Hungary). Following the accommodation of a victim in such centres or shelters, the maintaining organization is entitled to a state normative support. The state also provides additional support: HUF </w:t>
      </w:r>
      <w:r w:rsidR="006A4072">
        <w:t>6</w:t>
      </w:r>
      <w:r w:rsidR="00163B36" w:rsidRPr="00163B36">
        <w:t xml:space="preserve"> million (USD </w:t>
      </w:r>
      <w:r w:rsidR="006A4072">
        <w:t>21</w:t>
      </w:r>
      <w:r w:rsidR="00163B36" w:rsidRPr="00163B36">
        <w:t>,</w:t>
      </w:r>
      <w:r w:rsidR="006A4072">
        <w:t>045</w:t>
      </w:r>
      <w:r w:rsidR="00163B36" w:rsidRPr="00163B36">
        <w:t xml:space="preserve">) per year for crisis centres and HUF </w:t>
      </w:r>
      <w:r w:rsidR="006A4072">
        <w:t>16</w:t>
      </w:r>
      <w:r w:rsidR="00163B36" w:rsidRPr="00163B36">
        <w:t xml:space="preserve"> million (USD </w:t>
      </w:r>
      <w:r w:rsidR="006A4072">
        <w:t>56</w:t>
      </w:r>
      <w:r w:rsidR="00163B36" w:rsidRPr="00163B36">
        <w:t>,</w:t>
      </w:r>
      <w:r w:rsidR="006A4072">
        <w:t>119</w:t>
      </w:r>
      <w:r w:rsidR="00163B36" w:rsidRPr="00163B36">
        <w:t>) per year for secret shelters.</w:t>
      </w:r>
    </w:p>
    <w:p w14:paraId="5E4EEE6D" w14:textId="2049E06A" w:rsidR="00163B36" w:rsidRPr="00333A03" w:rsidRDefault="006A4072" w:rsidP="00163B36">
      <w:pPr>
        <w:pStyle w:val="SingleTxt"/>
        <w:rPr>
          <w:spacing w:val="1"/>
          <w:w w:val="101"/>
        </w:rPr>
      </w:pPr>
      <w:r w:rsidRPr="00333A03">
        <w:rPr>
          <w:spacing w:val="1"/>
          <w:w w:val="101"/>
        </w:rPr>
        <w:t>52</w:t>
      </w:r>
      <w:r w:rsidR="00163B36" w:rsidRPr="00333A03">
        <w:rPr>
          <w:spacing w:val="1"/>
          <w:w w:val="101"/>
        </w:rPr>
        <w:t>.</w:t>
      </w:r>
      <w:r w:rsidR="00163B36" w:rsidRPr="00333A03">
        <w:rPr>
          <w:spacing w:val="1"/>
          <w:w w:val="101"/>
        </w:rPr>
        <w:tab/>
        <w:t xml:space="preserve">Crisis centres and secret shelters operate </w:t>
      </w:r>
      <w:proofErr w:type="gramStart"/>
      <w:r w:rsidR="00163B36" w:rsidRPr="00333A03">
        <w:rPr>
          <w:spacing w:val="1"/>
          <w:w w:val="101"/>
        </w:rPr>
        <w:t>on the basis of</w:t>
      </w:r>
      <w:proofErr w:type="gramEnd"/>
      <w:r w:rsidR="00163B36" w:rsidRPr="00333A03">
        <w:rPr>
          <w:spacing w:val="1"/>
          <w:w w:val="101"/>
        </w:rPr>
        <w:t xml:space="preserve"> a professional protocol, which sets out the minimum number of professional staff required. In all cases, the professional leaders, family caregivers and caregivers are the direct employees of the maintainer. Psychological or mental health counselling, legal counselling, and developmental and pedagogical counselling are typically provided by external specialists.</w:t>
      </w:r>
    </w:p>
    <w:p w14:paraId="31379F22" w14:textId="46E7CB1F" w:rsidR="00163B36" w:rsidRDefault="006A4072" w:rsidP="00163B36">
      <w:pPr>
        <w:pStyle w:val="SingleTxt"/>
      </w:pPr>
      <w:r>
        <w:t>53</w:t>
      </w:r>
      <w:r w:rsidR="00163B36" w:rsidRPr="00163B36">
        <w:t>.</w:t>
      </w:r>
      <w:r w:rsidR="00163B36" w:rsidRPr="00163B36">
        <w:tab/>
        <w:t xml:space="preserve">In </w:t>
      </w:r>
      <w:r>
        <w:t>2020</w:t>
      </w:r>
      <w:r w:rsidR="00163B36" w:rsidRPr="00163B36">
        <w:t xml:space="preserve">, the National Crisis Management and Information Telephone Service initiated the placement to </w:t>
      </w:r>
      <w:r>
        <w:t>1439</w:t>
      </w:r>
      <w:r w:rsidR="00163B36" w:rsidRPr="00163B36">
        <w:t xml:space="preserve"> individuals, out of which </w:t>
      </w:r>
      <w:r>
        <w:t>503</w:t>
      </w:r>
      <w:r w:rsidR="00163B36" w:rsidRPr="00163B36">
        <w:t xml:space="preserve"> were women and </w:t>
      </w:r>
      <w:r>
        <w:t>925</w:t>
      </w:r>
      <w:r w:rsidR="00163B36" w:rsidRPr="00163B36">
        <w:t xml:space="preserve"> children.</w:t>
      </w:r>
    </w:p>
    <w:p w14:paraId="6C441C22" w14:textId="233984AE" w:rsidR="00163B36" w:rsidRDefault="006A4072" w:rsidP="00163B36">
      <w:pPr>
        <w:pStyle w:val="SingleTxt"/>
      </w:pPr>
      <w:r>
        <w:t>54</w:t>
      </w:r>
      <w:r w:rsidR="00163B36" w:rsidRPr="00163B36">
        <w:t>.</w:t>
      </w:r>
      <w:r w:rsidR="00163B36" w:rsidRPr="00163B36">
        <w:tab/>
        <w:t xml:space="preserve">Since </w:t>
      </w:r>
      <w:r>
        <w:t>2020</w:t>
      </w:r>
      <w:r w:rsidR="00163B36" w:rsidRPr="00163B36">
        <w:t>, family helpers, health visitors, ombudsman offices, and crisis ambulances disseminated flyers that provide information on the signs of domestic violence and opportunities on how to seek assistance. The flyers were published in local newspapers and online, too.</w:t>
      </w:r>
    </w:p>
    <w:p w14:paraId="19D2C3B6" w14:textId="0C148517" w:rsidR="00163B36" w:rsidRPr="00163B36" w:rsidRDefault="006A4072" w:rsidP="00163B36">
      <w:pPr>
        <w:pStyle w:val="SingleTxt"/>
      </w:pPr>
      <w:r>
        <w:t>55</w:t>
      </w:r>
      <w:r w:rsidR="00163B36" w:rsidRPr="00163B36">
        <w:t>.</w:t>
      </w:r>
      <w:r w:rsidR="00163B36" w:rsidRPr="00163B36">
        <w:tab/>
        <w:t xml:space="preserve">In </w:t>
      </w:r>
      <w:r>
        <w:t>2019</w:t>
      </w:r>
      <w:r w:rsidR="00163B36" w:rsidRPr="00163B36">
        <w:t xml:space="preserve">, a new application called </w:t>
      </w:r>
      <w:r w:rsidR="00024758">
        <w:rPr>
          <w:i/>
          <w:iCs/>
        </w:rPr>
        <w:t>‘</w:t>
      </w:r>
      <w:r w:rsidR="00163B36" w:rsidRPr="006A4072">
        <w:rPr>
          <w:i/>
          <w:iCs/>
        </w:rPr>
        <w:t>Realize and Connect</w:t>
      </w:r>
      <w:r w:rsidR="00024758">
        <w:t>’</w:t>
      </w:r>
      <w:r w:rsidR="00163B36" w:rsidRPr="00163B36">
        <w:t xml:space="preserve"> (</w:t>
      </w:r>
      <w:r w:rsidR="00024758">
        <w:t>‘</w:t>
      </w:r>
      <w:proofErr w:type="spellStart"/>
      <w:r w:rsidR="00163B36" w:rsidRPr="006A4072">
        <w:rPr>
          <w:i/>
          <w:iCs/>
        </w:rPr>
        <w:t>Kapcsolj</w:t>
      </w:r>
      <w:proofErr w:type="spellEnd"/>
      <w:r w:rsidR="00163B36" w:rsidRPr="006A4072">
        <w:rPr>
          <w:i/>
          <w:iCs/>
        </w:rPr>
        <w:t xml:space="preserve"> </w:t>
      </w:r>
      <w:proofErr w:type="spellStart"/>
      <w:r w:rsidR="00163B36" w:rsidRPr="006A4072">
        <w:rPr>
          <w:i/>
          <w:iCs/>
        </w:rPr>
        <w:t>egyből</w:t>
      </w:r>
      <w:proofErr w:type="spellEnd"/>
      <w:r w:rsidR="00024758">
        <w:t>’</w:t>
      </w:r>
      <w:r w:rsidR="00163B36" w:rsidRPr="00163B36">
        <w:t xml:space="preserve">) was released, which shows the location of the nearest available help </w:t>
      </w:r>
      <w:proofErr w:type="gramStart"/>
      <w:r w:rsidR="00163B36" w:rsidRPr="00163B36">
        <w:t>services, and</w:t>
      </w:r>
      <w:proofErr w:type="gramEnd"/>
      <w:r w:rsidR="00163B36" w:rsidRPr="00163B36">
        <w:t xml:space="preserve"> has a </w:t>
      </w:r>
      <w:r w:rsidR="00024758">
        <w:t>‘</w:t>
      </w:r>
      <w:r w:rsidR="00163B36" w:rsidRPr="00163B36">
        <w:t>panic button</w:t>
      </w:r>
      <w:r w:rsidR="00024758">
        <w:t>’</w:t>
      </w:r>
      <w:r w:rsidR="00163B36" w:rsidRPr="00163B36">
        <w:t xml:space="preserve"> function.</w:t>
      </w:r>
    </w:p>
    <w:p w14:paraId="45AACF8B" w14:textId="32BE9C16" w:rsidR="00163B36" w:rsidRPr="00163B36" w:rsidRDefault="006A4072" w:rsidP="00163B36">
      <w:pPr>
        <w:pStyle w:val="SingleTxt"/>
      </w:pPr>
      <w:r>
        <w:t>56</w:t>
      </w:r>
      <w:r w:rsidR="00163B36" w:rsidRPr="00163B36">
        <w:t>.</w:t>
      </w:r>
      <w:r w:rsidR="00163B36" w:rsidRPr="00163B36">
        <w:tab/>
        <w:t>There is no consolidated law on violence against women in Hungary. The relevant legislation is incorporated in sectorial legal instruments, in line with international standards. The Criminal Code provides the relevant rules on violent crimes against a person regardless of the victim</w:t>
      </w:r>
      <w:r w:rsidR="00024758">
        <w:t>’</w:t>
      </w:r>
      <w:r w:rsidR="00163B36" w:rsidRPr="00163B36">
        <w:t>s gender; however, under the criminal offence of domestic violence, certain forms of violence against women, family members, close relatives etc., are punishable more severely.</w:t>
      </w:r>
    </w:p>
    <w:p w14:paraId="4A09BFC5" w14:textId="18A30009" w:rsidR="00163B36" w:rsidRDefault="006A4072" w:rsidP="00163B36">
      <w:pPr>
        <w:pStyle w:val="SingleTxt"/>
      </w:pPr>
      <w:r>
        <w:t>57</w:t>
      </w:r>
      <w:r w:rsidR="00163B36" w:rsidRPr="00163B36">
        <w:t>.</w:t>
      </w:r>
      <w:r w:rsidR="00163B36" w:rsidRPr="00163B36">
        <w:tab/>
        <w:t>The requested data are in the Annex.</w:t>
      </w:r>
    </w:p>
    <w:p w14:paraId="18A3BD30" w14:textId="5B67CF01" w:rsidR="00163B36" w:rsidRDefault="006A4072" w:rsidP="00163B36">
      <w:pPr>
        <w:pStyle w:val="SingleTxt"/>
      </w:pPr>
      <w:r>
        <w:t>58</w:t>
      </w:r>
      <w:r w:rsidR="00163B36" w:rsidRPr="00163B36">
        <w:t>.</w:t>
      </w:r>
      <w:r w:rsidR="00163B36" w:rsidRPr="00163B36">
        <w:tab/>
        <w:t xml:space="preserve">Hungary decided not to ratify the Istanbul Convention. The Hungarian National Assembly in its Political Declaration </w:t>
      </w:r>
      <w:r>
        <w:t>2</w:t>
      </w:r>
      <w:r w:rsidR="00163B36" w:rsidRPr="00163B36">
        <w:t>/</w:t>
      </w:r>
      <w:r>
        <w:t>2020</w:t>
      </w:r>
      <w:r w:rsidR="00163B36" w:rsidRPr="00163B36">
        <w:t xml:space="preserve">. (V. </w:t>
      </w:r>
      <w:r>
        <w:t>5</w:t>
      </w:r>
      <w:r w:rsidR="00163B36" w:rsidRPr="00163B36">
        <w:t xml:space="preserve">.) </w:t>
      </w:r>
      <w:proofErr w:type="spellStart"/>
      <w:r w:rsidR="00163B36" w:rsidRPr="00163B36">
        <w:t>OGY</w:t>
      </w:r>
      <w:proofErr w:type="spellEnd"/>
      <w:r w:rsidR="00163B36" w:rsidRPr="00163B36">
        <w:t xml:space="preserve"> expressly confirmed that it does not support the ratification of the Istanbul Convention because it prescribes an approach based on a definition of gender for the transposition of its provisions. The National Assembly does not wish to make part of our national legal system neither the concept of gender, nor the gender-based approach of the Istanbul Convention. Furthermore, the provisions of the Istanbul Convention on granting asylum based on gender are contrary to the Hungarian legal framework implementing the Hungarian migration policy and ensuring effective action against illegal immigration. In our view, it is not the ratification of a treaty, but the tangible results of Government </w:t>
      </w:r>
      <w:r w:rsidR="00163B36" w:rsidRPr="00163B36">
        <w:lastRenderedPageBreak/>
        <w:t>actions that make prevention and combating violence against women and domestic violence a reality. The Hungarian legal system is in line with the provisions of the Convention prescribing a legislative task. Furthermore, Hungary offers a variety of support measures so that victims feel that they are not alone, and that they can count on the community and the country.</w:t>
      </w:r>
    </w:p>
    <w:p w14:paraId="376F9490" w14:textId="77777777" w:rsidR="006A4072" w:rsidRPr="006A4072" w:rsidRDefault="006A4072" w:rsidP="006A4072">
      <w:pPr>
        <w:pStyle w:val="SingleTxt"/>
        <w:spacing w:after="0" w:line="120" w:lineRule="exact"/>
        <w:rPr>
          <w:sz w:val="10"/>
        </w:rPr>
      </w:pPr>
    </w:p>
    <w:p w14:paraId="63103323" w14:textId="77777777" w:rsidR="006A4072" w:rsidRPr="006A4072" w:rsidRDefault="006A4072" w:rsidP="006A4072">
      <w:pPr>
        <w:pStyle w:val="SingleTxt"/>
        <w:spacing w:after="0" w:line="120" w:lineRule="exact"/>
        <w:rPr>
          <w:sz w:val="10"/>
        </w:rPr>
      </w:pPr>
    </w:p>
    <w:p w14:paraId="0495ABBC" w14:textId="4EA32005" w:rsidR="00163B36" w:rsidRPr="00163B36" w:rsidRDefault="00163B36" w:rsidP="006A4072">
      <w:pPr>
        <w:pStyle w:val="H1"/>
        <w:ind w:right="1260"/>
      </w:pPr>
      <w:r w:rsidRPr="00163B36">
        <w:tab/>
      </w:r>
      <w:r w:rsidRPr="00163B36">
        <w:tab/>
        <w:t>Trafficking and exploitation of prostitution</w:t>
      </w:r>
    </w:p>
    <w:p w14:paraId="6A8CDD4A" w14:textId="77777777" w:rsidR="006A4072" w:rsidRPr="006A4072" w:rsidRDefault="006A4072" w:rsidP="006A4072">
      <w:pPr>
        <w:pStyle w:val="SingleTxt"/>
        <w:spacing w:after="0" w:line="120" w:lineRule="exact"/>
        <w:rPr>
          <w:sz w:val="10"/>
        </w:rPr>
      </w:pPr>
    </w:p>
    <w:p w14:paraId="1022877F" w14:textId="77777777" w:rsidR="006A4072" w:rsidRPr="006A4072" w:rsidRDefault="006A4072" w:rsidP="006A4072">
      <w:pPr>
        <w:pStyle w:val="SingleTxt"/>
        <w:spacing w:after="0" w:line="120" w:lineRule="exact"/>
        <w:rPr>
          <w:sz w:val="10"/>
        </w:rPr>
      </w:pPr>
    </w:p>
    <w:p w14:paraId="7CE9FB9F" w14:textId="2C106478" w:rsidR="00163B36" w:rsidRPr="00163B36" w:rsidRDefault="006A4072" w:rsidP="00333A03">
      <w:pPr>
        <w:pStyle w:val="SingleTxt"/>
        <w:spacing w:line="234" w:lineRule="atLeast"/>
      </w:pPr>
      <w:r>
        <w:t>59</w:t>
      </w:r>
      <w:r w:rsidR="00163B36" w:rsidRPr="00163B36">
        <w:t>.</w:t>
      </w:r>
      <w:r w:rsidR="00163B36" w:rsidRPr="00163B36">
        <w:tab/>
        <w:t xml:space="preserve">In </w:t>
      </w:r>
      <w:r>
        <w:t>2020</w:t>
      </w:r>
      <w:r w:rsidR="00163B36" w:rsidRPr="00163B36">
        <w:t xml:space="preserve">, the Government adopted the National Strategy against Trafficking in Human Beings for </w:t>
      </w:r>
      <w:r>
        <w:t>2020</w:t>
      </w:r>
      <w:r w:rsidR="00EA5AB9">
        <w:t>–</w:t>
      </w:r>
      <w:r>
        <w:t>2023</w:t>
      </w:r>
      <w:r w:rsidR="00163B36" w:rsidRPr="00163B36">
        <w:t>. It is based on the four pillars of the “</w:t>
      </w:r>
      <w:proofErr w:type="spellStart"/>
      <w:r>
        <w:t>4</w:t>
      </w:r>
      <w:r w:rsidR="00163B36" w:rsidRPr="00163B36">
        <w:t>P</w:t>
      </w:r>
      <w:proofErr w:type="spellEnd"/>
      <w:r w:rsidR="00163B36" w:rsidRPr="00163B36">
        <w:t>” paradigm, as follows:</w:t>
      </w:r>
    </w:p>
    <w:p w14:paraId="37670909" w14:textId="7E62AD4E" w:rsidR="00163B36" w:rsidRPr="00163B36" w:rsidRDefault="006A4072" w:rsidP="00A41110">
      <w:pPr>
        <w:pStyle w:val="SingleTxt"/>
        <w:tabs>
          <w:tab w:val="right" w:pos="1685"/>
        </w:tabs>
        <w:spacing w:line="234" w:lineRule="atLeast"/>
        <w:ind w:left="1742" w:hanging="475"/>
      </w:pPr>
      <w:r>
        <w:tab/>
      </w:r>
      <w:r w:rsidR="00163B36" w:rsidRPr="00163B36">
        <w:t>•</w:t>
      </w:r>
      <w:r w:rsidR="00163B36" w:rsidRPr="00163B36">
        <w:tab/>
        <w:t xml:space="preserve">Prevention: awareness-raising in public educational and childcare institutions, provision of rescue cars for the sheltered accommodations and the child protection system; expanding the </w:t>
      </w:r>
      <w:proofErr w:type="spellStart"/>
      <w:r w:rsidR="00163B36" w:rsidRPr="00163B36">
        <w:t>Barnahus</w:t>
      </w:r>
      <w:proofErr w:type="spellEnd"/>
      <w:r w:rsidR="00163B36" w:rsidRPr="00163B36">
        <w:t xml:space="preserve"> network, nationwide media campaigns addressing both the at-risk populations and the demand side of human trafficking, development of information materials, etc.</w:t>
      </w:r>
    </w:p>
    <w:p w14:paraId="25E97E32" w14:textId="2A9F9035" w:rsidR="00163B36" w:rsidRDefault="006A4072" w:rsidP="00333A03">
      <w:pPr>
        <w:pStyle w:val="SingleTxt"/>
        <w:tabs>
          <w:tab w:val="right" w:pos="1685"/>
        </w:tabs>
        <w:spacing w:line="234" w:lineRule="atLeast"/>
        <w:ind w:left="1742" w:hanging="475"/>
      </w:pPr>
      <w:r>
        <w:tab/>
      </w:r>
      <w:r w:rsidR="00163B36" w:rsidRPr="00163B36">
        <w:t>•</w:t>
      </w:r>
      <w:r w:rsidR="00163B36" w:rsidRPr="00163B36">
        <w:tab/>
        <w:t>Protection: review of referral protocols, further development of the web-based system for victim identification, broadening the portfolio of services for identified victims; cooperation agreement for joint labour inspections; etc.</w:t>
      </w:r>
    </w:p>
    <w:p w14:paraId="1BF53F67" w14:textId="466C194B" w:rsidR="00163B36" w:rsidRDefault="006A4072" w:rsidP="00333A03">
      <w:pPr>
        <w:pStyle w:val="SingleTxt"/>
        <w:tabs>
          <w:tab w:val="right" w:pos="1685"/>
        </w:tabs>
        <w:spacing w:line="234" w:lineRule="atLeast"/>
        <w:ind w:left="1742" w:hanging="475"/>
      </w:pPr>
      <w:r>
        <w:tab/>
      </w:r>
      <w:r w:rsidR="00163B36" w:rsidRPr="00163B36">
        <w:t>•</w:t>
      </w:r>
      <w:r w:rsidR="00163B36" w:rsidRPr="00163B36">
        <w:tab/>
        <w:t xml:space="preserve">Prosecution: legislative amendments; training programme for investigators, </w:t>
      </w:r>
      <w:proofErr w:type="gramStart"/>
      <w:r w:rsidR="00163B36" w:rsidRPr="00163B36">
        <w:t>prosecutors</w:t>
      </w:r>
      <w:proofErr w:type="gramEnd"/>
      <w:r w:rsidR="00163B36" w:rsidRPr="00163B36">
        <w:t xml:space="preserve"> and judges; anti-trafficking group within the National Bureau of Investigation elevated to independent unit with its staff being expanded; etc.</w:t>
      </w:r>
    </w:p>
    <w:p w14:paraId="763BA2D8" w14:textId="3C133C7F" w:rsidR="00163B36" w:rsidRPr="00163B36" w:rsidRDefault="006A4072" w:rsidP="00333A03">
      <w:pPr>
        <w:pStyle w:val="SingleTxt"/>
        <w:tabs>
          <w:tab w:val="right" w:pos="1685"/>
        </w:tabs>
        <w:spacing w:line="234" w:lineRule="atLeast"/>
        <w:ind w:left="1742" w:hanging="475"/>
      </w:pPr>
      <w:r>
        <w:tab/>
      </w:r>
      <w:r w:rsidR="00163B36" w:rsidRPr="00163B36">
        <w:t>•</w:t>
      </w:r>
      <w:r w:rsidR="00163B36" w:rsidRPr="00163B36">
        <w:tab/>
        <w:t>Partnership: research activities, sustained cooperation between state bodies and NGOs, international cooperation mechanisms.</w:t>
      </w:r>
    </w:p>
    <w:p w14:paraId="68E3403D" w14:textId="6E21D7AE" w:rsidR="00163B36" w:rsidRPr="00163B36" w:rsidRDefault="006A4072" w:rsidP="00333A03">
      <w:pPr>
        <w:pStyle w:val="SingleTxt"/>
        <w:spacing w:line="234" w:lineRule="atLeast"/>
      </w:pPr>
      <w:r>
        <w:t>60</w:t>
      </w:r>
      <w:r w:rsidR="00163B36" w:rsidRPr="00163B36">
        <w:t>.</w:t>
      </w:r>
      <w:r w:rsidR="00163B36" w:rsidRPr="00163B36">
        <w:tab/>
        <w:t xml:space="preserve">The strategy is implemented by the Ministry of Interior in close cooperation with the ministries and other state bodies involved in the fight against human trafficking, as well as the NGOs operating the state-funded sheltered accommodations (see paragraph </w:t>
      </w:r>
      <w:r>
        <w:t>26</w:t>
      </w:r>
      <w:r w:rsidR="00163B36" w:rsidRPr="00163B36">
        <w:t>).</w:t>
      </w:r>
    </w:p>
    <w:p w14:paraId="71244317" w14:textId="08EDBC53" w:rsidR="00163B36" w:rsidRPr="00163B36" w:rsidRDefault="006A4072" w:rsidP="00333A03">
      <w:pPr>
        <w:pStyle w:val="SingleTxt"/>
        <w:spacing w:line="234" w:lineRule="atLeast"/>
      </w:pPr>
      <w:r>
        <w:t>61</w:t>
      </w:r>
      <w:r w:rsidR="00163B36" w:rsidRPr="00163B36">
        <w:t>.</w:t>
      </w:r>
      <w:r w:rsidR="00163B36" w:rsidRPr="00163B36">
        <w:tab/>
        <w:t xml:space="preserve">In line with the national strategy, Act V of </w:t>
      </w:r>
      <w:r>
        <w:t>2020</w:t>
      </w:r>
      <w:r w:rsidR="00163B36" w:rsidRPr="00163B36">
        <w:t xml:space="preserve"> </w:t>
      </w:r>
      <w:r w:rsidR="00163B36" w:rsidRPr="006A4072">
        <w:rPr>
          <w:i/>
          <w:iCs/>
        </w:rPr>
        <w:t>on the amendment of certain laws to prevent the exploitation of victims of human trafficking</w:t>
      </w:r>
      <w:r w:rsidR="00163B36" w:rsidRPr="00163B36">
        <w:t xml:space="preserve"> was adopted.</w:t>
      </w:r>
      <w:r>
        <w:rPr>
          <w:rStyle w:val="FootnoteReference"/>
        </w:rPr>
        <w:footnoteReference w:id="7"/>
      </w:r>
      <w:r w:rsidR="00163B36">
        <w:t xml:space="preserve"> </w:t>
      </w:r>
      <w:r w:rsidR="00163B36" w:rsidRPr="00163B36">
        <w:t xml:space="preserve">In addition to the perpetrators who enslave the victims for profit, the conscious use of services or other activities of victims of human trafficking (the demand side) also became punishable. Sexual intercourse or illicit use of human body constitutes an aggravated case with maximum </w:t>
      </w:r>
      <w:r w:rsidR="008D353C">
        <w:t>5</w:t>
      </w:r>
      <w:r w:rsidR="00163B36" w:rsidRPr="00163B36">
        <w:t xml:space="preserve"> years of imprisonment. An even higher penalty rate is applicable if someone pays for sexual intercourse with a minor.</w:t>
      </w:r>
    </w:p>
    <w:p w14:paraId="172ECEE1" w14:textId="797E4E81" w:rsidR="00163B36" w:rsidRPr="00163B36" w:rsidRDefault="006A4072" w:rsidP="00333A03">
      <w:pPr>
        <w:pStyle w:val="SingleTxt"/>
        <w:spacing w:line="234" w:lineRule="atLeast"/>
      </w:pPr>
      <w:r>
        <w:t>62</w:t>
      </w:r>
      <w:r w:rsidR="00163B36" w:rsidRPr="00163B36">
        <w:t>.</w:t>
      </w:r>
      <w:r w:rsidR="00163B36" w:rsidRPr="00163B36">
        <w:tab/>
        <w:t xml:space="preserve">This law amendment package has introduced several other safeguards with a view to protecting minors from the harmful effects of prostitution. </w:t>
      </w:r>
      <w:r w:rsidR="00163B36" w:rsidRPr="00CA572E">
        <w:rPr>
          <w:i/>
          <w:iCs/>
        </w:rPr>
        <w:t>Act on Organized Crime</w:t>
      </w:r>
      <w:r w:rsidR="00163B36" w:rsidRPr="00163B36">
        <w:t xml:space="preserve"> stipulates </w:t>
      </w:r>
      <w:proofErr w:type="gramStart"/>
      <w:r w:rsidR="00163B36" w:rsidRPr="00163B36">
        <w:t>that persons</w:t>
      </w:r>
      <w:proofErr w:type="gramEnd"/>
      <w:r w:rsidR="00163B36" w:rsidRPr="00163B36">
        <w:t xml:space="preserve"> under </w:t>
      </w:r>
      <w:r w:rsidR="008D353C">
        <w:t>18</w:t>
      </w:r>
      <w:r w:rsidR="00163B36" w:rsidRPr="00163B36">
        <w:t xml:space="preserve"> may not offer sexual services.</w:t>
      </w:r>
      <w:r w:rsidR="00163B36">
        <w:t xml:space="preserve"> </w:t>
      </w:r>
      <w:r w:rsidR="00163B36" w:rsidRPr="00163B36">
        <w:t xml:space="preserve">However, the violation of prohibition of offering sexual services is not punishable if the offender was under </w:t>
      </w:r>
      <w:r w:rsidR="00CA572E">
        <w:t>18</w:t>
      </w:r>
      <w:r w:rsidR="00163B36" w:rsidRPr="00163B36">
        <w:t xml:space="preserve"> at the time of the commission of the act (see </w:t>
      </w:r>
      <w:r w:rsidR="00163B36" w:rsidRPr="00CA572E">
        <w:rPr>
          <w:i/>
          <w:iCs/>
        </w:rPr>
        <w:t>Act on Minor Offences</w:t>
      </w:r>
      <w:r w:rsidR="00163B36" w:rsidRPr="00163B36">
        <w:t xml:space="preserve"> as amended). In practice, it means that prostitutes below </w:t>
      </w:r>
      <w:r w:rsidR="00CA572E">
        <w:t>18</w:t>
      </w:r>
      <w:r w:rsidR="00163B36" w:rsidRPr="00163B36">
        <w:t xml:space="preserve"> years are regarded as presumed victims of human trafficking and not perpetrators. Therefore, offence procedure cannot be commenced against them. Instead, they are taken into designated special childcare institutions and receive adequate support.</w:t>
      </w:r>
    </w:p>
    <w:p w14:paraId="298FC54F" w14:textId="1ECD9115" w:rsidR="00163B36" w:rsidRDefault="00CA572E" w:rsidP="00333A03">
      <w:pPr>
        <w:pStyle w:val="SingleTxt"/>
        <w:spacing w:line="234" w:lineRule="atLeast"/>
      </w:pPr>
      <w:r>
        <w:t>63</w:t>
      </w:r>
      <w:r w:rsidR="00163B36" w:rsidRPr="00163B36">
        <w:t>.</w:t>
      </w:r>
      <w:r w:rsidR="00163B36" w:rsidRPr="00163B36">
        <w:tab/>
        <w:t xml:space="preserve">Hungary provides the following services to victims of human trafficking after assessing their needs: facilitating the enforcement of interests (provision of information and legal advice, emotional help), instant monetary aid, state compensation, certificate of victim status, witness care, sheltered accommodation (see paragraphs </w:t>
      </w:r>
      <w:r>
        <w:t>117–118</w:t>
      </w:r>
      <w:r w:rsidR="00163B36" w:rsidRPr="00163B36">
        <w:t xml:space="preserve"> of the </w:t>
      </w:r>
      <w:r>
        <w:t>9</w:t>
      </w:r>
      <w:r w:rsidR="00163B36" w:rsidRPr="00163B36">
        <w:t>th periodic report).</w:t>
      </w:r>
    </w:p>
    <w:p w14:paraId="569D7F21" w14:textId="1C9928D3" w:rsidR="00163B36" w:rsidRPr="00163B36" w:rsidRDefault="00163B36" w:rsidP="00CA572E">
      <w:pPr>
        <w:pStyle w:val="H1"/>
        <w:ind w:right="1260"/>
      </w:pPr>
      <w:r w:rsidRPr="00163B36">
        <w:lastRenderedPageBreak/>
        <w:tab/>
      </w:r>
      <w:r w:rsidRPr="00163B36">
        <w:tab/>
        <w:t>Participation in political and public life</w:t>
      </w:r>
    </w:p>
    <w:p w14:paraId="3E972B64" w14:textId="77777777" w:rsidR="00CA572E" w:rsidRPr="00CA572E" w:rsidRDefault="00CA572E" w:rsidP="00CA572E">
      <w:pPr>
        <w:pStyle w:val="SingleTxt"/>
        <w:spacing w:after="0" w:line="120" w:lineRule="exact"/>
        <w:rPr>
          <w:sz w:val="10"/>
        </w:rPr>
      </w:pPr>
    </w:p>
    <w:p w14:paraId="67056B17" w14:textId="77777777" w:rsidR="00CA572E" w:rsidRPr="00CA572E" w:rsidRDefault="00CA572E" w:rsidP="00CA572E">
      <w:pPr>
        <w:pStyle w:val="SingleTxt"/>
        <w:spacing w:after="0" w:line="120" w:lineRule="exact"/>
        <w:rPr>
          <w:sz w:val="10"/>
        </w:rPr>
      </w:pPr>
    </w:p>
    <w:p w14:paraId="7322F5B8" w14:textId="45173009" w:rsidR="00163B36" w:rsidRPr="00163B36" w:rsidRDefault="00CA572E" w:rsidP="00163B36">
      <w:pPr>
        <w:pStyle w:val="SingleTxt"/>
      </w:pPr>
      <w:r>
        <w:t>64</w:t>
      </w:r>
      <w:r w:rsidR="00163B36" w:rsidRPr="00163B36">
        <w:t>.</w:t>
      </w:r>
      <w:r w:rsidR="00163B36" w:rsidRPr="00163B36">
        <w:tab/>
        <w:t xml:space="preserve">The Government of Hungary holds that it is of paramount importance for women to have fair chances and opportunities to apply for senior or leadership positions, and </w:t>
      </w:r>
      <w:r w:rsidR="00163B36" w:rsidRPr="00333A03">
        <w:rPr>
          <w:spacing w:val="2"/>
          <w:w w:val="102"/>
        </w:rPr>
        <w:t xml:space="preserve">to participate in public life, including legislation and judiciary. In this spirit, chapter </w:t>
      </w:r>
      <w:r w:rsidR="005856F3" w:rsidRPr="00333A03">
        <w:rPr>
          <w:spacing w:val="2"/>
          <w:w w:val="102"/>
        </w:rPr>
        <w:t>2</w:t>
      </w:r>
      <w:r w:rsidR="00163B36" w:rsidRPr="00163B36">
        <w:t xml:space="preserve"> of the Action Plan </w:t>
      </w:r>
      <w:r>
        <w:t>202</w:t>
      </w:r>
      <w:r w:rsidR="005856F3">
        <w:t>1</w:t>
      </w:r>
      <w:r w:rsidR="00EA5AB9">
        <w:t>–</w:t>
      </w:r>
      <w:r>
        <w:t>2030</w:t>
      </w:r>
      <w:r w:rsidR="00163B36" w:rsidRPr="00163B36">
        <w:t xml:space="preserve"> sets out certain goals, see paragraph </w:t>
      </w:r>
      <w:r>
        <w:t>25</w:t>
      </w:r>
      <w:r w:rsidR="00163B36" w:rsidRPr="00163B36">
        <w:t>.</w:t>
      </w:r>
    </w:p>
    <w:p w14:paraId="1F3980CB" w14:textId="497C7423" w:rsidR="00163B36" w:rsidRPr="00163B36" w:rsidRDefault="00CA572E" w:rsidP="00163B36">
      <w:pPr>
        <w:pStyle w:val="SingleTxt"/>
      </w:pPr>
      <w:r>
        <w:t>65</w:t>
      </w:r>
      <w:r w:rsidR="00163B36" w:rsidRPr="00163B36">
        <w:t>.</w:t>
      </w:r>
      <w:r w:rsidR="00163B36" w:rsidRPr="00163B36">
        <w:tab/>
        <w:t xml:space="preserve">There are further initiatives to encourage women to participate in political and public life. The Women for Hungary Club and the Women for the Hungarian National Movement – both being private associations founded by the Minister for Families – are initiatives that support women </w:t>
      </w:r>
      <w:proofErr w:type="gramStart"/>
      <w:r w:rsidR="00163B36" w:rsidRPr="00163B36">
        <w:t>e.g.</w:t>
      </w:r>
      <w:proofErr w:type="gramEnd"/>
      <w:r w:rsidR="00163B36" w:rsidRPr="00163B36">
        <w:t xml:space="preserve"> by rewarding outstanding performances during the COVID-</w:t>
      </w:r>
      <w:r>
        <w:t>19</w:t>
      </w:r>
      <w:r w:rsidR="00163B36" w:rsidRPr="00163B36">
        <w:t xml:space="preserve"> crisis.</w:t>
      </w:r>
      <w:r>
        <w:rPr>
          <w:rStyle w:val="FootnoteReference"/>
        </w:rPr>
        <w:footnoteReference w:id="8"/>
      </w:r>
      <w:r w:rsidR="00163B36">
        <w:t xml:space="preserve"> </w:t>
      </w:r>
      <w:r w:rsidR="00163B36" w:rsidRPr="00163B36">
        <w:t>The Women</w:t>
      </w:r>
      <w:r w:rsidR="00024758">
        <w:t>’</w:t>
      </w:r>
      <w:r w:rsidR="00163B36" w:rsidRPr="00163B36">
        <w:t xml:space="preserve">s Public Leadership Training Program, supported by the Government of Hungary by HUF </w:t>
      </w:r>
      <w:r>
        <w:t>20</w:t>
      </w:r>
      <w:r w:rsidR="00163B36" w:rsidRPr="00163B36">
        <w:t xml:space="preserve"> million (USD </w:t>
      </w:r>
      <w:r>
        <w:t>70</w:t>
      </w:r>
      <w:r w:rsidR="00163B36" w:rsidRPr="00163B36">
        <w:t>,</w:t>
      </w:r>
      <w:r>
        <w:t>282</w:t>
      </w:r>
      <w:r w:rsidR="00163B36" w:rsidRPr="00163B36">
        <w:t xml:space="preserve">)/year, offers free training for women aged </w:t>
      </w:r>
      <w:r>
        <w:t>18–36</w:t>
      </w:r>
      <w:r w:rsidR="00163B36" w:rsidRPr="00163B36">
        <w:t xml:space="preserve"> wishing to pursue a career in public life.</w:t>
      </w:r>
    </w:p>
    <w:p w14:paraId="5A9E0A11" w14:textId="74F3C0E6" w:rsidR="00163B36" w:rsidRDefault="00CA572E" w:rsidP="00163B36">
      <w:pPr>
        <w:pStyle w:val="SingleTxt"/>
      </w:pPr>
      <w:r>
        <w:t>66</w:t>
      </w:r>
      <w:r w:rsidR="00163B36" w:rsidRPr="00163B36">
        <w:t>.</w:t>
      </w:r>
      <w:r w:rsidR="00163B36" w:rsidRPr="00163B36">
        <w:tab/>
        <w:t xml:space="preserve">In </w:t>
      </w:r>
      <w:r>
        <w:t>2020</w:t>
      </w:r>
      <w:r w:rsidR="00163B36" w:rsidRPr="00163B36">
        <w:t>, the number of female ministers in Hungary increased to three (Minister without Portfolio for Families, Minister without Portfolio for the Development of Public Assets and Minister of Justice). The additional requested data are indicated in the below table:</w:t>
      </w:r>
    </w:p>
    <w:p w14:paraId="0F1FC00F" w14:textId="77777777" w:rsidR="00CA572E" w:rsidRPr="00CA572E" w:rsidRDefault="00CA572E" w:rsidP="00CA572E">
      <w:pPr>
        <w:pStyle w:val="SingleTxt"/>
        <w:spacing w:after="0" w:line="120" w:lineRule="exact"/>
        <w:rPr>
          <w:sz w:val="10"/>
        </w:rPr>
      </w:pPr>
    </w:p>
    <w:p w14:paraId="0CC6FE80" w14:textId="77777777" w:rsidR="00CA572E" w:rsidRPr="00CA572E" w:rsidRDefault="00163B36" w:rsidP="00CA57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CA572E">
        <w:rPr>
          <w:b w:val="0"/>
          <w:bCs/>
        </w:rPr>
        <w:tab/>
      </w:r>
      <w:r w:rsidRPr="00CA572E">
        <w:rPr>
          <w:b w:val="0"/>
          <w:bCs/>
        </w:rPr>
        <w:tab/>
        <w:t xml:space="preserve">Table </w:t>
      </w:r>
      <w:r w:rsidR="00CA572E" w:rsidRPr="00CA572E">
        <w:rPr>
          <w:b w:val="0"/>
          <w:bCs/>
        </w:rPr>
        <w:t>2</w:t>
      </w:r>
    </w:p>
    <w:p w14:paraId="19B464E9" w14:textId="0FABAC23" w:rsidR="00163B36" w:rsidRDefault="00CA572E" w:rsidP="00CA57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63B36" w:rsidRPr="00163B36">
        <w:t xml:space="preserve">Rate of women employed in </w:t>
      </w:r>
      <w:r w:rsidR="001F157E">
        <w:t>2020</w:t>
      </w:r>
    </w:p>
    <w:p w14:paraId="0B0BE05E" w14:textId="3381FD43" w:rsidR="00CA572E" w:rsidRPr="00960FB8" w:rsidRDefault="00CA572E" w:rsidP="00960FB8">
      <w:pPr>
        <w:pStyle w:val="SingleTxt"/>
        <w:spacing w:after="0" w:line="120" w:lineRule="exact"/>
        <w:rPr>
          <w:sz w:val="10"/>
        </w:rPr>
      </w:pPr>
    </w:p>
    <w:p w14:paraId="1CDDB069" w14:textId="77777777" w:rsidR="00960FB8" w:rsidRPr="00CA572E" w:rsidRDefault="00960FB8" w:rsidP="00CA572E">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936C11" w:rsidRPr="00960FB8" w14:paraId="6794FED9" w14:textId="77777777" w:rsidTr="00960FB8">
        <w:tc>
          <w:tcPr>
            <w:tcW w:w="3660" w:type="dxa"/>
            <w:tcBorders>
              <w:top w:val="single" w:sz="4" w:space="0" w:color="auto"/>
            </w:tcBorders>
            <w:shd w:val="clear" w:color="auto" w:fill="auto"/>
            <w:vAlign w:val="bottom"/>
          </w:tcPr>
          <w:p w14:paraId="68331247" w14:textId="77777777" w:rsidR="00936C11" w:rsidRPr="00960FB8" w:rsidRDefault="00936C11" w:rsidP="00960F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60FB8">
              <w:rPr>
                <w:sz w:val="17"/>
              </w:rPr>
              <w:t>Judiciary and court system</w:t>
            </w:r>
          </w:p>
        </w:tc>
        <w:tc>
          <w:tcPr>
            <w:tcW w:w="3660" w:type="dxa"/>
            <w:tcBorders>
              <w:top w:val="single" w:sz="4" w:space="0" w:color="auto"/>
            </w:tcBorders>
            <w:shd w:val="clear" w:color="auto" w:fill="auto"/>
            <w:vAlign w:val="bottom"/>
          </w:tcPr>
          <w:p w14:paraId="0A512F6C" w14:textId="77777777" w:rsidR="00936C11" w:rsidRPr="00960FB8" w:rsidRDefault="00936C11" w:rsidP="00960F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60FB8">
              <w:rPr>
                <w:sz w:val="17"/>
              </w:rPr>
              <w:t>63.4%</w:t>
            </w:r>
          </w:p>
        </w:tc>
      </w:tr>
      <w:tr w:rsidR="00936C11" w:rsidRPr="00960FB8" w14:paraId="5B6C70E4" w14:textId="77777777" w:rsidTr="00960FB8">
        <w:tc>
          <w:tcPr>
            <w:tcW w:w="3660" w:type="dxa"/>
            <w:shd w:val="clear" w:color="auto" w:fill="auto"/>
            <w:vAlign w:val="bottom"/>
          </w:tcPr>
          <w:p w14:paraId="5A01C903" w14:textId="77777777" w:rsidR="00936C11" w:rsidRPr="00960FB8" w:rsidRDefault="00936C11" w:rsidP="00960F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60FB8">
              <w:rPr>
                <w:sz w:val="17"/>
              </w:rPr>
              <w:t>Scientific research and development</w:t>
            </w:r>
          </w:p>
        </w:tc>
        <w:tc>
          <w:tcPr>
            <w:tcW w:w="3660" w:type="dxa"/>
            <w:shd w:val="clear" w:color="auto" w:fill="auto"/>
            <w:vAlign w:val="bottom"/>
          </w:tcPr>
          <w:p w14:paraId="11894D70" w14:textId="77777777" w:rsidR="00936C11" w:rsidRPr="00960FB8" w:rsidRDefault="00936C11" w:rsidP="00960F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60FB8">
              <w:rPr>
                <w:sz w:val="17"/>
              </w:rPr>
              <w:t>36.6%</w:t>
            </w:r>
          </w:p>
        </w:tc>
      </w:tr>
      <w:tr w:rsidR="00936C11" w:rsidRPr="00960FB8" w14:paraId="287479DD" w14:textId="77777777" w:rsidTr="00960FB8">
        <w:tc>
          <w:tcPr>
            <w:tcW w:w="3660" w:type="dxa"/>
            <w:tcBorders>
              <w:bottom w:val="single" w:sz="12" w:space="0" w:color="auto"/>
            </w:tcBorders>
            <w:shd w:val="clear" w:color="auto" w:fill="auto"/>
            <w:vAlign w:val="bottom"/>
          </w:tcPr>
          <w:p w14:paraId="6A33C54D" w14:textId="77777777" w:rsidR="00936C11" w:rsidRPr="00960FB8" w:rsidRDefault="00936C11" w:rsidP="00960F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60FB8">
              <w:rPr>
                <w:sz w:val="17"/>
              </w:rPr>
              <w:t>Tertiary education</w:t>
            </w:r>
          </w:p>
        </w:tc>
        <w:tc>
          <w:tcPr>
            <w:tcW w:w="3660" w:type="dxa"/>
            <w:tcBorders>
              <w:bottom w:val="single" w:sz="12" w:space="0" w:color="auto"/>
            </w:tcBorders>
            <w:shd w:val="clear" w:color="auto" w:fill="auto"/>
            <w:vAlign w:val="bottom"/>
          </w:tcPr>
          <w:p w14:paraId="5F24F915" w14:textId="77777777" w:rsidR="00936C11" w:rsidRPr="00960FB8" w:rsidRDefault="00936C11" w:rsidP="00960F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60FB8">
              <w:rPr>
                <w:sz w:val="17"/>
              </w:rPr>
              <w:t>61.3%</w:t>
            </w:r>
          </w:p>
        </w:tc>
      </w:tr>
    </w:tbl>
    <w:p w14:paraId="02887BF2" w14:textId="7E01F315" w:rsidR="00163B36" w:rsidRPr="00936C11" w:rsidRDefault="00163B36" w:rsidP="00936C11">
      <w:pPr>
        <w:pStyle w:val="SingleTxt"/>
        <w:spacing w:after="0" w:line="120" w:lineRule="exact"/>
        <w:rPr>
          <w:sz w:val="10"/>
        </w:rPr>
      </w:pPr>
    </w:p>
    <w:p w14:paraId="2BD765B7" w14:textId="0165E557" w:rsidR="00936C11" w:rsidRPr="00936C11" w:rsidRDefault="00936C11" w:rsidP="00936C11">
      <w:pPr>
        <w:pStyle w:val="SingleTxt"/>
        <w:spacing w:after="0" w:line="120" w:lineRule="exact"/>
        <w:rPr>
          <w:sz w:val="10"/>
        </w:rPr>
      </w:pPr>
    </w:p>
    <w:p w14:paraId="3D1BF580" w14:textId="74A6007F" w:rsidR="00936C11" w:rsidRPr="00936C11" w:rsidRDefault="00936C11" w:rsidP="00936C11">
      <w:pPr>
        <w:pStyle w:val="SingleTxt"/>
        <w:spacing w:after="0" w:line="120" w:lineRule="exact"/>
        <w:rPr>
          <w:sz w:val="10"/>
        </w:rPr>
      </w:pPr>
    </w:p>
    <w:p w14:paraId="49079C33" w14:textId="7186BE68" w:rsidR="00163B36" w:rsidRDefault="00163B36" w:rsidP="00936C11">
      <w:pPr>
        <w:pStyle w:val="H1"/>
        <w:ind w:right="1260"/>
      </w:pPr>
      <w:r w:rsidRPr="00163B36">
        <w:tab/>
      </w:r>
      <w:r w:rsidRPr="00163B36">
        <w:tab/>
        <w:t>Education</w:t>
      </w:r>
    </w:p>
    <w:p w14:paraId="59439221" w14:textId="1049E544" w:rsidR="00960FB8" w:rsidRPr="00960FB8" w:rsidRDefault="00960FB8" w:rsidP="00960FB8">
      <w:pPr>
        <w:pStyle w:val="SingleTxt"/>
        <w:spacing w:after="0" w:line="120" w:lineRule="exact"/>
        <w:rPr>
          <w:sz w:val="10"/>
        </w:rPr>
      </w:pPr>
    </w:p>
    <w:p w14:paraId="7DED1D0B" w14:textId="0C8029CF" w:rsidR="00960FB8" w:rsidRPr="00960FB8" w:rsidRDefault="00960FB8" w:rsidP="00960FB8">
      <w:pPr>
        <w:pStyle w:val="SingleTxt"/>
        <w:spacing w:after="0" w:line="120" w:lineRule="exact"/>
        <w:rPr>
          <w:sz w:val="10"/>
        </w:rPr>
      </w:pPr>
    </w:p>
    <w:p w14:paraId="44002D97" w14:textId="59A7F499" w:rsidR="00163B36" w:rsidRPr="00333A03" w:rsidRDefault="00936C11" w:rsidP="00163B36">
      <w:pPr>
        <w:pStyle w:val="SingleTxt"/>
        <w:rPr>
          <w:spacing w:val="2"/>
          <w:w w:val="102"/>
        </w:rPr>
      </w:pPr>
      <w:r w:rsidRPr="00333A03">
        <w:rPr>
          <w:spacing w:val="2"/>
          <w:w w:val="102"/>
        </w:rPr>
        <w:t>67</w:t>
      </w:r>
      <w:r w:rsidR="00163B36" w:rsidRPr="00333A03">
        <w:rPr>
          <w:spacing w:val="2"/>
          <w:w w:val="102"/>
        </w:rPr>
        <w:t>.</w:t>
      </w:r>
      <w:r w:rsidR="00163B36" w:rsidRPr="00333A03">
        <w:rPr>
          <w:spacing w:val="2"/>
          <w:w w:val="102"/>
        </w:rPr>
        <w:tab/>
        <w:t xml:space="preserve">As a general ambition, Hungary wishes to increase the number of students studying mathematics, science, technology, and information technology. To this end, Hungary adopted “Shifting of Gears in Higher Education Mid-term Policy Strategy </w:t>
      </w:r>
      <w:r w:rsidRPr="00333A03">
        <w:rPr>
          <w:spacing w:val="2"/>
          <w:w w:val="102"/>
        </w:rPr>
        <w:t>2016</w:t>
      </w:r>
      <w:r w:rsidR="00163B36" w:rsidRPr="00333A03">
        <w:rPr>
          <w:spacing w:val="2"/>
          <w:w w:val="102"/>
        </w:rPr>
        <w:t xml:space="preserve">” that supports students by, inter alia, providing study-based scholarships. </w:t>
      </w:r>
      <w:proofErr w:type="gramStart"/>
      <w:r w:rsidR="00163B36" w:rsidRPr="00333A03">
        <w:rPr>
          <w:spacing w:val="2"/>
          <w:w w:val="102"/>
        </w:rPr>
        <w:t>Similar to</w:t>
      </w:r>
      <w:proofErr w:type="gramEnd"/>
      <w:r w:rsidR="00163B36" w:rsidRPr="00333A03">
        <w:rPr>
          <w:spacing w:val="2"/>
          <w:w w:val="102"/>
        </w:rPr>
        <w:t xml:space="preserve"> international trends, women</w:t>
      </w:r>
      <w:r w:rsidR="00024758" w:rsidRPr="00333A03">
        <w:rPr>
          <w:spacing w:val="2"/>
          <w:w w:val="102"/>
        </w:rPr>
        <w:t>’</w:t>
      </w:r>
      <w:r w:rsidR="00163B36" w:rsidRPr="00333A03">
        <w:rPr>
          <w:spacing w:val="2"/>
          <w:w w:val="102"/>
        </w:rPr>
        <w:t>s participation in IT and engineering is lower than that of men (</w:t>
      </w:r>
      <w:r w:rsidRPr="00333A03">
        <w:rPr>
          <w:spacing w:val="2"/>
          <w:w w:val="102"/>
        </w:rPr>
        <w:t>14</w:t>
      </w:r>
      <w:r w:rsidR="00163B36" w:rsidRPr="00333A03">
        <w:rPr>
          <w:spacing w:val="2"/>
          <w:w w:val="102"/>
        </w:rPr>
        <w:t xml:space="preserve"> per cent and </w:t>
      </w:r>
      <w:r w:rsidRPr="00333A03">
        <w:rPr>
          <w:spacing w:val="2"/>
          <w:w w:val="102"/>
        </w:rPr>
        <w:t>24</w:t>
      </w:r>
      <w:r w:rsidR="00163B36" w:rsidRPr="00333A03">
        <w:rPr>
          <w:spacing w:val="2"/>
          <w:w w:val="102"/>
        </w:rPr>
        <w:t xml:space="preserve"> per cent, respectively). To address this general phenomenon, the relevant ministry is planning a new scholarship program. The objective of the so-called Informatics, engineering, </w:t>
      </w:r>
      <w:proofErr w:type="gramStart"/>
      <w:r w:rsidR="00163B36" w:rsidRPr="00333A03">
        <w:rPr>
          <w:spacing w:val="2"/>
          <w:w w:val="102"/>
        </w:rPr>
        <w:t>agriculture</w:t>
      </w:r>
      <w:proofErr w:type="gramEnd"/>
      <w:r w:rsidR="00163B36" w:rsidRPr="00333A03">
        <w:rPr>
          <w:spacing w:val="2"/>
          <w:w w:val="102"/>
        </w:rPr>
        <w:t xml:space="preserve"> and science training scholarship program is among others to increase the number of women studying in these fields. The orientation of women towards STEM-fields is one of the objectives of the </w:t>
      </w:r>
      <w:proofErr w:type="gramStart"/>
      <w:r w:rsidR="00163B36" w:rsidRPr="00333A03">
        <w:rPr>
          <w:spacing w:val="2"/>
          <w:w w:val="102"/>
        </w:rPr>
        <w:t>Agenda</w:t>
      </w:r>
      <w:proofErr w:type="gramEnd"/>
      <w:r w:rsidR="00163B36" w:rsidRPr="00333A03">
        <w:rPr>
          <w:spacing w:val="2"/>
          <w:w w:val="102"/>
        </w:rPr>
        <w:t xml:space="preserve"> </w:t>
      </w:r>
      <w:r w:rsidRPr="00333A03">
        <w:rPr>
          <w:spacing w:val="2"/>
          <w:w w:val="102"/>
        </w:rPr>
        <w:t>2021</w:t>
      </w:r>
      <w:r w:rsidR="00EA5AB9" w:rsidRPr="00333A03">
        <w:rPr>
          <w:spacing w:val="2"/>
          <w:w w:val="102"/>
        </w:rPr>
        <w:t>–</w:t>
      </w:r>
      <w:r w:rsidRPr="00333A03">
        <w:rPr>
          <w:spacing w:val="2"/>
          <w:w w:val="102"/>
        </w:rPr>
        <w:t>2030</w:t>
      </w:r>
      <w:r w:rsidR="00163B36" w:rsidRPr="00333A03">
        <w:rPr>
          <w:spacing w:val="2"/>
          <w:w w:val="102"/>
        </w:rPr>
        <w:t xml:space="preserve"> (see Chapter </w:t>
      </w:r>
      <w:r w:rsidRPr="00333A03">
        <w:rPr>
          <w:spacing w:val="2"/>
          <w:w w:val="102"/>
        </w:rPr>
        <w:t>2</w:t>
      </w:r>
      <w:r w:rsidR="00163B36" w:rsidRPr="00333A03">
        <w:rPr>
          <w:spacing w:val="2"/>
          <w:w w:val="102"/>
        </w:rPr>
        <w:t xml:space="preserve"> d)). As an institutional best practice, the then-state-owned University of Miskolc initiated the so-called </w:t>
      </w:r>
      <w:r w:rsidR="00024758" w:rsidRPr="00333A03">
        <w:rPr>
          <w:spacing w:val="2"/>
          <w:w w:val="102"/>
        </w:rPr>
        <w:t>‘</w:t>
      </w:r>
      <w:r w:rsidR="00163B36" w:rsidRPr="00333A03">
        <w:rPr>
          <w:spacing w:val="2"/>
          <w:w w:val="102"/>
        </w:rPr>
        <w:t>Know-Ledge Program</w:t>
      </w:r>
      <w:r w:rsidR="00024758" w:rsidRPr="00333A03">
        <w:rPr>
          <w:spacing w:val="2"/>
          <w:w w:val="102"/>
        </w:rPr>
        <w:t>’</w:t>
      </w:r>
      <w:r w:rsidR="00163B36" w:rsidRPr="00333A03">
        <w:rPr>
          <w:spacing w:val="2"/>
          <w:w w:val="102"/>
        </w:rPr>
        <w:t xml:space="preserve"> with its subproject </w:t>
      </w:r>
      <w:r w:rsidR="00024758" w:rsidRPr="00333A03">
        <w:rPr>
          <w:spacing w:val="2"/>
          <w:w w:val="102"/>
        </w:rPr>
        <w:t>‘</w:t>
      </w:r>
      <w:proofErr w:type="spellStart"/>
      <w:r w:rsidR="00163B36" w:rsidRPr="00333A03">
        <w:rPr>
          <w:spacing w:val="2"/>
          <w:w w:val="102"/>
        </w:rPr>
        <w:t>MEnők</w:t>
      </w:r>
      <w:proofErr w:type="spellEnd"/>
      <w:r w:rsidR="00163B36" w:rsidRPr="00333A03">
        <w:rPr>
          <w:spacing w:val="2"/>
          <w:w w:val="102"/>
        </w:rPr>
        <w:t xml:space="preserve"> – Women in the world of Science.” The university published a book with interviews and DIY activities for the younger generation the interviewees were women with outstanding scientific achievements in STEM-related academic fields.</w:t>
      </w:r>
    </w:p>
    <w:p w14:paraId="059FAC55" w14:textId="4729AE37" w:rsidR="00163B36" w:rsidRDefault="00936C11" w:rsidP="00163B36">
      <w:pPr>
        <w:pStyle w:val="SingleTxt"/>
      </w:pPr>
      <w:r>
        <w:t>68</w:t>
      </w:r>
      <w:r w:rsidR="00163B36" w:rsidRPr="00163B36">
        <w:t>.</w:t>
      </w:r>
      <w:r w:rsidR="00163B36" w:rsidRPr="00163B36">
        <w:tab/>
        <w:t xml:space="preserve">Concerning the participation of Roma, asylum-seeker or migrant students in education, no statistics is available because data on national, ethnic, </w:t>
      </w:r>
      <w:proofErr w:type="gramStart"/>
      <w:r w:rsidR="00163B36" w:rsidRPr="00163B36">
        <w:t>religious</w:t>
      </w:r>
      <w:proofErr w:type="gramEnd"/>
      <w:r w:rsidR="00163B36" w:rsidRPr="00163B36">
        <w:t xml:space="preserve"> or linguistic minority status can only be collected on a voluntary basis. In </w:t>
      </w:r>
      <w:r>
        <w:t>2013</w:t>
      </w:r>
      <w:r w:rsidR="00163B36" w:rsidRPr="00163B36">
        <w:t xml:space="preserve">, the network of Roma vocational colleges was set up and in </w:t>
      </w:r>
      <w:r>
        <w:t>2020</w:t>
      </w:r>
      <w:r w:rsidR="00163B36" w:rsidRPr="00163B36">
        <w:t xml:space="preserve">, these Roma vocational colleges (altogether </w:t>
      </w:r>
      <w:r>
        <w:t>11</w:t>
      </w:r>
      <w:r w:rsidR="00163B36" w:rsidRPr="00163B36">
        <w:t xml:space="preserve">) had </w:t>
      </w:r>
      <w:r>
        <w:t>330</w:t>
      </w:r>
      <w:r w:rsidR="00163B36" w:rsidRPr="00163B36">
        <w:t xml:space="preserve"> students. To support Roma girls in education, in the Bari </w:t>
      </w:r>
      <w:proofErr w:type="spellStart"/>
      <w:r w:rsidR="00163B36" w:rsidRPr="00163B36">
        <w:t>shej</w:t>
      </w:r>
      <w:proofErr w:type="spellEnd"/>
      <w:r w:rsidR="00163B36" w:rsidRPr="00163B36">
        <w:t xml:space="preserve">-Fata </w:t>
      </w:r>
      <w:proofErr w:type="spellStart"/>
      <w:r w:rsidR="00163B36" w:rsidRPr="00163B36">
        <w:t>maré</w:t>
      </w:r>
      <w:proofErr w:type="spellEnd"/>
      <w:r w:rsidR="00163B36" w:rsidRPr="00163B36">
        <w:t xml:space="preserve">-Girl Program was launched in </w:t>
      </w:r>
      <w:r>
        <w:t>2016</w:t>
      </w:r>
      <w:r w:rsidR="00163B36" w:rsidRPr="00163B36">
        <w:t>.</w:t>
      </w:r>
    </w:p>
    <w:p w14:paraId="58F94040" w14:textId="7010FA55" w:rsidR="00163B36" w:rsidRDefault="00936C11" w:rsidP="00163B36">
      <w:pPr>
        <w:pStyle w:val="SingleTxt"/>
      </w:pPr>
      <w:r>
        <w:lastRenderedPageBreak/>
        <w:t>69</w:t>
      </w:r>
      <w:r w:rsidR="00163B36" w:rsidRPr="00163B36">
        <w:t>.</w:t>
      </w:r>
      <w:r w:rsidR="00163B36" w:rsidRPr="00163B36">
        <w:tab/>
        <w:t xml:space="preserve">The aim of this program is to reduce dropout rates of Roma girls, to increase their chances of further education and to provide a complex service that focuses on personal development. The target group consists of </w:t>
      </w:r>
      <w:r>
        <w:t>10</w:t>
      </w:r>
      <w:r w:rsidR="00163B36" w:rsidRPr="00163B36">
        <w:t>–</w:t>
      </w:r>
      <w:r>
        <w:t>18</w:t>
      </w:r>
      <w:r w:rsidR="00163B36" w:rsidRPr="00163B36">
        <w:t>-year-old elementary or secondary school girls</w:t>
      </w:r>
      <w:r w:rsidR="008C2ECD">
        <w:t xml:space="preserve"> </w:t>
      </w:r>
      <w:r w:rsidR="00EA5AB9">
        <w:t>–</w:t>
      </w:r>
      <w:r w:rsidR="008C2ECD">
        <w:t xml:space="preserve"> </w:t>
      </w:r>
      <w:r w:rsidR="00163B36" w:rsidRPr="00163B36">
        <w:t>especially Roma students</w:t>
      </w:r>
      <w:r w:rsidR="008C2ECD">
        <w:t xml:space="preserve"> </w:t>
      </w:r>
      <w:r w:rsidR="00EA5AB9">
        <w:t>–</w:t>
      </w:r>
      <w:r w:rsidR="008C2ECD">
        <w:t xml:space="preserve"> </w:t>
      </w:r>
      <w:r w:rsidR="00163B36" w:rsidRPr="00163B36">
        <w:t>who are at risk of dropping out.</w:t>
      </w:r>
      <w:r>
        <w:rPr>
          <w:rStyle w:val="FootnoteReference"/>
        </w:rPr>
        <w:footnoteReference w:id="9"/>
      </w:r>
      <w:r w:rsidR="00163B36">
        <w:t xml:space="preserve"> </w:t>
      </w:r>
      <w:r w:rsidR="00163B36" w:rsidRPr="00163B36">
        <w:t>To these girls, a mentor is assigned who is assisting them both with learning and managing their everyday lives for two years. The girls took part in self-knowledge and career guiding sessions, in trainings aimed at preventing victimization of trafficking and sessions dealing with family roles and parenting skills. The project ended in</w:t>
      </w:r>
      <w:r w:rsidR="0007129D">
        <w:t xml:space="preserve"> </w:t>
      </w:r>
      <w:r>
        <w:t>2020</w:t>
      </w:r>
      <w:r w:rsidR="00163B36" w:rsidRPr="00163B36">
        <w:t xml:space="preserve">, with ca. </w:t>
      </w:r>
      <w:r>
        <w:t>440</w:t>
      </w:r>
      <w:r w:rsidR="00163B36" w:rsidRPr="00163B36">
        <w:t xml:space="preserve"> mentors in </w:t>
      </w:r>
      <w:r>
        <w:t>16</w:t>
      </w:r>
      <w:r w:rsidR="00163B36" w:rsidRPr="00163B36">
        <w:t xml:space="preserve"> counties supporting nearly </w:t>
      </w:r>
      <w:r>
        <w:t>2000</w:t>
      </w:r>
      <w:r w:rsidR="00163B36" w:rsidRPr="00163B36">
        <w:t xml:space="preserve"> young girls (and indirectly, their families).</w:t>
      </w:r>
    </w:p>
    <w:p w14:paraId="6B03F496" w14:textId="5B2865F5" w:rsidR="00163B36" w:rsidRPr="00163B36" w:rsidRDefault="00936C11" w:rsidP="00936C11">
      <w:pPr>
        <w:pStyle w:val="SingleTxt"/>
      </w:pPr>
      <w:r>
        <w:t>70</w:t>
      </w:r>
      <w:r w:rsidR="00163B36" w:rsidRPr="00163B36">
        <w:t>.</w:t>
      </w:r>
      <w:r w:rsidR="00163B36" w:rsidRPr="00163B36">
        <w:tab/>
        <w:t xml:space="preserve">As to the educational programmes on family skills, the currently available MSc courses – Consultancy in Family Education, Mental Health Family Consultant, Economics of Family Policy, Public Policies for Human </w:t>
      </w:r>
      <w:proofErr w:type="gramStart"/>
      <w:r w:rsidR="00163B36" w:rsidRPr="00163B36">
        <w:t>Development</w:t>
      </w:r>
      <w:proofErr w:type="gramEnd"/>
      <w:r w:rsidR="00163B36" w:rsidRPr="00163B36">
        <w:t xml:space="preserve"> and Interdisciplinary Family Studies view women</w:t>
      </w:r>
      <w:r w:rsidR="00024758">
        <w:t>’</w:t>
      </w:r>
      <w:r w:rsidR="00163B36" w:rsidRPr="00163B36">
        <w:t>s roles in the family from a multi</w:t>
      </w:r>
      <w:r w:rsidR="006F19E2">
        <w:noBreakHyphen/>
      </w:r>
      <w:r w:rsidR="00163B36" w:rsidRPr="00163B36">
        <w:t>angled perspective and provide a balanced approach.</w:t>
      </w:r>
    </w:p>
    <w:p w14:paraId="663E590B" w14:textId="4FF9E146" w:rsidR="00163B36" w:rsidRDefault="00936C11" w:rsidP="00163B36">
      <w:pPr>
        <w:pStyle w:val="SingleTxt"/>
      </w:pPr>
      <w:r>
        <w:t>71</w:t>
      </w:r>
      <w:r w:rsidR="00163B36" w:rsidRPr="00163B36">
        <w:t>.</w:t>
      </w:r>
      <w:r w:rsidR="00163B36" w:rsidRPr="00163B36">
        <w:tab/>
        <w:t>To prevent and address violence and harassment in educational settings, most higher education institutions have their own policies and procedures (such as Code of Ethics, Equal Opportunities Code, Guidelines against discrimination and sexual harassment, Ethics Committee, Gender Equality Plan etc.).</w:t>
      </w:r>
    </w:p>
    <w:p w14:paraId="108AD891" w14:textId="77777777" w:rsidR="00936C11" w:rsidRPr="00936C11" w:rsidRDefault="00936C11" w:rsidP="00936C11">
      <w:pPr>
        <w:pStyle w:val="SingleTxt"/>
        <w:spacing w:after="0" w:line="120" w:lineRule="exact"/>
        <w:rPr>
          <w:sz w:val="10"/>
        </w:rPr>
      </w:pPr>
    </w:p>
    <w:p w14:paraId="3AB76894" w14:textId="77777777" w:rsidR="00936C11" w:rsidRPr="00936C11" w:rsidRDefault="00936C11" w:rsidP="00936C11">
      <w:pPr>
        <w:pStyle w:val="SingleTxt"/>
        <w:spacing w:after="0" w:line="120" w:lineRule="exact"/>
        <w:rPr>
          <w:sz w:val="10"/>
        </w:rPr>
      </w:pPr>
    </w:p>
    <w:p w14:paraId="3693B95D" w14:textId="39A2EEFE" w:rsidR="00163B36" w:rsidRPr="00163B36" w:rsidRDefault="00163B36" w:rsidP="00936C11">
      <w:pPr>
        <w:pStyle w:val="H1"/>
        <w:ind w:right="1260"/>
      </w:pPr>
      <w:r w:rsidRPr="00163B36">
        <w:tab/>
      </w:r>
      <w:r w:rsidRPr="00163B36">
        <w:tab/>
        <w:t>Employment</w:t>
      </w:r>
    </w:p>
    <w:p w14:paraId="457C2A4A" w14:textId="77777777" w:rsidR="00936C11" w:rsidRPr="00936C11" w:rsidRDefault="00936C11" w:rsidP="00936C11">
      <w:pPr>
        <w:pStyle w:val="SingleTxt"/>
        <w:spacing w:after="0" w:line="120" w:lineRule="exact"/>
        <w:rPr>
          <w:sz w:val="10"/>
        </w:rPr>
      </w:pPr>
    </w:p>
    <w:p w14:paraId="0ED48213" w14:textId="77777777" w:rsidR="00936C11" w:rsidRPr="00936C11" w:rsidRDefault="00936C11" w:rsidP="00936C11">
      <w:pPr>
        <w:pStyle w:val="SingleTxt"/>
        <w:spacing w:after="0" w:line="120" w:lineRule="exact"/>
        <w:rPr>
          <w:sz w:val="10"/>
        </w:rPr>
      </w:pPr>
    </w:p>
    <w:p w14:paraId="4FAE3C7A" w14:textId="02F9A04F" w:rsidR="00163B36" w:rsidRDefault="00936C11" w:rsidP="00163B36">
      <w:pPr>
        <w:pStyle w:val="SingleTxt"/>
      </w:pPr>
      <w:r>
        <w:t>72</w:t>
      </w:r>
      <w:r w:rsidR="00163B36" w:rsidRPr="00163B36">
        <w:t>.</w:t>
      </w:r>
      <w:r w:rsidR="00163B36" w:rsidRPr="00163B36">
        <w:tab/>
      </w:r>
      <w:r w:rsidR="00163B36" w:rsidRPr="00333A03">
        <w:rPr>
          <w:spacing w:val="2"/>
          <w:w w:val="101"/>
        </w:rPr>
        <w:t xml:space="preserve">According to Eurostat, the average gender pay gap in Hungary between </w:t>
      </w:r>
      <w:r w:rsidRPr="00333A03">
        <w:rPr>
          <w:spacing w:val="2"/>
          <w:w w:val="101"/>
        </w:rPr>
        <w:t>2012</w:t>
      </w:r>
      <w:r w:rsidR="00EA5AB9" w:rsidRPr="00333A03">
        <w:rPr>
          <w:spacing w:val="2"/>
          <w:w w:val="101"/>
        </w:rPr>
        <w:t>–</w:t>
      </w:r>
      <w:r w:rsidRPr="00333A03">
        <w:rPr>
          <w:spacing w:val="2"/>
          <w:w w:val="101"/>
        </w:rPr>
        <w:t>2016</w:t>
      </w:r>
      <w:r w:rsidR="00163B36" w:rsidRPr="00333A03">
        <w:rPr>
          <w:spacing w:val="2"/>
          <w:w w:val="101"/>
        </w:rPr>
        <w:t xml:space="preserve"> </w:t>
      </w:r>
      <w:r w:rsidR="00163B36" w:rsidRPr="00163B36">
        <w:t xml:space="preserve">decreased. This trend is explained by the fact that Hungary carried out significant wage increases in sectors that have a high female employment rate, such as public education, health sector and social services. Since </w:t>
      </w:r>
      <w:r>
        <w:t>2016</w:t>
      </w:r>
      <w:r w:rsidR="00163B36" w:rsidRPr="00163B36">
        <w:t>, the gap is fluctuating.</w:t>
      </w:r>
    </w:p>
    <w:p w14:paraId="0C64A291" w14:textId="4F043347" w:rsidR="00163B36" w:rsidRDefault="0007129D" w:rsidP="00163B36">
      <w:pPr>
        <w:pStyle w:val="SingleTxt"/>
      </w:pPr>
      <w:r>
        <w:t>73</w:t>
      </w:r>
      <w:r w:rsidR="00163B36" w:rsidRPr="00163B36">
        <w:t>.</w:t>
      </w:r>
      <w:r w:rsidR="00163B36" w:rsidRPr="00163B36">
        <w:tab/>
        <w:t xml:space="preserve">There are certain objective reasons behind the general differences between earnings. The greater participation of women in childcare (hence, a later return to the labour market) or the possibility for women to retire at a reduced rate, </w:t>
      </w:r>
      <w:proofErr w:type="gramStart"/>
      <w:r w:rsidR="00163B36" w:rsidRPr="00163B36">
        <w:t>i.e.</w:t>
      </w:r>
      <w:proofErr w:type="gramEnd"/>
      <w:r w:rsidR="00163B36" w:rsidRPr="00163B36">
        <w:t xml:space="preserve"> after </w:t>
      </w:r>
      <w:r>
        <w:t>40</w:t>
      </w:r>
      <w:r w:rsidR="00163B36" w:rsidRPr="00163B36">
        <w:t xml:space="preserve"> years of employment, may all lead to a certain average pay gap in favour of men.</w:t>
      </w:r>
    </w:p>
    <w:p w14:paraId="77383554" w14:textId="122BF586" w:rsidR="00163B36" w:rsidRDefault="0007129D" w:rsidP="00163B36">
      <w:pPr>
        <w:pStyle w:val="SingleTxt"/>
      </w:pPr>
      <w:r>
        <w:t>74</w:t>
      </w:r>
      <w:r w:rsidR="00163B36" w:rsidRPr="00163B36">
        <w:t>.</w:t>
      </w:r>
      <w:r w:rsidR="00163B36" w:rsidRPr="00163B36">
        <w:tab/>
        <w:t>Nevertheless, to promote women</w:t>
      </w:r>
      <w:r w:rsidR="00024758">
        <w:t>’</w:t>
      </w:r>
      <w:r w:rsidR="00163B36" w:rsidRPr="00163B36">
        <w:t>s rights, the Hungarian laws provide that any discrimination in payment between men and women in the same workplace and in the same job violates the requirement of equal treatment. The amount of the national mandatory minimum wage and the guaranteed minimum wage</w:t>
      </w:r>
      <w:r w:rsidR="00EA5AB9">
        <w:t>–</w:t>
      </w:r>
      <w:r w:rsidR="00163B36" w:rsidRPr="00163B36">
        <w:t>set by the Government</w:t>
      </w:r>
      <w:r w:rsidR="00EA5AB9">
        <w:t>–</w:t>
      </w:r>
      <w:r w:rsidR="00163B36" w:rsidRPr="00163B36">
        <w:t>does not discriminate between women and men. Beyond this legislation, the Government does not have the right to intervene directly in wage negotiations in business in the private sector. The pay-system of the public sector does not discriminate between women and men.</w:t>
      </w:r>
    </w:p>
    <w:p w14:paraId="45D89852" w14:textId="758C10A7" w:rsidR="00163B36" w:rsidRPr="00333A03" w:rsidRDefault="0007129D" w:rsidP="00163B36">
      <w:pPr>
        <w:pStyle w:val="SingleTxt"/>
        <w:rPr>
          <w:spacing w:val="2"/>
          <w:w w:val="102"/>
        </w:rPr>
      </w:pPr>
      <w:r w:rsidRPr="00333A03">
        <w:rPr>
          <w:spacing w:val="2"/>
          <w:w w:val="102"/>
        </w:rPr>
        <w:t>75</w:t>
      </w:r>
      <w:r w:rsidR="00163B36" w:rsidRPr="00333A03">
        <w:rPr>
          <w:spacing w:val="2"/>
          <w:w w:val="102"/>
        </w:rPr>
        <w:t>.</w:t>
      </w:r>
      <w:r w:rsidR="00163B36" w:rsidRPr="00333A03">
        <w:rPr>
          <w:spacing w:val="2"/>
          <w:w w:val="102"/>
        </w:rPr>
        <w:tab/>
        <w:t>Over the last three years, the most significant increases in the share of women have been in administrative services (+</w:t>
      </w:r>
      <w:r w:rsidRPr="00333A03">
        <w:rPr>
          <w:spacing w:val="2"/>
          <w:w w:val="102"/>
        </w:rPr>
        <w:t>3</w:t>
      </w:r>
      <w:r w:rsidR="00163B36" w:rsidRPr="00333A03">
        <w:rPr>
          <w:spacing w:val="2"/>
          <w:w w:val="102"/>
        </w:rPr>
        <w:t>.</w:t>
      </w:r>
      <w:r w:rsidRPr="00333A03">
        <w:rPr>
          <w:spacing w:val="2"/>
          <w:w w:val="102"/>
        </w:rPr>
        <w:t>3</w:t>
      </w:r>
      <w:r w:rsidR="00163B36" w:rsidRPr="00333A03">
        <w:rPr>
          <w:spacing w:val="2"/>
          <w:w w:val="102"/>
        </w:rPr>
        <w:t xml:space="preserve"> percentage points), public administration (+</w:t>
      </w:r>
      <w:r w:rsidRPr="00333A03">
        <w:rPr>
          <w:spacing w:val="2"/>
          <w:w w:val="102"/>
        </w:rPr>
        <w:t>3</w:t>
      </w:r>
      <w:r w:rsidR="00163B36" w:rsidRPr="00333A03">
        <w:rPr>
          <w:spacing w:val="2"/>
          <w:w w:val="102"/>
        </w:rPr>
        <w:t xml:space="preserve"> percentage points) and IT (</w:t>
      </w:r>
      <w:r w:rsidRPr="00333A03">
        <w:rPr>
          <w:spacing w:val="2"/>
          <w:w w:val="102"/>
        </w:rPr>
        <w:t>2</w:t>
      </w:r>
      <w:r w:rsidR="00163B36" w:rsidRPr="00333A03">
        <w:rPr>
          <w:spacing w:val="2"/>
          <w:w w:val="102"/>
        </w:rPr>
        <w:t>.</w:t>
      </w:r>
      <w:r w:rsidRPr="00333A03">
        <w:rPr>
          <w:spacing w:val="2"/>
          <w:w w:val="102"/>
        </w:rPr>
        <w:t>7</w:t>
      </w:r>
      <w:r w:rsidR="00163B36" w:rsidRPr="00333A03">
        <w:rPr>
          <w:spacing w:val="2"/>
          <w:w w:val="102"/>
        </w:rPr>
        <w:t xml:space="preserve"> percentage points). To continue the favourable tendency, the Government promotes the STEM fields to women and girls (see paragraph </w:t>
      </w:r>
      <w:r w:rsidRPr="00333A03">
        <w:rPr>
          <w:spacing w:val="2"/>
          <w:w w:val="102"/>
        </w:rPr>
        <w:t>42</w:t>
      </w:r>
      <w:r w:rsidR="00163B36" w:rsidRPr="00333A03">
        <w:rPr>
          <w:spacing w:val="2"/>
          <w:w w:val="102"/>
        </w:rPr>
        <w:t>).</w:t>
      </w:r>
    </w:p>
    <w:p w14:paraId="6456A709" w14:textId="06FC7BCC" w:rsidR="00163B36" w:rsidRDefault="0007129D" w:rsidP="00163B36">
      <w:pPr>
        <w:pStyle w:val="SingleTxt"/>
      </w:pPr>
      <w:r>
        <w:t>76</w:t>
      </w:r>
      <w:r w:rsidR="00163B36" w:rsidRPr="00163B36">
        <w:t>.</w:t>
      </w:r>
      <w:r w:rsidR="00163B36" w:rsidRPr="00163B36">
        <w:tab/>
        <w:t xml:space="preserve">According to its mandate under the Equal Treatment Act, it is the Equal Treatment Authority that is competent to examine and decide on cases of discrimination. As of January </w:t>
      </w:r>
      <w:r>
        <w:t>2021</w:t>
      </w:r>
      <w:r w:rsidR="00163B36" w:rsidRPr="00163B36">
        <w:t xml:space="preserve">, the Equal Treatment Authority merged into the Office of the Commissioner for Fundamental Rights, see paragraph </w:t>
      </w:r>
      <w:r>
        <w:t>21</w:t>
      </w:r>
      <w:r w:rsidR="00163B36" w:rsidRPr="00163B36">
        <w:t xml:space="preserve"> above.</w:t>
      </w:r>
    </w:p>
    <w:p w14:paraId="67DA2A6A" w14:textId="0F8F1FDF" w:rsidR="00163B36" w:rsidRDefault="0007129D" w:rsidP="00163B36">
      <w:pPr>
        <w:pStyle w:val="SingleTxt"/>
      </w:pPr>
      <w:r>
        <w:t>77</w:t>
      </w:r>
      <w:r w:rsidR="00163B36" w:rsidRPr="00163B36">
        <w:t>.</w:t>
      </w:r>
      <w:r w:rsidR="00163B36" w:rsidRPr="00163B36">
        <w:tab/>
        <w:t xml:space="preserve">Measures taken by the Equal Treatment Authority to raise awareness among employers included the publication of summaries on its website about its decisions </w:t>
      </w:r>
      <w:r w:rsidR="00163B36" w:rsidRPr="00163B36">
        <w:lastRenderedPageBreak/>
        <w:t xml:space="preserve">finding a violation of the principle of equal treatment </w:t>
      </w:r>
      <w:proofErr w:type="gramStart"/>
      <w:r w:rsidR="00163B36" w:rsidRPr="00163B36">
        <w:t>and also</w:t>
      </w:r>
      <w:proofErr w:type="gramEnd"/>
      <w:r w:rsidR="00163B36" w:rsidRPr="00163B36">
        <w:t xml:space="preserve"> about settled cases, communication campaigns on all forms of discrimination as well as providing short lectures as part of settlements to staff of employers against whom the complaint was directed. The Authority also commissioned research on the perception of discrimination and published the results in its websites.</w:t>
      </w:r>
    </w:p>
    <w:p w14:paraId="1AD7840C" w14:textId="5831AC14" w:rsidR="00163B36" w:rsidRPr="00333A03" w:rsidRDefault="0007129D" w:rsidP="00163B36">
      <w:pPr>
        <w:pStyle w:val="SingleTxt"/>
        <w:rPr>
          <w:spacing w:val="2"/>
          <w:w w:val="101"/>
        </w:rPr>
      </w:pPr>
      <w:r w:rsidRPr="00333A03">
        <w:rPr>
          <w:spacing w:val="2"/>
          <w:w w:val="101"/>
        </w:rPr>
        <w:t>78</w:t>
      </w:r>
      <w:r w:rsidR="00163B36" w:rsidRPr="00333A03">
        <w:rPr>
          <w:spacing w:val="2"/>
          <w:w w:val="101"/>
        </w:rPr>
        <w:t>.</w:t>
      </w:r>
      <w:r w:rsidR="00163B36" w:rsidRPr="00333A03">
        <w:rPr>
          <w:spacing w:val="2"/>
          <w:w w:val="101"/>
        </w:rPr>
        <w:tab/>
        <w:t>The Authority did not directly engage in the development of mechanisms to conduct job evaluations. In cases of equal pay however, the Authority found the existence of objective job-evaluation systems in the practice of employers beneficial regarding the identification of employees in a comparable situation to that of the complainant.</w:t>
      </w:r>
    </w:p>
    <w:p w14:paraId="58F1825F" w14:textId="3AA09225" w:rsidR="00163B36" w:rsidRPr="00163B36" w:rsidRDefault="0007129D" w:rsidP="00163B36">
      <w:pPr>
        <w:pStyle w:val="SingleTxt"/>
      </w:pPr>
      <w:r>
        <w:t>79</w:t>
      </w:r>
      <w:r w:rsidR="00163B36" w:rsidRPr="00163B36">
        <w:t>.</w:t>
      </w:r>
      <w:r w:rsidR="00163B36" w:rsidRPr="00163B36">
        <w:tab/>
        <w:t xml:space="preserve">The Hungarian Labour Code already allows for various types of atypical </w:t>
      </w:r>
      <w:r w:rsidR="00163B36" w:rsidRPr="00333A03">
        <w:rPr>
          <w:spacing w:val="2"/>
          <w:w w:val="101"/>
        </w:rPr>
        <w:t>employment (</w:t>
      </w:r>
      <w:proofErr w:type="gramStart"/>
      <w:r w:rsidR="00163B36" w:rsidRPr="00333A03">
        <w:rPr>
          <w:spacing w:val="2"/>
          <w:w w:val="101"/>
        </w:rPr>
        <w:t>e.g.</w:t>
      </w:r>
      <w:proofErr w:type="gramEnd"/>
      <w:r w:rsidR="00163B36" w:rsidRPr="00333A03">
        <w:rPr>
          <w:spacing w:val="2"/>
          <w:w w:val="101"/>
        </w:rPr>
        <w:t xml:space="preserve"> job-sharing, teleworking, time bank scheme). The </w:t>
      </w:r>
      <w:proofErr w:type="gramStart"/>
      <w:r w:rsidR="00163B36" w:rsidRPr="00333A03">
        <w:rPr>
          <w:spacing w:val="2"/>
          <w:w w:val="101"/>
        </w:rPr>
        <w:t>Agenda</w:t>
      </w:r>
      <w:proofErr w:type="gramEnd"/>
      <w:r w:rsidR="00163B36" w:rsidRPr="00333A03">
        <w:rPr>
          <w:spacing w:val="2"/>
          <w:w w:val="101"/>
        </w:rPr>
        <w:t xml:space="preserve"> </w:t>
      </w:r>
      <w:r w:rsidRPr="00333A03">
        <w:rPr>
          <w:spacing w:val="2"/>
          <w:w w:val="101"/>
        </w:rPr>
        <w:t>2021</w:t>
      </w:r>
      <w:r w:rsidR="00EA5AB9" w:rsidRPr="00333A03">
        <w:rPr>
          <w:spacing w:val="2"/>
          <w:w w:val="101"/>
        </w:rPr>
        <w:t>–</w:t>
      </w:r>
      <w:r w:rsidRPr="00333A03">
        <w:rPr>
          <w:spacing w:val="2"/>
          <w:w w:val="101"/>
        </w:rPr>
        <w:t>2030</w:t>
      </w:r>
      <w:r w:rsidR="00163B36" w:rsidRPr="00163B36">
        <w:t xml:space="preserve"> expressly sets out the promotion of atypical forms of employment e.g. by the expansion of the Family-Friendly Workplace tender program that is a yearly tender for a non-refundable financial support available for both public and private workplaces that introduce family friendly measures.</w:t>
      </w:r>
    </w:p>
    <w:p w14:paraId="2ED8734B" w14:textId="52E406DD" w:rsidR="00163B36" w:rsidRDefault="0007129D" w:rsidP="00163B36">
      <w:pPr>
        <w:pStyle w:val="SingleTxt"/>
      </w:pPr>
      <w:r>
        <w:t>80</w:t>
      </w:r>
      <w:r w:rsidR="00163B36" w:rsidRPr="00163B36">
        <w:t>.</w:t>
      </w:r>
      <w:r w:rsidR="00163B36" w:rsidRPr="00163B36">
        <w:tab/>
        <w:t xml:space="preserve">The Hungarian Labour Code provides for extra paid leave for both parents annually, as well as a paid paternity leave upon childbirth. The provisions on paternity leave and parental leave will be amended due to the transposition of Directive </w:t>
      </w:r>
      <w:r>
        <w:t>2019</w:t>
      </w:r>
      <w:r w:rsidR="00163B36" w:rsidRPr="00163B36">
        <w:t>/</w:t>
      </w:r>
      <w:r>
        <w:t>1158</w:t>
      </w:r>
      <w:r w:rsidR="00163B36" w:rsidRPr="00163B36">
        <w:t xml:space="preserve"> of the European Parliament and of the Council on work-life balance for parents and carers. The deadline for the first stage of transposition is </w:t>
      </w:r>
      <w:r>
        <w:t>2</w:t>
      </w:r>
      <w:r w:rsidR="00163B36" w:rsidRPr="00163B36">
        <w:t xml:space="preserve"> August </w:t>
      </w:r>
      <w:r>
        <w:t>2022</w:t>
      </w:r>
      <w:r w:rsidR="00163B36" w:rsidRPr="00163B36">
        <w:t>.</w:t>
      </w:r>
    </w:p>
    <w:p w14:paraId="19F3BCB0" w14:textId="0953AD65" w:rsidR="00163B36" w:rsidRPr="00163B36" w:rsidRDefault="0007129D" w:rsidP="00163B36">
      <w:pPr>
        <w:pStyle w:val="SingleTxt"/>
      </w:pPr>
      <w:r>
        <w:t>81</w:t>
      </w:r>
      <w:r w:rsidR="00163B36" w:rsidRPr="00163B36">
        <w:t>.</w:t>
      </w:r>
      <w:r w:rsidR="00163B36" w:rsidRPr="00163B36">
        <w:tab/>
        <w:t xml:space="preserve">Before the pandemic in </w:t>
      </w:r>
      <w:r>
        <w:t>2020</w:t>
      </w:r>
      <w:r w:rsidR="00163B36" w:rsidRPr="00163B36">
        <w:t xml:space="preserve">, female employment has improved steadily. Between </w:t>
      </w:r>
      <w:r>
        <w:t>2010</w:t>
      </w:r>
      <w:r w:rsidR="00163B36" w:rsidRPr="00163B36">
        <w:t xml:space="preserve"> and </w:t>
      </w:r>
      <w:r>
        <w:t>2019</w:t>
      </w:r>
      <w:r w:rsidR="00163B36" w:rsidRPr="00163B36">
        <w:t xml:space="preserve">, the number of employed women grew by </w:t>
      </w:r>
      <w:r>
        <w:t>15</w:t>
      </w:r>
      <w:r w:rsidR="00163B36" w:rsidRPr="00163B36">
        <w:t xml:space="preserve"> per cent and, parallel, the female unemployment rate fell from </w:t>
      </w:r>
      <w:r>
        <w:t>10</w:t>
      </w:r>
      <w:r w:rsidR="00163B36" w:rsidRPr="00163B36">
        <w:t xml:space="preserve"> per cent to </w:t>
      </w:r>
      <w:r>
        <w:t>3</w:t>
      </w:r>
      <w:r w:rsidR="00163B36" w:rsidRPr="00163B36">
        <w:t>.</w:t>
      </w:r>
      <w:r>
        <w:t>3</w:t>
      </w:r>
      <w:r w:rsidR="00163B36" w:rsidRPr="00163B36">
        <w:t xml:space="preserve"> per cent (a historic low since the regime change). This steady tendency was broken by the pandemic that hit those sectors especially hard in which women were frequently employed. Female employment rate reduced by </w:t>
      </w:r>
      <w:r>
        <w:t>2</w:t>
      </w:r>
      <w:r w:rsidR="00163B36" w:rsidRPr="00163B36">
        <w:t xml:space="preserve"> per cent, yet it is believed that this indicates an exceptional period, rather than a change of trends. The Government of Hungary vigorously supports the recovery from the COVID-</w:t>
      </w:r>
      <w:r>
        <w:t>19</w:t>
      </w:r>
      <w:r w:rsidR="00163B36" w:rsidRPr="00163B36">
        <w:t xml:space="preserve"> crisis, as evidenced by the Economy Protection Action Plan.</w:t>
      </w:r>
    </w:p>
    <w:p w14:paraId="40F202B3" w14:textId="77777777" w:rsidR="0007129D" w:rsidRPr="0007129D" w:rsidRDefault="0007129D" w:rsidP="0007129D">
      <w:pPr>
        <w:pStyle w:val="SingleTxt"/>
        <w:spacing w:after="0" w:line="120" w:lineRule="exact"/>
        <w:rPr>
          <w:sz w:val="10"/>
        </w:rPr>
      </w:pPr>
    </w:p>
    <w:p w14:paraId="028FE497" w14:textId="2C073151" w:rsidR="00DA0DA7" w:rsidRPr="00DA0DA7" w:rsidRDefault="00163B36" w:rsidP="00DA0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163B36">
        <w:tab/>
      </w:r>
      <w:r w:rsidRPr="00163B36">
        <w:tab/>
      </w:r>
      <w:r w:rsidRPr="00DA0DA7">
        <w:rPr>
          <w:b w:val="0"/>
          <w:bCs/>
        </w:rPr>
        <w:t>Table</w:t>
      </w:r>
      <w:r w:rsidR="00DA0DA7" w:rsidRPr="00DA0DA7">
        <w:rPr>
          <w:b w:val="0"/>
          <w:bCs/>
        </w:rPr>
        <w:t xml:space="preserve"> 3</w:t>
      </w:r>
      <w:r w:rsidRPr="00DA0DA7">
        <w:rPr>
          <w:b w:val="0"/>
          <w:bCs/>
        </w:rPr>
        <w:t xml:space="preserve"> </w:t>
      </w:r>
    </w:p>
    <w:p w14:paraId="0608F846" w14:textId="2BE51180" w:rsidR="00163B36" w:rsidRDefault="00DA0DA7" w:rsidP="00DA0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63B36" w:rsidRPr="00163B36">
        <w:t>Female employment data</w:t>
      </w:r>
    </w:p>
    <w:p w14:paraId="24E04EAE" w14:textId="77777777" w:rsidR="00333A03" w:rsidRDefault="00333A03" w:rsidP="00960FB8">
      <w:pPr>
        <w:pStyle w:val="SingleTxt"/>
        <w:spacing w:after="0" w:line="120" w:lineRule="exact"/>
        <w:rPr>
          <w:sz w:val="10"/>
          <w:lang w:val="en-US"/>
        </w:rPr>
      </w:pPr>
    </w:p>
    <w:p w14:paraId="2F52B128" w14:textId="0637C72A" w:rsidR="00DA0DA7" w:rsidRPr="00960FB8" w:rsidRDefault="00333A03" w:rsidP="00960FB8">
      <w:pPr>
        <w:pStyle w:val="SingleTxt"/>
        <w:spacing w:after="0" w:line="120" w:lineRule="exact"/>
        <w:rPr>
          <w:sz w:val="10"/>
          <w:lang w:val="en-US"/>
        </w:rPr>
      </w:pPr>
      <w:r>
        <w:rPr>
          <w:noProof/>
        </w:rPr>
        <w:drawing>
          <wp:anchor distT="0" distB="0" distL="114300" distR="114300" simplePos="0" relativeHeight="251660288" behindDoc="0" locked="0" layoutInCell="1" allowOverlap="1" wp14:anchorId="4098E5E8" wp14:editId="72CE3F48">
            <wp:simplePos x="0" y="0"/>
            <wp:positionH relativeFrom="column">
              <wp:posOffset>819785</wp:posOffset>
            </wp:positionH>
            <wp:positionV relativeFrom="paragraph">
              <wp:posOffset>87934</wp:posOffset>
            </wp:positionV>
            <wp:extent cx="4572000" cy="3021330"/>
            <wp:effectExtent l="0" t="0" r="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2590" b="3949"/>
                    <a:stretch/>
                  </pic:blipFill>
                  <pic:spPr bwMode="auto">
                    <a:xfrm>
                      <a:off x="0" y="0"/>
                      <a:ext cx="4572000" cy="30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9E38FF" w14:textId="37F4C1EE" w:rsidR="00DA0DA7" w:rsidRDefault="00DA0DA7" w:rsidP="00960FB8">
      <w:pPr>
        <w:pStyle w:val="SingleTxt"/>
      </w:pPr>
      <w:r>
        <w:lastRenderedPageBreak/>
        <w:t>82</w:t>
      </w:r>
      <w:r w:rsidR="00163B36" w:rsidRPr="00163B36">
        <w:t>.</w:t>
      </w:r>
      <w:r w:rsidR="00163B36" w:rsidRPr="00163B36">
        <w:tab/>
        <w:t>The share of part-time workers in Hungary has been traditionally low, yet a continuous growth is apparent.</w:t>
      </w:r>
    </w:p>
    <w:p w14:paraId="157D377C" w14:textId="7FC65E58" w:rsidR="00960FB8" w:rsidRPr="00960FB8" w:rsidRDefault="00960FB8" w:rsidP="00960FB8">
      <w:pPr>
        <w:pStyle w:val="SingleTxt"/>
        <w:spacing w:after="0" w:line="120" w:lineRule="exact"/>
        <w:rPr>
          <w:sz w:val="10"/>
        </w:rPr>
      </w:pPr>
    </w:p>
    <w:p w14:paraId="73A0F754" w14:textId="37DC4CEF" w:rsidR="005E45B3" w:rsidRDefault="00DA0DA7" w:rsidP="00DA0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63B36" w:rsidRPr="00DA0DA7">
        <w:rPr>
          <w:b w:val="0"/>
          <w:bCs/>
        </w:rPr>
        <w:t>Table</w:t>
      </w:r>
      <w:r w:rsidRPr="00DA0DA7">
        <w:rPr>
          <w:b w:val="0"/>
          <w:bCs/>
        </w:rPr>
        <w:t xml:space="preserve"> 4</w:t>
      </w:r>
    </w:p>
    <w:p w14:paraId="056CD61D" w14:textId="26136D02" w:rsidR="00163B36" w:rsidRDefault="005E45B3" w:rsidP="00DA0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63B36" w:rsidRPr="00163B36">
        <w:t>Full-time and part-time female employment data</w:t>
      </w:r>
    </w:p>
    <w:p w14:paraId="49239AD7" w14:textId="75F7FA5A" w:rsidR="00DA0DA7" w:rsidRPr="00DA0DA7" w:rsidRDefault="00DA0DA7" w:rsidP="00DA0DA7">
      <w:pPr>
        <w:pStyle w:val="SingleTxt"/>
        <w:spacing w:after="0" w:line="120" w:lineRule="exact"/>
        <w:rPr>
          <w:sz w:val="10"/>
          <w:lang w:val="en-US"/>
        </w:rPr>
      </w:pPr>
    </w:p>
    <w:p w14:paraId="454C3D24" w14:textId="18D25E08" w:rsidR="00DA0DA7" w:rsidRPr="00DA0DA7" w:rsidRDefault="00DA0DA7" w:rsidP="00DA0DA7">
      <w:pPr>
        <w:pStyle w:val="SingleTxt"/>
        <w:spacing w:after="0" w:line="120" w:lineRule="exact"/>
        <w:rPr>
          <w:sz w:val="10"/>
          <w:lang w:val="en-US"/>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3"/>
        <w:gridCol w:w="2718"/>
        <w:gridCol w:w="2719"/>
      </w:tblGrid>
      <w:tr w:rsidR="00DA0DA7" w:rsidRPr="00DA0DA7" w14:paraId="5C999F16" w14:textId="77777777" w:rsidTr="00333A03">
        <w:trPr>
          <w:tblHeader/>
        </w:trPr>
        <w:tc>
          <w:tcPr>
            <w:tcW w:w="1883" w:type="dxa"/>
            <w:tcBorders>
              <w:top w:val="single" w:sz="4" w:space="0" w:color="auto"/>
              <w:bottom w:val="single" w:sz="12" w:space="0" w:color="auto"/>
            </w:tcBorders>
            <w:shd w:val="clear" w:color="auto" w:fill="auto"/>
            <w:vAlign w:val="bottom"/>
            <w:hideMark/>
          </w:tcPr>
          <w:p w14:paraId="68712C61" w14:textId="77777777" w:rsidR="00DA0DA7" w:rsidRPr="00DA0DA7" w:rsidRDefault="00DA0DA7" w:rsidP="00DA0DA7">
            <w:pPr>
              <w:pStyle w:val="SingleTxtG"/>
              <w:tabs>
                <w:tab w:val="left" w:pos="720"/>
              </w:tabs>
              <w:spacing w:before="81" w:after="81" w:line="160" w:lineRule="exact"/>
              <w:ind w:left="0" w:right="40"/>
              <w:jc w:val="left"/>
              <w:rPr>
                <w:i/>
                <w:sz w:val="14"/>
              </w:rPr>
            </w:pPr>
            <w:r w:rsidRPr="00DA0DA7">
              <w:rPr>
                <w:i/>
                <w:sz w:val="14"/>
              </w:rPr>
              <w:t>Year</w:t>
            </w:r>
          </w:p>
        </w:tc>
        <w:tc>
          <w:tcPr>
            <w:tcW w:w="2718" w:type="dxa"/>
            <w:tcBorders>
              <w:top w:val="single" w:sz="4" w:space="0" w:color="auto"/>
              <w:bottom w:val="single" w:sz="12" w:space="0" w:color="auto"/>
            </w:tcBorders>
            <w:shd w:val="clear" w:color="auto" w:fill="auto"/>
            <w:vAlign w:val="bottom"/>
            <w:hideMark/>
          </w:tcPr>
          <w:p w14:paraId="58C06FDC" w14:textId="77777777" w:rsidR="00DA0DA7" w:rsidRPr="00DA0DA7" w:rsidRDefault="00DA0DA7" w:rsidP="00DA0DA7">
            <w:pPr>
              <w:pStyle w:val="SingleTxtG"/>
              <w:tabs>
                <w:tab w:val="left" w:pos="720"/>
              </w:tabs>
              <w:spacing w:before="81" w:after="81" w:line="160" w:lineRule="exact"/>
              <w:ind w:left="144" w:right="40"/>
              <w:jc w:val="right"/>
              <w:rPr>
                <w:i/>
                <w:sz w:val="14"/>
              </w:rPr>
            </w:pPr>
            <w:r w:rsidRPr="00DA0DA7">
              <w:rPr>
                <w:i/>
                <w:sz w:val="14"/>
              </w:rPr>
              <w:t>Part-time employed women, thousand</w:t>
            </w:r>
          </w:p>
        </w:tc>
        <w:tc>
          <w:tcPr>
            <w:tcW w:w="2719" w:type="dxa"/>
            <w:tcBorders>
              <w:top w:val="single" w:sz="4" w:space="0" w:color="auto"/>
              <w:bottom w:val="single" w:sz="12" w:space="0" w:color="auto"/>
            </w:tcBorders>
            <w:shd w:val="clear" w:color="auto" w:fill="auto"/>
            <w:vAlign w:val="bottom"/>
            <w:hideMark/>
          </w:tcPr>
          <w:p w14:paraId="699036F7" w14:textId="77777777" w:rsidR="00DA0DA7" w:rsidRPr="00DA0DA7" w:rsidRDefault="00DA0DA7" w:rsidP="00DA0DA7">
            <w:pPr>
              <w:pStyle w:val="SingleTxtG"/>
              <w:tabs>
                <w:tab w:val="left" w:pos="720"/>
              </w:tabs>
              <w:spacing w:before="81" w:after="81" w:line="160" w:lineRule="exact"/>
              <w:ind w:left="144" w:right="40"/>
              <w:jc w:val="right"/>
              <w:rPr>
                <w:i/>
                <w:sz w:val="14"/>
              </w:rPr>
            </w:pPr>
            <w:r w:rsidRPr="00DA0DA7">
              <w:rPr>
                <w:i/>
                <w:sz w:val="14"/>
              </w:rPr>
              <w:t>Rate of women in part-time employment, %</w:t>
            </w:r>
          </w:p>
        </w:tc>
      </w:tr>
      <w:tr w:rsidR="00DA0DA7" w:rsidRPr="00DA0DA7" w14:paraId="6BDA503E" w14:textId="77777777" w:rsidTr="00333A03">
        <w:trPr>
          <w:trHeight w:hRule="exact" w:val="115"/>
          <w:tblHeader/>
        </w:trPr>
        <w:tc>
          <w:tcPr>
            <w:tcW w:w="1883" w:type="dxa"/>
            <w:tcBorders>
              <w:top w:val="single" w:sz="12" w:space="0" w:color="auto"/>
            </w:tcBorders>
            <w:shd w:val="clear" w:color="auto" w:fill="auto"/>
            <w:vAlign w:val="bottom"/>
          </w:tcPr>
          <w:p w14:paraId="03ABFD0E" w14:textId="77777777" w:rsidR="00DA0DA7" w:rsidRPr="00DA0DA7" w:rsidRDefault="00DA0DA7" w:rsidP="00DA0DA7">
            <w:pPr>
              <w:pStyle w:val="SingleTxtG"/>
              <w:tabs>
                <w:tab w:val="left" w:pos="720"/>
              </w:tabs>
              <w:spacing w:before="40" w:after="40" w:line="210" w:lineRule="exact"/>
              <w:ind w:left="0" w:right="40"/>
              <w:jc w:val="left"/>
              <w:rPr>
                <w:b/>
                <w:sz w:val="17"/>
              </w:rPr>
            </w:pPr>
          </w:p>
        </w:tc>
        <w:tc>
          <w:tcPr>
            <w:tcW w:w="2718" w:type="dxa"/>
            <w:tcBorders>
              <w:top w:val="single" w:sz="12" w:space="0" w:color="auto"/>
            </w:tcBorders>
            <w:shd w:val="clear" w:color="auto" w:fill="auto"/>
            <w:vAlign w:val="bottom"/>
          </w:tcPr>
          <w:p w14:paraId="7817B615" w14:textId="77777777" w:rsidR="00DA0DA7" w:rsidRPr="00DA0DA7" w:rsidRDefault="00DA0DA7" w:rsidP="00DA0DA7">
            <w:pPr>
              <w:pStyle w:val="SingleTxtG"/>
              <w:tabs>
                <w:tab w:val="left" w:pos="720"/>
              </w:tabs>
              <w:spacing w:before="40" w:after="40" w:line="210" w:lineRule="exact"/>
              <w:ind w:left="144" w:right="40"/>
              <w:jc w:val="right"/>
              <w:rPr>
                <w:sz w:val="17"/>
              </w:rPr>
            </w:pPr>
          </w:p>
        </w:tc>
        <w:tc>
          <w:tcPr>
            <w:tcW w:w="2719" w:type="dxa"/>
            <w:tcBorders>
              <w:top w:val="single" w:sz="12" w:space="0" w:color="auto"/>
            </w:tcBorders>
            <w:shd w:val="clear" w:color="auto" w:fill="auto"/>
            <w:vAlign w:val="bottom"/>
          </w:tcPr>
          <w:p w14:paraId="40B14614" w14:textId="77777777" w:rsidR="00DA0DA7" w:rsidRPr="00DA0DA7" w:rsidRDefault="00DA0DA7" w:rsidP="00DA0DA7">
            <w:pPr>
              <w:pStyle w:val="SingleTxtG"/>
              <w:tabs>
                <w:tab w:val="left" w:pos="720"/>
              </w:tabs>
              <w:spacing w:before="40" w:after="40" w:line="210" w:lineRule="exact"/>
              <w:ind w:left="144" w:right="40"/>
              <w:jc w:val="right"/>
              <w:rPr>
                <w:sz w:val="17"/>
              </w:rPr>
            </w:pPr>
          </w:p>
        </w:tc>
      </w:tr>
      <w:tr w:rsidR="00DA0DA7" w:rsidRPr="00DA0DA7" w14:paraId="2B68B3CC" w14:textId="77777777" w:rsidTr="00333A03">
        <w:tc>
          <w:tcPr>
            <w:tcW w:w="1883" w:type="dxa"/>
            <w:shd w:val="clear" w:color="auto" w:fill="auto"/>
            <w:vAlign w:val="bottom"/>
            <w:hideMark/>
          </w:tcPr>
          <w:p w14:paraId="0C78E46A" w14:textId="77777777" w:rsidR="00DA0DA7" w:rsidRPr="00DA0DA7" w:rsidRDefault="00DA0DA7" w:rsidP="00333A03">
            <w:pPr>
              <w:pStyle w:val="SingleTxtG"/>
              <w:tabs>
                <w:tab w:val="left" w:pos="288"/>
                <w:tab w:val="left" w:pos="576"/>
                <w:tab w:val="left" w:pos="720"/>
                <w:tab w:val="left" w:pos="864"/>
                <w:tab w:val="left" w:pos="1152"/>
              </w:tabs>
              <w:spacing w:before="40" w:after="40" w:line="200" w:lineRule="exact"/>
              <w:ind w:left="0" w:right="43"/>
              <w:jc w:val="left"/>
              <w:rPr>
                <w:bCs/>
                <w:sz w:val="17"/>
              </w:rPr>
            </w:pPr>
            <w:r w:rsidRPr="00DA0DA7">
              <w:rPr>
                <w:bCs/>
                <w:sz w:val="17"/>
              </w:rPr>
              <w:t>2018</w:t>
            </w:r>
          </w:p>
        </w:tc>
        <w:tc>
          <w:tcPr>
            <w:tcW w:w="2718" w:type="dxa"/>
            <w:shd w:val="clear" w:color="auto" w:fill="auto"/>
            <w:vAlign w:val="bottom"/>
            <w:hideMark/>
          </w:tcPr>
          <w:p w14:paraId="14DF6CAF" w14:textId="77777777" w:rsidR="00DA0DA7" w:rsidRPr="00DA0DA7" w:rsidRDefault="00DA0DA7" w:rsidP="00333A03">
            <w:pPr>
              <w:pStyle w:val="SingleTxtG"/>
              <w:tabs>
                <w:tab w:val="left" w:pos="288"/>
                <w:tab w:val="left" w:pos="576"/>
                <w:tab w:val="left" w:pos="720"/>
                <w:tab w:val="left" w:pos="864"/>
                <w:tab w:val="left" w:pos="1152"/>
              </w:tabs>
              <w:spacing w:before="40" w:after="40" w:line="200" w:lineRule="exact"/>
              <w:ind w:left="144" w:right="43"/>
              <w:jc w:val="right"/>
              <w:rPr>
                <w:bCs/>
                <w:sz w:val="17"/>
              </w:rPr>
            </w:pPr>
            <w:r w:rsidRPr="00DA0DA7">
              <w:rPr>
                <w:bCs/>
                <w:sz w:val="17"/>
              </w:rPr>
              <w:t>139.6</w:t>
            </w:r>
          </w:p>
        </w:tc>
        <w:tc>
          <w:tcPr>
            <w:tcW w:w="2719" w:type="dxa"/>
            <w:shd w:val="clear" w:color="auto" w:fill="auto"/>
            <w:vAlign w:val="bottom"/>
            <w:hideMark/>
          </w:tcPr>
          <w:p w14:paraId="5A593590" w14:textId="77777777" w:rsidR="00DA0DA7" w:rsidRPr="00DA0DA7" w:rsidRDefault="00DA0DA7" w:rsidP="00333A03">
            <w:pPr>
              <w:pStyle w:val="SingleTxtG"/>
              <w:tabs>
                <w:tab w:val="left" w:pos="288"/>
                <w:tab w:val="left" w:pos="576"/>
                <w:tab w:val="left" w:pos="720"/>
                <w:tab w:val="left" w:pos="864"/>
                <w:tab w:val="left" w:pos="1152"/>
              </w:tabs>
              <w:spacing w:before="40" w:after="40" w:line="200" w:lineRule="exact"/>
              <w:ind w:left="144" w:right="43"/>
              <w:jc w:val="right"/>
              <w:rPr>
                <w:bCs/>
                <w:sz w:val="17"/>
              </w:rPr>
            </w:pPr>
            <w:r w:rsidRPr="00DA0DA7">
              <w:rPr>
                <w:bCs/>
                <w:sz w:val="17"/>
              </w:rPr>
              <w:t>6.9</w:t>
            </w:r>
          </w:p>
        </w:tc>
      </w:tr>
      <w:tr w:rsidR="00DA0DA7" w:rsidRPr="00DA0DA7" w14:paraId="6A9B0749" w14:textId="77777777" w:rsidTr="00333A03">
        <w:tc>
          <w:tcPr>
            <w:tcW w:w="1883" w:type="dxa"/>
            <w:shd w:val="clear" w:color="auto" w:fill="auto"/>
            <w:vAlign w:val="bottom"/>
            <w:hideMark/>
          </w:tcPr>
          <w:p w14:paraId="6AC674D2" w14:textId="77777777" w:rsidR="00DA0DA7" w:rsidRPr="00DA0DA7" w:rsidRDefault="00DA0DA7" w:rsidP="00333A03">
            <w:pPr>
              <w:pStyle w:val="SingleTxtG"/>
              <w:tabs>
                <w:tab w:val="left" w:pos="288"/>
                <w:tab w:val="left" w:pos="576"/>
                <w:tab w:val="left" w:pos="720"/>
                <w:tab w:val="left" w:pos="864"/>
                <w:tab w:val="left" w:pos="1152"/>
              </w:tabs>
              <w:spacing w:before="40" w:after="40" w:line="200" w:lineRule="exact"/>
              <w:ind w:left="0" w:right="43"/>
              <w:jc w:val="left"/>
              <w:rPr>
                <w:bCs/>
                <w:sz w:val="17"/>
              </w:rPr>
            </w:pPr>
            <w:r w:rsidRPr="00DA0DA7">
              <w:rPr>
                <w:bCs/>
                <w:sz w:val="17"/>
              </w:rPr>
              <w:t>2019</w:t>
            </w:r>
          </w:p>
        </w:tc>
        <w:tc>
          <w:tcPr>
            <w:tcW w:w="2718" w:type="dxa"/>
            <w:shd w:val="clear" w:color="auto" w:fill="auto"/>
            <w:vAlign w:val="bottom"/>
            <w:hideMark/>
          </w:tcPr>
          <w:p w14:paraId="5A7C82B7" w14:textId="77777777" w:rsidR="00DA0DA7" w:rsidRPr="00DA0DA7" w:rsidRDefault="00DA0DA7" w:rsidP="00333A03">
            <w:pPr>
              <w:pStyle w:val="SingleTxtG"/>
              <w:tabs>
                <w:tab w:val="left" w:pos="288"/>
                <w:tab w:val="left" w:pos="576"/>
                <w:tab w:val="left" w:pos="720"/>
                <w:tab w:val="left" w:pos="864"/>
                <w:tab w:val="left" w:pos="1152"/>
              </w:tabs>
              <w:spacing w:before="40" w:after="40" w:line="200" w:lineRule="exact"/>
              <w:ind w:left="144" w:right="43"/>
              <w:jc w:val="right"/>
              <w:rPr>
                <w:bCs/>
                <w:sz w:val="17"/>
              </w:rPr>
            </w:pPr>
            <w:r w:rsidRPr="00DA0DA7">
              <w:rPr>
                <w:bCs/>
                <w:sz w:val="17"/>
              </w:rPr>
              <w:t>152.8</w:t>
            </w:r>
          </w:p>
        </w:tc>
        <w:tc>
          <w:tcPr>
            <w:tcW w:w="2719" w:type="dxa"/>
            <w:shd w:val="clear" w:color="auto" w:fill="auto"/>
            <w:vAlign w:val="bottom"/>
            <w:hideMark/>
          </w:tcPr>
          <w:p w14:paraId="75AF8C01" w14:textId="77777777" w:rsidR="00DA0DA7" w:rsidRPr="00DA0DA7" w:rsidRDefault="00DA0DA7" w:rsidP="00333A03">
            <w:pPr>
              <w:pStyle w:val="SingleTxtG"/>
              <w:tabs>
                <w:tab w:val="left" w:pos="288"/>
                <w:tab w:val="left" w:pos="576"/>
                <w:tab w:val="left" w:pos="720"/>
                <w:tab w:val="left" w:pos="864"/>
                <w:tab w:val="left" w:pos="1152"/>
              </w:tabs>
              <w:spacing w:before="40" w:after="40" w:line="200" w:lineRule="exact"/>
              <w:ind w:left="144" w:right="43"/>
              <w:jc w:val="right"/>
              <w:rPr>
                <w:bCs/>
                <w:sz w:val="17"/>
              </w:rPr>
            </w:pPr>
            <w:r w:rsidRPr="00DA0DA7">
              <w:rPr>
                <w:bCs/>
                <w:sz w:val="17"/>
              </w:rPr>
              <w:t>7.5</w:t>
            </w:r>
          </w:p>
        </w:tc>
      </w:tr>
      <w:tr w:rsidR="00DA0DA7" w:rsidRPr="00DA0DA7" w14:paraId="61B75EBA" w14:textId="77777777" w:rsidTr="00333A03">
        <w:tc>
          <w:tcPr>
            <w:tcW w:w="1883" w:type="dxa"/>
            <w:tcBorders>
              <w:bottom w:val="single" w:sz="12" w:space="0" w:color="auto"/>
            </w:tcBorders>
            <w:shd w:val="clear" w:color="auto" w:fill="auto"/>
            <w:vAlign w:val="bottom"/>
            <w:hideMark/>
          </w:tcPr>
          <w:p w14:paraId="58735E59" w14:textId="77777777" w:rsidR="00DA0DA7" w:rsidRPr="00DA0DA7" w:rsidRDefault="00DA0DA7" w:rsidP="00333A03">
            <w:pPr>
              <w:pStyle w:val="SingleTxtG"/>
              <w:tabs>
                <w:tab w:val="left" w:pos="288"/>
                <w:tab w:val="left" w:pos="576"/>
                <w:tab w:val="left" w:pos="720"/>
                <w:tab w:val="left" w:pos="864"/>
                <w:tab w:val="left" w:pos="1152"/>
              </w:tabs>
              <w:spacing w:before="40" w:after="40" w:line="200" w:lineRule="exact"/>
              <w:ind w:left="0" w:right="43"/>
              <w:jc w:val="left"/>
              <w:rPr>
                <w:bCs/>
                <w:sz w:val="17"/>
              </w:rPr>
            </w:pPr>
            <w:r w:rsidRPr="00DA0DA7">
              <w:rPr>
                <w:bCs/>
                <w:sz w:val="17"/>
              </w:rPr>
              <w:t>2020</w:t>
            </w:r>
          </w:p>
        </w:tc>
        <w:tc>
          <w:tcPr>
            <w:tcW w:w="2718" w:type="dxa"/>
            <w:tcBorders>
              <w:bottom w:val="single" w:sz="12" w:space="0" w:color="auto"/>
            </w:tcBorders>
            <w:shd w:val="clear" w:color="auto" w:fill="auto"/>
            <w:vAlign w:val="bottom"/>
            <w:hideMark/>
          </w:tcPr>
          <w:p w14:paraId="5CF76C93" w14:textId="77777777" w:rsidR="00DA0DA7" w:rsidRPr="00DA0DA7" w:rsidRDefault="00DA0DA7" w:rsidP="00333A03">
            <w:pPr>
              <w:pStyle w:val="SingleTxtG"/>
              <w:tabs>
                <w:tab w:val="left" w:pos="288"/>
                <w:tab w:val="left" w:pos="576"/>
                <w:tab w:val="left" w:pos="720"/>
                <w:tab w:val="left" w:pos="864"/>
                <w:tab w:val="left" w:pos="1152"/>
              </w:tabs>
              <w:spacing w:before="40" w:after="40" w:line="200" w:lineRule="exact"/>
              <w:ind w:left="144" w:right="43"/>
              <w:jc w:val="right"/>
              <w:rPr>
                <w:bCs/>
                <w:sz w:val="17"/>
              </w:rPr>
            </w:pPr>
            <w:r w:rsidRPr="00DA0DA7">
              <w:rPr>
                <w:bCs/>
                <w:sz w:val="17"/>
              </w:rPr>
              <w:t>164.7</w:t>
            </w:r>
          </w:p>
        </w:tc>
        <w:tc>
          <w:tcPr>
            <w:tcW w:w="2719" w:type="dxa"/>
            <w:tcBorders>
              <w:bottom w:val="single" w:sz="12" w:space="0" w:color="auto"/>
            </w:tcBorders>
            <w:shd w:val="clear" w:color="auto" w:fill="auto"/>
            <w:vAlign w:val="bottom"/>
            <w:hideMark/>
          </w:tcPr>
          <w:p w14:paraId="1B0D20FE" w14:textId="77777777" w:rsidR="00DA0DA7" w:rsidRPr="00DA0DA7" w:rsidRDefault="00DA0DA7" w:rsidP="00333A03">
            <w:pPr>
              <w:pStyle w:val="SingleTxtG"/>
              <w:tabs>
                <w:tab w:val="left" w:pos="288"/>
                <w:tab w:val="left" w:pos="576"/>
                <w:tab w:val="left" w:pos="720"/>
                <w:tab w:val="left" w:pos="864"/>
                <w:tab w:val="left" w:pos="1152"/>
              </w:tabs>
              <w:spacing w:before="40" w:after="40" w:line="200" w:lineRule="exact"/>
              <w:ind w:left="144" w:right="43"/>
              <w:jc w:val="right"/>
              <w:rPr>
                <w:bCs/>
                <w:sz w:val="17"/>
              </w:rPr>
            </w:pPr>
            <w:r w:rsidRPr="00DA0DA7">
              <w:rPr>
                <w:bCs/>
                <w:sz w:val="17"/>
              </w:rPr>
              <w:t>8.2</w:t>
            </w:r>
          </w:p>
        </w:tc>
      </w:tr>
    </w:tbl>
    <w:p w14:paraId="596E051D" w14:textId="62C53D73" w:rsidR="00DA0DA7" w:rsidRPr="00DA0DA7" w:rsidRDefault="00DA0DA7" w:rsidP="00DA0DA7">
      <w:pPr>
        <w:pStyle w:val="SingleTxt"/>
        <w:spacing w:after="0" w:line="120" w:lineRule="exact"/>
        <w:rPr>
          <w:sz w:val="10"/>
          <w:lang w:val="en-US"/>
        </w:rPr>
      </w:pPr>
    </w:p>
    <w:p w14:paraId="4C8E70EC" w14:textId="0ECFF643" w:rsidR="00163B36" w:rsidRDefault="00163B36" w:rsidP="00DA0DA7">
      <w:pPr>
        <w:pStyle w:val="FootnoteText"/>
        <w:tabs>
          <w:tab w:val="clear" w:pos="418"/>
          <w:tab w:val="right" w:pos="1476"/>
          <w:tab w:val="left" w:pos="1548"/>
          <w:tab w:val="right" w:pos="1836"/>
          <w:tab w:val="left" w:pos="1908"/>
        </w:tabs>
        <w:ind w:left="1548" w:right="1267" w:hanging="288"/>
      </w:pPr>
      <w:r w:rsidRPr="00DA0DA7">
        <w:rPr>
          <w:i/>
          <w:iCs/>
        </w:rPr>
        <w:t>Source</w:t>
      </w:r>
      <w:r w:rsidRPr="00163B36">
        <w:t>: Hungarian Central Statistical Office</w:t>
      </w:r>
      <w:r w:rsidR="00DA0DA7">
        <w:t>.</w:t>
      </w:r>
    </w:p>
    <w:p w14:paraId="5B271765" w14:textId="05B95A3B" w:rsidR="00DA0DA7" w:rsidRPr="00DA0DA7" w:rsidRDefault="00DA0DA7" w:rsidP="00DA0DA7">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32C7496C" w14:textId="7A9E1A16" w:rsidR="00DA0DA7" w:rsidRPr="00DA0DA7" w:rsidRDefault="00DA0DA7" w:rsidP="00DA0DA7">
      <w:pPr>
        <w:pStyle w:val="FootnoteText"/>
        <w:tabs>
          <w:tab w:val="clear" w:pos="418"/>
          <w:tab w:val="right" w:pos="1476"/>
          <w:tab w:val="left" w:pos="1548"/>
          <w:tab w:val="right" w:pos="1836"/>
          <w:tab w:val="left" w:pos="1908"/>
        </w:tabs>
        <w:spacing w:line="120" w:lineRule="exact"/>
        <w:ind w:left="1548" w:right="1267" w:hanging="288"/>
        <w:rPr>
          <w:sz w:val="10"/>
        </w:rPr>
      </w:pPr>
    </w:p>
    <w:p w14:paraId="7CC12263" w14:textId="61BAD05C" w:rsidR="00163B36" w:rsidRDefault="00DA0DA7" w:rsidP="00333A03">
      <w:pPr>
        <w:pStyle w:val="SingleTxt"/>
        <w:spacing w:line="234" w:lineRule="atLeast"/>
      </w:pPr>
      <w:r>
        <w:t>83</w:t>
      </w:r>
      <w:r w:rsidR="00163B36" w:rsidRPr="00163B36">
        <w:t>.</w:t>
      </w:r>
      <w:r w:rsidR="00163B36" w:rsidRPr="00163B36">
        <w:tab/>
        <w:t>Labour market indicators for people with a disability have improved in recent years, while this group of workers is characterised by significantly lower employment than the total labour force.</w:t>
      </w:r>
    </w:p>
    <w:p w14:paraId="56D849E3" w14:textId="42977BF5" w:rsidR="00333A03" w:rsidRPr="00333A03" w:rsidRDefault="00333A03" w:rsidP="00333A03">
      <w:pPr>
        <w:pStyle w:val="SingleTxt"/>
        <w:spacing w:after="0" w:line="120" w:lineRule="exact"/>
        <w:rPr>
          <w:sz w:val="10"/>
        </w:rPr>
      </w:pPr>
    </w:p>
    <w:p w14:paraId="08FDCC96" w14:textId="77777777" w:rsidR="00DD1AEF" w:rsidRDefault="00163B36" w:rsidP="00DA0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3B36">
        <w:tab/>
      </w:r>
      <w:r w:rsidRPr="00163B36">
        <w:tab/>
      </w:r>
      <w:r w:rsidRPr="00DA0DA7">
        <w:rPr>
          <w:b w:val="0"/>
          <w:bCs/>
        </w:rPr>
        <w:t xml:space="preserve">Table </w:t>
      </w:r>
      <w:r w:rsidR="00DA0DA7" w:rsidRPr="00DA0DA7">
        <w:rPr>
          <w:b w:val="0"/>
          <w:bCs/>
        </w:rPr>
        <w:t>5</w:t>
      </w:r>
    </w:p>
    <w:p w14:paraId="46AB2BCA" w14:textId="673DEF49" w:rsidR="00163B36" w:rsidRDefault="00DD1AEF" w:rsidP="00DA0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roofErr w:type="spellStart"/>
      <w:r w:rsidR="00163B36" w:rsidRPr="00163B36">
        <w:t>Labour</w:t>
      </w:r>
      <w:proofErr w:type="spellEnd"/>
      <w:r w:rsidR="00163B36" w:rsidRPr="00163B36">
        <w:t xml:space="preserve"> market data for women aged </w:t>
      </w:r>
      <w:r w:rsidR="005D3EA2">
        <w:t>19–64</w:t>
      </w:r>
      <w:r w:rsidR="00163B36" w:rsidRPr="00163B36">
        <w:t xml:space="preserve"> with disability</w:t>
      </w:r>
    </w:p>
    <w:p w14:paraId="52D3C06A" w14:textId="20897947" w:rsidR="00DA0DA7" w:rsidRPr="00DA0DA7" w:rsidRDefault="00DA0DA7" w:rsidP="00DA0DA7">
      <w:pPr>
        <w:pStyle w:val="SingleTxt"/>
        <w:spacing w:after="0" w:line="120" w:lineRule="exact"/>
        <w:rPr>
          <w:sz w:val="10"/>
          <w:lang w:val="en-US"/>
        </w:rPr>
      </w:pPr>
    </w:p>
    <w:p w14:paraId="54FE594E" w14:textId="3CB4EE3C" w:rsidR="00DA0DA7" w:rsidRPr="00DA0DA7" w:rsidRDefault="00DA0DA7" w:rsidP="00DA0DA7">
      <w:pPr>
        <w:pStyle w:val="SingleTxt"/>
        <w:spacing w:after="0" w:line="120" w:lineRule="exact"/>
        <w:rPr>
          <w:sz w:val="10"/>
          <w:lang w:val="en-US"/>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1220"/>
        <w:gridCol w:w="1220"/>
        <w:gridCol w:w="1220"/>
        <w:gridCol w:w="1220"/>
        <w:gridCol w:w="1220"/>
      </w:tblGrid>
      <w:tr w:rsidR="00E97E84" w:rsidRPr="00E97E84" w14:paraId="1275FE72" w14:textId="77777777" w:rsidTr="00E97E84">
        <w:trPr>
          <w:tblHeader/>
        </w:trPr>
        <w:tc>
          <w:tcPr>
            <w:tcW w:w="1220" w:type="dxa"/>
            <w:tcBorders>
              <w:top w:val="single" w:sz="4" w:space="0" w:color="auto"/>
              <w:bottom w:val="single" w:sz="12" w:space="0" w:color="auto"/>
            </w:tcBorders>
            <w:shd w:val="clear" w:color="auto" w:fill="auto"/>
            <w:vAlign w:val="bottom"/>
          </w:tcPr>
          <w:p w14:paraId="44DECF94"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E97E84">
              <w:rPr>
                <w:i/>
                <w:sz w:val="14"/>
              </w:rPr>
              <w:t>Year</w:t>
            </w:r>
          </w:p>
        </w:tc>
        <w:tc>
          <w:tcPr>
            <w:tcW w:w="1220" w:type="dxa"/>
            <w:tcBorders>
              <w:top w:val="single" w:sz="4" w:space="0" w:color="auto"/>
              <w:bottom w:val="single" w:sz="12" w:space="0" w:color="auto"/>
            </w:tcBorders>
            <w:shd w:val="clear" w:color="auto" w:fill="auto"/>
            <w:vAlign w:val="bottom"/>
          </w:tcPr>
          <w:p w14:paraId="32CE3F40"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7E84">
              <w:rPr>
                <w:i/>
                <w:sz w:val="14"/>
              </w:rPr>
              <w:t>Employed, thousand</w:t>
            </w:r>
          </w:p>
        </w:tc>
        <w:tc>
          <w:tcPr>
            <w:tcW w:w="1220" w:type="dxa"/>
            <w:tcBorders>
              <w:top w:val="single" w:sz="4" w:space="0" w:color="auto"/>
              <w:bottom w:val="single" w:sz="12" w:space="0" w:color="auto"/>
            </w:tcBorders>
            <w:shd w:val="clear" w:color="auto" w:fill="auto"/>
            <w:vAlign w:val="bottom"/>
          </w:tcPr>
          <w:p w14:paraId="2D5D55F7"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7E84">
              <w:rPr>
                <w:i/>
                <w:sz w:val="14"/>
              </w:rPr>
              <w:t>Employment rate, %</w:t>
            </w:r>
          </w:p>
        </w:tc>
        <w:tc>
          <w:tcPr>
            <w:tcW w:w="1220" w:type="dxa"/>
            <w:tcBorders>
              <w:top w:val="single" w:sz="4" w:space="0" w:color="auto"/>
              <w:bottom w:val="single" w:sz="12" w:space="0" w:color="auto"/>
            </w:tcBorders>
            <w:shd w:val="clear" w:color="auto" w:fill="auto"/>
            <w:vAlign w:val="bottom"/>
          </w:tcPr>
          <w:p w14:paraId="70B7A4CB"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7E84">
              <w:rPr>
                <w:i/>
                <w:sz w:val="14"/>
              </w:rPr>
              <w:t>Unemployed, thousand</w:t>
            </w:r>
          </w:p>
        </w:tc>
        <w:tc>
          <w:tcPr>
            <w:tcW w:w="1220" w:type="dxa"/>
            <w:tcBorders>
              <w:top w:val="single" w:sz="4" w:space="0" w:color="auto"/>
              <w:bottom w:val="single" w:sz="12" w:space="0" w:color="auto"/>
            </w:tcBorders>
            <w:shd w:val="clear" w:color="auto" w:fill="auto"/>
            <w:vAlign w:val="bottom"/>
          </w:tcPr>
          <w:p w14:paraId="5039E533"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7E84">
              <w:rPr>
                <w:i/>
                <w:sz w:val="14"/>
              </w:rPr>
              <w:t>Unemployment rate, %</w:t>
            </w:r>
          </w:p>
        </w:tc>
        <w:tc>
          <w:tcPr>
            <w:tcW w:w="1220" w:type="dxa"/>
            <w:tcBorders>
              <w:top w:val="single" w:sz="4" w:space="0" w:color="auto"/>
              <w:bottom w:val="single" w:sz="12" w:space="0" w:color="auto"/>
            </w:tcBorders>
            <w:shd w:val="clear" w:color="auto" w:fill="auto"/>
            <w:vAlign w:val="bottom"/>
          </w:tcPr>
          <w:p w14:paraId="581AAD44"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7E84">
              <w:rPr>
                <w:i/>
                <w:sz w:val="14"/>
              </w:rPr>
              <w:t>Activity rate</w:t>
            </w:r>
          </w:p>
        </w:tc>
      </w:tr>
      <w:tr w:rsidR="00E97E84" w:rsidRPr="00E97E84" w14:paraId="003DCA55" w14:textId="77777777" w:rsidTr="00E97E84">
        <w:trPr>
          <w:trHeight w:hRule="exact" w:val="115"/>
          <w:tblHeader/>
        </w:trPr>
        <w:tc>
          <w:tcPr>
            <w:tcW w:w="1220" w:type="dxa"/>
            <w:tcBorders>
              <w:top w:val="single" w:sz="12" w:space="0" w:color="auto"/>
            </w:tcBorders>
            <w:shd w:val="clear" w:color="auto" w:fill="auto"/>
            <w:vAlign w:val="bottom"/>
          </w:tcPr>
          <w:p w14:paraId="58DC1AF5"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20" w:type="dxa"/>
            <w:tcBorders>
              <w:top w:val="single" w:sz="12" w:space="0" w:color="auto"/>
            </w:tcBorders>
            <w:shd w:val="clear" w:color="auto" w:fill="auto"/>
            <w:vAlign w:val="bottom"/>
          </w:tcPr>
          <w:p w14:paraId="0F031F65"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05D818DF"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4E3ED8CF"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5C106712"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7C4F10A0" w14:textId="77777777" w:rsidR="00E97E84" w:rsidRPr="00E97E84" w:rsidRDefault="00E97E84" w:rsidP="00E97E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97E84" w:rsidRPr="00E97E84" w14:paraId="7BE1F64B" w14:textId="77777777" w:rsidTr="00E97E84">
        <w:tc>
          <w:tcPr>
            <w:tcW w:w="1220" w:type="dxa"/>
            <w:shd w:val="clear" w:color="auto" w:fill="auto"/>
            <w:vAlign w:val="bottom"/>
          </w:tcPr>
          <w:p w14:paraId="53AF0EBD"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97E84">
              <w:rPr>
                <w:sz w:val="17"/>
              </w:rPr>
              <w:t>2018</w:t>
            </w:r>
          </w:p>
        </w:tc>
        <w:tc>
          <w:tcPr>
            <w:tcW w:w="1220" w:type="dxa"/>
            <w:shd w:val="clear" w:color="auto" w:fill="auto"/>
            <w:vAlign w:val="bottom"/>
          </w:tcPr>
          <w:p w14:paraId="7DD552C1"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60.6</w:t>
            </w:r>
          </w:p>
        </w:tc>
        <w:tc>
          <w:tcPr>
            <w:tcW w:w="1220" w:type="dxa"/>
            <w:shd w:val="clear" w:color="auto" w:fill="auto"/>
            <w:vAlign w:val="bottom"/>
          </w:tcPr>
          <w:p w14:paraId="7BD4BE1B"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22.2</w:t>
            </w:r>
          </w:p>
        </w:tc>
        <w:tc>
          <w:tcPr>
            <w:tcW w:w="1220" w:type="dxa"/>
            <w:shd w:val="clear" w:color="auto" w:fill="auto"/>
            <w:vAlign w:val="bottom"/>
          </w:tcPr>
          <w:p w14:paraId="2B8E05B9"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5.3</w:t>
            </w:r>
          </w:p>
        </w:tc>
        <w:tc>
          <w:tcPr>
            <w:tcW w:w="1220" w:type="dxa"/>
            <w:shd w:val="clear" w:color="auto" w:fill="auto"/>
            <w:vAlign w:val="bottom"/>
          </w:tcPr>
          <w:p w14:paraId="027E640D"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8.1</w:t>
            </w:r>
          </w:p>
        </w:tc>
        <w:tc>
          <w:tcPr>
            <w:tcW w:w="1220" w:type="dxa"/>
            <w:shd w:val="clear" w:color="auto" w:fill="auto"/>
            <w:vAlign w:val="bottom"/>
          </w:tcPr>
          <w:p w14:paraId="45D0F208"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24.2</w:t>
            </w:r>
          </w:p>
        </w:tc>
      </w:tr>
      <w:tr w:rsidR="00E97E84" w:rsidRPr="00E97E84" w14:paraId="550900EF" w14:textId="77777777" w:rsidTr="00E97E84">
        <w:tc>
          <w:tcPr>
            <w:tcW w:w="1220" w:type="dxa"/>
            <w:shd w:val="clear" w:color="auto" w:fill="auto"/>
            <w:vAlign w:val="bottom"/>
          </w:tcPr>
          <w:p w14:paraId="26B2A6D7"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97E84">
              <w:rPr>
                <w:sz w:val="17"/>
              </w:rPr>
              <w:t>2019</w:t>
            </w:r>
          </w:p>
        </w:tc>
        <w:tc>
          <w:tcPr>
            <w:tcW w:w="1220" w:type="dxa"/>
            <w:shd w:val="clear" w:color="auto" w:fill="auto"/>
            <w:vAlign w:val="bottom"/>
          </w:tcPr>
          <w:p w14:paraId="2EB748DE"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60.5</w:t>
            </w:r>
          </w:p>
        </w:tc>
        <w:tc>
          <w:tcPr>
            <w:tcW w:w="1220" w:type="dxa"/>
            <w:shd w:val="clear" w:color="auto" w:fill="auto"/>
            <w:vAlign w:val="bottom"/>
          </w:tcPr>
          <w:p w14:paraId="4873406B"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22.6</w:t>
            </w:r>
          </w:p>
        </w:tc>
        <w:tc>
          <w:tcPr>
            <w:tcW w:w="1220" w:type="dxa"/>
            <w:shd w:val="clear" w:color="auto" w:fill="auto"/>
            <w:vAlign w:val="bottom"/>
          </w:tcPr>
          <w:p w14:paraId="087B2590"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5.9</w:t>
            </w:r>
          </w:p>
        </w:tc>
        <w:tc>
          <w:tcPr>
            <w:tcW w:w="1220" w:type="dxa"/>
            <w:shd w:val="clear" w:color="auto" w:fill="auto"/>
            <w:vAlign w:val="bottom"/>
          </w:tcPr>
          <w:p w14:paraId="775CACDF"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8.9</w:t>
            </w:r>
          </w:p>
        </w:tc>
        <w:tc>
          <w:tcPr>
            <w:tcW w:w="1220" w:type="dxa"/>
            <w:shd w:val="clear" w:color="auto" w:fill="auto"/>
            <w:vAlign w:val="bottom"/>
          </w:tcPr>
          <w:p w14:paraId="3960E39E"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24.9</w:t>
            </w:r>
          </w:p>
        </w:tc>
      </w:tr>
      <w:tr w:rsidR="00E97E84" w:rsidRPr="00E97E84" w14:paraId="0BD62CA5" w14:textId="77777777" w:rsidTr="00E97E84">
        <w:tc>
          <w:tcPr>
            <w:tcW w:w="1220" w:type="dxa"/>
            <w:tcBorders>
              <w:bottom w:val="single" w:sz="12" w:space="0" w:color="auto"/>
            </w:tcBorders>
            <w:shd w:val="clear" w:color="auto" w:fill="auto"/>
            <w:vAlign w:val="bottom"/>
          </w:tcPr>
          <w:p w14:paraId="5575B72D"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E97E84">
              <w:rPr>
                <w:sz w:val="17"/>
              </w:rPr>
              <w:t>2020</w:t>
            </w:r>
          </w:p>
        </w:tc>
        <w:tc>
          <w:tcPr>
            <w:tcW w:w="1220" w:type="dxa"/>
            <w:tcBorders>
              <w:bottom w:val="single" w:sz="12" w:space="0" w:color="auto"/>
            </w:tcBorders>
            <w:shd w:val="clear" w:color="auto" w:fill="auto"/>
            <w:vAlign w:val="bottom"/>
          </w:tcPr>
          <w:p w14:paraId="200117D6"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59.7</w:t>
            </w:r>
          </w:p>
        </w:tc>
        <w:tc>
          <w:tcPr>
            <w:tcW w:w="1220" w:type="dxa"/>
            <w:tcBorders>
              <w:bottom w:val="single" w:sz="12" w:space="0" w:color="auto"/>
            </w:tcBorders>
            <w:shd w:val="clear" w:color="auto" w:fill="auto"/>
            <w:vAlign w:val="bottom"/>
          </w:tcPr>
          <w:p w14:paraId="64FC2217"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25.2</w:t>
            </w:r>
          </w:p>
        </w:tc>
        <w:tc>
          <w:tcPr>
            <w:tcW w:w="1220" w:type="dxa"/>
            <w:tcBorders>
              <w:bottom w:val="single" w:sz="12" w:space="0" w:color="auto"/>
            </w:tcBorders>
            <w:shd w:val="clear" w:color="auto" w:fill="auto"/>
            <w:vAlign w:val="bottom"/>
          </w:tcPr>
          <w:p w14:paraId="37B4B2C9"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4.3</w:t>
            </w:r>
          </w:p>
        </w:tc>
        <w:tc>
          <w:tcPr>
            <w:tcW w:w="1220" w:type="dxa"/>
            <w:tcBorders>
              <w:bottom w:val="single" w:sz="12" w:space="0" w:color="auto"/>
            </w:tcBorders>
            <w:shd w:val="clear" w:color="auto" w:fill="auto"/>
            <w:vAlign w:val="bottom"/>
          </w:tcPr>
          <w:p w14:paraId="2A3B881C"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6.7</w:t>
            </w:r>
          </w:p>
        </w:tc>
        <w:tc>
          <w:tcPr>
            <w:tcW w:w="1220" w:type="dxa"/>
            <w:tcBorders>
              <w:bottom w:val="single" w:sz="12" w:space="0" w:color="auto"/>
            </w:tcBorders>
            <w:shd w:val="clear" w:color="auto" w:fill="auto"/>
            <w:vAlign w:val="bottom"/>
          </w:tcPr>
          <w:p w14:paraId="48E171C3" w14:textId="77777777" w:rsidR="00E97E84" w:rsidRPr="00E97E84" w:rsidRDefault="00E97E84"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E97E84">
              <w:rPr>
                <w:sz w:val="17"/>
              </w:rPr>
              <w:t>27.0</w:t>
            </w:r>
          </w:p>
        </w:tc>
      </w:tr>
    </w:tbl>
    <w:p w14:paraId="136B32F4" w14:textId="1F89D408" w:rsidR="0026267D" w:rsidRPr="00E97E84" w:rsidRDefault="0026267D" w:rsidP="00E97E84">
      <w:pPr>
        <w:pStyle w:val="SingleTxt"/>
        <w:spacing w:after="0" w:line="120" w:lineRule="exact"/>
        <w:rPr>
          <w:sz w:val="10"/>
          <w:lang w:val="en-US"/>
        </w:rPr>
      </w:pPr>
    </w:p>
    <w:p w14:paraId="5343626F" w14:textId="4DF3026A" w:rsidR="00163B36" w:rsidRDefault="00163B36" w:rsidP="00DA0DA7">
      <w:pPr>
        <w:pStyle w:val="FootnoteText"/>
        <w:tabs>
          <w:tab w:val="clear" w:pos="418"/>
          <w:tab w:val="right" w:pos="1476"/>
          <w:tab w:val="left" w:pos="1548"/>
          <w:tab w:val="right" w:pos="1836"/>
          <w:tab w:val="left" w:pos="1908"/>
        </w:tabs>
        <w:ind w:left="1548" w:hanging="288"/>
      </w:pPr>
      <w:r w:rsidRPr="00DA0DA7">
        <w:rPr>
          <w:i/>
          <w:iCs/>
        </w:rPr>
        <w:t>Source</w:t>
      </w:r>
      <w:r w:rsidRPr="00163B36">
        <w:t xml:space="preserve">: </w:t>
      </w:r>
      <w:r w:rsidRPr="00333A03">
        <w:rPr>
          <w:i/>
          <w:iCs/>
        </w:rPr>
        <w:t>Hungarian Central Statistical Office</w:t>
      </w:r>
      <w:r w:rsidR="00DA0DA7">
        <w:t>.</w:t>
      </w:r>
    </w:p>
    <w:p w14:paraId="7EB0821B" w14:textId="547C51B3" w:rsidR="00DA0DA7" w:rsidRPr="00DA0DA7" w:rsidRDefault="00DA0DA7" w:rsidP="00DA0DA7">
      <w:pPr>
        <w:pStyle w:val="FootnoteText"/>
        <w:tabs>
          <w:tab w:val="clear" w:pos="418"/>
          <w:tab w:val="right" w:pos="1476"/>
          <w:tab w:val="left" w:pos="1548"/>
          <w:tab w:val="right" w:pos="1836"/>
          <w:tab w:val="left" w:pos="1908"/>
        </w:tabs>
        <w:spacing w:line="120" w:lineRule="exact"/>
        <w:ind w:left="1548" w:hanging="288"/>
        <w:rPr>
          <w:i/>
          <w:iCs/>
          <w:sz w:val="10"/>
        </w:rPr>
      </w:pPr>
    </w:p>
    <w:p w14:paraId="40571EA9" w14:textId="7172A98A" w:rsidR="00DA0DA7" w:rsidRPr="00DA0DA7" w:rsidRDefault="00DA0DA7" w:rsidP="00DA0DA7">
      <w:pPr>
        <w:pStyle w:val="FootnoteText"/>
        <w:tabs>
          <w:tab w:val="clear" w:pos="418"/>
          <w:tab w:val="right" w:pos="1476"/>
          <w:tab w:val="left" w:pos="1548"/>
          <w:tab w:val="right" w:pos="1836"/>
          <w:tab w:val="left" w:pos="1908"/>
        </w:tabs>
        <w:spacing w:line="120" w:lineRule="exact"/>
        <w:ind w:left="1548" w:hanging="288"/>
        <w:rPr>
          <w:sz w:val="10"/>
        </w:rPr>
      </w:pPr>
    </w:p>
    <w:p w14:paraId="23810887" w14:textId="228AA5A8" w:rsidR="00163B36" w:rsidRDefault="0007129D" w:rsidP="00333A03">
      <w:pPr>
        <w:pStyle w:val="SingleTxt"/>
        <w:spacing w:after="80" w:line="234" w:lineRule="atLeast"/>
      </w:pPr>
      <w:r w:rsidRPr="0007129D">
        <w:t>84.</w:t>
      </w:r>
      <w:r w:rsidRPr="0007129D">
        <w:tab/>
        <w:t>The labour market indicators of the Roma population are generally worse than the average indicators, irrespective of gender. Data for the past three years are presented in the below table.</w:t>
      </w:r>
    </w:p>
    <w:p w14:paraId="3C01D721" w14:textId="2DA6D033" w:rsidR="00DA0DA7" w:rsidRPr="00DA0DA7" w:rsidRDefault="00DA0DA7" w:rsidP="00DA0DA7">
      <w:pPr>
        <w:pStyle w:val="SingleTxt"/>
        <w:spacing w:after="0" w:line="120" w:lineRule="exact"/>
        <w:rPr>
          <w:sz w:val="10"/>
        </w:rPr>
      </w:pPr>
    </w:p>
    <w:p w14:paraId="76D316D3" w14:textId="77777777" w:rsidR="00DD1AEF" w:rsidRDefault="00163B36" w:rsidP="00DA0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3B36">
        <w:tab/>
      </w:r>
      <w:r w:rsidRPr="00DA0DA7">
        <w:rPr>
          <w:b w:val="0"/>
          <w:bCs/>
        </w:rPr>
        <w:tab/>
        <w:t xml:space="preserve">Table </w:t>
      </w:r>
      <w:r w:rsidR="00DA0DA7">
        <w:rPr>
          <w:b w:val="0"/>
          <w:bCs/>
        </w:rPr>
        <w:t>6</w:t>
      </w:r>
    </w:p>
    <w:p w14:paraId="2830E5A8" w14:textId="633CBF66" w:rsidR="00163B36" w:rsidRDefault="00DD1AEF" w:rsidP="00DA0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roofErr w:type="spellStart"/>
      <w:r w:rsidR="00163B36" w:rsidRPr="00163B36">
        <w:t>Labour</w:t>
      </w:r>
      <w:proofErr w:type="spellEnd"/>
      <w:r w:rsidR="00163B36" w:rsidRPr="00163B36">
        <w:t xml:space="preserve"> market data for Roma and non-Roma women</w:t>
      </w:r>
    </w:p>
    <w:p w14:paraId="06266601" w14:textId="0A23FB53" w:rsidR="00DA0DA7" w:rsidRPr="00DA0DA7" w:rsidRDefault="00DA0DA7" w:rsidP="00DA0DA7">
      <w:pPr>
        <w:pStyle w:val="SingleTxt"/>
        <w:spacing w:after="0" w:line="120" w:lineRule="exact"/>
        <w:rPr>
          <w:sz w:val="10"/>
          <w:lang w:val="en-US"/>
        </w:rPr>
      </w:pPr>
    </w:p>
    <w:p w14:paraId="216D5328" w14:textId="7A1BDB40" w:rsidR="00DA0DA7" w:rsidRPr="00DA0DA7" w:rsidRDefault="00DA0DA7" w:rsidP="00DA0DA7">
      <w:pPr>
        <w:pStyle w:val="SingleTxt"/>
        <w:spacing w:after="0" w:line="120" w:lineRule="exact"/>
        <w:rPr>
          <w:sz w:val="10"/>
          <w:lang w:val="en-US"/>
        </w:rPr>
      </w:pPr>
    </w:p>
    <w:tbl>
      <w:tblPr>
        <w:tblStyle w:val="TableGrid"/>
        <w:tblW w:w="0" w:type="auto"/>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
        <w:gridCol w:w="1080"/>
        <w:gridCol w:w="1080"/>
        <w:gridCol w:w="1080"/>
        <w:gridCol w:w="1260"/>
        <w:gridCol w:w="115"/>
        <w:gridCol w:w="875"/>
        <w:gridCol w:w="1206"/>
      </w:tblGrid>
      <w:tr w:rsidR="00DD1AEF" w:rsidRPr="00DA0DA7" w14:paraId="0CA7DC69" w14:textId="77777777" w:rsidTr="00333A03">
        <w:trPr>
          <w:tblHeader/>
        </w:trPr>
        <w:tc>
          <w:tcPr>
            <w:tcW w:w="531" w:type="dxa"/>
            <w:vMerge w:val="restart"/>
            <w:tcBorders>
              <w:top w:val="single" w:sz="4" w:space="0" w:color="auto"/>
            </w:tcBorders>
            <w:shd w:val="clear" w:color="auto" w:fill="auto"/>
            <w:vAlign w:val="bottom"/>
          </w:tcPr>
          <w:p w14:paraId="5A04BE6E" w14:textId="77777777" w:rsidR="00DD1AEF" w:rsidRPr="00DA0DA7" w:rsidRDefault="00DD1AEF"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DA0DA7">
              <w:rPr>
                <w:i/>
                <w:sz w:val="14"/>
              </w:rPr>
              <w:t>Year</w:t>
            </w:r>
          </w:p>
        </w:tc>
        <w:tc>
          <w:tcPr>
            <w:tcW w:w="1080" w:type="dxa"/>
            <w:vMerge w:val="restart"/>
            <w:tcBorders>
              <w:top w:val="single" w:sz="4" w:space="0" w:color="auto"/>
            </w:tcBorders>
            <w:shd w:val="clear" w:color="auto" w:fill="auto"/>
            <w:vAlign w:val="bottom"/>
          </w:tcPr>
          <w:p w14:paraId="030A6ACA" w14:textId="1DF8B7D4" w:rsidR="00DD1AEF" w:rsidRPr="00DA0DA7" w:rsidRDefault="00DD1AEF" w:rsidP="00DA0DA7">
            <w:pPr>
              <w:pStyle w:val="SingleTxt"/>
              <w:spacing w:before="81" w:after="81" w:line="160" w:lineRule="exact"/>
              <w:ind w:left="144" w:right="40"/>
              <w:jc w:val="right"/>
              <w:rPr>
                <w:i/>
                <w:sz w:val="14"/>
              </w:rPr>
            </w:pPr>
            <w:r w:rsidRPr="00DA0DA7">
              <w:rPr>
                <w:i/>
                <w:sz w:val="14"/>
              </w:rPr>
              <w:t>Employed Roma women, thousand</w:t>
            </w:r>
          </w:p>
        </w:tc>
        <w:tc>
          <w:tcPr>
            <w:tcW w:w="1080" w:type="dxa"/>
            <w:vMerge w:val="restart"/>
            <w:tcBorders>
              <w:top w:val="single" w:sz="4" w:space="0" w:color="auto"/>
            </w:tcBorders>
            <w:shd w:val="clear" w:color="auto" w:fill="auto"/>
            <w:vAlign w:val="bottom"/>
          </w:tcPr>
          <w:p w14:paraId="41AF7F48" w14:textId="629313D3" w:rsidR="00DD1AEF" w:rsidRPr="00DA0DA7" w:rsidRDefault="00DD1AEF" w:rsidP="00DA0DA7">
            <w:pPr>
              <w:pStyle w:val="SingleTxt"/>
              <w:spacing w:before="81" w:after="81" w:line="160" w:lineRule="exact"/>
              <w:ind w:left="144" w:right="40"/>
              <w:jc w:val="right"/>
              <w:rPr>
                <w:i/>
                <w:sz w:val="14"/>
              </w:rPr>
            </w:pPr>
            <w:r w:rsidRPr="00DA0DA7">
              <w:rPr>
                <w:i/>
                <w:sz w:val="14"/>
              </w:rPr>
              <w:t>Unemployed Roma women, thousand</w:t>
            </w:r>
          </w:p>
        </w:tc>
        <w:tc>
          <w:tcPr>
            <w:tcW w:w="2340" w:type="dxa"/>
            <w:gridSpan w:val="2"/>
            <w:tcBorders>
              <w:top w:val="single" w:sz="4" w:space="0" w:color="auto"/>
              <w:bottom w:val="single" w:sz="4" w:space="0" w:color="auto"/>
            </w:tcBorders>
            <w:shd w:val="clear" w:color="auto" w:fill="auto"/>
            <w:vAlign w:val="bottom"/>
          </w:tcPr>
          <w:p w14:paraId="71093F15" w14:textId="4C5D7E56" w:rsidR="00DD1AEF" w:rsidRPr="00DA0DA7" w:rsidRDefault="00DD1AEF"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A0DA7">
              <w:rPr>
                <w:i/>
                <w:sz w:val="14"/>
                <w:lang w:val="en-GB"/>
              </w:rPr>
              <w:t>Employment rate, %</w:t>
            </w:r>
          </w:p>
        </w:tc>
        <w:tc>
          <w:tcPr>
            <w:tcW w:w="115" w:type="dxa"/>
            <w:tcBorders>
              <w:top w:val="single" w:sz="4" w:space="0" w:color="auto"/>
            </w:tcBorders>
            <w:shd w:val="clear" w:color="auto" w:fill="auto"/>
            <w:vAlign w:val="bottom"/>
          </w:tcPr>
          <w:p w14:paraId="56AEEE29" w14:textId="5C7AE0A7" w:rsidR="00DD1AEF" w:rsidRPr="00DA0DA7" w:rsidRDefault="00DD1AEF"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836" w:type="dxa"/>
            <w:gridSpan w:val="2"/>
            <w:tcBorders>
              <w:top w:val="single" w:sz="4" w:space="0" w:color="auto"/>
              <w:bottom w:val="single" w:sz="4" w:space="0" w:color="auto"/>
            </w:tcBorders>
            <w:shd w:val="clear" w:color="auto" w:fill="auto"/>
            <w:vAlign w:val="bottom"/>
          </w:tcPr>
          <w:p w14:paraId="0A08BF84" w14:textId="3BE5A647" w:rsidR="00DD1AEF" w:rsidRPr="00DA0DA7" w:rsidRDefault="00DD1AEF"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DA0DA7">
              <w:rPr>
                <w:i/>
                <w:sz w:val="14"/>
              </w:rPr>
              <w:t>Unemployment rate, %</w:t>
            </w:r>
          </w:p>
        </w:tc>
      </w:tr>
      <w:tr w:rsidR="00DD1AEF" w:rsidRPr="00DA0DA7" w14:paraId="1BBC3B11" w14:textId="77777777" w:rsidTr="00333A03">
        <w:trPr>
          <w:tblHeader/>
        </w:trPr>
        <w:tc>
          <w:tcPr>
            <w:tcW w:w="531" w:type="dxa"/>
            <w:vMerge/>
            <w:tcBorders>
              <w:bottom w:val="single" w:sz="12" w:space="0" w:color="auto"/>
            </w:tcBorders>
            <w:shd w:val="clear" w:color="auto" w:fill="auto"/>
            <w:vAlign w:val="bottom"/>
          </w:tcPr>
          <w:p w14:paraId="1EBF5720" w14:textId="77777777" w:rsidR="00DD1AEF" w:rsidRPr="00DA0DA7" w:rsidRDefault="00DD1AEF"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080" w:type="dxa"/>
            <w:vMerge/>
            <w:tcBorders>
              <w:bottom w:val="single" w:sz="12" w:space="0" w:color="auto"/>
            </w:tcBorders>
            <w:shd w:val="clear" w:color="auto" w:fill="auto"/>
            <w:vAlign w:val="bottom"/>
          </w:tcPr>
          <w:p w14:paraId="2D7E3C32" w14:textId="753C1B85" w:rsidR="00DD1AEF" w:rsidRPr="00DA0DA7" w:rsidRDefault="00DD1AEF"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080" w:type="dxa"/>
            <w:vMerge/>
            <w:tcBorders>
              <w:bottom w:val="single" w:sz="12" w:space="0" w:color="auto"/>
            </w:tcBorders>
            <w:shd w:val="clear" w:color="auto" w:fill="auto"/>
            <w:vAlign w:val="bottom"/>
          </w:tcPr>
          <w:p w14:paraId="5ED80E46" w14:textId="65C57129" w:rsidR="00DD1AEF" w:rsidRPr="00DA0DA7" w:rsidRDefault="00DD1AEF"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080" w:type="dxa"/>
            <w:tcBorders>
              <w:bottom w:val="single" w:sz="12" w:space="0" w:color="auto"/>
            </w:tcBorders>
            <w:shd w:val="clear" w:color="auto" w:fill="auto"/>
            <w:vAlign w:val="bottom"/>
          </w:tcPr>
          <w:p w14:paraId="21A8718B" w14:textId="04FE2ED6" w:rsidR="00DD1AEF" w:rsidRPr="00333A03" w:rsidRDefault="00DD1AEF"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9" w:right="40"/>
              <w:jc w:val="right"/>
              <w:rPr>
                <w:rFonts w:ascii="Times New Roman Italic" w:hAnsi="Times New Roman Italic" w:cs="Times New Roman Italic"/>
                <w:i/>
                <w:spacing w:val="2"/>
                <w:w w:val="102"/>
                <w:sz w:val="14"/>
              </w:rPr>
            </w:pPr>
            <w:r w:rsidRPr="00333A03">
              <w:rPr>
                <w:rFonts w:ascii="Times New Roman Italic" w:hAnsi="Times New Roman Italic" w:cs="Times New Roman Italic"/>
                <w:i/>
                <w:spacing w:val="2"/>
                <w:w w:val="102"/>
                <w:sz w:val="14"/>
                <w:lang w:val="en-GB"/>
              </w:rPr>
              <w:t>Roma women</w:t>
            </w:r>
          </w:p>
        </w:tc>
        <w:tc>
          <w:tcPr>
            <w:tcW w:w="1260" w:type="dxa"/>
            <w:tcBorders>
              <w:bottom w:val="single" w:sz="12" w:space="0" w:color="auto"/>
            </w:tcBorders>
            <w:shd w:val="clear" w:color="auto" w:fill="auto"/>
            <w:vAlign w:val="bottom"/>
          </w:tcPr>
          <w:p w14:paraId="56189A5E" w14:textId="203E1D4B" w:rsidR="00DD1AEF" w:rsidRPr="00333A03" w:rsidRDefault="00DD1AEF"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9" w:right="40"/>
              <w:jc w:val="right"/>
              <w:rPr>
                <w:rFonts w:ascii="Times New Roman Italic" w:hAnsi="Times New Roman Italic" w:cs="Times New Roman Italic"/>
                <w:i/>
                <w:spacing w:val="2"/>
                <w:w w:val="102"/>
                <w:sz w:val="14"/>
              </w:rPr>
            </w:pPr>
            <w:r w:rsidRPr="00333A03">
              <w:rPr>
                <w:rFonts w:ascii="Times New Roman Italic" w:hAnsi="Times New Roman Italic" w:cs="Times New Roman Italic"/>
                <w:i/>
                <w:spacing w:val="2"/>
                <w:w w:val="102"/>
                <w:sz w:val="14"/>
                <w:lang w:val="en-GB"/>
              </w:rPr>
              <w:t>non-Roma women</w:t>
            </w:r>
          </w:p>
        </w:tc>
        <w:tc>
          <w:tcPr>
            <w:tcW w:w="990" w:type="dxa"/>
            <w:gridSpan w:val="2"/>
            <w:tcBorders>
              <w:top w:val="single" w:sz="4" w:space="0" w:color="auto"/>
              <w:bottom w:val="single" w:sz="12" w:space="0" w:color="auto"/>
            </w:tcBorders>
            <w:shd w:val="clear" w:color="auto" w:fill="auto"/>
            <w:vAlign w:val="bottom"/>
          </w:tcPr>
          <w:p w14:paraId="08E6DCD2" w14:textId="05206D87" w:rsidR="00DD1AEF" w:rsidRPr="00333A03" w:rsidRDefault="00DD1AEF"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9" w:right="40"/>
              <w:jc w:val="right"/>
              <w:rPr>
                <w:rFonts w:ascii="Times New Roman Italic" w:hAnsi="Times New Roman Italic" w:cs="Times New Roman Italic"/>
                <w:i/>
                <w:spacing w:val="2"/>
                <w:w w:val="102"/>
                <w:sz w:val="14"/>
              </w:rPr>
            </w:pPr>
            <w:r w:rsidRPr="00333A03">
              <w:rPr>
                <w:rFonts w:ascii="Times New Roman Italic" w:hAnsi="Times New Roman Italic" w:cs="Times New Roman Italic"/>
                <w:i/>
                <w:spacing w:val="2"/>
                <w:w w:val="102"/>
                <w:sz w:val="14"/>
                <w:lang w:val="en-GB"/>
              </w:rPr>
              <w:t>Roma women</w:t>
            </w:r>
          </w:p>
        </w:tc>
        <w:tc>
          <w:tcPr>
            <w:tcW w:w="1206" w:type="dxa"/>
            <w:tcBorders>
              <w:top w:val="single" w:sz="4" w:space="0" w:color="auto"/>
              <w:bottom w:val="single" w:sz="12" w:space="0" w:color="auto"/>
            </w:tcBorders>
            <w:shd w:val="clear" w:color="auto" w:fill="auto"/>
            <w:vAlign w:val="bottom"/>
          </w:tcPr>
          <w:p w14:paraId="1BB22182" w14:textId="28EE2E57" w:rsidR="00DD1AEF" w:rsidRPr="00333A03" w:rsidRDefault="00DD1AEF"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9" w:right="40"/>
              <w:jc w:val="right"/>
              <w:rPr>
                <w:rFonts w:ascii="Times New Roman Italic" w:hAnsi="Times New Roman Italic" w:cs="Times New Roman Italic"/>
                <w:i/>
                <w:spacing w:val="2"/>
                <w:w w:val="102"/>
                <w:sz w:val="14"/>
              </w:rPr>
            </w:pPr>
            <w:r w:rsidRPr="00333A03">
              <w:rPr>
                <w:rFonts w:ascii="Times New Roman Italic" w:hAnsi="Times New Roman Italic" w:cs="Times New Roman Italic"/>
                <w:i/>
                <w:spacing w:val="2"/>
                <w:w w:val="102"/>
                <w:sz w:val="14"/>
                <w:lang w:val="en-GB"/>
              </w:rPr>
              <w:t>non-Roma women</w:t>
            </w:r>
          </w:p>
        </w:tc>
      </w:tr>
      <w:tr w:rsidR="00DA0DA7" w:rsidRPr="00DA0DA7" w14:paraId="1A3C58C6" w14:textId="77777777" w:rsidTr="00333A03">
        <w:trPr>
          <w:trHeight w:hRule="exact" w:val="115"/>
          <w:tblHeader/>
        </w:trPr>
        <w:tc>
          <w:tcPr>
            <w:tcW w:w="531" w:type="dxa"/>
            <w:tcBorders>
              <w:top w:val="single" w:sz="12" w:space="0" w:color="auto"/>
            </w:tcBorders>
            <w:shd w:val="clear" w:color="auto" w:fill="auto"/>
            <w:vAlign w:val="bottom"/>
          </w:tcPr>
          <w:p w14:paraId="4D161060" w14:textId="77777777" w:rsidR="00DA0DA7" w:rsidRPr="00DA0DA7" w:rsidRDefault="00DA0DA7"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80" w:type="dxa"/>
            <w:tcBorders>
              <w:top w:val="single" w:sz="12" w:space="0" w:color="auto"/>
            </w:tcBorders>
            <w:shd w:val="clear" w:color="auto" w:fill="auto"/>
            <w:vAlign w:val="bottom"/>
          </w:tcPr>
          <w:p w14:paraId="627EFE7A" w14:textId="77777777" w:rsidR="00DA0DA7" w:rsidRPr="00DA0DA7" w:rsidRDefault="00DA0DA7"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80" w:type="dxa"/>
            <w:tcBorders>
              <w:top w:val="single" w:sz="12" w:space="0" w:color="auto"/>
            </w:tcBorders>
            <w:shd w:val="clear" w:color="auto" w:fill="auto"/>
            <w:vAlign w:val="bottom"/>
          </w:tcPr>
          <w:p w14:paraId="3CF572BA" w14:textId="77777777" w:rsidR="00DA0DA7" w:rsidRPr="00DA0DA7" w:rsidRDefault="00DA0DA7"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80" w:type="dxa"/>
            <w:tcBorders>
              <w:top w:val="single" w:sz="12" w:space="0" w:color="auto"/>
            </w:tcBorders>
            <w:shd w:val="clear" w:color="auto" w:fill="auto"/>
            <w:vAlign w:val="bottom"/>
          </w:tcPr>
          <w:p w14:paraId="2F3F0C55" w14:textId="77777777" w:rsidR="00DA0DA7" w:rsidRPr="00DA0DA7" w:rsidRDefault="00DA0DA7"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60" w:type="dxa"/>
            <w:tcBorders>
              <w:top w:val="single" w:sz="12" w:space="0" w:color="auto"/>
            </w:tcBorders>
            <w:shd w:val="clear" w:color="auto" w:fill="auto"/>
            <w:vAlign w:val="bottom"/>
          </w:tcPr>
          <w:p w14:paraId="20C8ECA7" w14:textId="77777777" w:rsidR="00DA0DA7" w:rsidRPr="00DA0DA7" w:rsidRDefault="00DA0DA7"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gridSpan w:val="2"/>
            <w:tcBorders>
              <w:top w:val="single" w:sz="12" w:space="0" w:color="auto"/>
            </w:tcBorders>
            <w:shd w:val="clear" w:color="auto" w:fill="auto"/>
            <w:vAlign w:val="bottom"/>
          </w:tcPr>
          <w:p w14:paraId="572B78FD" w14:textId="77777777" w:rsidR="00DA0DA7" w:rsidRPr="00DA0DA7" w:rsidRDefault="00DA0DA7"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06" w:type="dxa"/>
            <w:tcBorders>
              <w:top w:val="single" w:sz="12" w:space="0" w:color="auto"/>
            </w:tcBorders>
            <w:shd w:val="clear" w:color="auto" w:fill="auto"/>
            <w:vAlign w:val="bottom"/>
          </w:tcPr>
          <w:p w14:paraId="39CD7633" w14:textId="77777777" w:rsidR="00DA0DA7" w:rsidRPr="00DA0DA7" w:rsidRDefault="00DA0DA7" w:rsidP="00DA0D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A0DA7" w:rsidRPr="00DA0DA7" w14:paraId="187F4D1F" w14:textId="77777777" w:rsidTr="00333A03">
        <w:tc>
          <w:tcPr>
            <w:tcW w:w="531" w:type="dxa"/>
            <w:shd w:val="clear" w:color="auto" w:fill="auto"/>
            <w:vAlign w:val="bottom"/>
          </w:tcPr>
          <w:p w14:paraId="6E3CDE5A"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A0DA7">
              <w:rPr>
                <w:sz w:val="17"/>
              </w:rPr>
              <w:t>2018</w:t>
            </w:r>
          </w:p>
        </w:tc>
        <w:tc>
          <w:tcPr>
            <w:tcW w:w="1080" w:type="dxa"/>
            <w:shd w:val="clear" w:color="auto" w:fill="auto"/>
            <w:vAlign w:val="bottom"/>
          </w:tcPr>
          <w:p w14:paraId="302B0EBE"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32.9</w:t>
            </w:r>
          </w:p>
        </w:tc>
        <w:tc>
          <w:tcPr>
            <w:tcW w:w="1080" w:type="dxa"/>
            <w:shd w:val="clear" w:color="auto" w:fill="auto"/>
            <w:vAlign w:val="bottom"/>
          </w:tcPr>
          <w:p w14:paraId="7EE16629"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7,4</w:t>
            </w:r>
          </w:p>
        </w:tc>
        <w:tc>
          <w:tcPr>
            <w:tcW w:w="1080" w:type="dxa"/>
            <w:shd w:val="clear" w:color="auto" w:fill="auto"/>
            <w:vAlign w:val="bottom"/>
          </w:tcPr>
          <w:p w14:paraId="28193C9D"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35.6</w:t>
            </w:r>
          </w:p>
        </w:tc>
        <w:tc>
          <w:tcPr>
            <w:tcW w:w="1260" w:type="dxa"/>
            <w:shd w:val="clear" w:color="auto" w:fill="auto"/>
            <w:vAlign w:val="bottom"/>
          </w:tcPr>
          <w:p w14:paraId="6B37277A"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67.5</w:t>
            </w:r>
          </w:p>
        </w:tc>
        <w:tc>
          <w:tcPr>
            <w:tcW w:w="990" w:type="dxa"/>
            <w:gridSpan w:val="2"/>
            <w:shd w:val="clear" w:color="auto" w:fill="auto"/>
            <w:vAlign w:val="bottom"/>
          </w:tcPr>
          <w:p w14:paraId="3DF2685C"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18.3</w:t>
            </w:r>
          </w:p>
        </w:tc>
        <w:tc>
          <w:tcPr>
            <w:tcW w:w="1206" w:type="dxa"/>
            <w:shd w:val="clear" w:color="auto" w:fill="auto"/>
            <w:vAlign w:val="bottom"/>
          </w:tcPr>
          <w:p w14:paraId="179A60C6"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3.5</w:t>
            </w:r>
          </w:p>
        </w:tc>
      </w:tr>
      <w:tr w:rsidR="00DA0DA7" w:rsidRPr="00DA0DA7" w14:paraId="2F6813BA" w14:textId="77777777" w:rsidTr="00333A03">
        <w:tc>
          <w:tcPr>
            <w:tcW w:w="531" w:type="dxa"/>
            <w:shd w:val="clear" w:color="auto" w:fill="auto"/>
            <w:vAlign w:val="bottom"/>
          </w:tcPr>
          <w:p w14:paraId="66BE52C9"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A0DA7">
              <w:rPr>
                <w:sz w:val="17"/>
              </w:rPr>
              <w:t>2019</w:t>
            </w:r>
          </w:p>
        </w:tc>
        <w:tc>
          <w:tcPr>
            <w:tcW w:w="1080" w:type="dxa"/>
            <w:shd w:val="clear" w:color="auto" w:fill="auto"/>
            <w:vAlign w:val="bottom"/>
          </w:tcPr>
          <w:p w14:paraId="2E7ACF86"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31.5</w:t>
            </w:r>
          </w:p>
        </w:tc>
        <w:tc>
          <w:tcPr>
            <w:tcW w:w="1080" w:type="dxa"/>
            <w:shd w:val="clear" w:color="auto" w:fill="auto"/>
            <w:vAlign w:val="bottom"/>
          </w:tcPr>
          <w:p w14:paraId="38780DBD"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5,1</w:t>
            </w:r>
          </w:p>
        </w:tc>
        <w:tc>
          <w:tcPr>
            <w:tcW w:w="1080" w:type="dxa"/>
            <w:shd w:val="clear" w:color="auto" w:fill="auto"/>
            <w:vAlign w:val="bottom"/>
          </w:tcPr>
          <w:p w14:paraId="70B3DF21"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38.7</w:t>
            </w:r>
          </w:p>
        </w:tc>
        <w:tc>
          <w:tcPr>
            <w:tcW w:w="1260" w:type="dxa"/>
            <w:shd w:val="clear" w:color="auto" w:fill="auto"/>
            <w:vAlign w:val="bottom"/>
          </w:tcPr>
          <w:p w14:paraId="3F83DC2A"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67.8</w:t>
            </w:r>
          </w:p>
        </w:tc>
        <w:tc>
          <w:tcPr>
            <w:tcW w:w="990" w:type="dxa"/>
            <w:gridSpan w:val="2"/>
            <w:shd w:val="clear" w:color="auto" w:fill="auto"/>
            <w:vAlign w:val="bottom"/>
          </w:tcPr>
          <w:p w14:paraId="40A215BE"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13.8</w:t>
            </w:r>
          </w:p>
        </w:tc>
        <w:tc>
          <w:tcPr>
            <w:tcW w:w="1206" w:type="dxa"/>
            <w:shd w:val="clear" w:color="auto" w:fill="auto"/>
            <w:vAlign w:val="bottom"/>
          </w:tcPr>
          <w:p w14:paraId="2528F5BD"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3.1</w:t>
            </w:r>
          </w:p>
        </w:tc>
      </w:tr>
      <w:tr w:rsidR="00DA0DA7" w:rsidRPr="00DA0DA7" w14:paraId="399E9779" w14:textId="77777777" w:rsidTr="00333A03">
        <w:tc>
          <w:tcPr>
            <w:tcW w:w="531" w:type="dxa"/>
            <w:tcBorders>
              <w:bottom w:val="single" w:sz="12" w:space="0" w:color="auto"/>
            </w:tcBorders>
            <w:shd w:val="clear" w:color="auto" w:fill="auto"/>
            <w:vAlign w:val="bottom"/>
          </w:tcPr>
          <w:p w14:paraId="46C985A9"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A0DA7">
              <w:rPr>
                <w:sz w:val="17"/>
              </w:rPr>
              <w:t>2020</w:t>
            </w:r>
          </w:p>
        </w:tc>
        <w:tc>
          <w:tcPr>
            <w:tcW w:w="1080" w:type="dxa"/>
            <w:tcBorders>
              <w:bottom w:val="single" w:sz="12" w:space="0" w:color="auto"/>
            </w:tcBorders>
            <w:shd w:val="clear" w:color="auto" w:fill="auto"/>
            <w:vAlign w:val="bottom"/>
          </w:tcPr>
          <w:p w14:paraId="3C197BFC"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28.2</w:t>
            </w:r>
          </w:p>
        </w:tc>
        <w:tc>
          <w:tcPr>
            <w:tcW w:w="1080" w:type="dxa"/>
            <w:tcBorders>
              <w:bottom w:val="single" w:sz="12" w:space="0" w:color="auto"/>
            </w:tcBorders>
            <w:shd w:val="clear" w:color="auto" w:fill="auto"/>
            <w:vAlign w:val="bottom"/>
          </w:tcPr>
          <w:p w14:paraId="38B65959"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6,1</w:t>
            </w:r>
          </w:p>
        </w:tc>
        <w:tc>
          <w:tcPr>
            <w:tcW w:w="1080" w:type="dxa"/>
            <w:tcBorders>
              <w:bottom w:val="single" w:sz="12" w:space="0" w:color="auto"/>
            </w:tcBorders>
            <w:shd w:val="clear" w:color="auto" w:fill="auto"/>
            <w:vAlign w:val="bottom"/>
          </w:tcPr>
          <w:p w14:paraId="468E8D43"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35.1</w:t>
            </w:r>
          </w:p>
        </w:tc>
        <w:tc>
          <w:tcPr>
            <w:tcW w:w="1260" w:type="dxa"/>
            <w:tcBorders>
              <w:bottom w:val="single" w:sz="12" w:space="0" w:color="auto"/>
            </w:tcBorders>
            <w:shd w:val="clear" w:color="auto" w:fill="auto"/>
            <w:vAlign w:val="bottom"/>
          </w:tcPr>
          <w:p w14:paraId="65CE2CB0"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67.7</w:t>
            </w:r>
          </w:p>
        </w:tc>
        <w:tc>
          <w:tcPr>
            <w:tcW w:w="990" w:type="dxa"/>
            <w:gridSpan w:val="2"/>
            <w:tcBorders>
              <w:bottom w:val="single" w:sz="12" w:space="0" w:color="auto"/>
            </w:tcBorders>
            <w:shd w:val="clear" w:color="auto" w:fill="auto"/>
            <w:vAlign w:val="bottom"/>
          </w:tcPr>
          <w:p w14:paraId="3195449D"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17.8</w:t>
            </w:r>
          </w:p>
        </w:tc>
        <w:tc>
          <w:tcPr>
            <w:tcW w:w="1206" w:type="dxa"/>
            <w:tcBorders>
              <w:bottom w:val="single" w:sz="12" w:space="0" w:color="auto"/>
            </w:tcBorders>
            <w:shd w:val="clear" w:color="auto" w:fill="auto"/>
            <w:vAlign w:val="bottom"/>
          </w:tcPr>
          <w:p w14:paraId="46760B5C" w14:textId="77777777" w:rsidR="00DA0DA7" w:rsidRPr="00DA0DA7" w:rsidRDefault="00DA0DA7"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A0DA7">
              <w:rPr>
                <w:sz w:val="17"/>
              </w:rPr>
              <w:t>4.0</w:t>
            </w:r>
          </w:p>
        </w:tc>
      </w:tr>
    </w:tbl>
    <w:p w14:paraId="31D20AFE" w14:textId="61FC74BC" w:rsidR="00DA0DA7" w:rsidRPr="00DA0DA7" w:rsidRDefault="00DA0DA7" w:rsidP="00DA0DA7">
      <w:pPr>
        <w:pStyle w:val="SingleTxt"/>
        <w:spacing w:after="0" w:line="120" w:lineRule="exact"/>
        <w:rPr>
          <w:sz w:val="10"/>
        </w:rPr>
      </w:pPr>
    </w:p>
    <w:p w14:paraId="1510DCCD" w14:textId="6B840CC6" w:rsidR="00163B36" w:rsidRDefault="00163B36" w:rsidP="0026267D">
      <w:pPr>
        <w:pStyle w:val="FootnoteText"/>
        <w:tabs>
          <w:tab w:val="clear" w:pos="418"/>
          <w:tab w:val="right" w:pos="1476"/>
          <w:tab w:val="left" w:pos="1548"/>
          <w:tab w:val="right" w:pos="1836"/>
          <w:tab w:val="left" w:pos="1908"/>
        </w:tabs>
        <w:ind w:left="1548" w:hanging="288"/>
      </w:pPr>
      <w:r w:rsidRPr="0026267D">
        <w:rPr>
          <w:i/>
          <w:iCs/>
        </w:rPr>
        <w:t>Source</w:t>
      </w:r>
      <w:r w:rsidRPr="00163B36">
        <w:t xml:space="preserve">: </w:t>
      </w:r>
      <w:r w:rsidRPr="00333A03">
        <w:rPr>
          <w:i/>
          <w:iCs/>
        </w:rPr>
        <w:t>Hungarian Central Statistical Office</w:t>
      </w:r>
      <w:r w:rsidR="0026267D">
        <w:t>.</w:t>
      </w:r>
    </w:p>
    <w:p w14:paraId="43EAF088" w14:textId="271A5AC3" w:rsidR="0026267D" w:rsidRPr="0026267D" w:rsidRDefault="0026267D" w:rsidP="0026267D">
      <w:pPr>
        <w:pStyle w:val="FootnoteText"/>
        <w:tabs>
          <w:tab w:val="clear" w:pos="418"/>
          <w:tab w:val="right" w:pos="1476"/>
          <w:tab w:val="left" w:pos="1548"/>
          <w:tab w:val="right" w:pos="1836"/>
          <w:tab w:val="left" w:pos="1908"/>
        </w:tabs>
        <w:spacing w:line="120" w:lineRule="exact"/>
        <w:ind w:left="1548" w:hanging="288"/>
        <w:rPr>
          <w:i/>
          <w:iCs/>
          <w:sz w:val="10"/>
        </w:rPr>
      </w:pPr>
    </w:p>
    <w:p w14:paraId="3918BE03" w14:textId="053E4466" w:rsidR="0026267D" w:rsidRPr="0026267D" w:rsidRDefault="0026267D" w:rsidP="0026267D">
      <w:pPr>
        <w:pStyle w:val="FootnoteText"/>
        <w:tabs>
          <w:tab w:val="clear" w:pos="418"/>
          <w:tab w:val="right" w:pos="1476"/>
          <w:tab w:val="left" w:pos="1548"/>
          <w:tab w:val="right" w:pos="1836"/>
          <w:tab w:val="left" w:pos="1908"/>
        </w:tabs>
        <w:spacing w:line="120" w:lineRule="exact"/>
        <w:ind w:left="1548" w:hanging="288"/>
        <w:rPr>
          <w:sz w:val="10"/>
        </w:rPr>
      </w:pPr>
    </w:p>
    <w:p w14:paraId="6F88B6AB" w14:textId="77777777" w:rsidR="0007129D" w:rsidRDefault="0007129D" w:rsidP="00333A03">
      <w:pPr>
        <w:pStyle w:val="SingleTxt"/>
        <w:spacing w:line="234" w:lineRule="atLeast"/>
      </w:pPr>
      <w:r>
        <w:t>85.</w:t>
      </w:r>
      <w:r>
        <w:tab/>
        <w:t xml:space="preserve">Data on international migration disaggregated by sex published by the Hungarian Central Statistical Office are not available. </w:t>
      </w:r>
    </w:p>
    <w:p w14:paraId="6AD4B122" w14:textId="77777777" w:rsidR="0007129D" w:rsidRDefault="0007129D" w:rsidP="00333A03">
      <w:pPr>
        <w:pStyle w:val="SingleTxt"/>
        <w:spacing w:line="234" w:lineRule="atLeast"/>
      </w:pPr>
      <w:r>
        <w:t>86.</w:t>
      </w:r>
      <w:r>
        <w:tab/>
      </w:r>
      <w:proofErr w:type="gramStart"/>
      <w:r>
        <w:t>In order to</w:t>
      </w:r>
      <w:proofErr w:type="gramEnd"/>
      <w:r>
        <w:t xml:space="preserve"> tackle sexual harassment at the workplace, the Equal Treatment Authority published an information booklet titled Preventing Harassment at the Workplace and Forms of Legal Redress (2015), awareness-rising communication campaigns on all forms of discrimination as well as providing short lectures as part of settlements to staff of employers against whom the complaint was directed.</w:t>
      </w:r>
    </w:p>
    <w:p w14:paraId="42D1C858" w14:textId="1A1DAEC5" w:rsidR="00163B36" w:rsidRDefault="0007129D" w:rsidP="00333A03">
      <w:pPr>
        <w:pStyle w:val="SingleTxt"/>
        <w:spacing w:line="234" w:lineRule="atLeast"/>
      </w:pPr>
      <w:r>
        <w:t>87.</w:t>
      </w:r>
      <w:r>
        <w:tab/>
        <w:t>The number of cases considered by the Equal Treatment Authority concerning sexual harassment claims submitted by women in the years 2016</w:t>
      </w:r>
      <w:r w:rsidR="0026267D">
        <w:t>–</w:t>
      </w:r>
      <w:r>
        <w:t xml:space="preserve">2020, as well as </w:t>
      </w:r>
      <w:r>
        <w:lastRenderedPageBreak/>
        <w:t>their outcome are presented in the table below. In 2021, no new complaints of sexual harassment at work have been received yet.</w:t>
      </w:r>
    </w:p>
    <w:p w14:paraId="7FC67974" w14:textId="30516AF2" w:rsidR="004A2EDA" w:rsidRPr="004A2EDA" w:rsidRDefault="004A2EDA" w:rsidP="004A2EDA">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3"/>
        <w:gridCol w:w="990"/>
        <w:gridCol w:w="1350"/>
        <w:gridCol w:w="1044"/>
        <w:gridCol w:w="1045"/>
        <w:gridCol w:w="1045"/>
        <w:gridCol w:w="1045"/>
      </w:tblGrid>
      <w:tr w:rsidR="00C75E32" w:rsidRPr="00C75E32" w14:paraId="4B1E10C4" w14:textId="77777777" w:rsidTr="00333A03">
        <w:trPr>
          <w:tblHeader/>
        </w:trPr>
        <w:tc>
          <w:tcPr>
            <w:tcW w:w="803" w:type="dxa"/>
            <w:tcBorders>
              <w:top w:val="single" w:sz="4" w:space="0" w:color="auto"/>
              <w:bottom w:val="single" w:sz="12" w:space="0" w:color="auto"/>
            </w:tcBorders>
            <w:shd w:val="clear" w:color="auto" w:fill="auto"/>
            <w:vAlign w:val="bottom"/>
          </w:tcPr>
          <w:p w14:paraId="19573D2B"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75E32">
              <w:rPr>
                <w:i/>
                <w:sz w:val="14"/>
              </w:rPr>
              <w:t>Year</w:t>
            </w:r>
          </w:p>
        </w:tc>
        <w:tc>
          <w:tcPr>
            <w:tcW w:w="990" w:type="dxa"/>
            <w:tcBorders>
              <w:top w:val="single" w:sz="4" w:space="0" w:color="auto"/>
              <w:bottom w:val="single" w:sz="12" w:space="0" w:color="auto"/>
            </w:tcBorders>
            <w:shd w:val="clear" w:color="auto" w:fill="auto"/>
            <w:vAlign w:val="bottom"/>
          </w:tcPr>
          <w:p w14:paraId="42D2549E" w14:textId="77777777" w:rsidR="00C75E32" w:rsidRPr="00333A03" w:rsidRDefault="00C75E32"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40"/>
              <w:jc w:val="right"/>
              <w:rPr>
                <w:rFonts w:ascii="Times New Roman Italic" w:hAnsi="Times New Roman Italic" w:cs="Times New Roman Italic"/>
                <w:i/>
                <w:spacing w:val="2"/>
                <w:w w:val="101"/>
                <w:sz w:val="14"/>
              </w:rPr>
            </w:pPr>
            <w:r w:rsidRPr="00333A03">
              <w:rPr>
                <w:rFonts w:ascii="Times New Roman Italic" w:hAnsi="Times New Roman Italic" w:cs="Times New Roman Italic"/>
                <w:i/>
                <w:spacing w:val="2"/>
                <w:w w:val="101"/>
                <w:sz w:val="14"/>
              </w:rPr>
              <w:t>Number of cases</w:t>
            </w:r>
          </w:p>
        </w:tc>
        <w:tc>
          <w:tcPr>
            <w:tcW w:w="1350" w:type="dxa"/>
            <w:tcBorders>
              <w:top w:val="single" w:sz="4" w:space="0" w:color="auto"/>
              <w:bottom w:val="single" w:sz="12" w:space="0" w:color="auto"/>
            </w:tcBorders>
            <w:shd w:val="clear" w:color="auto" w:fill="auto"/>
            <w:vAlign w:val="bottom"/>
          </w:tcPr>
          <w:p w14:paraId="1A04FB81" w14:textId="77777777" w:rsidR="00C75E32" w:rsidRPr="00333A03" w:rsidRDefault="00C75E32"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40"/>
              <w:jc w:val="right"/>
              <w:rPr>
                <w:rFonts w:ascii="Times New Roman Italic" w:hAnsi="Times New Roman Italic" w:cs="Times New Roman Italic"/>
                <w:i/>
                <w:spacing w:val="2"/>
                <w:w w:val="101"/>
                <w:sz w:val="14"/>
              </w:rPr>
            </w:pPr>
            <w:r w:rsidRPr="00333A03">
              <w:rPr>
                <w:rFonts w:ascii="Times New Roman Italic" w:hAnsi="Times New Roman Italic" w:cs="Times New Roman Italic"/>
                <w:i/>
                <w:spacing w:val="2"/>
                <w:w w:val="101"/>
                <w:sz w:val="14"/>
              </w:rPr>
              <w:t>Decision establishing a violation of the principle of equal treatment</w:t>
            </w:r>
          </w:p>
        </w:tc>
        <w:tc>
          <w:tcPr>
            <w:tcW w:w="1044" w:type="dxa"/>
            <w:tcBorders>
              <w:top w:val="single" w:sz="4" w:space="0" w:color="auto"/>
              <w:bottom w:val="single" w:sz="12" w:space="0" w:color="auto"/>
            </w:tcBorders>
            <w:shd w:val="clear" w:color="auto" w:fill="auto"/>
            <w:vAlign w:val="bottom"/>
          </w:tcPr>
          <w:p w14:paraId="4C314FFD" w14:textId="77777777" w:rsidR="00C75E32" w:rsidRPr="00333A03" w:rsidRDefault="00C75E32"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40"/>
              <w:jc w:val="right"/>
              <w:rPr>
                <w:rFonts w:ascii="Times New Roman Italic" w:hAnsi="Times New Roman Italic" w:cs="Times New Roman Italic"/>
                <w:i/>
                <w:spacing w:val="2"/>
                <w:w w:val="101"/>
                <w:sz w:val="14"/>
              </w:rPr>
            </w:pPr>
            <w:r w:rsidRPr="00333A03">
              <w:rPr>
                <w:rFonts w:ascii="Times New Roman Italic" w:hAnsi="Times New Roman Italic" w:cs="Times New Roman Italic"/>
                <w:i/>
                <w:spacing w:val="2"/>
                <w:w w:val="101"/>
                <w:sz w:val="14"/>
              </w:rPr>
              <w:t>Settlement</w:t>
            </w:r>
          </w:p>
        </w:tc>
        <w:tc>
          <w:tcPr>
            <w:tcW w:w="1045" w:type="dxa"/>
            <w:tcBorders>
              <w:top w:val="single" w:sz="4" w:space="0" w:color="auto"/>
              <w:bottom w:val="single" w:sz="12" w:space="0" w:color="auto"/>
            </w:tcBorders>
            <w:shd w:val="clear" w:color="auto" w:fill="auto"/>
            <w:vAlign w:val="bottom"/>
          </w:tcPr>
          <w:p w14:paraId="1AD68BBB" w14:textId="77777777" w:rsidR="00C75E32" w:rsidRPr="00333A03" w:rsidRDefault="00C75E32"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40"/>
              <w:jc w:val="right"/>
              <w:rPr>
                <w:rFonts w:ascii="Times New Roman Italic" w:hAnsi="Times New Roman Italic" w:cs="Times New Roman Italic"/>
                <w:i/>
                <w:spacing w:val="2"/>
                <w:w w:val="101"/>
                <w:sz w:val="14"/>
              </w:rPr>
            </w:pPr>
            <w:r w:rsidRPr="00333A03">
              <w:rPr>
                <w:rFonts w:ascii="Times New Roman Italic" w:hAnsi="Times New Roman Italic" w:cs="Times New Roman Italic"/>
                <w:i/>
                <w:spacing w:val="2"/>
                <w:w w:val="101"/>
                <w:sz w:val="14"/>
              </w:rPr>
              <w:t>Rejection of the complaint on its merits</w:t>
            </w:r>
          </w:p>
        </w:tc>
        <w:tc>
          <w:tcPr>
            <w:tcW w:w="1045" w:type="dxa"/>
            <w:tcBorders>
              <w:top w:val="single" w:sz="4" w:space="0" w:color="auto"/>
              <w:bottom w:val="single" w:sz="12" w:space="0" w:color="auto"/>
            </w:tcBorders>
            <w:shd w:val="clear" w:color="auto" w:fill="auto"/>
            <w:vAlign w:val="bottom"/>
          </w:tcPr>
          <w:p w14:paraId="33BB5136" w14:textId="77777777" w:rsidR="00C75E32" w:rsidRPr="00333A03" w:rsidRDefault="00C75E32"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40"/>
              <w:jc w:val="right"/>
              <w:rPr>
                <w:rFonts w:ascii="Times New Roman Italic" w:hAnsi="Times New Roman Italic" w:cs="Times New Roman Italic"/>
                <w:i/>
                <w:spacing w:val="2"/>
                <w:w w:val="101"/>
                <w:sz w:val="14"/>
              </w:rPr>
            </w:pPr>
            <w:r w:rsidRPr="00333A03">
              <w:rPr>
                <w:rFonts w:ascii="Times New Roman Italic" w:hAnsi="Times New Roman Italic" w:cs="Times New Roman Italic"/>
                <w:i/>
                <w:spacing w:val="2"/>
                <w:w w:val="101"/>
                <w:sz w:val="14"/>
              </w:rPr>
              <w:t>Termination of proceedings</w:t>
            </w:r>
          </w:p>
        </w:tc>
        <w:tc>
          <w:tcPr>
            <w:tcW w:w="1045" w:type="dxa"/>
            <w:tcBorders>
              <w:top w:val="single" w:sz="4" w:space="0" w:color="auto"/>
              <w:bottom w:val="single" w:sz="12" w:space="0" w:color="auto"/>
            </w:tcBorders>
            <w:shd w:val="clear" w:color="auto" w:fill="auto"/>
            <w:vAlign w:val="bottom"/>
          </w:tcPr>
          <w:p w14:paraId="34275B03" w14:textId="77777777" w:rsidR="00C75E32" w:rsidRPr="00333A03" w:rsidRDefault="00C75E32"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40"/>
              <w:jc w:val="right"/>
              <w:rPr>
                <w:rFonts w:ascii="Times New Roman Italic" w:hAnsi="Times New Roman Italic" w:cs="Times New Roman Italic"/>
                <w:i/>
                <w:spacing w:val="2"/>
                <w:w w:val="101"/>
                <w:sz w:val="14"/>
              </w:rPr>
            </w:pPr>
            <w:r w:rsidRPr="00333A03">
              <w:rPr>
                <w:rFonts w:ascii="Times New Roman Italic" w:hAnsi="Times New Roman Italic" w:cs="Times New Roman Italic"/>
                <w:i/>
                <w:spacing w:val="2"/>
                <w:w w:val="101"/>
                <w:sz w:val="14"/>
              </w:rPr>
              <w:t>Rejection of the complaint on procedural grounds</w:t>
            </w:r>
          </w:p>
        </w:tc>
      </w:tr>
      <w:tr w:rsidR="00C75E32" w:rsidRPr="00C75E32" w14:paraId="7023BA15" w14:textId="77777777" w:rsidTr="00333A03">
        <w:trPr>
          <w:trHeight w:hRule="exact" w:val="115"/>
          <w:tblHeader/>
        </w:trPr>
        <w:tc>
          <w:tcPr>
            <w:tcW w:w="803" w:type="dxa"/>
            <w:tcBorders>
              <w:top w:val="single" w:sz="12" w:space="0" w:color="auto"/>
            </w:tcBorders>
            <w:shd w:val="clear" w:color="auto" w:fill="auto"/>
            <w:vAlign w:val="bottom"/>
          </w:tcPr>
          <w:p w14:paraId="7C1BCB2C"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90" w:type="dxa"/>
            <w:tcBorders>
              <w:top w:val="single" w:sz="12" w:space="0" w:color="auto"/>
            </w:tcBorders>
            <w:shd w:val="clear" w:color="auto" w:fill="auto"/>
            <w:vAlign w:val="bottom"/>
          </w:tcPr>
          <w:p w14:paraId="514E56A9"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50" w:type="dxa"/>
            <w:tcBorders>
              <w:top w:val="single" w:sz="12" w:space="0" w:color="auto"/>
            </w:tcBorders>
            <w:shd w:val="clear" w:color="auto" w:fill="auto"/>
            <w:vAlign w:val="bottom"/>
          </w:tcPr>
          <w:p w14:paraId="455F7F04"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4" w:type="dxa"/>
            <w:tcBorders>
              <w:top w:val="single" w:sz="12" w:space="0" w:color="auto"/>
            </w:tcBorders>
            <w:shd w:val="clear" w:color="auto" w:fill="auto"/>
            <w:vAlign w:val="bottom"/>
          </w:tcPr>
          <w:p w14:paraId="7B988C53"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5" w:type="dxa"/>
            <w:tcBorders>
              <w:top w:val="single" w:sz="12" w:space="0" w:color="auto"/>
            </w:tcBorders>
            <w:shd w:val="clear" w:color="auto" w:fill="auto"/>
            <w:vAlign w:val="bottom"/>
          </w:tcPr>
          <w:p w14:paraId="264C3E1F"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5" w:type="dxa"/>
            <w:tcBorders>
              <w:top w:val="single" w:sz="12" w:space="0" w:color="auto"/>
            </w:tcBorders>
            <w:shd w:val="clear" w:color="auto" w:fill="auto"/>
            <w:vAlign w:val="bottom"/>
          </w:tcPr>
          <w:p w14:paraId="55F7E960"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5" w:type="dxa"/>
            <w:tcBorders>
              <w:top w:val="single" w:sz="12" w:space="0" w:color="auto"/>
            </w:tcBorders>
            <w:shd w:val="clear" w:color="auto" w:fill="auto"/>
            <w:vAlign w:val="bottom"/>
          </w:tcPr>
          <w:p w14:paraId="22C0F7F8"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75E32" w:rsidRPr="00C75E32" w14:paraId="24BDE451" w14:textId="77777777" w:rsidTr="00333A03">
        <w:tc>
          <w:tcPr>
            <w:tcW w:w="803" w:type="dxa"/>
            <w:shd w:val="clear" w:color="auto" w:fill="auto"/>
            <w:vAlign w:val="bottom"/>
          </w:tcPr>
          <w:p w14:paraId="5B76128F"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75E32">
              <w:rPr>
                <w:sz w:val="17"/>
              </w:rPr>
              <w:t>2016</w:t>
            </w:r>
          </w:p>
        </w:tc>
        <w:tc>
          <w:tcPr>
            <w:tcW w:w="990" w:type="dxa"/>
            <w:shd w:val="clear" w:color="auto" w:fill="auto"/>
            <w:vAlign w:val="bottom"/>
          </w:tcPr>
          <w:p w14:paraId="5BB2CC3E"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4</w:t>
            </w:r>
          </w:p>
        </w:tc>
        <w:tc>
          <w:tcPr>
            <w:tcW w:w="1350" w:type="dxa"/>
            <w:shd w:val="clear" w:color="auto" w:fill="auto"/>
            <w:vAlign w:val="bottom"/>
          </w:tcPr>
          <w:p w14:paraId="75524D9F"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1</w:t>
            </w:r>
          </w:p>
        </w:tc>
        <w:tc>
          <w:tcPr>
            <w:tcW w:w="1044" w:type="dxa"/>
            <w:shd w:val="clear" w:color="auto" w:fill="auto"/>
            <w:vAlign w:val="bottom"/>
          </w:tcPr>
          <w:p w14:paraId="7178CA90"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1</w:t>
            </w:r>
          </w:p>
        </w:tc>
        <w:tc>
          <w:tcPr>
            <w:tcW w:w="1045" w:type="dxa"/>
            <w:shd w:val="clear" w:color="auto" w:fill="auto"/>
            <w:vAlign w:val="bottom"/>
          </w:tcPr>
          <w:p w14:paraId="41FFF59E"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45" w:type="dxa"/>
            <w:shd w:val="clear" w:color="auto" w:fill="auto"/>
            <w:vAlign w:val="bottom"/>
          </w:tcPr>
          <w:p w14:paraId="137E7941"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2</w:t>
            </w:r>
          </w:p>
        </w:tc>
        <w:tc>
          <w:tcPr>
            <w:tcW w:w="1045" w:type="dxa"/>
            <w:shd w:val="clear" w:color="auto" w:fill="auto"/>
            <w:vAlign w:val="bottom"/>
          </w:tcPr>
          <w:p w14:paraId="75FE77B2"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C75E32" w:rsidRPr="00C75E32" w14:paraId="7FF67598" w14:textId="77777777" w:rsidTr="00333A03">
        <w:tc>
          <w:tcPr>
            <w:tcW w:w="803" w:type="dxa"/>
            <w:shd w:val="clear" w:color="auto" w:fill="auto"/>
            <w:vAlign w:val="bottom"/>
          </w:tcPr>
          <w:p w14:paraId="23ECB192"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75E32">
              <w:rPr>
                <w:sz w:val="17"/>
              </w:rPr>
              <w:t>2017</w:t>
            </w:r>
          </w:p>
        </w:tc>
        <w:tc>
          <w:tcPr>
            <w:tcW w:w="990" w:type="dxa"/>
            <w:shd w:val="clear" w:color="auto" w:fill="auto"/>
            <w:vAlign w:val="bottom"/>
          </w:tcPr>
          <w:p w14:paraId="4A650614"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4</w:t>
            </w:r>
          </w:p>
        </w:tc>
        <w:tc>
          <w:tcPr>
            <w:tcW w:w="1350" w:type="dxa"/>
            <w:shd w:val="clear" w:color="auto" w:fill="auto"/>
            <w:vAlign w:val="bottom"/>
          </w:tcPr>
          <w:p w14:paraId="20A71784"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44" w:type="dxa"/>
            <w:shd w:val="clear" w:color="auto" w:fill="auto"/>
            <w:vAlign w:val="bottom"/>
          </w:tcPr>
          <w:p w14:paraId="453DEC28"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1</w:t>
            </w:r>
          </w:p>
        </w:tc>
        <w:tc>
          <w:tcPr>
            <w:tcW w:w="1045" w:type="dxa"/>
            <w:shd w:val="clear" w:color="auto" w:fill="auto"/>
            <w:vAlign w:val="bottom"/>
          </w:tcPr>
          <w:p w14:paraId="7399A620"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1</w:t>
            </w:r>
          </w:p>
        </w:tc>
        <w:tc>
          <w:tcPr>
            <w:tcW w:w="1045" w:type="dxa"/>
            <w:shd w:val="clear" w:color="auto" w:fill="auto"/>
            <w:vAlign w:val="bottom"/>
          </w:tcPr>
          <w:p w14:paraId="68871388"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2</w:t>
            </w:r>
          </w:p>
        </w:tc>
        <w:tc>
          <w:tcPr>
            <w:tcW w:w="1045" w:type="dxa"/>
            <w:shd w:val="clear" w:color="auto" w:fill="auto"/>
            <w:vAlign w:val="bottom"/>
          </w:tcPr>
          <w:p w14:paraId="210536A1"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C75E32" w:rsidRPr="00C75E32" w14:paraId="5FFB8114" w14:textId="77777777" w:rsidTr="00333A03">
        <w:tc>
          <w:tcPr>
            <w:tcW w:w="803" w:type="dxa"/>
            <w:shd w:val="clear" w:color="auto" w:fill="auto"/>
            <w:vAlign w:val="bottom"/>
          </w:tcPr>
          <w:p w14:paraId="2D0A55FC"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75E32">
              <w:rPr>
                <w:sz w:val="17"/>
              </w:rPr>
              <w:t>2018</w:t>
            </w:r>
          </w:p>
        </w:tc>
        <w:tc>
          <w:tcPr>
            <w:tcW w:w="990" w:type="dxa"/>
            <w:shd w:val="clear" w:color="auto" w:fill="auto"/>
            <w:vAlign w:val="bottom"/>
          </w:tcPr>
          <w:p w14:paraId="00917181"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4</w:t>
            </w:r>
          </w:p>
        </w:tc>
        <w:tc>
          <w:tcPr>
            <w:tcW w:w="1350" w:type="dxa"/>
            <w:shd w:val="clear" w:color="auto" w:fill="auto"/>
            <w:vAlign w:val="bottom"/>
          </w:tcPr>
          <w:p w14:paraId="66BC03E1"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44" w:type="dxa"/>
            <w:shd w:val="clear" w:color="auto" w:fill="auto"/>
            <w:vAlign w:val="bottom"/>
          </w:tcPr>
          <w:p w14:paraId="55EDBA69"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1</w:t>
            </w:r>
          </w:p>
        </w:tc>
        <w:tc>
          <w:tcPr>
            <w:tcW w:w="1045" w:type="dxa"/>
            <w:shd w:val="clear" w:color="auto" w:fill="auto"/>
            <w:vAlign w:val="bottom"/>
          </w:tcPr>
          <w:p w14:paraId="1C153420"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3</w:t>
            </w:r>
          </w:p>
        </w:tc>
        <w:tc>
          <w:tcPr>
            <w:tcW w:w="1045" w:type="dxa"/>
            <w:shd w:val="clear" w:color="auto" w:fill="auto"/>
            <w:vAlign w:val="bottom"/>
          </w:tcPr>
          <w:p w14:paraId="747D6B44"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45" w:type="dxa"/>
            <w:shd w:val="clear" w:color="auto" w:fill="auto"/>
            <w:vAlign w:val="bottom"/>
          </w:tcPr>
          <w:p w14:paraId="0A890006"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C75E32" w:rsidRPr="00C75E32" w14:paraId="5F83B97F" w14:textId="77777777" w:rsidTr="00333A03">
        <w:tc>
          <w:tcPr>
            <w:tcW w:w="803" w:type="dxa"/>
            <w:shd w:val="clear" w:color="auto" w:fill="auto"/>
            <w:vAlign w:val="bottom"/>
          </w:tcPr>
          <w:p w14:paraId="4E93CA09"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75E32">
              <w:rPr>
                <w:sz w:val="17"/>
              </w:rPr>
              <w:t>2019</w:t>
            </w:r>
          </w:p>
        </w:tc>
        <w:tc>
          <w:tcPr>
            <w:tcW w:w="990" w:type="dxa"/>
            <w:shd w:val="clear" w:color="auto" w:fill="auto"/>
            <w:vAlign w:val="bottom"/>
          </w:tcPr>
          <w:p w14:paraId="16BA9915"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1</w:t>
            </w:r>
          </w:p>
        </w:tc>
        <w:tc>
          <w:tcPr>
            <w:tcW w:w="1350" w:type="dxa"/>
            <w:shd w:val="clear" w:color="auto" w:fill="auto"/>
            <w:vAlign w:val="bottom"/>
          </w:tcPr>
          <w:p w14:paraId="0F8F7DFE"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44" w:type="dxa"/>
            <w:shd w:val="clear" w:color="auto" w:fill="auto"/>
            <w:vAlign w:val="bottom"/>
          </w:tcPr>
          <w:p w14:paraId="0EE13811"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45" w:type="dxa"/>
            <w:shd w:val="clear" w:color="auto" w:fill="auto"/>
            <w:vAlign w:val="bottom"/>
          </w:tcPr>
          <w:p w14:paraId="71309FE4"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75E32">
              <w:rPr>
                <w:sz w:val="17"/>
              </w:rPr>
              <w:t>1</w:t>
            </w:r>
          </w:p>
        </w:tc>
        <w:tc>
          <w:tcPr>
            <w:tcW w:w="1045" w:type="dxa"/>
            <w:shd w:val="clear" w:color="auto" w:fill="auto"/>
            <w:vAlign w:val="bottom"/>
          </w:tcPr>
          <w:p w14:paraId="7172E51C"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45" w:type="dxa"/>
            <w:shd w:val="clear" w:color="auto" w:fill="auto"/>
            <w:vAlign w:val="bottom"/>
          </w:tcPr>
          <w:p w14:paraId="5FCC69F7"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C75E32" w:rsidRPr="00C75E32" w14:paraId="7853B76C" w14:textId="77777777" w:rsidTr="00333A03">
        <w:tc>
          <w:tcPr>
            <w:tcW w:w="803" w:type="dxa"/>
            <w:tcBorders>
              <w:bottom w:val="single" w:sz="4" w:space="0" w:color="auto"/>
            </w:tcBorders>
            <w:shd w:val="clear" w:color="auto" w:fill="auto"/>
            <w:vAlign w:val="bottom"/>
          </w:tcPr>
          <w:p w14:paraId="5B702835"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C75E32">
              <w:rPr>
                <w:sz w:val="17"/>
              </w:rPr>
              <w:t>2020</w:t>
            </w:r>
          </w:p>
        </w:tc>
        <w:tc>
          <w:tcPr>
            <w:tcW w:w="990" w:type="dxa"/>
            <w:tcBorders>
              <w:bottom w:val="single" w:sz="4" w:space="0" w:color="auto"/>
            </w:tcBorders>
            <w:shd w:val="clear" w:color="auto" w:fill="auto"/>
            <w:vAlign w:val="bottom"/>
          </w:tcPr>
          <w:p w14:paraId="78C368BE"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C75E32">
              <w:rPr>
                <w:sz w:val="17"/>
              </w:rPr>
              <w:t>5</w:t>
            </w:r>
          </w:p>
        </w:tc>
        <w:tc>
          <w:tcPr>
            <w:tcW w:w="1350" w:type="dxa"/>
            <w:tcBorders>
              <w:bottom w:val="single" w:sz="4" w:space="0" w:color="auto"/>
            </w:tcBorders>
            <w:shd w:val="clear" w:color="auto" w:fill="auto"/>
            <w:vAlign w:val="bottom"/>
          </w:tcPr>
          <w:p w14:paraId="7B964C03"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1044" w:type="dxa"/>
            <w:tcBorders>
              <w:bottom w:val="single" w:sz="4" w:space="0" w:color="auto"/>
            </w:tcBorders>
            <w:shd w:val="clear" w:color="auto" w:fill="auto"/>
            <w:vAlign w:val="bottom"/>
          </w:tcPr>
          <w:p w14:paraId="4FEF0D32"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1045" w:type="dxa"/>
            <w:tcBorders>
              <w:bottom w:val="single" w:sz="4" w:space="0" w:color="auto"/>
            </w:tcBorders>
            <w:shd w:val="clear" w:color="auto" w:fill="auto"/>
            <w:vAlign w:val="bottom"/>
          </w:tcPr>
          <w:p w14:paraId="20DA059E" w14:textId="40B35040"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C75E32">
              <w:rPr>
                <w:sz w:val="17"/>
              </w:rPr>
              <w:t>3</w:t>
            </w:r>
          </w:p>
        </w:tc>
        <w:tc>
          <w:tcPr>
            <w:tcW w:w="1045" w:type="dxa"/>
            <w:tcBorders>
              <w:bottom w:val="single" w:sz="4" w:space="0" w:color="auto"/>
            </w:tcBorders>
            <w:shd w:val="clear" w:color="auto" w:fill="auto"/>
            <w:vAlign w:val="bottom"/>
          </w:tcPr>
          <w:p w14:paraId="671638B1" w14:textId="3A1A7C5F"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C75E32">
              <w:rPr>
                <w:sz w:val="17"/>
              </w:rPr>
              <w:t>1</w:t>
            </w:r>
          </w:p>
        </w:tc>
        <w:tc>
          <w:tcPr>
            <w:tcW w:w="1045" w:type="dxa"/>
            <w:tcBorders>
              <w:bottom w:val="single" w:sz="4" w:space="0" w:color="auto"/>
            </w:tcBorders>
            <w:shd w:val="clear" w:color="auto" w:fill="auto"/>
            <w:vAlign w:val="bottom"/>
          </w:tcPr>
          <w:p w14:paraId="5A89C447" w14:textId="2522092D"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C75E32">
              <w:rPr>
                <w:sz w:val="17"/>
              </w:rPr>
              <w:t>1</w:t>
            </w:r>
          </w:p>
        </w:tc>
      </w:tr>
      <w:tr w:rsidR="00C75E32" w:rsidRPr="00C75E32" w14:paraId="3B3564AC" w14:textId="77777777" w:rsidTr="00333A03">
        <w:tc>
          <w:tcPr>
            <w:tcW w:w="803" w:type="dxa"/>
            <w:tcBorders>
              <w:top w:val="single" w:sz="4" w:space="0" w:color="auto"/>
              <w:bottom w:val="single" w:sz="12" w:space="0" w:color="auto"/>
            </w:tcBorders>
            <w:shd w:val="clear" w:color="auto" w:fill="auto"/>
            <w:vAlign w:val="bottom"/>
          </w:tcPr>
          <w:p w14:paraId="3EB0B53A" w14:textId="718EE6B4"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C75E32">
              <w:rPr>
                <w:b/>
                <w:sz w:val="17"/>
              </w:rPr>
              <w:t>Total</w:t>
            </w:r>
          </w:p>
        </w:tc>
        <w:tc>
          <w:tcPr>
            <w:tcW w:w="990" w:type="dxa"/>
            <w:tcBorders>
              <w:top w:val="single" w:sz="4" w:space="0" w:color="auto"/>
              <w:bottom w:val="single" w:sz="12" w:space="0" w:color="auto"/>
            </w:tcBorders>
            <w:shd w:val="clear" w:color="auto" w:fill="auto"/>
            <w:vAlign w:val="bottom"/>
          </w:tcPr>
          <w:p w14:paraId="1C2549D0"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C75E32">
              <w:rPr>
                <w:b/>
                <w:sz w:val="17"/>
              </w:rPr>
              <w:t>18</w:t>
            </w:r>
          </w:p>
        </w:tc>
        <w:tc>
          <w:tcPr>
            <w:tcW w:w="1350" w:type="dxa"/>
            <w:tcBorders>
              <w:top w:val="single" w:sz="4" w:space="0" w:color="auto"/>
              <w:bottom w:val="single" w:sz="12" w:space="0" w:color="auto"/>
            </w:tcBorders>
            <w:shd w:val="clear" w:color="auto" w:fill="auto"/>
            <w:vAlign w:val="bottom"/>
          </w:tcPr>
          <w:p w14:paraId="5D8D7EF0"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C75E32">
              <w:rPr>
                <w:b/>
                <w:sz w:val="17"/>
              </w:rPr>
              <w:t>1</w:t>
            </w:r>
          </w:p>
        </w:tc>
        <w:tc>
          <w:tcPr>
            <w:tcW w:w="1044" w:type="dxa"/>
            <w:tcBorders>
              <w:top w:val="single" w:sz="4" w:space="0" w:color="auto"/>
              <w:bottom w:val="single" w:sz="12" w:space="0" w:color="auto"/>
            </w:tcBorders>
            <w:shd w:val="clear" w:color="auto" w:fill="auto"/>
            <w:vAlign w:val="bottom"/>
          </w:tcPr>
          <w:p w14:paraId="184B96E1"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C75E32">
              <w:rPr>
                <w:b/>
                <w:sz w:val="17"/>
              </w:rPr>
              <w:t>3</w:t>
            </w:r>
          </w:p>
        </w:tc>
        <w:tc>
          <w:tcPr>
            <w:tcW w:w="1045" w:type="dxa"/>
            <w:tcBorders>
              <w:top w:val="single" w:sz="4" w:space="0" w:color="auto"/>
              <w:bottom w:val="single" w:sz="12" w:space="0" w:color="auto"/>
            </w:tcBorders>
            <w:shd w:val="clear" w:color="auto" w:fill="auto"/>
            <w:vAlign w:val="bottom"/>
          </w:tcPr>
          <w:p w14:paraId="26E7F97A"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C75E32">
              <w:rPr>
                <w:b/>
                <w:sz w:val="17"/>
              </w:rPr>
              <w:t>8</w:t>
            </w:r>
          </w:p>
        </w:tc>
        <w:tc>
          <w:tcPr>
            <w:tcW w:w="1045" w:type="dxa"/>
            <w:tcBorders>
              <w:top w:val="single" w:sz="4" w:space="0" w:color="auto"/>
              <w:bottom w:val="single" w:sz="12" w:space="0" w:color="auto"/>
            </w:tcBorders>
            <w:shd w:val="clear" w:color="auto" w:fill="auto"/>
            <w:vAlign w:val="bottom"/>
          </w:tcPr>
          <w:p w14:paraId="2C5A7897"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C75E32">
              <w:rPr>
                <w:b/>
                <w:sz w:val="17"/>
              </w:rPr>
              <w:t>5</w:t>
            </w:r>
          </w:p>
        </w:tc>
        <w:tc>
          <w:tcPr>
            <w:tcW w:w="1045" w:type="dxa"/>
            <w:tcBorders>
              <w:top w:val="single" w:sz="4" w:space="0" w:color="auto"/>
              <w:bottom w:val="single" w:sz="12" w:space="0" w:color="auto"/>
            </w:tcBorders>
            <w:shd w:val="clear" w:color="auto" w:fill="auto"/>
            <w:vAlign w:val="bottom"/>
          </w:tcPr>
          <w:p w14:paraId="25D10655" w14:textId="77777777" w:rsidR="00C75E32" w:rsidRPr="00C75E32" w:rsidRDefault="00C75E32" w:rsidP="00C75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C75E32">
              <w:rPr>
                <w:b/>
                <w:sz w:val="17"/>
              </w:rPr>
              <w:t>1</w:t>
            </w:r>
          </w:p>
        </w:tc>
      </w:tr>
    </w:tbl>
    <w:p w14:paraId="33CA0DC4" w14:textId="77777777" w:rsidR="00333A03" w:rsidRPr="00333A03" w:rsidRDefault="00333A03" w:rsidP="00333A03">
      <w:pPr>
        <w:pStyle w:val="SingleTxt"/>
        <w:spacing w:after="0" w:line="120" w:lineRule="exact"/>
        <w:rPr>
          <w:sz w:val="10"/>
        </w:rPr>
      </w:pPr>
    </w:p>
    <w:p w14:paraId="42F9459F" w14:textId="77777777" w:rsidR="00333A03" w:rsidRPr="00333A03" w:rsidRDefault="00333A03" w:rsidP="00333A03">
      <w:pPr>
        <w:pStyle w:val="SingleTxt"/>
        <w:spacing w:after="0" w:line="120" w:lineRule="exact"/>
        <w:rPr>
          <w:sz w:val="10"/>
        </w:rPr>
      </w:pPr>
    </w:p>
    <w:p w14:paraId="5CB3FE0B" w14:textId="697EDD36" w:rsidR="00163B36" w:rsidRPr="00333A03" w:rsidRDefault="0007129D" w:rsidP="00163B36">
      <w:pPr>
        <w:pStyle w:val="SingleTxt"/>
        <w:rPr>
          <w:spacing w:val="3"/>
          <w:w w:val="102"/>
        </w:rPr>
      </w:pPr>
      <w:r w:rsidRPr="00333A03">
        <w:rPr>
          <w:spacing w:val="3"/>
          <w:w w:val="102"/>
        </w:rPr>
        <w:t>88.</w:t>
      </w:r>
      <w:r w:rsidRPr="00333A03">
        <w:rPr>
          <w:spacing w:val="3"/>
          <w:w w:val="102"/>
        </w:rPr>
        <w:tab/>
        <w:t xml:space="preserve">Hungary submitted its 2021 National Recovery and Resilience Plan to the European Commission on 11 May 2021, and this plan is currently in the process of being accepted. The submitted version includes significant support for the development of nursery places. The rationale behind the support is that the gender employment gap may be reduced via encouraging the reconciliation of work and family life that in turn can be supported by improving the number of nursery places and promoting access to affordable, </w:t>
      </w:r>
      <w:proofErr w:type="gramStart"/>
      <w:r w:rsidRPr="00333A03">
        <w:rPr>
          <w:spacing w:val="3"/>
          <w:w w:val="102"/>
        </w:rPr>
        <w:t>sustainable</w:t>
      </w:r>
      <w:proofErr w:type="gramEnd"/>
      <w:r w:rsidRPr="00333A03">
        <w:rPr>
          <w:spacing w:val="3"/>
          <w:w w:val="102"/>
        </w:rPr>
        <w:t xml:space="preserve"> and quality childcare. The development of high-quality nursery care creates new institutions, services, and jobs, and it supports women raising children under the age of 3 to return to the labour market.</w:t>
      </w:r>
    </w:p>
    <w:p w14:paraId="26C3B74E" w14:textId="6D9760DB" w:rsidR="0026267D" w:rsidRPr="00383DE3" w:rsidRDefault="0026267D" w:rsidP="00383DE3">
      <w:pPr>
        <w:pStyle w:val="SingleTxt"/>
        <w:spacing w:after="0" w:line="120" w:lineRule="exact"/>
        <w:rPr>
          <w:sz w:val="10"/>
        </w:rPr>
      </w:pPr>
    </w:p>
    <w:p w14:paraId="636BAE76" w14:textId="77777777" w:rsidR="00383DE3" w:rsidRPr="0026267D" w:rsidRDefault="00383DE3" w:rsidP="0026267D">
      <w:pPr>
        <w:pStyle w:val="SingleTxt"/>
        <w:spacing w:after="0" w:line="120" w:lineRule="exact"/>
        <w:rPr>
          <w:sz w:val="10"/>
        </w:rPr>
      </w:pPr>
    </w:p>
    <w:p w14:paraId="7D9F37D3" w14:textId="2BF62CBB" w:rsidR="00163B36" w:rsidRDefault="00163B36" w:rsidP="00383DE3">
      <w:pPr>
        <w:pStyle w:val="H1"/>
        <w:ind w:right="1260"/>
      </w:pPr>
      <w:r w:rsidRPr="00163B36">
        <w:tab/>
      </w:r>
      <w:r w:rsidRPr="00163B36">
        <w:tab/>
        <w:t>Health</w:t>
      </w:r>
    </w:p>
    <w:p w14:paraId="1E1EDF72" w14:textId="216EE644" w:rsidR="00383DE3" w:rsidRPr="00383DE3" w:rsidRDefault="00383DE3" w:rsidP="00383DE3">
      <w:pPr>
        <w:pStyle w:val="SingleTxt"/>
        <w:spacing w:after="0" w:line="120" w:lineRule="exact"/>
        <w:rPr>
          <w:sz w:val="10"/>
        </w:rPr>
      </w:pPr>
    </w:p>
    <w:p w14:paraId="36848DFA" w14:textId="16479068" w:rsidR="00383DE3" w:rsidRPr="00383DE3" w:rsidRDefault="00383DE3" w:rsidP="00383DE3">
      <w:pPr>
        <w:pStyle w:val="SingleTxt"/>
        <w:spacing w:after="0" w:line="120" w:lineRule="exact"/>
        <w:rPr>
          <w:sz w:val="10"/>
        </w:rPr>
      </w:pPr>
    </w:p>
    <w:p w14:paraId="602D8C71" w14:textId="5A5CBD05" w:rsidR="00163B36" w:rsidRDefault="00163B36" w:rsidP="00383D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3B36">
        <w:tab/>
      </w:r>
      <w:r w:rsidRPr="00163B36">
        <w:tab/>
        <w:t>Life expectancy</w:t>
      </w:r>
    </w:p>
    <w:p w14:paraId="32CC48A7" w14:textId="620BEE5B" w:rsidR="00383DE3" w:rsidRPr="00383DE3" w:rsidRDefault="00383DE3" w:rsidP="00383DE3">
      <w:pPr>
        <w:pStyle w:val="SingleTxt"/>
        <w:spacing w:after="0" w:line="120" w:lineRule="exact"/>
        <w:rPr>
          <w:sz w:val="10"/>
          <w:lang w:val="en-US"/>
        </w:rPr>
      </w:pPr>
    </w:p>
    <w:p w14:paraId="4E71AF61" w14:textId="1181D64B" w:rsidR="00163B36" w:rsidRPr="00163B36" w:rsidRDefault="0007129D" w:rsidP="00163B36">
      <w:pPr>
        <w:pStyle w:val="SingleTxt"/>
      </w:pPr>
      <w:r w:rsidRPr="0007129D">
        <w:t>89.</w:t>
      </w:r>
      <w:r w:rsidRPr="0007129D">
        <w:tab/>
        <w:t>Life expectancy at birth in Hungary grew significantly between 2000 and 2017 (from 71.9 years to 76.0 years), an increase slightly higher than the average across the EU (3.6 years). This increase is mainly driven by a reduction in mortality caused by cardiovascular diseases, in particular stroke.</w:t>
      </w:r>
    </w:p>
    <w:p w14:paraId="7A61FE64" w14:textId="432B9F60" w:rsidR="00163B36" w:rsidRPr="00383DE3" w:rsidRDefault="00163B36" w:rsidP="00383DE3">
      <w:pPr>
        <w:pStyle w:val="SingleTxt"/>
        <w:spacing w:after="0" w:line="120" w:lineRule="exact"/>
        <w:rPr>
          <w:sz w:val="10"/>
        </w:rPr>
      </w:pPr>
    </w:p>
    <w:p w14:paraId="657C0F9C" w14:textId="77777777" w:rsidR="00DD1AEF" w:rsidRDefault="00960FB8" w:rsidP="00986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63B36" w:rsidRPr="00960FB8">
        <w:rPr>
          <w:b w:val="0"/>
          <w:bCs/>
        </w:rPr>
        <w:t xml:space="preserve">Table </w:t>
      </w:r>
      <w:r w:rsidR="00295AE0" w:rsidRPr="00960FB8">
        <w:rPr>
          <w:b w:val="0"/>
          <w:bCs/>
        </w:rPr>
        <w:t>7</w:t>
      </w:r>
    </w:p>
    <w:p w14:paraId="5DAA3716" w14:textId="15A07AA8" w:rsidR="00163B36" w:rsidRDefault="00DD1AEF" w:rsidP="00986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63B36" w:rsidRPr="00163B36">
        <w:t>Life expectancy in the EU and in Hungary</w:t>
      </w:r>
    </w:p>
    <w:p w14:paraId="6A2BC85E" w14:textId="2CB2A0FB" w:rsidR="00960FB8" w:rsidRPr="00960FB8" w:rsidRDefault="00960FB8" w:rsidP="00960FB8">
      <w:pPr>
        <w:pStyle w:val="SingleTxt"/>
        <w:spacing w:after="0" w:line="120" w:lineRule="exact"/>
        <w:rPr>
          <w:sz w:val="10"/>
          <w:lang w:val="en-US"/>
        </w:rPr>
      </w:pPr>
    </w:p>
    <w:p w14:paraId="5BD68710" w14:textId="2E63F973" w:rsidR="00960FB8" w:rsidRPr="00960FB8" w:rsidRDefault="00960FB8" w:rsidP="00960FB8">
      <w:pPr>
        <w:pStyle w:val="SingleTxt"/>
        <w:spacing w:after="0" w:line="120" w:lineRule="exact"/>
        <w:rPr>
          <w:sz w:val="10"/>
          <w:lang w:val="en-US"/>
        </w:rPr>
      </w:pPr>
      <w:r>
        <w:rPr>
          <w:noProof/>
        </w:rPr>
        <w:drawing>
          <wp:anchor distT="0" distB="0" distL="114300" distR="114300" simplePos="0" relativeHeight="251661312" behindDoc="0" locked="0" layoutInCell="1" allowOverlap="1" wp14:anchorId="35379C43" wp14:editId="4E764AD2">
            <wp:simplePos x="0" y="0"/>
            <wp:positionH relativeFrom="margin">
              <wp:posOffset>781050</wp:posOffset>
            </wp:positionH>
            <wp:positionV relativeFrom="paragraph">
              <wp:posOffset>89839</wp:posOffset>
            </wp:positionV>
            <wp:extent cx="4686300" cy="2381250"/>
            <wp:effectExtent l="0" t="0" r="0" b="0"/>
            <wp:wrapTopAndBottom/>
            <wp:docPr id="11" name="Kép 11"/>
            <wp:cNvGraphicFramePr/>
            <a:graphic xmlns:a="http://schemas.openxmlformats.org/drawingml/2006/main">
              <a:graphicData uri="http://schemas.openxmlformats.org/drawingml/2006/picture">
                <pic:pic xmlns:pic="http://schemas.openxmlformats.org/drawingml/2006/picture">
                  <pic:nvPicPr>
                    <pic:cNvPr id="11" name="Kép 11"/>
                    <pic:cNvPicPr/>
                  </pic:nvPicPr>
                  <pic:blipFill>
                    <a:blip r:embed="rId20">
                      <a:extLst>
                        <a:ext uri="{28A0092B-C50C-407E-A947-70E740481C1C}">
                          <a14:useLocalDpi xmlns:a14="http://schemas.microsoft.com/office/drawing/2010/main" val="0"/>
                        </a:ext>
                      </a:extLst>
                    </a:blip>
                    <a:stretch>
                      <a:fillRect/>
                    </a:stretch>
                  </pic:blipFill>
                  <pic:spPr>
                    <a:xfrm>
                      <a:off x="0" y="0"/>
                      <a:ext cx="4686300" cy="2381250"/>
                    </a:xfrm>
                    <a:prstGeom prst="rect">
                      <a:avLst/>
                    </a:prstGeom>
                  </pic:spPr>
                </pic:pic>
              </a:graphicData>
            </a:graphic>
            <wp14:sizeRelH relativeFrom="page">
              <wp14:pctWidth>0</wp14:pctWidth>
            </wp14:sizeRelH>
            <wp14:sizeRelV relativeFrom="page">
              <wp14:pctHeight>0</wp14:pctHeight>
            </wp14:sizeRelV>
          </wp:anchor>
        </w:drawing>
      </w:r>
    </w:p>
    <w:p w14:paraId="304D14E3" w14:textId="74BBA77B" w:rsidR="00960FB8" w:rsidRPr="00960FB8" w:rsidRDefault="00960FB8" w:rsidP="00960FB8">
      <w:pPr>
        <w:pStyle w:val="SingleTxt"/>
        <w:spacing w:after="0" w:line="120" w:lineRule="exact"/>
        <w:rPr>
          <w:sz w:val="10"/>
          <w:lang w:val="en-US"/>
        </w:rPr>
      </w:pPr>
    </w:p>
    <w:p w14:paraId="2E36D4B6" w14:textId="5E1E466B" w:rsidR="00960FB8" w:rsidRPr="00960FB8" w:rsidRDefault="00960FB8" w:rsidP="00960FB8">
      <w:pPr>
        <w:pStyle w:val="SingleTxt"/>
        <w:spacing w:after="0" w:line="120" w:lineRule="exact"/>
        <w:rPr>
          <w:sz w:val="10"/>
          <w:lang w:val="en-US"/>
        </w:rPr>
      </w:pPr>
    </w:p>
    <w:p w14:paraId="37562191" w14:textId="77777777" w:rsidR="0007129D" w:rsidRDefault="0007129D" w:rsidP="0007129D">
      <w:pPr>
        <w:pStyle w:val="SingleTxt"/>
      </w:pPr>
      <w:r>
        <w:lastRenderedPageBreak/>
        <w:t>90.</w:t>
      </w:r>
      <w:r>
        <w:tab/>
        <w:t xml:space="preserve">In 2010, the healthy life expectancy at birth of women was 59 years, rising by 2.5 years in 2018, </w:t>
      </w:r>
      <w:proofErr w:type="gramStart"/>
      <w:r>
        <w:t>i.e.</w:t>
      </w:r>
      <w:proofErr w:type="gramEnd"/>
      <w:r>
        <w:t xml:space="preserve"> 61.5 years. </w:t>
      </w:r>
    </w:p>
    <w:p w14:paraId="7E5284A0" w14:textId="5896C39D" w:rsidR="0007129D" w:rsidRDefault="0007129D" w:rsidP="0007129D">
      <w:pPr>
        <w:pStyle w:val="SingleTxt"/>
      </w:pPr>
      <w:r>
        <w:t>91.</w:t>
      </w:r>
      <w:r>
        <w:tab/>
        <w:t>In 2019, women in Hungary lost 35,503 healthy life years per 100,000 people. Chronic non-communicable diseases account for the 90 per cent of women</w:t>
      </w:r>
      <w:r w:rsidR="00024758">
        <w:t>’</w:t>
      </w:r>
      <w:r>
        <w:t>s health losses was caused by, while 7 per cent was caused by injuries, and 3 per cent by infectious, maternal neonatal and nutritional diseases.</w:t>
      </w:r>
    </w:p>
    <w:p w14:paraId="170157F0" w14:textId="20201FED" w:rsidR="00163B36" w:rsidRDefault="0007129D" w:rsidP="00313506">
      <w:pPr>
        <w:pStyle w:val="SingleTxt"/>
      </w:pPr>
      <w:r>
        <w:t>92.</w:t>
      </w:r>
      <w:r>
        <w:tab/>
        <w:t>For both men and women, the leading causes of death are circulatory diseases, cancers, and respiratory diseases, as evidenced by the below table.</w:t>
      </w:r>
    </w:p>
    <w:p w14:paraId="0B758D3C" w14:textId="37B7EADF" w:rsidR="004C4D1A" w:rsidRPr="004C4D1A" w:rsidRDefault="004C4D1A" w:rsidP="004C4D1A">
      <w:pPr>
        <w:pStyle w:val="SingleTxt"/>
        <w:spacing w:after="0" w:line="120" w:lineRule="exact"/>
        <w:rPr>
          <w:sz w:val="10"/>
        </w:rPr>
      </w:pP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gridCol w:w="1166"/>
        <w:gridCol w:w="1077"/>
        <w:gridCol w:w="89"/>
        <w:gridCol w:w="1118"/>
        <w:gridCol w:w="1169"/>
        <w:gridCol w:w="1080"/>
        <w:gridCol w:w="1299"/>
      </w:tblGrid>
      <w:tr w:rsidR="004C4D1A" w:rsidRPr="004C4D1A" w14:paraId="04876FD3" w14:textId="77777777" w:rsidTr="006B0885">
        <w:trPr>
          <w:tblHeader/>
        </w:trPr>
        <w:tc>
          <w:tcPr>
            <w:tcW w:w="2851" w:type="dxa"/>
            <w:tcBorders>
              <w:top w:val="single" w:sz="4" w:space="0" w:color="auto"/>
            </w:tcBorders>
            <w:shd w:val="clear" w:color="auto" w:fill="auto"/>
            <w:vAlign w:val="bottom"/>
          </w:tcPr>
          <w:p w14:paraId="5B78748F"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2243" w:type="dxa"/>
            <w:gridSpan w:val="2"/>
            <w:tcBorders>
              <w:top w:val="single" w:sz="4" w:space="0" w:color="auto"/>
              <w:bottom w:val="single" w:sz="4" w:space="0" w:color="auto"/>
            </w:tcBorders>
            <w:shd w:val="clear" w:color="auto" w:fill="auto"/>
            <w:vAlign w:val="bottom"/>
          </w:tcPr>
          <w:p w14:paraId="4339F431" w14:textId="791ADDDC"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4C4D1A">
              <w:rPr>
                <w:i/>
                <w:sz w:val="14"/>
              </w:rPr>
              <w:t>Crude mortality rate, 2018</w:t>
            </w:r>
          </w:p>
        </w:tc>
        <w:tc>
          <w:tcPr>
            <w:tcW w:w="89" w:type="dxa"/>
            <w:tcBorders>
              <w:top w:val="single" w:sz="4" w:space="0" w:color="auto"/>
            </w:tcBorders>
            <w:shd w:val="clear" w:color="auto" w:fill="auto"/>
            <w:vAlign w:val="bottom"/>
          </w:tcPr>
          <w:p w14:paraId="586E5568" w14:textId="2BE9CBBE"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
        </w:tc>
        <w:tc>
          <w:tcPr>
            <w:tcW w:w="4666" w:type="dxa"/>
            <w:gridSpan w:val="4"/>
            <w:tcBorders>
              <w:top w:val="single" w:sz="4" w:space="0" w:color="auto"/>
              <w:bottom w:val="single" w:sz="4" w:space="0" w:color="auto"/>
            </w:tcBorders>
            <w:shd w:val="clear" w:color="auto" w:fill="auto"/>
            <w:vAlign w:val="bottom"/>
          </w:tcPr>
          <w:p w14:paraId="391F658C" w14:textId="404455A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4C4D1A">
              <w:rPr>
                <w:i/>
                <w:sz w:val="14"/>
              </w:rPr>
              <w:t>Standard mortality rates, 2018</w:t>
            </w:r>
          </w:p>
        </w:tc>
      </w:tr>
      <w:tr w:rsidR="004C4D1A" w:rsidRPr="004C4D1A" w14:paraId="7E59C507" w14:textId="77777777" w:rsidTr="00333A03">
        <w:trPr>
          <w:tblHeader/>
        </w:trPr>
        <w:tc>
          <w:tcPr>
            <w:tcW w:w="2851" w:type="dxa"/>
            <w:tcBorders>
              <w:bottom w:val="single" w:sz="12" w:space="0" w:color="auto"/>
            </w:tcBorders>
            <w:shd w:val="clear" w:color="auto" w:fill="auto"/>
            <w:vAlign w:val="bottom"/>
          </w:tcPr>
          <w:p w14:paraId="5AD99B76"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166" w:type="dxa"/>
            <w:tcBorders>
              <w:bottom w:val="single" w:sz="12" w:space="0" w:color="auto"/>
            </w:tcBorders>
            <w:shd w:val="clear" w:color="auto" w:fill="auto"/>
            <w:vAlign w:val="bottom"/>
          </w:tcPr>
          <w:p w14:paraId="692DE557"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4D1A">
              <w:rPr>
                <w:i/>
                <w:sz w:val="14"/>
              </w:rPr>
              <w:t>Number of cases, 2018</w:t>
            </w:r>
          </w:p>
        </w:tc>
        <w:tc>
          <w:tcPr>
            <w:tcW w:w="1166" w:type="dxa"/>
            <w:gridSpan w:val="2"/>
            <w:tcBorders>
              <w:bottom w:val="single" w:sz="12" w:space="0" w:color="auto"/>
            </w:tcBorders>
            <w:shd w:val="clear" w:color="auto" w:fill="auto"/>
            <w:vAlign w:val="bottom"/>
          </w:tcPr>
          <w:p w14:paraId="20C434E4"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4D1A">
              <w:rPr>
                <w:i/>
                <w:sz w:val="14"/>
              </w:rPr>
              <w:t>Total number of cases by %</w:t>
            </w:r>
          </w:p>
        </w:tc>
        <w:tc>
          <w:tcPr>
            <w:tcW w:w="1118" w:type="dxa"/>
            <w:tcBorders>
              <w:top w:val="single" w:sz="4" w:space="0" w:color="auto"/>
              <w:bottom w:val="single" w:sz="12" w:space="0" w:color="auto"/>
            </w:tcBorders>
            <w:shd w:val="clear" w:color="auto" w:fill="auto"/>
            <w:vAlign w:val="bottom"/>
          </w:tcPr>
          <w:p w14:paraId="222DD317"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4D1A">
              <w:rPr>
                <w:i/>
                <w:sz w:val="14"/>
              </w:rPr>
              <w:t>Number of cases per 100,00</w:t>
            </w:r>
          </w:p>
        </w:tc>
        <w:tc>
          <w:tcPr>
            <w:tcW w:w="1169" w:type="dxa"/>
            <w:tcBorders>
              <w:top w:val="single" w:sz="4" w:space="0" w:color="auto"/>
              <w:bottom w:val="single" w:sz="12" w:space="0" w:color="auto"/>
            </w:tcBorders>
            <w:shd w:val="clear" w:color="auto" w:fill="auto"/>
            <w:vAlign w:val="bottom"/>
          </w:tcPr>
          <w:p w14:paraId="5307DF0A" w14:textId="47CBE18A"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4D1A">
              <w:rPr>
                <w:i/>
                <w:sz w:val="14"/>
              </w:rPr>
              <w:t>In comparison with EU 28 (2016)</w:t>
            </w:r>
            <w:r>
              <w:rPr>
                <w:i/>
                <w:sz w:val="14"/>
              </w:rPr>
              <w:t xml:space="preserve"> </w:t>
            </w:r>
          </w:p>
        </w:tc>
        <w:tc>
          <w:tcPr>
            <w:tcW w:w="1080" w:type="dxa"/>
            <w:tcBorders>
              <w:top w:val="single" w:sz="4" w:space="0" w:color="auto"/>
              <w:bottom w:val="single" w:sz="12" w:space="0" w:color="auto"/>
            </w:tcBorders>
            <w:shd w:val="clear" w:color="auto" w:fill="auto"/>
            <w:vAlign w:val="bottom"/>
          </w:tcPr>
          <w:p w14:paraId="7004599F" w14:textId="73984C3D"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4D1A">
              <w:rPr>
                <w:i/>
                <w:sz w:val="14"/>
              </w:rPr>
              <w:t>Change compared to 2011</w:t>
            </w:r>
          </w:p>
        </w:tc>
        <w:tc>
          <w:tcPr>
            <w:tcW w:w="1299" w:type="dxa"/>
            <w:tcBorders>
              <w:top w:val="single" w:sz="4" w:space="0" w:color="auto"/>
              <w:bottom w:val="single" w:sz="12" w:space="0" w:color="auto"/>
            </w:tcBorders>
            <w:shd w:val="clear" w:color="auto" w:fill="auto"/>
            <w:vAlign w:val="bottom"/>
          </w:tcPr>
          <w:p w14:paraId="71EF248A" w14:textId="4C4DEF4F"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4D1A">
              <w:rPr>
                <w:i/>
                <w:sz w:val="14"/>
              </w:rPr>
              <w:t xml:space="preserve">Change in comparison with </w:t>
            </w:r>
            <w:proofErr w:type="spellStart"/>
            <w:r w:rsidRPr="004C4D1A">
              <w:rPr>
                <w:i/>
                <w:sz w:val="14"/>
              </w:rPr>
              <w:t>EU28</w:t>
            </w:r>
            <w:proofErr w:type="spellEnd"/>
            <w:r w:rsidRPr="004C4D1A">
              <w:rPr>
                <w:i/>
                <w:sz w:val="14"/>
              </w:rPr>
              <w:t xml:space="preserve"> since 2011</w:t>
            </w:r>
          </w:p>
        </w:tc>
      </w:tr>
      <w:tr w:rsidR="004C4D1A" w:rsidRPr="004C4D1A" w14:paraId="5F24B2FE" w14:textId="77777777" w:rsidTr="00333A03">
        <w:trPr>
          <w:trHeight w:hRule="exact" w:val="115"/>
          <w:tblHeader/>
        </w:trPr>
        <w:tc>
          <w:tcPr>
            <w:tcW w:w="2851" w:type="dxa"/>
            <w:tcBorders>
              <w:top w:val="single" w:sz="12" w:space="0" w:color="auto"/>
            </w:tcBorders>
            <w:shd w:val="clear" w:color="auto" w:fill="auto"/>
            <w:vAlign w:val="bottom"/>
          </w:tcPr>
          <w:p w14:paraId="1065ACA9"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166" w:type="dxa"/>
            <w:tcBorders>
              <w:top w:val="single" w:sz="12" w:space="0" w:color="auto"/>
            </w:tcBorders>
            <w:shd w:val="clear" w:color="auto" w:fill="auto"/>
            <w:vAlign w:val="bottom"/>
          </w:tcPr>
          <w:p w14:paraId="279D9B99"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66" w:type="dxa"/>
            <w:gridSpan w:val="2"/>
            <w:tcBorders>
              <w:top w:val="single" w:sz="12" w:space="0" w:color="auto"/>
            </w:tcBorders>
            <w:shd w:val="clear" w:color="auto" w:fill="auto"/>
            <w:vAlign w:val="bottom"/>
          </w:tcPr>
          <w:p w14:paraId="64670C01"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18" w:type="dxa"/>
            <w:tcBorders>
              <w:top w:val="single" w:sz="12" w:space="0" w:color="auto"/>
            </w:tcBorders>
            <w:shd w:val="clear" w:color="auto" w:fill="auto"/>
            <w:vAlign w:val="bottom"/>
          </w:tcPr>
          <w:p w14:paraId="604470E2"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69" w:type="dxa"/>
            <w:tcBorders>
              <w:top w:val="single" w:sz="12" w:space="0" w:color="auto"/>
            </w:tcBorders>
            <w:shd w:val="clear" w:color="auto" w:fill="auto"/>
            <w:vAlign w:val="bottom"/>
          </w:tcPr>
          <w:p w14:paraId="3CAB64DE"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80" w:type="dxa"/>
            <w:tcBorders>
              <w:top w:val="single" w:sz="12" w:space="0" w:color="auto"/>
            </w:tcBorders>
            <w:shd w:val="clear" w:color="auto" w:fill="auto"/>
            <w:vAlign w:val="bottom"/>
          </w:tcPr>
          <w:p w14:paraId="16497F87"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99" w:type="dxa"/>
            <w:tcBorders>
              <w:top w:val="single" w:sz="12" w:space="0" w:color="auto"/>
            </w:tcBorders>
            <w:shd w:val="clear" w:color="auto" w:fill="auto"/>
            <w:vAlign w:val="bottom"/>
          </w:tcPr>
          <w:p w14:paraId="1CAE2095" w14:textId="77777777" w:rsidR="004C4D1A" w:rsidRPr="004C4D1A" w:rsidRDefault="004C4D1A" w:rsidP="004C4D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C4D1A" w:rsidRPr="004C4D1A" w14:paraId="5AD2F90C" w14:textId="77777777" w:rsidTr="004C4D1A">
        <w:tc>
          <w:tcPr>
            <w:tcW w:w="9849" w:type="dxa"/>
            <w:gridSpan w:val="8"/>
            <w:tcBorders>
              <w:bottom w:val="single" w:sz="4" w:space="0" w:color="auto"/>
            </w:tcBorders>
            <w:shd w:val="clear" w:color="auto" w:fill="auto"/>
            <w:vAlign w:val="bottom"/>
          </w:tcPr>
          <w:p w14:paraId="338D9D29" w14:textId="53425793"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144" w:right="43"/>
              <w:jc w:val="center"/>
              <w:rPr>
                <w:b/>
                <w:bCs/>
                <w:sz w:val="17"/>
              </w:rPr>
            </w:pPr>
            <w:r w:rsidRPr="004C4D1A">
              <w:rPr>
                <w:b/>
                <w:bCs/>
                <w:sz w:val="17"/>
              </w:rPr>
              <w:t>Women</w:t>
            </w:r>
          </w:p>
        </w:tc>
      </w:tr>
      <w:tr w:rsidR="004C4D1A" w:rsidRPr="004C4D1A" w14:paraId="68883127" w14:textId="77777777" w:rsidTr="00333A03">
        <w:tc>
          <w:tcPr>
            <w:tcW w:w="2851" w:type="dxa"/>
            <w:tcBorders>
              <w:top w:val="single" w:sz="4" w:space="0" w:color="auto"/>
              <w:bottom w:val="single" w:sz="4" w:space="0" w:color="auto"/>
            </w:tcBorders>
            <w:shd w:val="clear" w:color="auto" w:fill="auto"/>
            <w:vAlign w:val="bottom"/>
          </w:tcPr>
          <w:p w14:paraId="6AA92250" w14:textId="0E76964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0" w:right="43"/>
              <w:jc w:val="left"/>
              <w:rPr>
                <w:b/>
                <w:sz w:val="17"/>
              </w:rPr>
            </w:pPr>
            <w:r>
              <w:rPr>
                <w:b/>
                <w:sz w:val="17"/>
              </w:rPr>
              <w:tab/>
            </w:r>
            <w:r w:rsidRPr="004C4D1A">
              <w:rPr>
                <w:b/>
                <w:sz w:val="17"/>
              </w:rPr>
              <w:t>Total mortality</w:t>
            </w:r>
          </w:p>
        </w:tc>
        <w:tc>
          <w:tcPr>
            <w:tcW w:w="1166" w:type="dxa"/>
            <w:tcBorders>
              <w:top w:val="single" w:sz="4" w:space="0" w:color="auto"/>
              <w:bottom w:val="single" w:sz="4" w:space="0" w:color="auto"/>
            </w:tcBorders>
            <w:shd w:val="clear" w:color="auto" w:fill="auto"/>
            <w:vAlign w:val="bottom"/>
          </w:tcPr>
          <w:p w14:paraId="759658E9"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4C4D1A">
              <w:rPr>
                <w:b/>
                <w:sz w:val="17"/>
              </w:rPr>
              <w:t xml:space="preserve">67 029 </w:t>
            </w:r>
          </w:p>
        </w:tc>
        <w:tc>
          <w:tcPr>
            <w:tcW w:w="1166" w:type="dxa"/>
            <w:gridSpan w:val="2"/>
            <w:tcBorders>
              <w:top w:val="single" w:sz="4" w:space="0" w:color="auto"/>
              <w:bottom w:val="single" w:sz="4" w:space="0" w:color="auto"/>
            </w:tcBorders>
            <w:shd w:val="clear" w:color="auto" w:fill="auto"/>
            <w:vAlign w:val="bottom"/>
          </w:tcPr>
          <w:p w14:paraId="23DDDA88"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4C4D1A">
              <w:rPr>
                <w:b/>
                <w:sz w:val="17"/>
              </w:rPr>
              <w:t>100%</w:t>
            </w:r>
          </w:p>
        </w:tc>
        <w:tc>
          <w:tcPr>
            <w:tcW w:w="1118" w:type="dxa"/>
            <w:tcBorders>
              <w:top w:val="single" w:sz="4" w:space="0" w:color="auto"/>
              <w:bottom w:val="single" w:sz="4" w:space="0" w:color="auto"/>
            </w:tcBorders>
            <w:shd w:val="clear" w:color="auto" w:fill="auto"/>
            <w:vAlign w:val="bottom"/>
          </w:tcPr>
          <w:p w14:paraId="11155EDD"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4C4D1A">
              <w:rPr>
                <w:b/>
                <w:sz w:val="17"/>
              </w:rPr>
              <w:t>1 179</w:t>
            </w:r>
          </w:p>
        </w:tc>
        <w:tc>
          <w:tcPr>
            <w:tcW w:w="1169" w:type="dxa"/>
            <w:tcBorders>
              <w:top w:val="single" w:sz="4" w:space="0" w:color="auto"/>
              <w:bottom w:val="single" w:sz="4" w:space="0" w:color="auto"/>
            </w:tcBorders>
            <w:shd w:val="clear" w:color="auto" w:fill="auto"/>
            <w:vAlign w:val="bottom"/>
          </w:tcPr>
          <w:p w14:paraId="7BE4F463" w14:textId="2F7B8DCF"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Cs/>
                <w:sz w:val="17"/>
              </w:rPr>
            </w:pPr>
            <w:r w:rsidRPr="004C4D1A">
              <w:rPr>
                <w:b/>
                <w:sz w:val="17"/>
              </w:rPr>
              <w:t>144%</w:t>
            </w:r>
          </w:p>
        </w:tc>
        <w:tc>
          <w:tcPr>
            <w:tcW w:w="1080" w:type="dxa"/>
            <w:tcBorders>
              <w:top w:val="single" w:sz="4" w:space="0" w:color="auto"/>
              <w:bottom w:val="single" w:sz="4" w:space="0" w:color="auto"/>
            </w:tcBorders>
            <w:shd w:val="clear" w:color="auto" w:fill="auto"/>
            <w:vAlign w:val="bottom"/>
          </w:tcPr>
          <w:p w14:paraId="19806B56"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4C4D1A">
              <w:rPr>
                <w:b/>
                <w:sz w:val="17"/>
              </w:rPr>
              <w:t>-4%</w:t>
            </w:r>
          </w:p>
        </w:tc>
        <w:tc>
          <w:tcPr>
            <w:tcW w:w="1299" w:type="dxa"/>
            <w:tcBorders>
              <w:top w:val="single" w:sz="4" w:space="0" w:color="auto"/>
              <w:bottom w:val="single" w:sz="4" w:space="0" w:color="auto"/>
            </w:tcBorders>
            <w:shd w:val="clear" w:color="auto" w:fill="auto"/>
            <w:vAlign w:val="bottom"/>
          </w:tcPr>
          <w:p w14:paraId="6EA26EF9"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4C4D1A">
              <w:rPr>
                <w:b/>
                <w:sz w:val="17"/>
              </w:rPr>
              <w:t>-2%</w:t>
            </w:r>
          </w:p>
        </w:tc>
      </w:tr>
      <w:tr w:rsidR="004C4D1A" w:rsidRPr="004C4D1A" w14:paraId="5EFEEC79" w14:textId="77777777" w:rsidTr="00333A03">
        <w:tc>
          <w:tcPr>
            <w:tcW w:w="2851" w:type="dxa"/>
            <w:tcBorders>
              <w:top w:val="single" w:sz="4" w:space="0" w:color="auto"/>
            </w:tcBorders>
            <w:shd w:val="clear" w:color="auto" w:fill="auto"/>
            <w:vAlign w:val="bottom"/>
          </w:tcPr>
          <w:p w14:paraId="4BD2982F"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80" w:right="43" w:hanging="180"/>
              <w:jc w:val="left"/>
              <w:rPr>
                <w:b/>
                <w:bCs/>
                <w:sz w:val="17"/>
              </w:rPr>
            </w:pPr>
            <w:r w:rsidRPr="004C4D1A">
              <w:rPr>
                <w:b/>
                <w:bCs/>
                <w:sz w:val="17"/>
              </w:rPr>
              <w:t>Circulatory system diseases</w:t>
            </w:r>
          </w:p>
        </w:tc>
        <w:tc>
          <w:tcPr>
            <w:tcW w:w="1166" w:type="dxa"/>
            <w:tcBorders>
              <w:top w:val="single" w:sz="4" w:space="0" w:color="auto"/>
            </w:tcBorders>
            <w:shd w:val="clear" w:color="auto" w:fill="auto"/>
            <w:vAlign w:val="bottom"/>
          </w:tcPr>
          <w:p w14:paraId="692515F1"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bCs/>
                <w:sz w:val="17"/>
              </w:rPr>
            </w:pPr>
            <w:r w:rsidRPr="004C4D1A">
              <w:rPr>
                <w:b/>
                <w:bCs/>
                <w:sz w:val="17"/>
              </w:rPr>
              <w:t>36 156</w:t>
            </w:r>
          </w:p>
        </w:tc>
        <w:tc>
          <w:tcPr>
            <w:tcW w:w="1166" w:type="dxa"/>
            <w:gridSpan w:val="2"/>
            <w:tcBorders>
              <w:top w:val="single" w:sz="4" w:space="0" w:color="auto"/>
            </w:tcBorders>
            <w:shd w:val="clear" w:color="auto" w:fill="auto"/>
            <w:vAlign w:val="bottom"/>
          </w:tcPr>
          <w:p w14:paraId="4EC7BAB5"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bCs/>
                <w:sz w:val="17"/>
              </w:rPr>
            </w:pPr>
            <w:r w:rsidRPr="004C4D1A">
              <w:rPr>
                <w:b/>
                <w:bCs/>
                <w:sz w:val="17"/>
              </w:rPr>
              <w:t>54%</w:t>
            </w:r>
          </w:p>
        </w:tc>
        <w:tc>
          <w:tcPr>
            <w:tcW w:w="1118" w:type="dxa"/>
            <w:tcBorders>
              <w:top w:val="single" w:sz="4" w:space="0" w:color="auto"/>
            </w:tcBorders>
            <w:shd w:val="clear" w:color="auto" w:fill="auto"/>
            <w:vAlign w:val="bottom"/>
          </w:tcPr>
          <w:p w14:paraId="5F528AC4"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bCs/>
                <w:sz w:val="17"/>
              </w:rPr>
            </w:pPr>
            <w:r w:rsidRPr="004C4D1A">
              <w:rPr>
                <w:b/>
                <w:bCs/>
                <w:sz w:val="17"/>
              </w:rPr>
              <w:t>636</w:t>
            </w:r>
          </w:p>
        </w:tc>
        <w:tc>
          <w:tcPr>
            <w:tcW w:w="1169" w:type="dxa"/>
            <w:tcBorders>
              <w:top w:val="single" w:sz="4" w:space="0" w:color="auto"/>
            </w:tcBorders>
            <w:shd w:val="clear" w:color="auto" w:fill="auto"/>
            <w:vAlign w:val="bottom"/>
          </w:tcPr>
          <w:p w14:paraId="7CA2794F"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bCs/>
                <w:sz w:val="17"/>
              </w:rPr>
            </w:pPr>
            <w:r w:rsidRPr="004C4D1A">
              <w:rPr>
                <w:b/>
                <w:bCs/>
                <w:sz w:val="17"/>
              </w:rPr>
              <w:t>210%</w:t>
            </w:r>
          </w:p>
        </w:tc>
        <w:tc>
          <w:tcPr>
            <w:tcW w:w="1080" w:type="dxa"/>
            <w:tcBorders>
              <w:top w:val="single" w:sz="4" w:space="0" w:color="auto"/>
            </w:tcBorders>
            <w:shd w:val="clear" w:color="auto" w:fill="auto"/>
            <w:vAlign w:val="bottom"/>
          </w:tcPr>
          <w:p w14:paraId="0014D26D"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bCs/>
                <w:sz w:val="17"/>
              </w:rPr>
            </w:pPr>
            <w:r w:rsidRPr="004C4D1A">
              <w:rPr>
                <w:b/>
                <w:bCs/>
                <w:sz w:val="17"/>
              </w:rPr>
              <w:t>-7%</w:t>
            </w:r>
          </w:p>
        </w:tc>
        <w:tc>
          <w:tcPr>
            <w:tcW w:w="1299" w:type="dxa"/>
            <w:tcBorders>
              <w:top w:val="single" w:sz="4" w:space="0" w:color="auto"/>
            </w:tcBorders>
            <w:shd w:val="clear" w:color="auto" w:fill="auto"/>
            <w:vAlign w:val="bottom"/>
          </w:tcPr>
          <w:p w14:paraId="39D9437D"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bCs/>
                <w:sz w:val="17"/>
              </w:rPr>
            </w:pPr>
            <w:r w:rsidRPr="004C4D1A">
              <w:rPr>
                <w:b/>
                <w:bCs/>
                <w:sz w:val="17"/>
              </w:rPr>
              <w:t>8%</w:t>
            </w:r>
          </w:p>
        </w:tc>
      </w:tr>
      <w:tr w:rsidR="004C4D1A" w:rsidRPr="004C4D1A" w14:paraId="220D53B1" w14:textId="77777777" w:rsidTr="00333A03">
        <w:tc>
          <w:tcPr>
            <w:tcW w:w="2851" w:type="dxa"/>
            <w:shd w:val="clear" w:color="auto" w:fill="auto"/>
            <w:vAlign w:val="bottom"/>
          </w:tcPr>
          <w:p w14:paraId="74C2D22B" w14:textId="4D5A30B1"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 xml:space="preserve">Myocardial </w:t>
            </w:r>
            <w:proofErr w:type="spellStart"/>
            <w:r w:rsidRPr="004C4D1A">
              <w:rPr>
                <w:sz w:val="17"/>
              </w:rPr>
              <w:t>ischaemia</w:t>
            </w:r>
            <w:proofErr w:type="spellEnd"/>
          </w:p>
        </w:tc>
        <w:tc>
          <w:tcPr>
            <w:tcW w:w="1166" w:type="dxa"/>
            <w:shd w:val="clear" w:color="auto" w:fill="auto"/>
            <w:vAlign w:val="bottom"/>
          </w:tcPr>
          <w:p w14:paraId="7105B141"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17 435</w:t>
            </w:r>
          </w:p>
        </w:tc>
        <w:tc>
          <w:tcPr>
            <w:tcW w:w="1166" w:type="dxa"/>
            <w:gridSpan w:val="2"/>
            <w:shd w:val="clear" w:color="auto" w:fill="auto"/>
            <w:vAlign w:val="bottom"/>
          </w:tcPr>
          <w:p w14:paraId="026E11B7"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26%</w:t>
            </w:r>
          </w:p>
        </w:tc>
        <w:tc>
          <w:tcPr>
            <w:tcW w:w="1118" w:type="dxa"/>
            <w:shd w:val="clear" w:color="auto" w:fill="auto"/>
            <w:vAlign w:val="bottom"/>
          </w:tcPr>
          <w:p w14:paraId="53AA39C6"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307</w:t>
            </w:r>
          </w:p>
        </w:tc>
        <w:tc>
          <w:tcPr>
            <w:tcW w:w="1169" w:type="dxa"/>
            <w:shd w:val="clear" w:color="auto" w:fill="auto"/>
            <w:vAlign w:val="bottom"/>
          </w:tcPr>
          <w:p w14:paraId="447745C9" w14:textId="3D54B810"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354%</w:t>
            </w:r>
            <w:r>
              <w:rPr>
                <w:sz w:val="17"/>
              </w:rPr>
              <w:t xml:space="preserve"> </w:t>
            </w:r>
          </w:p>
        </w:tc>
        <w:tc>
          <w:tcPr>
            <w:tcW w:w="1080" w:type="dxa"/>
            <w:shd w:val="clear" w:color="auto" w:fill="auto"/>
            <w:vAlign w:val="bottom"/>
          </w:tcPr>
          <w:p w14:paraId="2EBD0D3B" w14:textId="76260E5C"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-11%</w:t>
            </w:r>
          </w:p>
        </w:tc>
        <w:tc>
          <w:tcPr>
            <w:tcW w:w="1299" w:type="dxa"/>
            <w:shd w:val="clear" w:color="auto" w:fill="auto"/>
            <w:vAlign w:val="bottom"/>
          </w:tcPr>
          <w:p w14:paraId="25B168C7" w14:textId="3C74ABDF"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26%</w:t>
            </w:r>
          </w:p>
        </w:tc>
      </w:tr>
      <w:tr w:rsidR="004C4D1A" w:rsidRPr="004C4D1A" w14:paraId="7B2ECF58" w14:textId="77777777" w:rsidTr="00333A03">
        <w:tc>
          <w:tcPr>
            <w:tcW w:w="2851" w:type="dxa"/>
            <w:tcBorders>
              <w:bottom w:val="single" w:sz="4" w:space="0" w:color="auto"/>
            </w:tcBorders>
            <w:shd w:val="clear" w:color="auto" w:fill="auto"/>
            <w:vAlign w:val="bottom"/>
          </w:tcPr>
          <w:p w14:paraId="74506605" w14:textId="180ADA2F"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Cerebrovascular disease</w:t>
            </w:r>
          </w:p>
        </w:tc>
        <w:tc>
          <w:tcPr>
            <w:tcW w:w="1166" w:type="dxa"/>
            <w:tcBorders>
              <w:bottom w:val="single" w:sz="4" w:space="0" w:color="auto"/>
            </w:tcBorders>
            <w:shd w:val="clear" w:color="auto" w:fill="auto"/>
            <w:vAlign w:val="bottom"/>
          </w:tcPr>
          <w:p w14:paraId="4B66BAE9"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6 416</w:t>
            </w:r>
          </w:p>
        </w:tc>
        <w:tc>
          <w:tcPr>
            <w:tcW w:w="1166" w:type="dxa"/>
            <w:gridSpan w:val="2"/>
            <w:tcBorders>
              <w:bottom w:val="single" w:sz="4" w:space="0" w:color="auto"/>
            </w:tcBorders>
            <w:shd w:val="clear" w:color="auto" w:fill="auto"/>
            <w:vAlign w:val="bottom"/>
          </w:tcPr>
          <w:p w14:paraId="3F1D6877"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10%</w:t>
            </w:r>
          </w:p>
        </w:tc>
        <w:tc>
          <w:tcPr>
            <w:tcW w:w="1118" w:type="dxa"/>
            <w:tcBorders>
              <w:bottom w:val="single" w:sz="4" w:space="0" w:color="auto"/>
            </w:tcBorders>
            <w:shd w:val="clear" w:color="auto" w:fill="auto"/>
            <w:vAlign w:val="bottom"/>
          </w:tcPr>
          <w:p w14:paraId="663D85AE"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112</w:t>
            </w:r>
          </w:p>
        </w:tc>
        <w:tc>
          <w:tcPr>
            <w:tcW w:w="1169" w:type="dxa"/>
            <w:tcBorders>
              <w:bottom w:val="single" w:sz="4" w:space="0" w:color="auto"/>
            </w:tcBorders>
            <w:shd w:val="clear" w:color="auto" w:fill="auto"/>
            <w:vAlign w:val="bottom"/>
          </w:tcPr>
          <w:p w14:paraId="613E45FE"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154%</w:t>
            </w:r>
          </w:p>
        </w:tc>
        <w:tc>
          <w:tcPr>
            <w:tcW w:w="1080" w:type="dxa"/>
            <w:tcBorders>
              <w:bottom w:val="single" w:sz="4" w:space="0" w:color="auto"/>
            </w:tcBorders>
            <w:shd w:val="clear" w:color="auto" w:fill="auto"/>
            <w:vAlign w:val="bottom"/>
          </w:tcPr>
          <w:p w14:paraId="2D0FFCB0"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-25%</w:t>
            </w:r>
          </w:p>
        </w:tc>
        <w:tc>
          <w:tcPr>
            <w:tcW w:w="1299" w:type="dxa"/>
            <w:tcBorders>
              <w:bottom w:val="single" w:sz="4" w:space="0" w:color="auto"/>
            </w:tcBorders>
            <w:shd w:val="clear" w:color="auto" w:fill="auto"/>
            <w:vAlign w:val="bottom"/>
          </w:tcPr>
          <w:p w14:paraId="595DB67D"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-17%</w:t>
            </w:r>
          </w:p>
        </w:tc>
      </w:tr>
      <w:tr w:rsidR="004C4D1A" w:rsidRPr="004C4D1A" w14:paraId="0A10DE05" w14:textId="77777777" w:rsidTr="00333A03">
        <w:tc>
          <w:tcPr>
            <w:tcW w:w="2851" w:type="dxa"/>
            <w:tcBorders>
              <w:top w:val="single" w:sz="4" w:space="0" w:color="auto"/>
            </w:tcBorders>
            <w:shd w:val="clear" w:color="auto" w:fill="auto"/>
            <w:vAlign w:val="bottom"/>
          </w:tcPr>
          <w:p w14:paraId="4DD55F6D"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b/>
                <w:bCs/>
                <w:sz w:val="17"/>
              </w:rPr>
            </w:pPr>
            <w:r w:rsidRPr="004C4D1A">
              <w:rPr>
                <w:b/>
                <w:bCs/>
                <w:sz w:val="17"/>
              </w:rPr>
              <w:t xml:space="preserve">Malignancies </w:t>
            </w:r>
          </w:p>
        </w:tc>
        <w:tc>
          <w:tcPr>
            <w:tcW w:w="1166" w:type="dxa"/>
            <w:tcBorders>
              <w:top w:val="single" w:sz="4" w:space="0" w:color="auto"/>
            </w:tcBorders>
            <w:shd w:val="clear" w:color="auto" w:fill="auto"/>
            <w:vAlign w:val="bottom"/>
          </w:tcPr>
          <w:p w14:paraId="0DBAA733" w14:textId="77777777" w:rsidR="004C4D1A" w:rsidRPr="00333A03"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333A03">
              <w:rPr>
                <w:b/>
                <w:bCs/>
                <w:sz w:val="17"/>
              </w:rPr>
              <w:t>15 297</w:t>
            </w:r>
          </w:p>
        </w:tc>
        <w:tc>
          <w:tcPr>
            <w:tcW w:w="1166" w:type="dxa"/>
            <w:gridSpan w:val="2"/>
            <w:tcBorders>
              <w:top w:val="single" w:sz="4" w:space="0" w:color="auto"/>
            </w:tcBorders>
            <w:shd w:val="clear" w:color="auto" w:fill="auto"/>
            <w:vAlign w:val="bottom"/>
          </w:tcPr>
          <w:p w14:paraId="4CAD17C2" w14:textId="37DA14B0" w:rsidR="004C4D1A" w:rsidRPr="0022188C"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333A03">
              <w:rPr>
                <w:b/>
                <w:bCs/>
                <w:sz w:val="17"/>
              </w:rPr>
              <w:t>23%</w:t>
            </w:r>
          </w:p>
        </w:tc>
        <w:tc>
          <w:tcPr>
            <w:tcW w:w="1118" w:type="dxa"/>
            <w:tcBorders>
              <w:top w:val="single" w:sz="4" w:space="0" w:color="auto"/>
            </w:tcBorders>
            <w:shd w:val="clear" w:color="auto" w:fill="auto"/>
            <w:vAlign w:val="bottom"/>
          </w:tcPr>
          <w:p w14:paraId="27754B37" w14:textId="77777777" w:rsidR="004C4D1A" w:rsidRPr="00333A03"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333A03">
              <w:rPr>
                <w:b/>
                <w:bCs/>
                <w:sz w:val="17"/>
              </w:rPr>
              <w:t>267</w:t>
            </w:r>
          </w:p>
        </w:tc>
        <w:tc>
          <w:tcPr>
            <w:tcW w:w="1169" w:type="dxa"/>
            <w:tcBorders>
              <w:top w:val="single" w:sz="4" w:space="0" w:color="auto"/>
            </w:tcBorders>
            <w:shd w:val="clear" w:color="auto" w:fill="auto"/>
            <w:vAlign w:val="bottom"/>
          </w:tcPr>
          <w:p w14:paraId="59D3395F" w14:textId="77777777" w:rsidR="004C4D1A" w:rsidRPr="00333A03"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333A03">
              <w:rPr>
                <w:b/>
                <w:bCs/>
                <w:sz w:val="17"/>
              </w:rPr>
              <w:t>128%</w:t>
            </w:r>
          </w:p>
        </w:tc>
        <w:tc>
          <w:tcPr>
            <w:tcW w:w="1080" w:type="dxa"/>
            <w:tcBorders>
              <w:top w:val="single" w:sz="4" w:space="0" w:color="auto"/>
            </w:tcBorders>
            <w:shd w:val="clear" w:color="auto" w:fill="auto"/>
            <w:vAlign w:val="bottom"/>
          </w:tcPr>
          <w:p w14:paraId="174CDACA" w14:textId="77777777" w:rsidR="004C4D1A" w:rsidRPr="00333A03"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333A03">
              <w:rPr>
                <w:b/>
                <w:bCs/>
                <w:sz w:val="17"/>
              </w:rPr>
              <w:t>-2%</w:t>
            </w:r>
          </w:p>
        </w:tc>
        <w:tc>
          <w:tcPr>
            <w:tcW w:w="1299" w:type="dxa"/>
            <w:tcBorders>
              <w:top w:val="single" w:sz="4" w:space="0" w:color="auto"/>
            </w:tcBorders>
            <w:shd w:val="clear" w:color="auto" w:fill="auto"/>
            <w:vAlign w:val="bottom"/>
          </w:tcPr>
          <w:p w14:paraId="7A7232B9" w14:textId="77777777" w:rsidR="004C4D1A" w:rsidRPr="00333A03"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333A03">
              <w:rPr>
                <w:b/>
                <w:bCs/>
                <w:sz w:val="17"/>
              </w:rPr>
              <w:t>-4%</w:t>
            </w:r>
          </w:p>
        </w:tc>
      </w:tr>
      <w:tr w:rsidR="004C4D1A" w:rsidRPr="004C4D1A" w14:paraId="3A002CAE" w14:textId="77777777" w:rsidTr="00333A03">
        <w:tc>
          <w:tcPr>
            <w:tcW w:w="2851" w:type="dxa"/>
            <w:shd w:val="clear" w:color="auto" w:fill="auto"/>
            <w:vAlign w:val="bottom"/>
          </w:tcPr>
          <w:p w14:paraId="44220E34" w14:textId="0F027A92"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Lung</w:t>
            </w:r>
          </w:p>
        </w:tc>
        <w:tc>
          <w:tcPr>
            <w:tcW w:w="1166" w:type="dxa"/>
            <w:shd w:val="clear" w:color="auto" w:fill="auto"/>
            <w:vAlign w:val="bottom"/>
          </w:tcPr>
          <w:p w14:paraId="6987B70E"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3 375</w:t>
            </w:r>
          </w:p>
        </w:tc>
        <w:tc>
          <w:tcPr>
            <w:tcW w:w="1166" w:type="dxa"/>
            <w:gridSpan w:val="2"/>
            <w:shd w:val="clear" w:color="auto" w:fill="auto"/>
            <w:vAlign w:val="bottom"/>
          </w:tcPr>
          <w:p w14:paraId="16868FF2"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5%</w:t>
            </w:r>
          </w:p>
        </w:tc>
        <w:tc>
          <w:tcPr>
            <w:tcW w:w="1118" w:type="dxa"/>
            <w:shd w:val="clear" w:color="auto" w:fill="auto"/>
            <w:vAlign w:val="bottom"/>
          </w:tcPr>
          <w:p w14:paraId="434CF40E"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59</w:t>
            </w:r>
          </w:p>
        </w:tc>
        <w:tc>
          <w:tcPr>
            <w:tcW w:w="1169" w:type="dxa"/>
            <w:shd w:val="clear" w:color="auto" w:fill="auto"/>
            <w:vAlign w:val="bottom"/>
          </w:tcPr>
          <w:p w14:paraId="7A3B9F50"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184%</w:t>
            </w:r>
          </w:p>
        </w:tc>
        <w:tc>
          <w:tcPr>
            <w:tcW w:w="1080" w:type="dxa"/>
            <w:shd w:val="clear" w:color="auto" w:fill="auto"/>
            <w:vAlign w:val="bottom"/>
          </w:tcPr>
          <w:p w14:paraId="5C5BC549"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5%</w:t>
            </w:r>
          </w:p>
        </w:tc>
        <w:tc>
          <w:tcPr>
            <w:tcW w:w="1299" w:type="dxa"/>
            <w:shd w:val="clear" w:color="auto" w:fill="auto"/>
            <w:vAlign w:val="bottom"/>
          </w:tcPr>
          <w:p w14:paraId="47AC59DC"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-3%</w:t>
            </w:r>
          </w:p>
        </w:tc>
      </w:tr>
      <w:tr w:rsidR="004C4D1A" w:rsidRPr="004C4D1A" w14:paraId="244D972B" w14:textId="77777777" w:rsidTr="00333A03">
        <w:tc>
          <w:tcPr>
            <w:tcW w:w="2851" w:type="dxa"/>
            <w:shd w:val="clear" w:color="auto" w:fill="auto"/>
            <w:vAlign w:val="bottom"/>
          </w:tcPr>
          <w:p w14:paraId="33BEEE4C" w14:textId="6D24DB20"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Breast</w:t>
            </w:r>
          </w:p>
        </w:tc>
        <w:tc>
          <w:tcPr>
            <w:tcW w:w="1166" w:type="dxa"/>
            <w:shd w:val="clear" w:color="auto" w:fill="auto"/>
            <w:vAlign w:val="bottom"/>
          </w:tcPr>
          <w:p w14:paraId="3EC8A058"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2 127</w:t>
            </w:r>
          </w:p>
        </w:tc>
        <w:tc>
          <w:tcPr>
            <w:tcW w:w="1166" w:type="dxa"/>
            <w:gridSpan w:val="2"/>
            <w:shd w:val="clear" w:color="auto" w:fill="auto"/>
            <w:vAlign w:val="bottom"/>
          </w:tcPr>
          <w:p w14:paraId="31BC156E"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3%</w:t>
            </w:r>
          </w:p>
        </w:tc>
        <w:tc>
          <w:tcPr>
            <w:tcW w:w="1118" w:type="dxa"/>
            <w:shd w:val="clear" w:color="auto" w:fill="auto"/>
            <w:vAlign w:val="bottom"/>
          </w:tcPr>
          <w:p w14:paraId="178EDF0D"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37</w:t>
            </w:r>
          </w:p>
        </w:tc>
        <w:tc>
          <w:tcPr>
            <w:tcW w:w="1169" w:type="dxa"/>
            <w:shd w:val="clear" w:color="auto" w:fill="auto"/>
            <w:vAlign w:val="bottom"/>
          </w:tcPr>
          <w:p w14:paraId="5F0FB124"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113%</w:t>
            </w:r>
          </w:p>
        </w:tc>
        <w:tc>
          <w:tcPr>
            <w:tcW w:w="1080" w:type="dxa"/>
            <w:shd w:val="clear" w:color="auto" w:fill="auto"/>
            <w:vAlign w:val="bottom"/>
          </w:tcPr>
          <w:p w14:paraId="780B8D7D" w14:textId="757A133A"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-7%</w:t>
            </w:r>
          </w:p>
        </w:tc>
        <w:tc>
          <w:tcPr>
            <w:tcW w:w="1299" w:type="dxa"/>
            <w:shd w:val="clear" w:color="auto" w:fill="auto"/>
            <w:vAlign w:val="bottom"/>
          </w:tcPr>
          <w:p w14:paraId="6E3FE553" w14:textId="314B308A"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6%</w:t>
            </w:r>
          </w:p>
        </w:tc>
      </w:tr>
      <w:tr w:rsidR="004C4D1A" w:rsidRPr="004C4D1A" w14:paraId="3A5A9F13" w14:textId="77777777" w:rsidTr="00333A03">
        <w:tc>
          <w:tcPr>
            <w:tcW w:w="2851" w:type="dxa"/>
            <w:shd w:val="clear" w:color="auto" w:fill="auto"/>
            <w:vAlign w:val="bottom"/>
          </w:tcPr>
          <w:p w14:paraId="4FAD0365" w14:textId="39F73B49"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Colon and rectum</w:t>
            </w:r>
          </w:p>
        </w:tc>
        <w:tc>
          <w:tcPr>
            <w:tcW w:w="1166" w:type="dxa"/>
            <w:shd w:val="clear" w:color="auto" w:fill="auto"/>
            <w:vAlign w:val="bottom"/>
          </w:tcPr>
          <w:p w14:paraId="3B680B10"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2 198</w:t>
            </w:r>
          </w:p>
        </w:tc>
        <w:tc>
          <w:tcPr>
            <w:tcW w:w="1166" w:type="dxa"/>
            <w:gridSpan w:val="2"/>
            <w:shd w:val="clear" w:color="auto" w:fill="auto"/>
            <w:vAlign w:val="bottom"/>
          </w:tcPr>
          <w:p w14:paraId="217D48B2" w14:textId="44588306"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3%</w:t>
            </w:r>
          </w:p>
        </w:tc>
        <w:tc>
          <w:tcPr>
            <w:tcW w:w="1118" w:type="dxa"/>
            <w:shd w:val="clear" w:color="auto" w:fill="auto"/>
            <w:vAlign w:val="bottom"/>
          </w:tcPr>
          <w:p w14:paraId="5E5A8D02"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38</w:t>
            </w:r>
          </w:p>
        </w:tc>
        <w:tc>
          <w:tcPr>
            <w:tcW w:w="1169" w:type="dxa"/>
            <w:shd w:val="clear" w:color="auto" w:fill="auto"/>
            <w:vAlign w:val="bottom"/>
          </w:tcPr>
          <w:p w14:paraId="52E07658" w14:textId="1B88F2FF"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4C4D1A">
              <w:rPr>
                <w:sz w:val="17"/>
              </w:rPr>
              <w:t>165%</w:t>
            </w:r>
          </w:p>
        </w:tc>
        <w:tc>
          <w:tcPr>
            <w:tcW w:w="1080" w:type="dxa"/>
            <w:shd w:val="clear" w:color="auto" w:fill="auto"/>
            <w:vAlign w:val="bottom"/>
          </w:tcPr>
          <w:p w14:paraId="0828E809" w14:textId="06ED4E4E" w:rsidR="004C4D1A" w:rsidRPr="005774B6"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4C4D1A">
              <w:rPr>
                <w:sz w:val="17"/>
              </w:rPr>
              <w:t>-6</w:t>
            </w:r>
            <w:r w:rsidR="005774B6" w:rsidRPr="004C4D1A">
              <w:rPr>
                <w:sz w:val="17"/>
              </w:rPr>
              <w:t>%</w:t>
            </w:r>
          </w:p>
        </w:tc>
        <w:tc>
          <w:tcPr>
            <w:tcW w:w="1299" w:type="dxa"/>
            <w:shd w:val="clear" w:color="auto" w:fill="auto"/>
            <w:vAlign w:val="bottom"/>
          </w:tcPr>
          <w:p w14:paraId="245A617C" w14:textId="183E617F"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0</w:t>
            </w:r>
            <w:r w:rsidR="005774B6" w:rsidRPr="004C4D1A">
              <w:rPr>
                <w:sz w:val="17"/>
              </w:rPr>
              <w:t>%</w:t>
            </w:r>
          </w:p>
        </w:tc>
      </w:tr>
      <w:tr w:rsidR="004C4D1A" w:rsidRPr="004C4D1A" w14:paraId="1AF5E6C3" w14:textId="77777777" w:rsidTr="00333A03">
        <w:tc>
          <w:tcPr>
            <w:tcW w:w="2851" w:type="dxa"/>
            <w:shd w:val="clear" w:color="auto" w:fill="auto"/>
            <w:vAlign w:val="bottom"/>
          </w:tcPr>
          <w:p w14:paraId="41956B40" w14:textId="5CAA1F48"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Pancreas</w:t>
            </w:r>
          </w:p>
        </w:tc>
        <w:tc>
          <w:tcPr>
            <w:tcW w:w="1166" w:type="dxa"/>
            <w:shd w:val="clear" w:color="auto" w:fill="auto"/>
            <w:vAlign w:val="bottom"/>
          </w:tcPr>
          <w:p w14:paraId="1C405DCE"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1 082</w:t>
            </w:r>
          </w:p>
        </w:tc>
        <w:tc>
          <w:tcPr>
            <w:tcW w:w="1166" w:type="dxa"/>
            <w:gridSpan w:val="2"/>
            <w:shd w:val="clear" w:color="auto" w:fill="auto"/>
            <w:vAlign w:val="bottom"/>
          </w:tcPr>
          <w:p w14:paraId="6C5B5C5C" w14:textId="12A743EA"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w:t>
            </w:r>
          </w:p>
        </w:tc>
        <w:tc>
          <w:tcPr>
            <w:tcW w:w="1118" w:type="dxa"/>
            <w:shd w:val="clear" w:color="auto" w:fill="auto"/>
            <w:vAlign w:val="bottom"/>
          </w:tcPr>
          <w:p w14:paraId="07F31BED"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19</w:t>
            </w:r>
          </w:p>
        </w:tc>
        <w:tc>
          <w:tcPr>
            <w:tcW w:w="1169" w:type="dxa"/>
            <w:shd w:val="clear" w:color="auto" w:fill="auto"/>
            <w:vAlign w:val="bottom"/>
          </w:tcPr>
          <w:p w14:paraId="14831929" w14:textId="07EF3C93"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126%</w:t>
            </w:r>
          </w:p>
        </w:tc>
        <w:tc>
          <w:tcPr>
            <w:tcW w:w="1080" w:type="dxa"/>
            <w:shd w:val="clear" w:color="auto" w:fill="auto"/>
            <w:vAlign w:val="bottom"/>
          </w:tcPr>
          <w:p w14:paraId="0468E701" w14:textId="58E1AFC5"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-11</w:t>
            </w:r>
            <w:r w:rsidR="005774B6" w:rsidRPr="004C4D1A">
              <w:rPr>
                <w:sz w:val="17"/>
              </w:rPr>
              <w:t>%</w:t>
            </w:r>
          </w:p>
        </w:tc>
        <w:tc>
          <w:tcPr>
            <w:tcW w:w="1299" w:type="dxa"/>
            <w:shd w:val="clear" w:color="auto" w:fill="auto"/>
            <w:vAlign w:val="bottom"/>
          </w:tcPr>
          <w:p w14:paraId="4772D22D" w14:textId="2C2EF611"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-25</w:t>
            </w:r>
            <w:r w:rsidR="005774B6" w:rsidRPr="004C4D1A">
              <w:rPr>
                <w:sz w:val="17"/>
              </w:rPr>
              <w:t>%</w:t>
            </w:r>
          </w:p>
        </w:tc>
      </w:tr>
      <w:tr w:rsidR="004C4D1A" w:rsidRPr="004C4D1A" w14:paraId="16418582" w14:textId="77777777" w:rsidTr="00333A03">
        <w:tc>
          <w:tcPr>
            <w:tcW w:w="2851" w:type="dxa"/>
            <w:shd w:val="clear" w:color="auto" w:fill="auto"/>
            <w:vAlign w:val="bottom"/>
          </w:tcPr>
          <w:p w14:paraId="66A27538" w14:textId="057EFD1A"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Ovary</w:t>
            </w:r>
          </w:p>
        </w:tc>
        <w:tc>
          <w:tcPr>
            <w:tcW w:w="1166" w:type="dxa"/>
            <w:shd w:val="clear" w:color="auto" w:fill="auto"/>
            <w:vAlign w:val="bottom"/>
          </w:tcPr>
          <w:p w14:paraId="0177CFE5"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716</w:t>
            </w:r>
          </w:p>
        </w:tc>
        <w:tc>
          <w:tcPr>
            <w:tcW w:w="1166" w:type="dxa"/>
            <w:gridSpan w:val="2"/>
            <w:shd w:val="clear" w:color="auto" w:fill="auto"/>
            <w:vAlign w:val="bottom"/>
          </w:tcPr>
          <w:p w14:paraId="6C6F42E7" w14:textId="35E52D78"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w:t>
            </w:r>
          </w:p>
        </w:tc>
        <w:tc>
          <w:tcPr>
            <w:tcW w:w="1118" w:type="dxa"/>
            <w:shd w:val="clear" w:color="auto" w:fill="auto"/>
            <w:vAlign w:val="bottom"/>
          </w:tcPr>
          <w:p w14:paraId="03669966"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13</w:t>
            </w:r>
          </w:p>
        </w:tc>
        <w:tc>
          <w:tcPr>
            <w:tcW w:w="1169" w:type="dxa"/>
            <w:shd w:val="clear" w:color="auto" w:fill="auto"/>
            <w:vAlign w:val="bottom"/>
          </w:tcPr>
          <w:p w14:paraId="12179847" w14:textId="60718A85"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12</w:t>
            </w:r>
            <w:r>
              <w:rPr>
                <w:sz w:val="17"/>
              </w:rPr>
              <w:t>0</w:t>
            </w:r>
            <w:r w:rsidRPr="004C4D1A">
              <w:rPr>
                <w:sz w:val="17"/>
              </w:rPr>
              <w:t>%</w:t>
            </w:r>
          </w:p>
        </w:tc>
        <w:tc>
          <w:tcPr>
            <w:tcW w:w="1080" w:type="dxa"/>
            <w:shd w:val="clear" w:color="auto" w:fill="auto"/>
            <w:vAlign w:val="bottom"/>
          </w:tcPr>
          <w:p w14:paraId="2E399471" w14:textId="65210390"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-9</w:t>
            </w:r>
            <w:r w:rsidR="005774B6" w:rsidRPr="004C4D1A">
              <w:rPr>
                <w:sz w:val="17"/>
              </w:rPr>
              <w:t>%</w:t>
            </w:r>
          </w:p>
        </w:tc>
        <w:tc>
          <w:tcPr>
            <w:tcW w:w="1299" w:type="dxa"/>
            <w:shd w:val="clear" w:color="auto" w:fill="auto"/>
            <w:vAlign w:val="bottom"/>
          </w:tcPr>
          <w:p w14:paraId="720072D0" w14:textId="20A2B51B"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-3</w:t>
            </w:r>
            <w:r w:rsidR="005774B6" w:rsidRPr="004C4D1A">
              <w:rPr>
                <w:sz w:val="17"/>
              </w:rPr>
              <w:t>%</w:t>
            </w:r>
          </w:p>
        </w:tc>
      </w:tr>
      <w:tr w:rsidR="004C4D1A" w:rsidRPr="004C4D1A" w14:paraId="002BE469" w14:textId="77777777" w:rsidTr="00333A03">
        <w:tc>
          <w:tcPr>
            <w:tcW w:w="2851" w:type="dxa"/>
            <w:tcBorders>
              <w:bottom w:val="single" w:sz="12" w:space="0" w:color="auto"/>
            </w:tcBorders>
            <w:shd w:val="clear" w:color="auto" w:fill="auto"/>
            <w:vAlign w:val="bottom"/>
          </w:tcPr>
          <w:p w14:paraId="6AAB8E16" w14:textId="73C09028"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Cervix</w:t>
            </w:r>
          </w:p>
        </w:tc>
        <w:tc>
          <w:tcPr>
            <w:tcW w:w="1166" w:type="dxa"/>
            <w:tcBorders>
              <w:bottom w:val="single" w:sz="12" w:space="0" w:color="auto"/>
            </w:tcBorders>
            <w:shd w:val="clear" w:color="auto" w:fill="auto"/>
            <w:vAlign w:val="bottom"/>
          </w:tcPr>
          <w:p w14:paraId="5276D53B"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408</w:t>
            </w:r>
          </w:p>
        </w:tc>
        <w:tc>
          <w:tcPr>
            <w:tcW w:w="1166" w:type="dxa"/>
            <w:gridSpan w:val="2"/>
            <w:tcBorders>
              <w:bottom w:val="single" w:sz="12" w:space="0" w:color="auto"/>
            </w:tcBorders>
            <w:shd w:val="clear" w:color="auto" w:fill="auto"/>
            <w:vAlign w:val="bottom"/>
          </w:tcPr>
          <w:p w14:paraId="33DF2036" w14:textId="340E16AE"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w:t>
            </w:r>
          </w:p>
        </w:tc>
        <w:tc>
          <w:tcPr>
            <w:tcW w:w="1118" w:type="dxa"/>
            <w:tcBorders>
              <w:bottom w:val="single" w:sz="12" w:space="0" w:color="auto"/>
            </w:tcBorders>
            <w:shd w:val="clear" w:color="auto" w:fill="auto"/>
            <w:vAlign w:val="bottom"/>
          </w:tcPr>
          <w:p w14:paraId="11E3810D"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7</w:t>
            </w:r>
          </w:p>
        </w:tc>
        <w:tc>
          <w:tcPr>
            <w:tcW w:w="1169" w:type="dxa"/>
            <w:tcBorders>
              <w:bottom w:val="single" w:sz="12" w:space="0" w:color="auto"/>
            </w:tcBorders>
            <w:shd w:val="clear" w:color="auto" w:fill="auto"/>
            <w:vAlign w:val="bottom"/>
          </w:tcPr>
          <w:p w14:paraId="5FDA837F" w14:textId="7FF391D0"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193%</w:t>
            </w:r>
          </w:p>
        </w:tc>
        <w:tc>
          <w:tcPr>
            <w:tcW w:w="1080" w:type="dxa"/>
            <w:tcBorders>
              <w:bottom w:val="single" w:sz="12" w:space="0" w:color="auto"/>
            </w:tcBorders>
            <w:shd w:val="clear" w:color="auto" w:fill="auto"/>
            <w:vAlign w:val="bottom"/>
          </w:tcPr>
          <w:p w14:paraId="5CF38CAE" w14:textId="3E9293D6"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-5</w:t>
            </w:r>
            <w:r w:rsidR="005774B6" w:rsidRPr="004C4D1A">
              <w:rPr>
                <w:sz w:val="17"/>
              </w:rPr>
              <w:t>%</w:t>
            </w:r>
          </w:p>
        </w:tc>
        <w:tc>
          <w:tcPr>
            <w:tcW w:w="1299" w:type="dxa"/>
            <w:tcBorders>
              <w:bottom w:val="single" w:sz="12" w:space="0" w:color="auto"/>
            </w:tcBorders>
            <w:shd w:val="clear" w:color="auto" w:fill="auto"/>
            <w:vAlign w:val="bottom"/>
          </w:tcPr>
          <w:p w14:paraId="0668DE7C" w14:textId="1D0A98DD"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8</w:t>
            </w:r>
            <w:r w:rsidR="005774B6" w:rsidRPr="004C4D1A">
              <w:rPr>
                <w:sz w:val="17"/>
              </w:rPr>
              <w:t>%</w:t>
            </w:r>
          </w:p>
        </w:tc>
      </w:tr>
      <w:tr w:rsidR="004C4D1A" w:rsidRPr="004C4D1A" w14:paraId="353D95C5" w14:textId="77777777" w:rsidTr="004C4D1A">
        <w:tc>
          <w:tcPr>
            <w:tcW w:w="9849" w:type="dxa"/>
            <w:gridSpan w:val="8"/>
            <w:tcBorders>
              <w:top w:val="single" w:sz="12" w:space="0" w:color="auto"/>
              <w:bottom w:val="single" w:sz="4" w:space="0" w:color="auto"/>
            </w:tcBorders>
            <w:shd w:val="clear" w:color="auto" w:fill="auto"/>
            <w:vAlign w:val="bottom"/>
          </w:tcPr>
          <w:p w14:paraId="08836EC8" w14:textId="5DB8B7B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144" w:right="43"/>
              <w:jc w:val="center"/>
              <w:rPr>
                <w:b/>
                <w:bCs/>
                <w:sz w:val="17"/>
              </w:rPr>
            </w:pPr>
            <w:r w:rsidRPr="004C4D1A">
              <w:rPr>
                <w:b/>
                <w:bCs/>
                <w:sz w:val="17"/>
              </w:rPr>
              <w:t>Men</w:t>
            </w:r>
          </w:p>
        </w:tc>
      </w:tr>
      <w:tr w:rsidR="004C4D1A" w:rsidRPr="004C4D1A" w14:paraId="328C4F3E" w14:textId="77777777" w:rsidTr="00333A03">
        <w:tc>
          <w:tcPr>
            <w:tcW w:w="2851" w:type="dxa"/>
            <w:tcBorders>
              <w:top w:val="single" w:sz="4" w:space="0" w:color="auto"/>
              <w:bottom w:val="single" w:sz="4" w:space="0" w:color="auto"/>
            </w:tcBorders>
            <w:shd w:val="clear" w:color="auto" w:fill="auto"/>
            <w:vAlign w:val="bottom"/>
          </w:tcPr>
          <w:p w14:paraId="16A7795D" w14:textId="766FCD06"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0" w:right="43"/>
              <w:jc w:val="left"/>
              <w:rPr>
                <w:b/>
                <w:sz w:val="17"/>
              </w:rPr>
            </w:pPr>
            <w:r>
              <w:rPr>
                <w:b/>
                <w:sz w:val="17"/>
              </w:rPr>
              <w:tab/>
            </w:r>
            <w:r w:rsidRPr="004C4D1A">
              <w:rPr>
                <w:b/>
                <w:sz w:val="17"/>
              </w:rPr>
              <w:t>Total mortality</w:t>
            </w:r>
          </w:p>
        </w:tc>
        <w:tc>
          <w:tcPr>
            <w:tcW w:w="1166" w:type="dxa"/>
            <w:tcBorders>
              <w:top w:val="single" w:sz="4" w:space="0" w:color="auto"/>
              <w:bottom w:val="single" w:sz="4" w:space="0" w:color="auto"/>
            </w:tcBorders>
            <w:shd w:val="clear" w:color="auto" w:fill="auto"/>
            <w:vAlign w:val="bottom"/>
          </w:tcPr>
          <w:p w14:paraId="31E7B39C"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4C4D1A">
              <w:rPr>
                <w:b/>
                <w:sz w:val="17"/>
              </w:rPr>
              <w:t>64 016</w:t>
            </w:r>
          </w:p>
        </w:tc>
        <w:tc>
          <w:tcPr>
            <w:tcW w:w="1166" w:type="dxa"/>
            <w:gridSpan w:val="2"/>
            <w:tcBorders>
              <w:top w:val="single" w:sz="4" w:space="0" w:color="auto"/>
              <w:bottom w:val="single" w:sz="4" w:space="0" w:color="auto"/>
            </w:tcBorders>
            <w:shd w:val="clear" w:color="auto" w:fill="auto"/>
            <w:vAlign w:val="bottom"/>
          </w:tcPr>
          <w:p w14:paraId="20E244CF" w14:textId="568B9745"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4C4D1A">
              <w:rPr>
                <w:b/>
                <w:sz w:val="17"/>
              </w:rPr>
              <w:t>100</w:t>
            </w:r>
            <w:r w:rsidR="005774B6" w:rsidRPr="005774B6">
              <w:rPr>
                <w:b/>
                <w:bCs/>
                <w:sz w:val="17"/>
              </w:rPr>
              <w:t>%</w:t>
            </w:r>
          </w:p>
        </w:tc>
        <w:tc>
          <w:tcPr>
            <w:tcW w:w="1118" w:type="dxa"/>
            <w:tcBorders>
              <w:top w:val="single" w:sz="4" w:space="0" w:color="auto"/>
              <w:bottom w:val="single" w:sz="4" w:space="0" w:color="auto"/>
            </w:tcBorders>
            <w:shd w:val="clear" w:color="auto" w:fill="auto"/>
            <w:vAlign w:val="bottom"/>
          </w:tcPr>
          <w:p w14:paraId="23768A93"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4C4D1A">
              <w:rPr>
                <w:b/>
                <w:sz w:val="17"/>
              </w:rPr>
              <w:t>1 833</w:t>
            </w:r>
          </w:p>
        </w:tc>
        <w:tc>
          <w:tcPr>
            <w:tcW w:w="1169" w:type="dxa"/>
            <w:tcBorders>
              <w:top w:val="single" w:sz="4" w:space="0" w:color="auto"/>
              <w:bottom w:val="single" w:sz="4" w:space="0" w:color="auto"/>
            </w:tcBorders>
            <w:shd w:val="clear" w:color="auto" w:fill="auto"/>
            <w:vAlign w:val="bottom"/>
          </w:tcPr>
          <w:p w14:paraId="15AEE6EC" w14:textId="4F68CBDA"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4C4D1A">
              <w:rPr>
                <w:b/>
                <w:sz w:val="17"/>
              </w:rPr>
              <w:t>147</w:t>
            </w:r>
            <w:r w:rsidR="005774B6" w:rsidRPr="004C4D1A">
              <w:rPr>
                <w:sz w:val="17"/>
              </w:rPr>
              <w:t>%</w:t>
            </w:r>
          </w:p>
        </w:tc>
        <w:tc>
          <w:tcPr>
            <w:tcW w:w="1080" w:type="dxa"/>
            <w:tcBorders>
              <w:top w:val="single" w:sz="4" w:space="0" w:color="auto"/>
              <w:bottom w:val="single" w:sz="4" w:space="0" w:color="auto"/>
            </w:tcBorders>
            <w:shd w:val="clear" w:color="auto" w:fill="auto"/>
            <w:vAlign w:val="bottom"/>
          </w:tcPr>
          <w:p w14:paraId="71DDA414" w14:textId="11C96025" w:rsidR="004C4D1A" w:rsidRPr="005774B6"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5774B6">
              <w:rPr>
                <w:b/>
                <w:sz w:val="17"/>
              </w:rPr>
              <w:t>-9</w:t>
            </w:r>
            <w:r w:rsidR="005774B6" w:rsidRPr="005774B6">
              <w:rPr>
                <w:b/>
                <w:sz w:val="17"/>
              </w:rPr>
              <w:t>%</w:t>
            </w:r>
          </w:p>
        </w:tc>
        <w:tc>
          <w:tcPr>
            <w:tcW w:w="1299" w:type="dxa"/>
            <w:tcBorders>
              <w:top w:val="single" w:sz="4" w:space="0" w:color="auto"/>
              <w:bottom w:val="single" w:sz="4" w:space="0" w:color="auto"/>
            </w:tcBorders>
            <w:shd w:val="clear" w:color="auto" w:fill="auto"/>
            <w:vAlign w:val="bottom"/>
          </w:tcPr>
          <w:p w14:paraId="5EEC83E2" w14:textId="029C58E4" w:rsidR="004C4D1A" w:rsidRPr="005774B6"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5774B6">
              <w:rPr>
                <w:b/>
                <w:sz w:val="17"/>
              </w:rPr>
              <w:t>-10</w:t>
            </w:r>
            <w:r w:rsidR="005774B6" w:rsidRPr="005774B6">
              <w:rPr>
                <w:b/>
                <w:sz w:val="17"/>
              </w:rPr>
              <w:t>%</w:t>
            </w:r>
          </w:p>
        </w:tc>
      </w:tr>
      <w:tr w:rsidR="004C4D1A" w:rsidRPr="004C4D1A" w14:paraId="1D20592F" w14:textId="77777777" w:rsidTr="00333A03">
        <w:tc>
          <w:tcPr>
            <w:tcW w:w="2851" w:type="dxa"/>
            <w:tcBorders>
              <w:top w:val="single" w:sz="4" w:space="0" w:color="auto"/>
            </w:tcBorders>
            <w:shd w:val="clear" w:color="auto" w:fill="auto"/>
            <w:vAlign w:val="bottom"/>
          </w:tcPr>
          <w:p w14:paraId="4BC8C4B4"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0" w:right="43"/>
              <w:jc w:val="left"/>
              <w:rPr>
                <w:b/>
                <w:bCs/>
                <w:sz w:val="17"/>
              </w:rPr>
            </w:pPr>
            <w:r w:rsidRPr="004C4D1A">
              <w:rPr>
                <w:b/>
                <w:bCs/>
                <w:sz w:val="17"/>
              </w:rPr>
              <w:t>Circulatory system diseases</w:t>
            </w:r>
          </w:p>
        </w:tc>
        <w:tc>
          <w:tcPr>
            <w:tcW w:w="1166" w:type="dxa"/>
            <w:tcBorders>
              <w:top w:val="single" w:sz="4" w:space="0" w:color="auto"/>
            </w:tcBorders>
            <w:shd w:val="clear" w:color="auto" w:fill="auto"/>
            <w:vAlign w:val="bottom"/>
          </w:tcPr>
          <w:p w14:paraId="702F1CA8"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bCs/>
                <w:sz w:val="17"/>
              </w:rPr>
            </w:pPr>
            <w:r w:rsidRPr="004C4D1A">
              <w:rPr>
                <w:b/>
                <w:bCs/>
                <w:sz w:val="17"/>
              </w:rPr>
              <w:t>28 539</w:t>
            </w:r>
          </w:p>
        </w:tc>
        <w:tc>
          <w:tcPr>
            <w:tcW w:w="1166" w:type="dxa"/>
            <w:gridSpan w:val="2"/>
            <w:tcBorders>
              <w:top w:val="single" w:sz="4" w:space="0" w:color="auto"/>
            </w:tcBorders>
            <w:shd w:val="clear" w:color="auto" w:fill="auto"/>
            <w:vAlign w:val="bottom"/>
          </w:tcPr>
          <w:p w14:paraId="5A6B4F1E" w14:textId="44370BC1"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bCs/>
                <w:sz w:val="17"/>
              </w:rPr>
            </w:pPr>
            <w:r w:rsidRPr="004C4D1A">
              <w:rPr>
                <w:b/>
                <w:bCs/>
                <w:sz w:val="17"/>
              </w:rPr>
              <w:t>45</w:t>
            </w:r>
            <w:r w:rsidR="005774B6" w:rsidRPr="004C4D1A">
              <w:rPr>
                <w:sz w:val="17"/>
              </w:rPr>
              <w:t>%</w:t>
            </w:r>
          </w:p>
        </w:tc>
        <w:tc>
          <w:tcPr>
            <w:tcW w:w="1118" w:type="dxa"/>
            <w:tcBorders>
              <w:top w:val="single" w:sz="4" w:space="0" w:color="auto"/>
            </w:tcBorders>
            <w:shd w:val="clear" w:color="auto" w:fill="auto"/>
            <w:vAlign w:val="bottom"/>
          </w:tcPr>
          <w:p w14:paraId="61C715ED"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bCs/>
                <w:sz w:val="17"/>
              </w:rPr>
            </w:pPr>
            <w:r w:rsidRPr="004C4D1A">
              <w:rPr>
                <w:b/>
                <w:bCs/>
                <w:sz w:val="17"/>
              </w:rPr>
              <w:t>888</w:t>
            </w:r>
          </w:p>
        </w:tc>
        <w:tc>
          <w:tcPr>
            <w:tcW w:w="1169" w:type="dxa"/>
            <w:tcBorders>
              <w:top w:val="single" w:sz="4" w:space="0" w:color="auto"/>
            </w:tcBorders>
            <w:shd w:val="clear" w:color="auto" w:fill="auto"/>
            <w:vAlign w:val="bottom"/>
          </w:tcPr>
          <w:p w14:paraId="2DA111BF" w14:textId="026147EF"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bCs/>
                <w:sz w:val="17"/>
              </w:rPr>
            </w:pPr>
            <w:r w:rsidRPr="004C4D1A">
              <w:rPr>
                <w:b/>
                <w:bCs/>
                <w:sz w:val="17"/>
              </w:rPr>
              <w:t>208</w:t>
            </w:r>
            <w:r w:rsidR="005774B6" w:rsidRPr="004C4D1A">
              <w:rPr>
                <w:sz w:val="17"/>
              </w:rPr>
              <w:t>%</w:t>
            </w:r>
          </w:p>
        </w:tc>
        <w:tc>
          <w:tcPr>
            <w:tcW w:w="1080" w:type="dxa"/>
            <w:tcBorders>
              <w:top w:val="single" w:sz="4" w:space="0" w:color="auto"/>
            </w:tcBorders>
            <w:shd w:val="clear" w:color="auto" w:fill="auto"/>
            <w:vAlign w:val="bottom"/>
          </w:tcPr>
          <w:p w14:paraId="17328E67" w14:textId="603F974D" w:rsidR="004C4D1A" w:rsidRPr="005774B6"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sz w:val="17"/>
              </w:rPr>
            </w:pPr>
            <w:r w:rsidRPr="005774B6">
              <w:rPr>
                <w:b/>
                <w:sz w:val="17"/>
              </w:rPr>
              <w:t>-11</w:t>
            </w:r>
            <w:r w:rsidR="005774B6" w:rsidRPr="005774B6">
              <w:rPr>
                <w:b/>
                <w:sz w:val="17"/>
              </w:rPr>
              <w:t>%</w:t>
            </w:r>
          </w:p>
        </w:tc>
        <w:tc>
          <w:tcPr>
            <w:tcW w:w="1299" w:type="dxa"/>
            <w:tcBorders>
              <w:top w:val="single" w:sz="4" w:space="0" w:color="auto"/>
            </w:tcBorders>
            <w:shd w:val="clear" w:color="auto" w:fill="auto"/>
            <w:vAlign w:val="bottom"/>
          </w:tcPr>
          <w:p w14:paraId="098DB9DF" w14:textId="430AD63B" w:rsidR="004C4D1A" w:rsidRPr="005774B6"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00" w:lineRule="exact"/>
              <w:ind w:left="144" w:right="43"/>
              <w:jc w:val="right"/>
              <w:rPr>
                <w:b/>
                <w:sz w:val="17"/>
              </w:rPr>
            </w:pPr>
            <w:r w:rsidRPr="005774B6">
              <w:rPr>
                <w:b/>
                <w:sz w:val="17"/>
              </w:rPr>
              <w:t>-8</w:t>
            </w:r>
            <w:r w:rsidR="005774B6" w:rsidRPr="005774B6">
              <w:rPr>
                <w:b/>
                <w:sz w:val="17"/>
              </w:rPr>
              <w:t>%</w:t>
            </w:r>
          </w:p>
        </w:tc>
      </w:tr>
      <w:tr w:rsidR="004C4D1A" w:rsidRPr="004C4D1A" w14:paraId="3345F952" w14:textId="77777777" w:rsidTr="00333A03">
        <w:tc>
          <w:tcPr>
            <w:tcW w:w="2851" w:type="dxa"/>
            <w:shd w:val="clear" w:color="auto" w:fill="auto"/>
            <w:vAlign w:val="bottom"/>
          </w:tcPr>
          <w:p w14:paraId="7D0A2A40" w14:textId="3BC16D99"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 xml:space="preserve">Myocardial </w:t>
            </w:r>
            <w:proofErr w:type="spellStart"/>
            <w:r w:rsidRPr="004C4D1A">
              <w:rPr>
                <w:sz w:val="17"/>
              </w:rPr>
              <w:t>ischaemia</w:t>
            </w:r>
            <w:proofErr w:type="spellEnd"/>
          </w:p>
        </w:tc>
        <w:tc>
          <w:tcPr>
            <w:tcW w:w="1166" w:type="dxa"/>
            <w:shd w:val="clear" w:color="auto" w:fill="auto"/>
            <w:vAlign w:val="bottom"/>
          </w:tcPr>
          <w:p w14:paraId="0A03D2B6"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14 667</w:t>
            </w:r>
          </w:p>
        </w:tc>
        <w:tc>
          <w:tcPr>
            <w:tcW w:w="1166" w:type="dxa"/>
            <w:gridSpan w:val="2"/>
            <w:shd w:val="clear" w:color="auto" w:fill="auto"/>
            <w:vAlign w:val="bottom"/>
          </w:tcPr>
          <w:p w14:paraId="4FB75487" w14:textId="16A5FDC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23</w:t>
            </w:r>
            <w:r w:rsidR="005774B6" w:rsidRPr="004C4D1A">
              <w:rPr>
                <w:sz w:val="17"/>
              </w:rPr>
              <w:t>%</w:t>
            </w:r>
          </w:p>
        </w:tc>
        <w:tc>
          <w:tcPr>
            <w:tcW w:w="1118" w:type="dxa"/>
            <w:shd w:val="clear" w:color="auto" w:fill="auto"/>
            <w:vAlign w:val="bottom"/>
          </w:tcPr>
          <w:p w14:paraId="473292AA"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460</w:t>
            </w:r>
          </w:p>
        </w:tc>
        <w:tc>
          <w:tcPr>
            <w:tcW w:w="1169" w:type="dxa"/>
            <w:shd w:val="clear" w:color="auto" w:fill="auto"/>
            <w:vAlign w:val="bottom"/>
          </w:tcPr>
          <w:p w14:paraId="7A315281" w14:textId="3A9717C6"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283</w:t>
            </w:r>
            <w:r w:rsidR="005774B6" w:rsidRPr="004C4D1A">
              <w:rPr>
                <w:sz w:val="17"/>
              </w:rPr>
              <w:t>%</w:t>
            </w:r>
          </w:p>
        </w:tc>
        <w:tc>
          <w:tcPr>
            <w:tcW w:w="1080" w:type="dxa"/>
            <w:shd w:val="clear" w:color="auto" w:fill="auto"/>
            <w:vAlign w:val="bottom"/>
          </w:tcPr>
          <w:p w14:paraId="51371B65" w14:textId="6EF42128" w:rsidR="004C4D1A" w:rsidRPr="005774B6"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4C4D1A">
              <w:rPr>
                <w:sz w:val="17"/>
              </w:rPr>
              <w:t>14</w:t>
            </w:r>
            <w:r w:rsidR="005774B6" w:rsidRPr="004C4D1A">
              <w:rPr>
                <w:sz w:val="17"/>
              </w:rPr>
              <w:t>%</w:t>
            </w:r>
          </w:p>
        </w:tc>
        <w:tc>
          <w:tcPr>
            <w:tcW w:w="1299" w:type="dxa"/>
            <w:shd w:val="clear" w:color="auto" w:fill="auto"/>
            <w:vAlign w:val="bottom"/>
          </w:tcPr>
          <w:p w14:paraId="4A22C756" w14:textId="26A8F272"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6</w:t>
            </w:r>
            <w:r w:rsidR="005774B6" w:rsidRPr="004C4D1A">
              <w:rPr>
                <w:sz w:val="17"/>
              </w:rPr>
              <w:t>%</w:t>
            </w:r>
          </w:p>
        </w:tc>
      </w:tr>
      <w:tr w:rsidR="004C4D1A" w:rsidRPr="004C4D1A" w14:paraId="5EB7BB75" w14:textId="77777777" w:rsidTr="00333A03">
        <w:tc>
          <w:tcPr>
            <w:tcW w:w="2851" w:type="dxa"/>
            <w:tcBorders>
              <w:bottom w:val="single" w:sz="4" w:space="0" w:color="auto"/>
            </w:tcBorders>
            <w:shd w:val="clear" w:color="auto" w:fill="auto"/>
            <w:vAlign w:val="bottom"/>
          </w:tcPr>
          <w:p w14:paraId="1E7A98C8" w14:textId="06964992"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Cerebrovascular disease</w:t>
            </w:r>
          </w:p>
        </w:tc>
        <w:tc>
          <w:tcPr>
            <w:tcW w:w="1166" w:type="dxa"/>
            <w:tcBorders>
              <w:bottom w:val="single" w:sz="4" w:space="0" w:color="auto"/>
            </w:tcBorders>
            <w:shd w:val="clear" w:color="auto" w:fill="auto"/>
            <w:vAlign w:val="bottom"/>
          </w:tcPr>
          <w:p w14:paraId="6043E9E6"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4 851</w:t>
            </w:r>
          </w:p>
        </w:tc>
        <w:tc>
          <w:tcPr>
            <w:tcW w:w="1166" w:type="dxa"/>
            <w:gridSpan w:val="2"/>
            <w:tcBorders>
              <w:bottom w:val="single" w:sz="4" w:space="0" w:color="auto"/>
            </w:tcBorders>
            <w:shd w:val="clear" w:color="auto" w:fill="auto"/>
            <w:vAlign w:val="bottom"/>
          </w:tcPr>
          <w:p w14:paraId="28711411" w14:textId="790583F8"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8</w:t>
            </w:r>
            <w:r w:rsidR="005774B6" w:rsidRPr="004C4D1A">
              <w:rPr>
                <w:sz w:val="17"/>
              </w:rPr>
              <w:t>%</w:t>
            </w:r>
          </w:p>
        </w:tc>
        <w:tc>
          <w:tcPr>
            <w:tcW w:w="1118" w:type="dxa"/>
            <w:tcBorders>
              <w:bottom w:val="single" w:sz="4" w:space="0" w:color="auto"/>
            </w:tcBorders>
            <w:shd w:val="clear" w:color="auto" w:fill="auto"/>
            <w:vAlign w:val="bottom"/>
          </w:tcPr>
          <w:p w14:paraId="151B9F27"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150</w:t>
            </w:r>
          </w:p>
        </w:tc>
        <w:tc>
          <w:tcPr>
            <w:tcW w:w="1169" w:type="dxa"/>
            <w:tcBorders>
              <w:bottom w:val="single" w:sz="4" w:space="0" w:color="auto"/>
            </w:tcBorders>
            <w:shd w:val="clear" w:color="auto" w:fill="auto"/>
            <w:vAlign w:val="bottom"/>
          </w:tcPr>
          <w:p w14:paraId="5FB55FE0" w14:textId="5177D754"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172</w:t>
            </w:r>
            <w:r w:rsidR="005774B6" w:rsidRPr="004C4D1A">
              <w:rPr>
                <w:sz w:val="17"/>
              </w:rPr>
              <w:t>%</w:t>
            </w:r>
          </w:p>
        </w:tc>
        <w:tc>
          <w:tcPr>
            <w:tcW w:w="1080" w:type="dxa"/>
            <w:tcBorders>
              <w:bottom w:val="single" w:sz="4" w:space="0" w:color="auto"/>
            </w:tcBorders>
            <w:shd w:val="clear" w:color="auto" w:fill="auto"/>
            <w:vAlign w:val="bottom"/>
          </w:tcPr>
          <w:p w14:paraId="4C2C03DE" w14:textId="389C87F8"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-27</w:t>
            </w:r>
            <w:r w:rsidR="005774B6" w:rsidRPr="004C4D1A">
              <w:rPr>
                <w:sz w:val="17"/>
              </w:rPr>
              <w:t>%</w:t>
            </w:r>
          </w:p>
        </w:tc>
        <w:tc>
          <w:tcPr>
            <w:tcW w:w="1299" w:type="dxa"/>
            <w:tcBorders>
              <w:bottom w:val="single" w:sz="4" w:space="0" w:color="auto"/>
            </w:tcBorders>
            <w:shd w:val="clear" w:color="auto" w:fill="auto"/>
            <w:vAlign w:val="bottom"/>
          </w:tcPr>
          <w:p w14:paraId="4F9D4047" w14:textId="3A69BD15"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-30</w:t>
            </w:r>
            <w:r w:rsidR="005774B6" w:rsidRPr="004C4D1A">
              <w:rPr>
                <w:sz w:val="17"/>
              </w:rPr>
              <w:t>%</w:t>
            </w:r>
          </w:p>
        </w:tc>
      </w:tr>
      <w:tr w:rsidR="004C4D1A" w:rsidRPr="004C4D1A" w14:paraId="44E9DD6B" w14:textId="77777777" w:rsidTr="00333A03">
        <w:tc>
          <w:tcPr>
            <w:tcW w:w="2851" w:type="dxa"/>
            <w:tcBorders>
              <w:top w:val="single" w:sz="4" w:space="0" w:color="auto"/>
            </w:tcBorders>
            <w:shd w:val="clear" w:color="auto" w:fill="auto"/>
            <w:vAlign w:val="bottom"/>
          </w:tcPr>
          <w:p w14:paraId="499F6546"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b/>
                <w:bCs/>
                <w:sz w:val="17"/>
              </w:rPr>
            </w:pPr>
            <w:r w:rsidRPr="004C4D1A">
              <w:rPr>
                <w:b/>
                <w:bCs/>
                <w:sz w:val="17"/>
              </w:rPr>
              <w:t>Malignancies</w:t>
            </w:r>
          </w:p>
        </w:tc>
        <w:tc>
          <w:tcPr>
            <w:tcW w:w="1166" w:type="dxa"/>
            <w:tcBorders>
              <w:top w:val="single" w:sz="4" w:space="0" w:color="auto"/>
            </w:tcBorders>
            <w:shd w:val="clear" w:color="auto" w:fill="auto"/>
            <w:vAlign w:val="bottom"/>
          </w:tcPr>
          <w:p w14:paraId="02FD0C3E"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4C4D1A">
              <w:rPr>
                <w:b/>
                <w:bCs/>
                <w:sz w:val="17"/>
              </w:rPr>
              <w:t>17 953</w:t>
            </w:r>
          </w:p>
        </w:tc>
        <w:tc>
          <w:tcPr>
            <w:tcW w:w="1166" w:type="dxa"/>
            <w:gridSpan w:val="2"/>
            <w:tcBorders>
              <w:top w:val="single" w:sz="4" w:space="0" w:color="auto"/>
            </w:tcBorders>
            <w:shd w:val="clear" w:color="auto" w:fill="auto"/>
            <w:vAlign w:val="bottom"/>
          </w:tcPr>
          <w:p w14:paraId="40CB69E2" w14:textId="63A4C8A3"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4C4D1A">
              <w:rPr>
                <w:b/>
                <w:bCs/>
                <w:sz w:val="17"/>
              </w:rPr>
              <w:t>28</w:t>
            </w:r>
            <w:r w:rsidR="005774B6" w:rsidRPr="005774B6">
              <w:rPr>
                <w:b/>
                <w:bCs/>
                <w:sz w:val="17"/>
              </w:rPr>
              <w:t>%</w:t>
            </w:r>
          </w:p>
        </w:tc>
        <w:tc>
          <w:tcPr>
            <w:tcW w:w="1118" w:type="dxa"/>
            <w:tcBorders>
              <w:top w:val="single" w:sz="4" w:space="0" w:color="auto"/>
            </w:tcBorders>
            <w:shd w:val="clear" w:color="auto" w:fill="auto"/>
            <w:vAlign w:val="bottom"/>
          </w:tcPr>
          <w:p w14:paraId="56A9E842"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4C4D1A">
              <w:rPr>
                <w:b/>
                <w:bCs/>
                <w:sz w:val="17"/>
              </w:rPr>
              <w:t>468</w:t>
            </w:r>
          </w:p>
        </w:tc>
        <w:tc>
          <w:tcPr>
            <w:tcW w:w="1169" w:type="dxa"/>
            <w:tcBorders>
              <w:top w:val="single" w:sz="4" w:space="0" w:color="auto"/>
            </w:tcBorders>
            <w:shd w:val="clear" w:color="auto" w:fill="auto"/>
            <w:vAlign w:val="bottom"/>
          </w:tcPr>
          <w:p w14:paraId="4F3FFEB2" w14:textId="6802337A" w:rsidR="004C4D1A" w:rsidRPr="005774B6"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5774B6">
              <w:rPr>
                <w:b/>
                <w:bCs/>
                <w:sz w:val="17"/>
              </w:rPr>
              <w:t>131</w:t>
            </w:r>
            <w:r w:rsidR="005774B6" w:rsidRPr="005774B6">
              <w:rPr>
                <w:b/>
                <w:bCs/>
                <w:sz w:val="17"/>
              </w:rPr>
              <w:t>%</w:t>
            </w:r>
          </w:p>
        </w:tc>
        <w:tc>
          <w:tcPr>
            <w:tcW w:w="1080" w:type="dxa"/>
            <w:tcBorders>
              <w:top w:val="single" w:sz="4" w:space="0" w:color="auto"/>
            </w:tcBorders>
            <w:shd w:val="clear" w:color="auto" w:fill="auto"/>
            <w:vAlign w:val="bottom"/>
          </w:tcPr>
          <w:p w14:paraId="651AE0E2" w14:textId="377DCF60" w:rsidR="004C4D1A" w:rsidRPr="005774B6"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5774B6">
              <w:rPr>
                <w:b/>
                <w:bCs/>
                <w:sz w:val="17"/>
              </w:rPr>
              <w:t>-7</w:t>
            </w:r>
            <w:r w:rsidR="005774B6" w:rsidRPr="005774B6">
              <w:rPr>
                <w:b/>
                <w:bCs/>
                <w:sz w:val="17"/>
              </w:rPr>
              <w:t>%</w:t>
            </w:r>
          </w:p>
        </w:tc>
        <w:tc>
          <w:tcPr>
            <w:tcW w:w="1299" w:type="dxa"/>
            <w:tcBorders>
              <w:top w:val="single" w:sz="4" w:space="0" w:color="auto"/>
            </w:tcBorders>
            <w:shd w:val="clear" w:color="auto" w:fill="auto"/>
            <w:vAlign w:val="bottom"/>
          </w:tcPr>
          <w:p w14:paraId="53321F5C" w14:textId="7089599C" w:rsidR="004C4D1A" w:rsidRPr="005774B6"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5774B6">
              <w:rPr>
                <w:b/>
                <w:bCs/>
                <w:sz w:val="17"/>
              </w:rPr>
              <w:t>-8</w:t>
            </w:r>
            <w:r w:rsidR="005774B6" w:rsidRPr="005774B6">
              <w:rPr>
                <w:b/>
                <w:bCs/>
                <w:sz w:val="17"/>
              </w:rPr>
              <w:t>%</w:t>
            </w:r>
          </w:p>
        </w:tc>
      </w:tr>
      <w:tr w:rsidR="004C4D1A" w:rsidRPr="004C4D1A" w14:paraId="0EE6306C" w14:textId="77777777" w:rsidTr="00333A03">
        <w:tc>
          <w:tcPr>
            <w:tcW w:w="2851" w:type="dxa"/>
            <w:shd w:val="clear" w:color="auto" w:fill="auto"/>
            <w:vAlign w:val="bottom"/>
          </w:tcPr>
          <w:p w14:paraId="5AE03945" w14:textId="65524C5B"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Lung</w:t>
            </w:r>
          </w:p>
        </w:tc>
        <w:tc>
          <w:tcPr>
            <w:tcW w:w="1166" w:type="dxa"/>
            <w:shd w:val="clear" w:color="auto" w:fill="auto"/>
            <w:vAlign w:val="bottom"/>
          </w:tcPr>
          <w:p w14:paraId="6701FF61"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5 341</w:t>
            </w:r>
          </w:p>
        </w:tc>
        <w:tc>
          <w:tcPr>
            <w:tcW w:w="1166" w:type="dxa"/>
            <w:gridSpan w:val="2"/>
            <w:shd w:val="clear" w:color="auto" w:fill="auto"/>
            <w:vAlign w:val="bottom"/>
          </w:tcPr>
          <w:p w14:paraId="52AF1AFB" w14:textId="3724D6C9"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8</w:t>
            </w:r>
            <w:r w:rsidR="005774B6" w:rsidRPr="004C4D1A">
              <w:rPr>
                <w:sz w:val="17"/>
              </w:rPr>
              <w:t>%</w:t>
            </w:r>
          </w:p>
        </w:tc>
        <w:tc>
          <w:tcPr>
            <w:tcW w:w="1118" w:type="dxa"/>
            <w:shd w:val="clear" w:color="auto" w:fill="auto"/>
            <w:vAlign w:val="bottom"/>
          </w:tcPr>
          <w:p w14:paraId="22AAFADC"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131</w:t>
            </w:r>
          </w:p>
        </w:tc>
        <w:tc>
          <w:tcPr>
            <w:tcW w:w="1169" w:type="dxa"/>
            <w:shd w:val="clear" w:color="auto" w:fill="auto"/>
            <w:vAlign w:val="bottom"/>
          </w:tcPr>
          <w:p w14:paraId="14667E13" w14:textId="7D8C8788"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159</w:t>
            </w:r>
            <w:r w:rsidR="005774B6" w:rsidRPr="004C4D1A">
              <w:rPr>
                <w:sz w:val="17"/>
              </w:rPr>
              <w:t>%</w:t>
            </w:r>
          </w:p>
        </w:tc>
        <w:tc>
          <w:tcPr>
            <w:tcW w:w="1080" w:type="dxa"/>
            <w:shd w:val="clear" w:color="auto" w:fill="auto"/>
            <w:vAlign w:val="bottom"/>
          </w:tcPr>
          <w:p w14:paraId="3AFF6290" w14:textId="058794EA"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-16</w:t>
            </w:r>
            <w:r w:rsidR="005774B6" w:rsidRPr="004C4D1A">
              <w:rPr>
                <w:sz w:val="17"/>
              </w:rPr>
              <w:t>%</w:t>
            </w:r>
          </w:p>
        </w:tc>
        <w:tc>
          <w:tcPr>
            <w:tcW w:w="1299" w:type="dxa"/>
            <w:shd w:val="clear" w:color="auto" w:fill="auto"/>
            <w:vAlign w:val="bottom"/>
          </w:tcPr>
          <w:p w14:paraId="727508F9" w14:textId="1B5F218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-13</w:t>
            </w:r>
            <w:r w:rsidR="005774B6" w:rsidRPr="004C4D1A">
              <w:rPr>
                <w:sz w:val="17"/>
              </w:rPr>
              <w:t>%</w:t>
            </w:r>
          </w:p>
        </w:tc>
      </w:tr>
      <w:tr w:rsidR="004C4D1A" w:rsidRPr="004C4D1A" w14:paraId="0988EDE0" w14:textId="77777777" w:rsidTr="00333A03">
        <w:tc>
          <w:tcPr>
            <w:tcW w:w="2851" w:type="dxa"/>
            <w:shd w:val="clear" w:color="auto" w:fill="auto"/>
            <w:vAlign w:val="bottom"/>
          </w:tcPr>
          <w:p w14:paraId="2FDC4B5E" w14:textId="21481FCB"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Colon and rectum</w:t>
            </w:r>
          </w:p>
        </w:tc>
        <w:tc>
          <w:tcPr>
            <w:tcW w:w="1166" w:type="dxa"/>
            <w:shd w:val="clear" w:color="auto" w:fill="auto"/>
            <w:vAlign w:val="bottom"/>
          </w:tcPr>
          <w:p w14:paraId="31442E77"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2 836</w:t>
            </w:r>
          </w:p>
        </w:tc>
        <w:tc>
          <w:tcPr>
            <w:tcW w:w="1166" w:type="dxa"/>
            <w:gridSpan w:val="2"/>
            <w:shd w:val="clear" w:color="auto" w:fill="auto"/>
            <w:vAlign w:val="bottom"/>
          </w:tcPr>
          <w:p w14:paraId="1FB7527D" w14:textId="1B50B031"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4</w:t>
            </w:r>
            <w:r w:rsidR="005774B6" w:rsidRPr="004C4D1A">
              <w:rPr>
                <w:sz w:val="17"/>
              </w:rPr>
              <w:t>%</w:t>
            </w:r>
          </w:p>
        </w:tc>
        <w:tc>
          <w:tcPr>
            <w:tcW w:w="1118" w:type="dxa"/>
            <w:shd w:val="clear" w:color="auto" w:fill="auto"/>
            <w:vAlign w:val="bottom"/>
          </w:tcPr>
          <w:p w14:paraId="56E45548"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77</w:t>
            </w:r>
          </w:p>
        </w:tc>
        <w:tc>
          <w:tcPr>
            <w:tcW w:w="1169" w:type="dxa"/>
            <w:shd w:val="clear" w:color="auto" w:fill="auto"/>
            <w:vAlign w:val="bottom"/>
          </w:tcPr>
          <w:p w14:paraId="10A89D20" w14:textId="13385A54"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191</w:t>
            </w:r>
            <w:r w:rsidR="005774B6" w:rsidRPr="004C4D1A">
              <w:rPr>
                <w:sz w:val="17"/>
              </w:rPr>
              <w:t>%</w:t>
            </w:r>
          </w:p>
        </w:tc>
        <w:tc>
          <w:tcPr>
            <w:tcW w:w="1080" w:type="dxa"/>
            <w:shd w:val="clear" w:color="auto" w:fill="auto"/>
            <w:vAlign w:val="bottom"/>
          </w:tcPr>
          <w:p w14:paraId="2FA092AB" w14:textId="3D689705"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-11</w:t>
            </w:r>
            <w:r w:rsidR="005774B6" w:rsidRPr="004C4D1A">
              <w:rPr>
                <w:sz w:val="17"/>
              </w:rPr>
              <w:t>%</w:t>
            </w:r>
          </w:p>
        </w:tc>
        <w:tc>
          <w:tcPr>
            <w:tcW w:w="1299" w:type="dxa"/>
            <w:shd w:val="clear" w:color="auto" w:fill="auto"/>
            <w:vAlign w:val="bottom"/>
          </w:tcPr>
          <w:p w14:paraId="3E276CE2" w14:textId="076A7D8C"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-13</w:t>
            </w:r>
            <w:r w:rsidR="005774B6" w:rsidRPr="004C4D1A">
              <w:rPr>
                <w:sz w:val="17"/>
              </w:rPr>
              <w:t>%</w:t>
            </w:r>
          </w:p>
        </w:tc>
      </w:tr>
      <w:tr w:rsidR="004C4D1A" w:rsidRPr="004C4D1A" w14:paraId="31AA3B42" w14:textId="77777777" w:rsidTr="00333A03">
        <w:tc>
          <w:tcPr>
            <w:tcW w:w="2851" w:type="dxa"/>
            <w:shd w:val="clear" w:color="auto" w:fill="auto"/>
            <w:vAlign w:val="bottom"/>
          </w:tcPr>
          <w:p w14:paraId="651A60B2" w14:textId="66F87554"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Prostate</w:t>
            </w:r>
          </w:p>
        </w:tc>
        <w:tc>
          <w:tcPr>
            <w:tcW w:w="1166" w:type="dxa"/>
            <w:shd w:val="clear" w:color="auto" w:fill="auto"/>
            <w:vAlign w:val="bottom"/>
          </w:tcPr>
          <w:p w14:paraId="3FFC80F4"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1 314</w:t>
            </w:r>
          </w:p>
        </w:tc>
        <w:tc>
          <w:tcPr>
            <w:tcW w:w="1166" w:type="dxa"/>
            <w:gridSpan w:val="2"/>
            <w:shd w:val="clear" w:color="auto" w:fill="auto"/>
            <w:vAlign w:val="bottom"/>
          </w:tcPr>
          <w:p w14:paraId="54EBE6E2" w14:textId="0184131C"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w:t>
            </w:r>
            <w:r w:rsidR="005774B6" w:rsidRPr="004C4D1A">
              <w:rPr>
                <w:sz w:val="17"/>
              </w:rPr>
              <w:t>%</w:t>
            </w:r>
          </w:p>
        </w:tc>
        <w:tc>
          <w:tcPr>
            <w:tcW w:w="1118" w:type="dxa"/>
            <w:shd w:val="clear" w:color="auto" w:fill="auto"/>
            <w:vAlign w:val="bottom"/>
          </w:tcPr>
          <w:p w14:paraId="7905488F"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42</w:t>
            </w:r>
          </w:p>
        </w:tc>
        <w:tc>
          <w:tcPr>
            <w:tcW w:w="1169" w:type="dxa"/>
            <w:shd w:val="clear" w:color="auto" w:fill="auto"/>
            <w:vAlign w:val="bottom"/>
          </w:tcPr>
          <w:p w14:paraId="5ABD9BB2" w14:textId="73EE0DF9"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106</w:t>
            </w:r>
            <w:r w:rsidR="005774B6" w:rsidRPr="004C4D1A">
              <w:rPr>
                <w:sz w:val="17"/>
              </w:rPr>
              <w:t>%</w:t>
            </w:r>
          </w:p>
        </w:tc>
        <w:tc>
          <w:tcPr>
            <w:tcW w:w="1080" w:type="dxa"/>
            <w:shd w:val="clear" w:color="auto" w:fill="auto"/>
            <w:vAlign w:val="bottom"/>
          </w:tcPr>
          <w:p w14:paraId="370ADE58" w14:textId="707675A0"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-5</w:t>
            </w:r>
            <w:r w:rsidR="005774B6" w:rsidRPr="004C4D1A">
              <w:rPr>
                <w:sz w:val="17"/>
              </w:rPr>
              <w:t>%</w:t>
            </w:r>
          </w:p>
        </w:tc>
        <w:tc>
          <w:tcPr>
            <w:tcW w:w="1299" w:type="dxa"/>
            <w:shd w:val="clear" w:color="auto" w:fill="auto"/>
            <w:vAlign w:val="bottom"/>
          </w:tcPr>
          <w:p w14:paraId="3700B847" w14:textId="44FBB563"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0</w:t>
            </w:r>
            <w:r w:rsidR="005774B6" w:rsidRPr="004C4D1A">
              <w:rPr>
                <w:sz w:val="17"/>
              </w:rPr>
              <w:t>%</w:t>
            </w:r>
          </w:p>
        </w:tc>
      </w:tr>
      <w:tr w:rsidR="004C4D1A" w:rsidRPr="004C4D1A" w14:paraId="40C192FD" w14:textId="77777777" w:rsidTr="00333A03">
        <w:tc>
          <w:tcPr>
            <w:tcW w:w="2851" w:type="dxa"/>
            <w:tcBorders>
              <w:bottom w:val="single" w:sz="12" w:space="0" w:color="auto"/>
            </w:tcBorders>
            <w:shd w:val="clear" w:color="auto" w:fill="auto"/>
            <w:vAlign w:val="bottom"/>
          </w:tcPr>
          <w:p w14:paraId="6AB0270B" w14:textId="64B9F566"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rPr>
            </w:pPr>
            <w:r>
              <w:rPr>
                <w:sz w:val="17"/>
              </w:rPr>
              <w:tab/>
            </w:r>
            <w:r w:rsidRPr="004C4D1A">
              <w:rPr>
                <w:sz w:val="17"/>
              </w:rPr>
              <w:t>Pancreas</w:t>
            </w:r>
          </w:p>
        </w:tc>
        <w:tc>
          <w:tcPr>
            <w:tcW w:w="1166" w:type="dxa"/>
            <w:tcBorders>
              <w:bottom w:val="single" w:sz="12" w:space="0" w:color="auto"/>
            </w:tcBorders>
            <w:shd w:val="clear" w:color="auto" w:fill="auto"/>
            <w:vAlign w:val="bottom"/>
          </w:tcPr>
          <w:p w14:paraId="02D6C98F"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1 071</w:t>
            </w:r>
          </w:p>
        </w:tc>
        <w:tc>
          <w:tcPr>
            <w:tcW w:w="1166" w:type="dxa"/>
            <w:gridSpan w:val="2"/>
            <w:tcBorders>
              <w:bottom w:val="single" w:sz="12" w:space="0" w:color="auto"/>
            </w:tcBorders>
            <w:shd w:val="clear" w:color="auto" w:fill="auto"/>
            <w:vAlign w:val="bottom"/>
          </w:tcPr>
          <w:p w14:paraId="04FF3065" w14:textId="42DDBB5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w:t>
            </w:r>
            <w:r w:rsidR="005774B6" w:rsidRPr="004C4D1A">
              <w:rPr>
                <w:sz w:val="17"/>
              </w:rPr>
              <w:t>%</w:t>
            </w:r>
          </w:p>
        </w:tc>
        <w:tc>
          <w:tcPr>
            <w:tcW w:w="1118" w:type="dxa"/>
            <w:tcBorders>
              <w:bottom w:val="single" w:sz="12" w:space="0" w:color="auto"/>
            </w:tcBorders>
            <w:shd w:val="clear" w:color="auto" w:fill="auto"/>
            <w:vAlign w:val="bottom"/>
          </w:tcPr>
          <w:p w14:paraId="4CF04412" w14:textId="77777777"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27</w:t>
            </w:r>
          </w:p>
        </w:tc>
        <w:tc>
          <w:tcPr>
            <w:tcW w:w="1169" w:type="dxa"/>
            <w:tcBorders>
              <w:bottom w:val="single" w:sz="12" w:space="0" w:color="auto"/>
            </w:tcBorders>
            <w:shd w:val="clear" w:color="auto" w:fill="auto"/>
            <w:vAlign w:val="bottom"/>
          </w:tcPr>
          <w:p w14:paraId="38704BE9" w14:textId="0E9AF1E9"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137</w:t>
            </w:r>
            <w:r w:rsidR="005774B6" w:rsidRPr="004C4D1A">
              <w:rPr>
                <w:sz w:val="17"/>
              </w:rPr>
              <w:t>%</w:t>
            </w:r>
          </w:p>
        </w:tc>
        <w:tc>
          <w:tcPr>
            <w:tcW w:w="1080" w:type="dxa"/>
            <w:tcBorders>
              <w:bottom w:val="single" w:sz="12" w:space="0" w:color="auto"/>
            </w:tcBorders>
            <w:shd w:val="clear" w:color="auto" w:fill="auto"/>
            <w:vAlign w:val="bottom"/>
          </w:tcPr>
          <w:p w14:paraId="471CEAFB" w14:textId="0B8B8106"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4C4D1A">
              <w:rPr>
                <w:sz w:val="17"/>
              </w:rPr>
              <w:t>-12</w:t>
            </w:r>
            <w:r w:rsidR="005774B6" w:rsidRPr="004C4D1A">
              <w:rPr>
                <w:sz w:val="17"/>
              </w:rPr>
              <w:t>%</w:t>
            </w:r>
          </w:p>
        </w:tc>
        <w:tc>
          <w:tcPr>
            <w:tcW w:w="1299" w:type="dxa"/>
            <w:tcBorders>
              <w:bottom w:val="single" w:sz="12" w:space="0" w:color="auto"/>
            </w:tcBorders>
            <w:shd w:val="clear" w:color="auto" w:fill="auto"/>
            <w:vAlign w:val="bottom"/>
          </w:tcPr>
          <w:p w14:paraId="3B6F8802" w14:textId="01E18D70" w:rsidR="004C4D1A" w:rsidRPr="004C4D1A" w:rsidRDefault="004C4D1A" w:rsidP="00333A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rPr>
            </w:pPr>
            <w:r w:rsidRPr="004C4D1A">
              <w:rPr>
                <w:sz w:val="17"/>
              </w:rPr>
              <w:t>-23</w:t>
            </w:r>
            <w:r w:rsidR="005774B6" w:rsidRPr="004C4D1A">
              <w:rPr>
                <w:sz w:val="17"/>
              </w:rPr>
              <w:t>%</w:t>
            </w:r>
          </w:p>
        </w:tc>
      </w:tr>
    </w:tbl>
    <w:p w14:paraId="711DB2EE" w14:textId="23AD0D73" w:rsidR="00313506" w:rsidRPr="00F73F3C" w:rsidRDefault="00313506" w:rsidP="00F73F3C">
      <w:pPr>
        <w:pStyle w:val="SingleTxt"/>
        <w:spacing w:after="0" w:line="120" w:lineRule="exact"/>
        <w:rPr>
          <w:sz w:val="10"/>
        </w:rPr>
      </w:pPr>
    </w:p>
    <w:p w14:paraId="40E9A914" w14:textId="5F0835DC" w:rsidR="00F73F3C" w:rsidRPr="00F73F3C" w:rsidRDefault="00F73F3C" w:rsidP="00F73F3C">
      <w:pPr>
        <w:pStyle w:val="SingleTxt"/>
        <w:spacing w:after="0" w:line="120" w:lineRule="exact"/>
        <w:rPr>
          <w:sz w:val="10"/>
        </w:rPr>
      </w:pPr>
    </w:p>
    <w:p w14:paraId="0178B430" w14:textId="278AAF06" w:rsidR="0007129D" w:rsidRDefault="0007129D" w:rsidP="0007129D">
      <w:pPr>
        <w:pStyle w:val="SingleTxt"/>
      </w:pPr>
      <w:r>
        <w:t>93.</w:t>
      </w:r>
      <w:r>
        <w:tab/>
        <w:t>The total mortality decreased by 4 per cent for women between 2011 and 2018, with mortality from cerebrovascular disease decreasing by 27 per cent. The same trend was observed for early mortality: for both sexes, its value decreased between 2011 and 2018. There was also a positive trend in preventable and avoidable deaths between 2011 and 2016, with a decrease of 11 per cent over 5 years. Concerning maternal mortality, in 2015, 15 mothers died in Hungary between the onset of pregnancy and the 42nd day after giving birth. According to a report published in 2015 by Save The Children, the maternal mortality ratio in Hungary is 17, ranking Hungary 51st among the 179 countries surveyed. The most common causes of maternal mortality in Hungary are uncontrollable severe bleeding during pregnancy or childbirth, cardiological diseases, pregnancy poisoning, and thrombosis. Nearly a quarter (22.9 per cent) of all deaths of women was caused by cancer.</w:t>
      </w:r>
    </w:p>
    <w:p w14:paraId="0EA53F8D" w14:textId="7B1D7FF2" w:rsidR="0007129D" w:rsidRDefault="0007129D" w:rsidP="00F73F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Frequency of risk </w:t>
      </w:r>
      <w:proofErr w:type="spellStart"/>
      <w:r>
        <w:t>behaviours</w:t>
      </w:r>
      <w:proofErr w:type="spellEnd"/>
    </w:p>
    <w:p w14:paraId="508B4D14" w14:textId="0B18DDA6" w:rsidR="00F73F3C" w:rsidRPr="00F73F3C" w:rsidRDefault="00F73F3C" w:rsidP="00F73F3C">
      <w:pPr>
        <w:pStyle w:val="SingleTxt"/>
        <w:spacing w:after="0" w:line="120" w:lineRule="exact"/>
        <w:rPr>
          <w:sz w:val="10"/>
          <w:lang w:val="en-US"/>
        </w:rPr>
      </w:pPr>
    </w:p>
    <w:p w14:paraId="7483BAD8" w14:textId="6447DC50" w:rsidR="0007129D" w:rsidRDefault="0007129D" w:rsidP="0007129D">
      <w:pPr>
        <w:pStyle w:val="SingleTxt"/>
      </w:pPr>
      <w:r>
        <w:t>94.</w:t>
      </w:r>
      <w:r>
        <w:tab/>
      </w:r>
      <w:proofErr w:type="gramStart"/>
      <w:r>
        <w:t>The majority of</w:t>
      </w:r>
      <w:proofErr w:type="gramEnd"/>
      <w:r>
        <w:t xml:space="preserve"> women</w:t>
      </w:r>
      <w:r w:rsidR="00024758">
        <w:t>’</w:t>
      </w:r>
      <w:r>
        <w:t>s risk factor-related health losses were caused by, in order of prevalence, hypertension, high body mass index, high blood sugar and cholesterol, smoking and high salt intake in both 2010 and 2019.</w:t>
      </w:r>
      <w:r w:rsidRPr="00F73F3C">
        <w:rPr>
          <w:vertAlign w:val="superscript"/>
        </w:rPr>
        <w:t>6</w:t>
      </w:r>
    </w:p>
    <w:p w14:paraId="7CA3E5C4" w14:textId="6FB9EB12" w:rsidR="0007129D" w:rsidRPr="00333A03" w:rsidRDefault="0007129D" w:rsidP="0007129D">
      <w:pPr>
        <w:pStyle w:val="SingleTxt"/>
        <w:rPr>
          <w:spacing w:val="2"/>
          <w:w w:val="102"/>
        </w:rPr>
      </w:pPr>
      <w:r w:rsidRPr="00333A03">
        <w:rPr>
          <w:spacing w:val="2"/>
          <w:w w:val="102"/>
        </w:rPr>
        <w:t>95.</w:t>
      </w:r>
      <w:r w:rsidRPr="00333A03">
        <w:rPr>
          <w:spacing w:val="2"/>
          <w:w w:val="102"/>
        </w:rPr>
        <w:tab/>
        <w:t>According to the latest national European Population Health Survey in 2019, 27 per cent of the population over the age of 15 smoke, and 25 per cent report smoking every day. Both men and women in the 18-34 age group have the highest rates of daily smoking</w:t>
      </w:r>
      <w:r w:rsidR="00F73F3C" w:rsidRPr="00333A03">
        <w:rPr>
          <w:spacing w:val="2"/>
          <w:w w:val="102"/>
        </w:rPr>
        <w:t>.</w:t>
      </w:r>
      <w:r w:rsidR="00F73F3C" w:rsidRPr="00333A03">
        <w:rPr>
          <w:rStyle w:val="FootnoteReference"/>
          <w:spacing w:val="2"/>
          <w:w w:val="102"/>
        </w:rPr>
        <w:footnoteReference w:id="10"/>
      </w:r>
    </w:p>
    <w:p w14:paraId="36B28B03" w14:textId="37E08761" w:rsidR="0007129D" w:rsidRDefault="0007129D" w:rsidP="0007129D">
      <w:pPr>
        <w:pStyle w:val="SingleTxt"/>
      </w:pPr>
      <w:r>
        <w:t>96.</w:t>
      </w:r>
      <w:r>
        <w:tab/>
        <w:t>In 2019, 1.5 per cent of the female population were heavy drinkers. The proportion of heavy drinkers within the female population increased between 2009 and 2019 from 1.1 per cent to 1.4 per cent.</w:t>
      </w:r>
      <w:r w:rsidR="00F73F3C">
        <w:rPr>
          <w:rStyle w:val="FootnoteReference"/>
        </w:rPr>
        <w:footnoteReference w:id="11"/>
      </w:r>
    </w:p>
    <w:p w14:paraId="7A8BC0D6" w14:textId="3BDE9930" w:rsidR="0007129D" w:rsidRDefault="0007129D" w:rsidP="0007129D">
      <w:pPr>
        <w:pStyle w:val="SingleTxt"/>
      </w:pPr>
      <w:r>
        <w:t>97.</w:t>
      </w:r>
      <w:r>
        <w:tab/>
        <w:t>Regarding the adult population, men use a higher proportion of illicit drugs than women in their lives (see Annex).</w:t>
      </w:r>
    </w:p>
    <w:p w14:paraId="3293D411" w14:textId="20F64C78" w:rsidR="00F73F3C" w:rsidRPr="00F73F3C" w:rsidRDefault="00F73F3C" w:rsidP="00F73F3C">
      <w:pPr>
        <w:pStyle w:val="SingleTxt"/>
        <w:spacing w:after="0" w:line="120" w:lineRule="exact"/>
        <w:rPr>
          <w:sz w:val="10"/>
        </w:rPr>
      </w:pPr>
    </w:p>
    <w:p w14:paraId="5E71CE46" w14:textId="17373383" w:rsidR="0007129D" w:rsidRDefault="0007129D" w:rsidP="00F73F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HIV prevalence</w:t>
      </w:r>
    </w:p>
    <w:p w14:paraId="6FD19EBE" w14:textId="2ADA2231" w:rsidR="00F73F3C" w:rsidRPr="00F73F3C" w:rsidRDefault="00F73F3C" w:rsidP="00F73F3C">
      <w:pPr>
        <w:pStyle w:val="SingleTxt"/>
        <w:spacing w:after="0" w:line="120" w:lineRule="exact"/>
        <w:rPr>
          <w:sz w:val="10"/>
          <w:lang w:val="en-US"/>
        </w:rPr>
      </w:pPr>
    </w:p>
    <w:p w14:paraId="6365A030" w14:textId="5595B1AF" w:rsidR="00163B36" w:rsidRDefault="0007129D" w:rsidP="0007129D">
      <w:pPr>
        <w:pStyle w:val="SingleTxt"/>
      </w:pPr>
      <w:r>
        <w:t>98.</w:t>
      </w:r>
      <w:r>
        <w:tab/>
        <w:t>In 2020, the total number of registered HIV infected persons was 201, of which 15 were women (see Annex). The distribution of 2,129 patients treated for HIV in 2019 by age and gender is presented below. Women represent a significantly lower proportion (</w:t>
      </w:r>
      <w:proofErr w:type="gramStart"/>
      <w:r>
        <w:t>12  per</w:t>
      </w:r>
      <w:proofErr w:type="gramEnd"/>
      <w:r>
        <w:t xml:space="preserve"> cent), and the majority of HIV patients is aged 30-49 years:</w:t>
      </w:r>
      <w:r w:rsidR="006737BA">
        <w:rPr>
          <w:rStyle w:val="FootnoteReference"/>
        </w:rPr>
        <w:footnoteReference w:id="12"/>
      </w:r>
    </w:p>
    <w:p w14:paraId="731CEECC" w14:textId="249417D2" w:rsidR="00F73F3C" w:rsidRPr="00F73F3C" w:rsidRDefault="00F73F3C" w:rsidP="00F73F3C">
      <w:pPr>
        <w:pStyle w:val="SingleTxt"/>
        <w:spacing w:after="0" w:line="120" w:lineRule="exact"/>
        <w:rPr>
          <w:sz w:val="10"/>
        </w:rPr>
      </w:pPr>
    </w:p>
    <w:p w14:paraId="5F081630" w14:textId="77777777" w:rsidR="00CD35E6" w:rsidRDefault="00163B36" w:rsidP="00F73F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3B36">
        <w:tab/>
      </w:r>
      <w:r w:rsidRPr="00163B36">
        <w:tab/>
      </w:r>
      <w:r w:rsidRPr="00F73F3C">
        <w:rPr>
          <w:b w:val="0"/>
          <w:bCs/>
        </w:rPr>
        <w:t>Table</w:t>
      </w:r>
      <w:r w:rsidR="00F73F3C" w:rsidRPr="00F73F3C">
        <w:rPr>
          <w:b w:val="0"/>
          <w:bCs/>
        </w:rPr>
        <w:t xml:space="preserve"> 8</w:t>
      </w:r>
    </w:p>
    <w:p w14:paraId="2C4131F5" w14:textId="4D0641F9" w:rsidR="00163B36" w:rsidRDefault="00CD35E6" w:rsidP="00F73F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63B36" w:rsidRPr="00163B36">
        <w:t>Number of patients in the HIV indication by gender and age</w:t>
      </w:r>
    </w:p>
    <w:p w14:paraId="123ABCB0" w14:textId="566DD6E7" w:rsidR="00F73F3C" w:rsidRPr="00F73F3C" w:rsidRDefault="00F73F3C" w:rsidP="00F73F3C">
      <w:pPr>
        <w:pStyle w:val="SingleTxt"/>
        <w:spacing w:after="0" w:line="120" w:lineRule="exact"/>
        <w:rPr>
          <w:sz w:val="10"/>
          <w:lang w:val="en-US"/>
        </w:rPr>
      </w:pPr>
    </w:p>
    <w:p w14:paraId="3588DD00" w14:textId="4EDA402C" w:rsidR="00F73F3C" w:rsidRPr="00F73F3C" w:rsidRDefault="00333A03" w:rsidP="00F73F3C">
      <w:pPr>
        <w:pStyle w:val="SingleTxt"/>
        <w:spacing w:after="0" w:line="120" w:lineRule="exact"/>
        <w:rPr>
          <w:sz w:val="10"/>
          <w:lang w:val="en-US"/>
        </w:rPr>
      </w:pPr>
      <w:r>
        <w:rPr>
          <w:noProof/>
        </w:rPr>
        <w:drawing>
          <wp:anchor distT="0" distB="0" distL="114300" distR="114300" simplePos="0" relativeHeight="251662336" behindDoc="0" locked="0" layoutInCell="1" allowOverlap="1" wp14:anchorId="39439A84" wp14:editId="6CAACC26">
            <wp:simplePos x="0" y="0"/>
            <wp:positionH relativeFrom="column">
              <wp:posOffset>812165</wp:posOffset>
            </wp:positionH>
            <wp:positionV relativeFrom="paragraph">
              <wp:posOffset>90170</wp:posOffset>
            </wp:positionV>
            <wp:extent cx="4617720" cy="3378835"/>
            <wp:effectExtent l="0" t="0" r="0" b="0"/>
            <wp:wrapTopAndBottom/>
            <wp:docPr id="15" name="Kép 15"/>
            <wp:cNvGraphicFramePr/>
            <a:graphic xmlns:a="http://schemas.openxmlformats.org/drawingml/2006/main">
              <a:graphicData uri="http://schemas.openxmlformats.org/drawingml/2006/picture">
                <pic:pic xmlns:pic="http://schemas.openxmlformats.org/drawingml/2006/picture">
                  <pic:nvPicPr>
                    <pic:cNvPr id="15" name="Kép 15"/>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7720" cy="3378835"/>
                    </a:xfrm>
                    <a:prstGeom prst="rect">
                      <a:avLst/>
                    </a:prstGeom>
                    <a:noFill/>
                  </pic:spPr>
                </pic:pic>
              </a:graphicData>
            </a:graphic>
            <wp14:sizeRelH relativeFrom="page">
              <wp14:pctWidth>0</wp14:pctWidth>
            </wp14:sizeRelH>
            <wp14:sizeRelV relativeFrom="page">
              <wp14:pctHeight>0</wp14:pctHeight>
            </wp14:sizeRelV>
          </wp:anchor>
        </w:drawing>
      </w:r>
    </w:p>
    <w:p w14:paraId="79DC535E" w14:textId="73B1C503" w:rsidR="00F73F3C" w:rsidRPr="00F73F3C" w:rsidRDefault="00F73F3C" w:rsidP="00F73F3C">
      <w:pPr>
        <w:pStyle w:val="SingleTxt"/>
        <w:spacing w:after="0" w:line="120" w:lineRule="exact"/>
        <w:rPr>
          <w:sz w:val="10"/>
          <w:lang w:val="en-US"/>
        </w:rPr>
      </w:pPr>
    </w:p>
    <w:p w14:paraId="51A02115" w14:textId="3769041F" w:rsidR="00163B36" w:rsidRDefault="00163B36" w:rsidP="00A65E9C">
      <w:pPr>
        <w:pStyle w:val="FootnoteText"/>
        <w:tabs>
          <w:tab w:val="clear" w:pos="418"/>
          <w:tab w:val="right" w:pos="1476"/>
          <w:tab w:val="left" w:pos="1548"/>
          <w:tab w:val="right" w:pos="1836"/>
          <w:tab w:val="left" w:pos="1908"/>
        </w:tabs>
        <w:ind w:left="1548" w:hanging="288"/>
      </w:pPr>
      <w:r w:rsidRPr="00F73F3C">
        <w:rPr>
          <w:i/>
          <w:iCs/>
        </w:rPr>
        <w:t>Source</w:t>
      </w:r>
      <w:r w:rsidRPr="00163B36">
        <w:t xml:space="preserve">: </w:t>
      </w:r>
      <w:r w:rsidRPr="00333A03">
        <w:rPr>
          <w:i/>
          <w:iCs/>
        </w:rPr>
        <w:t>National Institute of Health Insurance Fund Management</w:t>
      </w:r>
      <w:r w:rsidR="00F73F3C">
        <w:t>.</w:t>
      </w:r>
    </w:p>
    <w:p w14:paraId="1D5DB11A" w14:textId="314C289A" w:rsidR="00F73F3C" w:rsidRDefault="00F73F3C" w:rsidP="00F73F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Measures taken – </w:t>
      </w:r>
      <w:proofErr w:type="spellStart"/>
      <w:r>
        <w:t>organised</w:t>
      </w:r>
      <w:proofErr w:type="spellEnd"/>
      <w:r>
        <w:t xml:space="preserve"> screening system</w:t>
      </w:r>
    </w:p>
    <w:p w14:paraId="51BE7243" w14:textId="123257C6" w:rsidR="00F73F3C" w:rsidRPr="00F73F3C" w:rsidRDefault="00F73F3C" w:rsidP="00F73F3C">
      <w:pPr>
        <w:pStyle w:val="SingleTxt"/>
        <w:spacing w:after="0" w:line="120" w:lineRule="exact"/>
        <w:rPr>
          <w:sz w:val="10"/>
          <w:lang w:val="en-US"/>
        </w:rPr>
      </w:pPr>
    </w:p>
    <w:p w14:paraId="3C4ECC74" w14:textId="77777777" w:rsidR="00F73F3C" w:rsidRDefault="00F73F3C" w:rsidP="00F73F3C">
      <w:pPr>
        <w:pStyle w:val="SingleTxt"/>
      </w:pPr>
      <w:r>
        <w:t>99.</w:t>
      </w:r>
      <w:r>
        <w:tab/>
        <w:t>Currently, there are three types of organized medical screenings covering age groups at risk: (</w:t>
      </w:r>
      <w:proofErr w:type="spellStart"/>
      <w:r>
        <w:t>i</w:t>
      </w:r>
      <w:proofErr w:type="spellEnd"/>
      <w:r>
        <w:t xml:space="preserve">) biannual breast screening (mammography); (ii) cervical screening (cytology) every 3 years after a negative screening for women aged 25 to 65 years; (iii) since 2018, organised colon and rectum screening. The organization, supervision and monitoring are conducted by a central coordination, provided by the National Public Health Centre (the </w:t>
      </w:r>
      <w:proofErr w:type="spellStart"/>
      <w:r>
        <w:t>NPHC</w:t>
      </w:r>
      <w:proofErr w:type="spellEnd"/>
      <w:r>
        <w:t>), and a territorial coordination is by county medical screening coordinators.</w:t>
      </w:r>
    </w:p>
    <w:p w14:paraId="2BBD919E" w14:textId="77777777" w:rsidR="00F73F3C" w:rsidRPr="00F73F3C" w:rsidRDefault="00F73F3C" w:rsidP="00F73F3C">
      <w:pPr>
        <w:pStyle w:val="SingleTxt"/>
        <w:spacing w:after="0" w:line="120" w:lineRule="exact"/>
        <w:rPr>
          <w:sz w:val="10"/>
        </w:rPr>
      </w:pPr>
    </w:p>
    <w:p w14:paraId="05B58555" w14:textId="16BE7930" w:rsidR="0007129D" w:rsidRDefault="0007129D" w:rsidP="00F73F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Organized breast screening (mammography)</w:t>
      </w:r>
    </w:p>
    <w:p w14:paraId="243BF0C5" w14:textId="7A579C37" w:rsidR="00F73F3C" w:rsidRPr="00F73F3C" w:rsidRDefault="00F73F3C" w:rsidP="00F73F3C">
      <w:pPr>
        <w:pStyle w:val="SingleTxt"/>
        <w:spacing w:after="0" w:line="120" w:lineRule="exact"/>
        <w:rPr>
          <w:sz w:val="10"/>
          <w:lang w:val="en-US"/>
        </w:rPr>
      </w:pPr>
    </w:p>
    <w:p w14:paraId="1FC8BFEF" w14:textId="77777777" w:rsidR="0007129D" w:rsidRDefault="0007129D" w:rsidP="0007129D">
      <w:pPr>
        <w:pStyle w:val="SingleTxt"/>
      </w:pPr>
      <w:r>
        <w:t>100.</w:t>
      </w:r>
      <w:r>
        <w:tab/>
        <w:t>Concerning women, malignant breast cancer accounts for nearly 2,200 deaths and more than 9.000 new diagnoses each year. Since the launch of organized breast screening in 2002, 10.595 malignant cancers were diagnosed. The target population is about 1.500.000 women aged 45 to 65 years. On average 40 per cent of the invited women attend the organized breast screening. However, the proportion of women are tested is higher (approx. 70 per cent), because numerous women take their diagnostic mammography test in public or private health care service.</w:t>
      </w:r>
    </w:p>
    <w:p w14:paraId="7377F42F" w14:textId="7D911A4F" w:rsidR="0007129D" w:rsidRDefault="0007129D" w:rsidP="0007129D">
      <w:pPr>
        <w:pStyle w:val="SingleTxt"/>
      </w:pPr>
      <w:r>
        <w:t>101.</w:t>
      </w:r>
      <w:r>
        <w:tab/>
        <w:t>The service</w:t>
      </w:r>
      <w:r w:rsidR="00024758">
        <w:t>’</w:t>
      </w:r>
      <w:r>
        <w:t>s capacity is adequate even with full public participation: 39 Complex Mammography Centres and 10 Mammography Screening Station provide territorial care, covering the whole country.</w:t>
      </w:r>
    </w:p>
    <w:p w14:paraId="46D4C3EC" w14:textId="6B6D0FD8" w:rsidR="000869F3" w:rsidRPr="000869F3" w:rsidRDefault="000869F3" w:rsidP="000869F3">
      <w:pPr>
        <w:pStyle w:val="SingleTxt"/>
        <w:spacing w:after="0" w:line="120" w:lineRule="exact"/>
        <w:rPr>
          <w:sz w:val="10"/>
        </w:rPr>
      </w:pPr>
    </w:p>
    <w:p w14:paraId="5BDFB066" w14:textId="43918D82" w:rsidR="0007129D" w:rsidRDefault="0007129D" w:rsidP="00086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Organized cervical cancer screening</w:t>
      </w:r>
    </w:p>
    <w:p w14:paraId="41EE8FCA" w14:textId="780F10DF" w:rsidR="000869F3" w:rsidRPr="000869F3" w:rsidRDefault="000869F3" w:rsidP="000869F3">
      <w:pPr>
        <w:pStyle w:val="SingleTxt"/>
        <w:spacing w:after="0" w:line="120" w:lineRule="exact"/>
        <w:rPr>
          <w:sz w:val="10"/>
          <w:lang w:val="en-US"/>
        </w:rPr>
      </w:pPr>
    </w:p>
    <w:p w14:paraId="2F7F26AD" w14:textId="77777777" w:rsidR="0007129D" w:rsidRDefault="0007129D" w:rsidP="0007129D">
      <w:pPr>
        <w:pStyle w:val="SingleTxt"/>
      </w:pPr>
      <w:r>
        <w:t>102.</w:t>
      </w:r>
      <w:r>
        <w:tab/>
        <w:t xml:space="preserve">In Hungary, cervical cancer accounts for more than 400 deaths and 1.000 new diagnosis each year. The target group of the screening is women aged 25-65 (approx. 2.700.000 persons). The annual number of eligible for an organized screening is 400.000 people. According to the data of </w:t>
      </w:r>
      <w:proofErr w:type="spellStart"/>
      <w:r>
        <w:t>NPHC</w:t>
      </w:r>
      <w:proofErr w:type="spellEnd"/>
      <w:r>
        <w:t>, the proportion of women are tested is around 60 per cent. The human resource and infrastructural requirements are adequate and allow the whole target group to participate.</w:t>
      </w:r>
    </w:p>
    <w:p w14:paraId="3BFB8AB9" w14:textId="2EB17E99" w:rsidR="0007129D" w:rsidRDefault="0007129D" w:rsidP="0007129D">
      <w:pPr>
        <w:pStyle w:val="SingleTxt"/>
      </w:pPr>
      <w:r>
        <w:t>103.</w:t>
      </w:r>
      <w:r>
        <w:tab/>
        <w:t xml:space="preserve">While screening allows early detection of pre-cancerous or cancerous lesions, vaccination against human papillomavirus (HPV) can prevent HPV infection that causes the disease. As reiterated in paragraph 220 of the 9th periodic report of Hungary, the Government provides vaccines against HPV for girls aged at least 12 in the 7th grade of primary school. In the 2019/2020 school year, 83.5 per cent of the eligible girls received the vaccine. Since 2020, this free vaccination program extended to boys aged at least 12 in the 7th grade of primary school, thereby preventing the spread of the disease more effectively. </w:t>
      </w:r>
    </w:p>
    <w:p w14:paraId="6A527B23" w14:textId="794AD975" w:rsidR="000869F3" w:rsidRPr="000869F3" w:rsidRDefault="000869F3" w:rsidP="000869F3">
      <w:pPr>
        <w:pStyle w:val="SingleTxt"/>
        <w:spacing w:after="0" w:line="120" w:lineRule="exact"/>
        <w:rPr>
          <w:sz w:val="10"/>
        </w:rPr>
      </w:pPr>
    </w:p>
    <w:p w14:paraId="3C05A6CF" w14:textId="638DED4F" w:rsidR="0007129D" w:rsidRDefault="0007129D" w:rsidP="00086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Organized colon and rectal screening</w:t>
      </w:r>
    </w:p>
    <w:p w14:paraId="56D5D1B4" w14:textId="63DAD6B5" w:rsidR="000869F3" w:rsidRPr="000869F3" w:rsidRDefault="000869F3" w:rsidP="000869F3">
      <w:pPr>
        <w:pStyle w:val="SingleTxt"/>
        <w:spacing w:after="0" w:line="120" w:lineRule="exact"/>
        <w:rPr>
          <w:sz w:val="10"/>
          <w:lang w:val="en-US"/>
        </w:rPr>
      </w:pPr>
    </w:p>
    <w:p w14:paraId="3FDD379A" w14:textId="506334BE" w:rsidR="0007129D" w:rsidRDefault="0007129D" w:rsidP="0007129D">
      <w:pPr>
        <w:pStyle w:val="SingleTxt"/>
      </w:pPr>
      <w:r>
        <w:t>104.</w:t>
      </w:r>
      <w:r>
        <w:tab/>
        <w:t xml:space="preserve">In Hungary, </w:t>
      </w:r>
      <w:proofErr w:type="gramStart"/>
      <w:r>
        <w:t>colon</w:t>
      </w:r>
      <w:proofErr w:type="gramEnd"/>
      <w:r>
        <w:t xml:space="preserve"> and rectum tumour accounts for 5,000 deaths and 11,000 diagnosis each year. To discover and remove the preventive condition of early colon cancer in average-risk individuals, and to detect and receive early treatment of pre</w:t>
      </w:r>
      <w:r w:rsidR="00CD35E6">
        <w:noBreakHyphen/>
      </w:r>
      <w:r>
        <w:t>existing early-stage tumours, biannual colorectal cancer screening for both sexes aged 50</w:t>
      </w:r>
      <w:r w:rsidR="00CD35E6" w:rsidRPr="00CD35E6">
        <w:t>–</w:t>
      </w:r>
      <w:r>
        <w:t xml:space="preserve">70 years (approx. 2,600,000 persons) are organised. </w:t>
      </w:r>
    </w:p>
    <w:p w14:paraId="0CE5A7EC" w14:textId="6167C2CD" w:rsidR="000869F3" w:rsidRPr="000869F3" w:rsidRDefault="000869F3" w:rsidP="000869F3">
      <w:pPr>
        <w:pStyle w:val="SingleTxt"/>
        <w:spacing w:after="0" w:line="120" w:lineRule="exact"/>
        <w:rPr>
          <w:sz w:val="10"/>
        </w:rPr>
      </w:pPr>
    </w:p>
    <w:p w14:paraId="24AAF812" w14:textId="48B997A7" w:rsidR="0007129D" w:rsidRDefault="0007129D" w:rsidP="00086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Measures taken – supporting the health care of Roma women and women living in rural areas </w:t>
      </w:r>
    </w:p>
    <w:p w14:paraId="12FBAA80" w14:textId="5BC8B941" w:rsidR="000869F3" w:rsidRPr="000869F3" w:rsidRDefault="000869F3" w:rsidP="000869F3">
      <w:pPr>
        <w:pStyle w:val="SingleTxt"/>
        <w:spacing w:after="0" w:line="120" w:lineRule="exact"/>
        <w:rPr>
          <w:sz w:val="10"/>
          <w:lang w:val="en-US"/>
        </w:rPr>
      </w:pPr>
    </w:p>
    <w:p w14:paraId="4DFB9E4F" w14:textId="2AE9F829" w:rsidR="0007129D" w:rsidRDefault="0007129D" w:rsidP="000869F3">
      <w:pPr>
        <w:pStyle w:val="H4"/>
        <w:ind w:right="1260"/>
      </w:pPr>
      <w:r>
        <w:tab/>
      </w:r>
      <w:r>
        <w:tab/>
      </w:r>
      <w:r w:rsidR="00024758">
        <w:t>‘</w:t>
      </w:r>
      <w:r>
        <w:t>Bring the screening closer to people</w:t>
      </w:r>
      <w:r w:rsidR="00024758">
        <w:t>’</w:t>
      </w:r>
      <w:r>
        <w:t xml:space="preserve"> mobile screening programme </w:t>
      </w:r>
    </w:p>
    <w:p w14:paraId="19FCA81A" w14:textId="0CC9B741" w:rsidR="000869F3" w:rsidRPr="000869F3" w:rsidRDefault="000869F3" w:rsidP="000869F3">
      <w:pPr>
        <w:pStyle w:val="SingleTxt"/>
        <w:spacing w:after="0" w:line="120" w:lineRule="exact"/>
        <w:rPr>
          <w:sz w:val="10"/>
        </w:rPr>
      </w:pPr>
    </w:p>
    <w:p w14:paraId="48F51963" w14:textId="4DB0A026" w:rsidR="0007129D" w:rsidRDefault="0007129D" w:rsidP="0007129D">
      <w:pPr>
        <w:pStyle w:val="SingleTxt"/>
      </w:pPr>
      <w:r>
        <w:t>105.</w:t>
      </w:r>
      <w:r>
        <w:tab/>
        <w:t xml:space="preserve">This program aims to increase the participation rate in screenings/tests. 10 general test buses provide screening services near the place of residence, primarily in so-called </w:t>
      </w:r>
      <w:r w:rsidR="00024758">
        <w:t>‘</w:t>
      </w:r>
      <w:r>
        <w:t xml:space="preserve">catching-up </w:t>
      </w:r>
      <w:proofErr w:type="gramStart"/>
      <w:r>
        <w:t>settlements</w:t>
      </w:r>
      <w:r w:rsidR="00024758">
        <w:t>’</w:t>
      </w:r>
      <w:proofErr w:type="gramEnd"/>
      <w:r>
        <w:t xml:space="preserve">. Participation in the general health check, </w:t>
      </w:r>
      <w:r>
        <w:lastRenderedPageBreak/>
        <w:t>cardiology and gynaecological examination and a colon test unit package for the eligible people is uniformly ensured in all settlements. Further tests (</w:t>
      </w:r>
      <w:proofErr w:type="spellStart"/>
      <w:r>
        <w:t>angiological</w:t>
      </w:r>
      <w:proofErr w:type="spellEnd"/>
      <w:r>
        <w:t xml:space="preserve">, dermatological, ear-nose </w:t>
      </w:r>
      <w:proofErr w:type="spellStart"/>
      <w:r>
        <w:t>acology</w:t>
      </w:r>
      <w:proofErr w:type="spellEnd"/>
      <w:r>
        <w:t xml:space="preserve"> and dietetic advice) are available according to the spare capacity at local/county health service providers contracted with the </w:t>
      </w:r>
      <w:proofErr w:type="spellStart"/>
      <w:r>
        <w:t>NPHC</w:t>
      </w:r>
      <w:proofErr w:type="spellEnd"/>
      <w:r>
        <w:t>. The participation rate is detailed in the Annex.</w:t>
      </w:r>
    </w:p>
    <w:p w14:paraId="7DDBB8E3" w14:textId="45FD6597" w:rsidR="0007129D" w:rsidRDefault="0007129D" w:rsidP="0007129D">
      <w:pPr>
        <w:pStyle w:val="SingleTxt"/>
      </w:pPr>
      <w:r>
        <w:t>106.</w:t>
      </w:r>
      <w:r>
        <w:tab/>
        <w:t>During the pandemic, test buses took part in COVID-19 testing in the Central Hungary region.</w:t>
      </w:r>
    </w:p>
    <w:p w14:paraId="252F1CA3" w14:textId="1B6A5755" w:rsidR="000869F3" w:rsidRPr="000869F3" w:rsidRDefault="000869F3" w:rsidP="000869F3">
      <w:pPr>
        <w:pStyle w:val="SingleTxt"/>
        <w:spacing w:after="0" w:line="120" w:lineRule="exact"/>
        <w:rPr>
          <w:sz w:val="10"/>
        </w:rPr>
      </w:pPr>
    </w:p>
    <w:p w14:paraId="7150D911" w14:textId="2F072D52" w:rsidR="0007129D" w:rsidRDefault="0007129D" w:rsidP="000869F3">
      <w:pPr>
        <w:pStyle w:val="H4"/>
        <w:ind w:right="1260"/>
      </w:pPr>
      <w:r>
        <w:tab/>
      </w:r>
      <w:r>
        <w:tab/>
        <w:t>School programs to promote full health, mental health and reduce addictions</w:t>
      </w:r>
    </w:p>
    <w:p w14:paraId="41627FDA" w14:textId="7ACF9899" w:rsidR="000869F3" w:rsidRPr="000869F3" w:rsidRDefault="000869F3" w:rsidP="000869F3">
      <w:pPr>
        <w:pStyle w:val="SingleTxt"/>
        <w:spacing w:after="0" w:line="120" w:lineRule="exact"/>
        <w:rPr>
          <w:sz w:val="10"/>
        </w:rPr>
      </w:pPr>
    </w:p>
    <w:p w14:paraId="45A46413" w14:textId="60FBEB76" w:rsidR="0007129D" w:rsidRDefault="0007129D" w:rsidP="0007129D">
      <w:pPr>
        <w:pStyle w:val="SingleTxt"/>
      </w:pPr>
      <w:r>
        <w:t>107.</w:t>
      </w:r>
      <w:r>
        <w:tab/>
        <w:t>In 2020, the State Secretariat for Health launched a complex prevention program in schools – School programs to promote full health, mental health and reduce addictions – in association with State Secretariat for Public Education and in implementation of the Hungarian School Sport Federation. The program aims to contribute to reducing school aggression, early school leaving and prevention of addictions by supporting the psychological health development of children and their teachers, by increasing the methodological knowledge of teachers and by organizing preventive health-promoting exercise and other programs for public education institutions. The program consists of four sub-programs and several interventions (detailed in the Annex).</w:t>
      </w:r>
    </w:p>
    <w:p w14:paraId="3B850202" w14:textId="78AACF07" w:rsidR="000869F3" w:rsidRPr="000869F3" w:rsidRDefault="000869F3" w:rsidP="000869F3">
      <w:pPr>
        <w:pStyle w:val="SingleTxt"/>
        <w:spacing w:after="0" w:line="120" w:lineRule="exact"/>
        <w:rPr>
          <w:sz w:val="10"/>
        </w:rPr>
      </w:pPr>
    </w:p>
    <w:p w14:paraId="4EA01354" w14:textId="509C214E" w:rsidR="0007129D" w:rsidRDefault="0007129D" w:rsidP="000869F3">
      <w:pPr>
        <w:pStyle w:val="H4"/>
        <w:ind w:right="1260"/>
      </w:pPr>
      <w:r>
        <w:tab/>
      </w:r>
      <w:r>
        <w:tab/>
        <w:t>Centre of Excellence of Eastern European nurses to reduce smoking</w:t>
      </w:r>
    </w:p>
    <w:p w14:paraId="10B696FD" w14:textId="47CB1FBB" w:rsidR="000869F3" w:rsidRPr="000869F3" w:rsidRDefault="000869F3" w:rsidP="000869F3">
      <w:pPr>
        <w:pStyle w:val="SingleTxt"/>
        <w:spacing w:after="0" w:line="120" w:lineRule="exact"/>
        <w:rPr>
          <w:sz w:val="10"/>
        </w:rPr>
      </w:pPr>
    </w:p>
    <w:p w14:paraId="6E1262F7" w14:textId="6224B9CE" w:rsidR="0007129D" w:rsidRDefault="0007129D" w:rsidP="0007129D">
      <w:pPr>
        <w:pStyle w:val="SingleTxt"/>
      </w:pPr>
      <w:r>
        <w:t>108.</w:t>
      </w:r>
      <w:r>
        <w:tab/>
        <w:t xml:space="preserve">Between 2014 and 2019, the National </w:t>
      </w:r>
      <w:proofErr w:type="spellStart"/>
      <w:r>
        <w:t>Korányi</w:t>
      </w:r>
      <w:proofErr w:type="spellEnd"/>
      <w:r>
        <w:t xml:space="preserve"> Pulmonology Institute participated in the international project </w:t>
      </w:r>
      <w:r w:rsidR="00024758">
        <w:t>‘</w:t>
      </w:r>
      <w:r>
        <w:t>Centre of Excellence of Eastern European nurses for reduce smoking</w:t>
      </w:r>
      <w:r w:rsidR="00024758">
        <w:t>’</w:t>
      </w:r>
      <w:r>
        <w:t xml:space="preserve">, which aims to research the smoking habits of health professionals and to train health professionals to perform quit-support activities. In 2018-2019, 43 nurses were trained in </w:t>
      </w:r>
      <w:proofErr w:type="spellStart"/>
      <w:r>
        <w:t>Szabolcs-Szatmár-Bereg</w:t>
      </w:r>
      <w:proofErr w:type="spellEnd"/>
      <w:r>
        <w:t xml:space="preserve"> County, who deal with smoking pregnant and breastfeeding mothers. After the one-year follow-up, 18 nurses reached 57 patients, out of which 43 persons stayed abstinent until the end of the pregnancy, and 19 persons quitted smoking. </w:t>
      </w:r>
    </w:p>
    <w:p w14:paraId="606D484B" w14:textId="5B7B4AEC" w:rsidR="000869F3" w:rsidRPr="000869F3" w:rsidRDefault="000869F3" w:rsidP="000869F3">
      <w:pPr>
        <w:pStyle w:val="SingleTxt"/>
        <w:spacing w:after="0" w:line="120" w:lineRule="exact"/>
        <w:rPr>
          <w:sz w:val="10"/>
        </w:rPr>
      </w:pPr>
    </w:p>
    <w:p w14:paraId="526B9BAF" w14:textId="37C37A16" w:rsidR="0007129D" w:rsidRDefault="0007129D" w:rsidP="00086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Measures to reduce drug-use in segregated areas </w:t>
      </w:r>
    </w:p>
    <w:p w14:paraId="612F7056" w14:textId="73F584FB" w:rsidR="000869F3" w:rsidRPr="000869F3" w:rsidRDefault="000869F3" w:rsidP="000869F3">
      <w:pPr>
        <w:pStyle w:val="SingleTxt"/>
        <w:spacing w:after="0" w:line="120" w:lineRule="exact"/>
        <w:rPr>
          <w:sz w:val="10"/>
          <w:lang w:val="en-US"/>
        </w:rPr>
      </w:pPr>
    </w:p>
    <w:p w14:paraId="05406F74" w14:textId="4878A68F" w:rsidR="0007129D" w:rsidRDefault="0007129D" w:rsidP="0007129D">
      <w:pPr>
        <w:pStyle w:val="SingleTxt"/>
      </w:pPr>
      <w:r>
        <w:t>109.</w:t>
      </w:r>
      <w:r>
        <w:tab/>
        <w:t xml:space="preserve">Since 2016, numerous expert signals and explorative research results have reported that the use of new psychoactive substances in rural and urban segregates, among disadvantaged and cumulatively disadvantaged populations, has increased significantly. To address the issue, the Ministry of Human Capacities launched a comprehensive program, detailed in the Annex. </w:t>
      </w:r>
    </w:p>
    <w:p w14:paraId="579A9590" w14:textId="60689871" w:rsidR="000869F3" w:rsidRPr="000869F3" w:rsidRDefault="000869F3" w:rsidP="000869F3">
      <w:pPr>
        <w:pStyle w:val="SingleTxt"/>
        <w:spacing w:after="0" w:line="120" w:lineRule="exact"/>
        <w:rPr>
          <w:sz w:val="10"/>
        </w:rPr>
      </w:pPr>
    </w:p>
    <w:p w14:paraId="27AD0CCE" w14:textId="34D107F0" w:rsidR="000869F3" w:rsidRPr="000869F3" w:rsidRDefault="000869F3" w:rsidP="000869F3">
      <w:pPr>
        <w:pStyle w:val="SingleTxt"/>
        <w:spacing w:after="0" w:line="120" w:lineRule="exact"/>
        <w:rPr>
          <w:sz w:val="10"/>
        </w:rPr>
      </w:pPr>
    </w:p>
    <w:p w14:paraId="140077AE" w14:textId="3D92304B" w:rsidR="0007129D" w:rsidRDefault="0007129D" w:rsidP="000869F3">
      <w:pPr>
        <w:pStyle w:val="H1"/>
        <w:ind w:right="1260"/>
      </w:pPr>
      <w:r>
        <w:tab/>
      </w:r>
      <w:r>
        <w:tab/>
        <w:t>Economic and social benefits</w:t>
      </w:r>
    </w:p>
    <w:p w14:paraId="2C538883" w14:textId="1BA8C636" w:rsidR="000869F3" w:rsidRPr="000869F3" w:rsidRDefault="000869F3" w:rsidP="000869F3">
      <w:pPr>
        <w:pStyle w:val="SingleTxt"/>
        <w:spacing w:after="0" w:line="120" w:lineRule="exact"/>
        <w:rPr>
          <w:sz w:val="10"/>
        </w:rPr>
      </w:pPr>
    </w:p>
    <w:p w14:paraId="34C8B712" w14:textId="132402E3" w:rsidR="000869F3" w:rsidRPr="000869F3" w:rsidRDefault="000869F3" w:rsidP="000869F3">
      <w:pPr>
        <w:pStyle w:val="SingleTxt"/>
        <w:spacing w:after="0" w:line="120" w:lineRule="exact"/>
        <w:rPr>
          <w:sz w:val="10"/>
        </w:rPr>
      </w:pPr>
    </w:p>
    <w:p w14:paraId="70FC0D13" w14:textId="77777777" w:rsidR="0007129D" w:rsidRDefault="0007129D" w:rsidP="0007129D">
      <w:pPr>
        <w:pStyle w:val="SingleTxt"/>
      </w:pPr>
      <w:r>
        <w:t>110.</w:t>
      </w:r>
      <w:r>
        <w:tab/>
        <w:t xml:space="preserve">Concerning measures addressing poverty and exclusion, the measures adopted by the Government of Hungary equally target women and men. We note however, that women are overrepresented in single-parent families, therefore, the beneficiaries of these measures were mostly mothers. Hungary supports single parent families by providing: </w:t>
      </w:r>
    </w:p>
    <w:p w14:paraId="108E7AF4" w14:textId="2BFF2FFA" w:rsidR="0007129D" w:rsidRDefault="000869F3" w:rsidP="000869F3">
      <w:pPr>
        <w:pStyle w:val="SingleTxt"/>
        <w:tabs>
          <w:tab w:val="right" w:pos="1685"/>
        </w:tabs>
        <w:ind w:left="1742" w:hanging="475"/>
      </w:pPr>
      <w:r>
        <w:tab/>
      </w:r>
      <w:r w:rsidR="0007129D">
        <w:t>•</w:t>
      </w:r>
      <w:r w:rsidR="0007129D">
        <w:tab/>
        <w:t xml:space="preserve">A higher amount of family allowance, that can be deducted both from the personal income tax and from the pension and health insurance </w:t>
      </w:r>
      <w:proofErr w:type="gramStart"/>
      <w:r w:rsidR="0007129D">
        <w:t>contributions;</w:t>
      </w:r>
      <w:proofErr w:type="gramEnd"/>
      <w:r w:rsidR="0007129D">
        <w:t xml:space="preserve"> </w:t>
      </w:r>
    </w:p>
    <w:p w14:paraId="450FAF98" w14:textId="77E0648E" w:rsidR="0007129D" w:rsidRDefault="000869F3" w:rsidP="000869F3">
      <w:pPr>
        <w:pStyle w:val="SingleTxt"/>
        <w:tabs>
          <w:tab w:val="right" w:pos="1685"/>
        </w:tabs>
        <w:ind w:left="1742" w:hanging="475"/>
      </w:pPr>
      <w:r>
        <w:tab/>
      </w:r>
      <w:r w:rsidR="0007129D">
        <w:t>•</w:t>
      </w:r>
      <w:r w:rsidR="0007129D">
        <w:tab/>
        <w:t>Orphan care (this monthly benefit will increase from HUF 24,250 (USD 85) to HUF 50,000 (USD 175) in 2022</w:t>
      </w:r>
      <w:proofErr w:type="gramStart"/>
      <w:r w:rsidR="0007129D">
        <w:t>);</w:t>
      </w:r>
      <w:proofErr w:type="gramEnd"/>
      <w:r w:rsidR="0007129D">
        <w:t xml:space="preserve"> </w:t>
      </w:r>
    </w:p>
    <w:p w14:paraId="05D0229A" w14:textId="767E9A83" w:rsidR="0007129D" w:rsidRDefault="000869F3" w:rsidP="000869F3">
      <w:pPr>
        <w:pStyle w:val="SingleTxt"/>
        <w:tabs>
          <w:tab w:val="right" w:pos="1685"/>
        </w:tabs>
        <w:ind w:left="1742" w:hanging="475"/>
      </w:pPr>
      <w:r>
        <w:tab/>
      </w:r>
      <w:r w:rsidR="0007129D">
        <w:t>•</w:t>
      </w:r>
      <w:r w:rsidR="0007129D">
        <w:tab/>
        <w:t>A</w:t>
      </w:r>
    </w:p>
    <w:p w14:paraId="1CCC3342" w14:textId="71FA8866" w:rsidR="0007129D" w:rsidRDefault="000869F3" w:rsidP="000869F3">
      <w:pPr>
        <w:pStyle w:val="SingleTxt"/>
        <w:tabs>
          <w:tab w:val="right" w:pos="1685"/>
        </w:tabs>
        <w:ind w:left="1742" w:hanging="475"/>
      </w:pPr>
      <w:r>
        <w:tab/>
      </w:r>
      <w:r w:rsidR="0007129D">
        <w:t>•</w:t>
      </w:r>
      <w:r w:rsidR="0007129D">
        <w:tab/>
        <w:t xml:space="preserve">Advance payment of child </w:t>
      </w:r>
      <w:proofErr w:type="gramStart"/>
      <w:r w:rsidR="0007129D">
        <w:t>support;</w:t>
      </w:r>
      <w:proofErr w:type="gramEnd"/>
    </w:p>
    <w:p w14:paraId="60D71F20" w14:textId="334FB827" w:rsidR="0007129D" w:rsidRDefault="000869F3" w:rsidP="000869F3">
      <w:pPr>
        <w:pStyle w:val="SingleTxt"/>
        <w:tabs>
          <w:tab w:val="right" w:pos="1685"/>
        </w:tabs>
        <w:ind w:left="1742" w:hanging="475"/>
      </w:pPr>
      <w:r>
        <w:lastRenderedPageBreak/>
        <w:tab/>
      </w:r>
      <w:r w:rsidR="0007129D">
        <w:t>•</w:t>
      </w:r>
      <w:r w:rsidR="0007129D">
        <w:tab/>
        <w:t xml:space="preserve">Extra days off to care for a </w:t>
      </w:r>
      <w:proofErr w:type="gramStart"/>
      <w:r w:rsidR="0007129D">
        <w:t>child;</w:t>
      </w:r>
      <w:proofErr w:type="gramEnd"/>
      <w:r w:rsidR="0007129D">
        <w:t xml:space="preserve"> </w:t>
      </w:r>
    </w:p>
    <w:p w14:paraId="37D1F8A6" w14:textId="145876D4" w:rsidR="0007129D" w:rsidRDefault="000869F3" w:rsidP="000869F3">
      <w:pPr>
        <w:pStyle w:val="SingleTxt"/>
        <w:tabs>
          <w:tab w:val="right" w:pos="1685"/>
        </w:tabs>
        <w:ind w:left="1742" w:hanging="475"/>
      </w:pPr>
      <w:r>
        <w:tab/>
      </w:r>
      <w:r w:rsidR="0007129D">
        <w:t>•</w:t>
      </w:r>
      <w:r w:rsidR="0007129D">
        <w:tab/>
        <w:t>Enjoying additional protection in labour law (protection against dismissal, atypical employment); and</w:t>
      </w:r>
    </w:p>
    <w:p w14:paraId="0D3CD2F9" w14:textId="20D36182" w:rsidR="0007129D" w:rsidRDefault="000869F3" w:rsidP="000869F3">
      <w:pPr>
        <w:pStyle w:val="SingleTxt"/>
        <w:tabs>
          <w:tab w:val="right" w:pos="1685"/>
        </w:tabs>
        <w:ind w:left="1742" w:hanging="475"/>
      </w:pPr>
      <w:r>
        <w:tab/>
      </w:r>
      <w:r w:rsidR="0007129D">
        <w:t>•</w:t>
      </w:r>
      <w:r w:rsidR="0007129D">
        <w:tab/>
        <w:t>Special support for children raised in single-parent families to go on holiday in so-called Elizabeth camps on the shores of lake Balaton.</w:t>
      </w:r>
    </w:p>
    <w:p w14:paraId="717645B0" w14:textId="081EDFC7" w:rsidR="0007129D" w:rsidRDefault="0007129D" w:rsidP="0007129D">
      <w:pPr>
        <w:pStyle w:val="SingleTxt"/>
      </w:pPr>
      <w:r>
        <w:t>111.</w:t>
      </w:r>
      <w:r>
        <w:tab/>
        <w:t>Further, single parent families may be entitled to the regular child protection allowance on more favourable terms than two-parent families, as the income limit below which the allowance can be granted is lower (since 2018, 145 per cent of the minimum old-age pension). Since 2017, children of single parent families are given priority at the nursery admission. Another important decision of the Government was to provide financial support of half a billion HUFs (approx. USD 1,700,680) for setting up a centre where lawyers, family care workers, psychologists and other professionals help single parent families.</w:t>
      </w:r>
      <w:r w:rsidR="000869F3">
        <w:rPr>
          <w:rStyle w:val="FootnoteReference"/>
        </w:rPr>
        <w:footnoteReference w:id="13"/>
      </w:r>
    </w:p>
    <w:p w14:paraId="615C69B8" w14:textId="77777777" w:rsidR="0007129D" w:rsidRDefault="0007129D" w:rsidP="0007129D">
      <w:pPr>
        <w:pStyle w:val="SingleTxt"/>
      </w:pPr>
      <w:r>
        <w:t>112.</w:t>
      </w:r>
      <w:r>
        <w:tab/>
        <w:t>Married couples, partners and single parents can also apply for Family Housing Support benefits based on their already borne children. Single-parent families can further benefit from all the support of the new Home Creation Program, launched in 2021.</w:t>
      </w:r>
    </w:p>
    <w:p w14:paraId="3150B08E" w14:textId="77777777" w:rsidR="0007129D" w:rsidRDefault="0007129D" w:rsidP="0007129D">
      <w:pPr>
        <w:pStyle w:val="SingleTxt"/>
      </w:pPr>
      <w:r>
        <w:t>113.</w:t>
      </w:r>
      <w:r>
        <w:tab/>
        <w:t xml:space="preserve">The coverage of the new form of early retirement, as provided by Act LXXX of 1997 on Social Security Pension Benefits, does not extend to women working in the informal economy, but it </w:t>
      </w:r>
      <w:proofErr w:type="gramStart"/>
      <w:r>
        <w:t>takes into account</w:t>
      </w:r>
      <w:proofErr w:type="gramEnd"/>
      <w:r>
        <w:t xml:space="preserve"> periods in which women were raising their children or were caring for their severely disabled child.</w:t>
      </w:r>
    </w:p>
    <w:p w14:paraId="7F9202F6" w14:textId="451CF181" w:rsidR="0007129D" w:rsidRDefault="0007129D" w:rsidP="0007129D">
      <w:pPr>
        <w:pStyle w:val="SingleTxt"/>
      </w:pPr>
      <w:r>
        <w:t>114.</w:t>
      </w:r>
      <w:r>
        <w:tab/>
        <w:t xml:space="preserve"> To promote female entrepreneurship, the SEED Foundation</w:t>
      </w:r>
      <w:r w:rsidR="003C4993">
        <w:t xml:space="preserve"> </w:t>
      </w:r>
      <w:r w:rsidR="003C4993" w:rsidRPr="003C4993">
        <w:t>–</w:t>
      </w:r>
      <w:r w:rsidR="003C4993">
        <w:t xml:space="preserve"> </w:t>
      </w:r>
      <w:r>
        <w:t xml:space="preserve">founded by ministries, trade associations, a </w:t>
      </w:r>
      <w:proofErr w:type="gramStart"/>
      <w:r>
        <w:t>university</w:t>
      </w:r>
      <w:proofErr w:type="gramEnd"/>
      <w:r>
        <w:t xml:space="preserve"> and a credit institution</w:t>
      </w:r>
      <w:r w:rsidR="003C4993">
        <w:t xml:space="preserve"> </w:t>
      </w:r>
      <w:r w:rsidR="003C4993" w:rsidRPr="003C4993">
        <w:t>–</w:t>
      </w:r>
      <w:r w:rsidR="003C4993">
        <w:t xml:space="preserve"> </w:t>
      </w:r>
      <w:r>
        <w:t xml:space="preserve">has been operating various programs, as presented below: </w:t>
      </w:r>
    </w:p>
    <w:p w14:paraId="730F49BA" w14:textId="2C8C69DF" w:rsidR="000869F3" w:rsidRPr="000869F3" w:rsidRDefault="000869F3" w:rsidP="000869F3">
      <w:pPr>
        <w:pStyle w:val="SingleTxt"/>
        <w:spacing w:after="0" w:line="120" w:lineRule="exact"/>
        <w:rPr>
          <w:sz w:val="10"/>
        </w:rPr>
      </w:pPr>
    </w:p>
    <w:p w14:paraId="1F888D3B" w14:textId="63DCC7FF" w:rsidR="0007129D" w:rsidRDefault="0007129D" w:rsidP="00086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4758">
        <w:t>‘</w:t>
      </w:r>
      <w:proofErr w:type="spellStart"/>
      <w:r>
        <w:t>Dobbantó</w:t>
      </w:r>
      <w:proofErr w:type="spellEnd"/>
      <w:r w:rsidR="00024758">
        <w:t>’</w:t>
      </w:r>
      <w:r>
        <w:t xml:space="preserve"> Female Entrepreneurial Program</w:t>
      </w:r>
    </w:p>
    <w:p w14:paraId="09639B26" w14:textId="4D43C3A4" w:rsidR="000869F3" w:rsidRPr="000869F3" w:rsidRDefault="000869F3" w:rsidP="000869F3">
      <w:pPr>
        <w:pStyle w:val="SingleTxt"/>
        <w:spacing w:after="0" w:line="120" w:lineRule="exact"/>
        <w:rPr>
          <w:sz w:val="10"/>
          <w:lang w:val="en-US"/>
        </w:rPr>
      </w:pPr>
    </w:p>
    <w:p w14:paraId="549EDFA2" w14:textId="75BA26C7" w:rsidR="0007129D" w:rsidRDefault="0007129D" w:rsidP="0007129D">
      <w:pPr>
        <w:pStyle w:val="SingleTxt"/>
      </w:pPr>
      <w:r>
        <w:t>115.</w:t>
      </w:r>
      <w:r>
        <w:tab/>
        <w:t>This competence development program, supported by Budapest Bank, is a twelve-day-long training for the female entrepreneurs and for those who aim to establish an enterprise.</w:t>
      </w:r>
      <w:r w:rsidR="000869F3">
        <w:rPr>
          <w:rStyle w:val="FootnoteReference"/>
        </w:rPr>
        <w:footnoteReference w:id="14"/>
      </w:r>
      <w:r>
        <w:t xml:space="preserve"> The program</w:t>
      </w:r>
      <w:r w:rsidR="00024758">
        <w:t>’</w:t>
      </w:r>
      <w:r>
        <w:t>s goal is to equip the participants with solid entrepreneurial knowledge and help build a network. Usually 20</w:t>
      </w:r>
      <w:r w:rsidR="00A65E9C">
        <w:t>–</w:t>
      </w:r>
      <w:r>
        <w:t>22 women participate in a course, selected from a 2.</w:t>
      </w:r>
      <w:r w:rsidRPr="00A65E9C">
        <w:t>5</w:t>
      </w:r>
      <w:r w:rsidR="00A65E9C">
        <w:t>–</w:t>
      </w:r>
      <w:r w:rsidRPr="00A65E9C">
        <w:t>3</w:t>
      </w:r>
      <w:r>
        <w:t xml:space="preserve"> times oversubscription of applicants. In the past 12 years, SEED has trained about 500 female entrepreneurs, most of them still being active members of the entrepreneurship network. </w:t>
      </w:r>
      <w:proofErr w:type="gramStart"/>
      <w:r>
        <w:t>Taking into account</w:t>
      </w:r>
      <w:proofErr w:type="gramEnd"/>
      <w:r>
        <w:t xml:space="preserve"> the attendees in club events, altogether 2,000 entrepreneurs participated in this program.</w:t>
      </w:r>
    </w:p>
    <w:p w14:paraId="6DF62377" w14:textId="45EF7539" w:rsidR="0007129D" w:rsidRDefault="0007129D" w:rsidP="0007129D">
      <w:pPr>
        <w:pStyle w:val="SingleTxt"/>
      </w:pPr>
      <w:r>
        <w:t>116.</w:t>
      </w:r>
      <w:r>
        <w:tab/>
        <w:t xml:space="preserve">In 2014, the European Training Foundation and the European Institute </w:t>
      </w:r>
      <w:proofErr w:type="gramStart"/>
      <w:r>
        <w:t>For</w:t>
      </w:r>
      <w:proofErr w:type="gramEnd"/>
      <w:r>
        <w:t xml:space="preserve"> Gender Equality included the program in the 12 European</w:t>
      </w:r>
      <w:r w:rsidR="00024758">
        <w:t>’</w:t>
      </w:r>
      <w:r>
        <w:t xml:space="preserve"> Best Practice</w:t>
      </w:r>
      <w:r w:rsidR="00024758">
        <w:t>’</w:t>
      </w:r>
      <w:r>
        <w:t xml:space="preserve">. A short video introductory video is available at </w:t>
      </w:r>
      <w:hyperlink r:id="rId22" w:history="1">
        <w:r w:rsidR="000869F3" w:rsidRPr="004B365A">
          <w:rPr>
            <w:rStyle w:val="Hyperlink"/>
          </w:rPr>
          <w:t>https://</w:t>
        </w:r>
        <w:proofErr w:type="spellStart"/>
        <w:r w:rsidR="000869F3" w:rsidRPr="004B365A">
          <w:rPr>
            <w:rStyle w:val="Hyperlink"/>
          </w:rPr>
          <w:t>youtu.be</w:t>
        </w:r>
        <w:proofErr w:type="spellEnd"/>
        <w:r w:rsidR="000869F3" w:rsidRPr="004B365A">
          <w:rPr>
            <w:rStyle w:val="Hyperlink"/>
          </w:rPr>
          <w:t>/</w:t>
        </w:r>
        <w:proofErr w:type="spellStart"/>
        <w:r w:rsidR="000869F3" w:rsidRPr="004B365A">
          <w:rPr>
            <w:rStyle w:val="Hyperlink"/>
          </w:rPr>
          <w:t>9uI_e3Fg_X8</w:t>
        </w:r>
        <w:proofErr w:type="spellEnd"/>
      </w:hyperlink>
      <w:r>
        <w:t xml:space="preserve">. </w:t>
      </w:r>
    </w:p>
    <w:p w14:paraId="639A83CA" w14:textId="39BEBA32" w:rsidR="000869F3" w:rsidRPr="000869F3" w:rsidRDefault="000869F3" w:rsidP="000869F3">
      <w:pPr>
        <w:pStyle w:val="SingleTxt"/>
        <w:spacing w:after="0" w:line="120" w:lineRule="exact"/>
        <w:rPr>
          <w:sz w:val="10"/>
        </w:rPr>
      </w:pPr>
    </w:p>
    <w:p w14:paraId="16BB6F5D" w14:textId="5F34A0D5" w:rsidR="0007129D" w:rsidRDefault="0007129D" w:rsidP="00086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Online Business Model Canvas workshops</w:t>
      </w:r>
    </w:p>
    <w:p w14:paraId="010AED77" w14:textId="1B4498CB" w:rsidR="000869F3" w:rsidRPr="000869F3" w:rsidRDefault="000869F3" w:rsidP="000869F3">
      <w:pPr>
        <w:pStyle w:val="SingleTxt"/>
        <w:spacing w:after="0" w:line="120" w:lineRule="exact"/>
        <w:rPr>
          <w:sz w:val="10"/>
          <w:lang w:val="en-US"/>
        </w:rPr>
      </w:pPr>
    </w:p>
    <w:p w14:paraId="2FAC0240" w14:textId="5669F780" w:rsidR="0007129D" w:rsidRDefault="0007129D" w:rsidP="0007129D">
      <w:pPr>
        <w:pStyle w:val="SingleTxt"/>
      </w:pPr>
      <w:r>
        <w:t>117.</w:t>
      </w:r>
      <w:r>
        <w:tab/>
        <w:t xml:space="preserve">This is an 8-hour intensive workshop leading through the steps of creating a Business Model. </w:t>
      </w:r>
    </w:p>
    <w:p w14:paraId="3A48C028" w14:textId="140087D0" w:rsidR="000869F3" w:rsidRPr="000869F3" w:rsidRDefault="000869F3" w:rsidP="000869F3">
      <w:pPr>
        <w:pStyle w:val="SingleTxt"/>
        <w:spacing w:after="0" w:line="120" w:lineRule="exact"/>
        <w:rPr>
          <w:sz w:val="10"/>
        </w:rPr>
      </w:pPr>
    </w:p>
    <w:p w14:paraId="74DF2551" w14:textId="51E1E8A0" w:rsidR="0007129D" w:rsidRDefault="0007129D" w:rsidP="00086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Quick IT and </w:t>
      </w:r>
      <w:proofErr w:type="spellStart"/>
      <w:r>
        <w:t>digITall</w:t>
      </w:r>
      <w:proofErr w:type="spellEnd"/>
      <w:r>
        <w:t xml:space="preserve"> workshops</w:t>
      </w:r>
    </w:p>
    <w:p w14:paraId="62A630A4" w14:textId="1CA500B6" w:rsidR="000869F3" w:rsidRPr="000869F3" w:rsidRDefault="000869F3" w:rsidP="000869F3">
      <w:pPr>
        <w:pStyle w:val="SingleTxt"/>
        <w:spacing w:after="0" w:line="120" w:lineRule="exact"/>
        <w:rPr>
          <w:sz w:val="10"/>
          <w:lang w:val="en-US"/>
        </w:rPr>
      </w:pPr>
    </w:p>
    <w:p w14:paraId="2FA78CFD" w14:textId="38203764" w:rsidR="0007129D" w:rsidRDefault="0007129D" w:rsidP="0007129D">
      <w:pPr>
        <w:pStyle w:val="SingleTxt"/>
      </w:pPr>
      <w:r>
        <w:t>118.</w:t>
      </w:r>
      <w:r>
        <w:tab/>
        <w:t xml:space="preserve">Seed Foundation has launched a 2 times half-day training focusing on Entrepreneurial Digitalization for women entrepreneurs under the name </w:t>
      </w:r>
      <w:proofErr w:type="spellStart"/>
      <w:r>
        <w:t>QuickIT</w:t>
      </w:r>
      <w:proofErr w:type="spellEnd"/>
      <w:r>
        <w:t xml:space="preserve"> with the support of the Budapest Bank in 2020. The goal is for women to increase their </w:t>
      </w:r>
      <w:r>
        <w:lastRenderedPageBreak/>
        <w:t xml:space="preserve">competitiveness by improving their digital literacy. </w:t>
      </w:r>
      <w:proofErr w:type="gramStart"/>
      <w:r>
        <w:t>Later on</w:t>
      </w:r>
      <w:proofErr w:type="gramEnd"/>
      <w:r>
        <w:t xml:space="preserve">, SEED has extended the training for 4 days and integrated it into the </w:t>
      </w:r>
      <w:proofErr w:type="spellStart"/>
      <w:r>
        <w:t>Dobbantó</w:t>
      </w:r>
      <w:proofErr w:type="spellEnd"/>
      <w:r>
        <w:t xml:space="preserve"> Program (see above). </w:t>
      </w:r>
    </w:p>
    <w:p w14:paraId="46F9B632" w14:textId="74CF6A50" w:rsidR="000869F3" w:rsidRPr="000869F3" w:rsidRDefault="000869F3" w:rsidP="000869F3">
      <w:pPr>
        <w:pStyle w:val="SingleTxt"/>
        <w:spacing w:after="0" w:line="120" w:lineRule="exact"/>
        <w:rPr>
          <w:sz w:val="10"/>
        </w:rPr>
      </w:pPr>
    </w:p>
    <w:p w14:paraId="49D8836D" w14:textId="13AD69DE" w:rsidR="0007129D" w:rsidRDefault="0007129D" w:rsidP="00333A0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Mentor Program</w:t>
      </w:r>
    </w:p>
    <w:p w14:paraId="7EC331BA" w14:textId="2157A2BC" w:rsidR="000869F3" w:rsidRPr="000869F3" w:rsidRDefault="000869F3" w:rsidP="00333A03">
      <w:pPr>
        <w:pStyle w:val="SingleTxt"/>
        <w:keepNext/>
        <w:keepLines/>
        <w:spacing w:after="0" w:line="120" w:lineRule="exact"/>
        <w:rPr>
          <w:sz w:val="10"/>
          <w:lang w:val="en-US"/>
        </w:rPr>
      </w:pPr>
    </w:p>
    <w:p w14:paraId="1236CB4F" w14:textId="0269C958" w:rsidR="0007129D" w:rsidRDefault="0007129D" w:rsidP="00333A03">
      <w:pPr>
        <w:pStyle w:val="SingleTxt"/>
        <w:keepNext/>
        <w:keepLines/>
      </w:pPr>
      <w:r>
        <w:t>119.</w:t>
      </w:r>
      <w:r>
        <w:tab/>
        <w:t>This 6</w:t>
      </w:r>
      <w:r w:rsidR="00FF18AA" w:rsidRPr="00FF18AA">
        <w:t>–</w:t>
      </w:r>
      <w:r>
        <w:t>12 month-long program connects entrepreneurs, who would like to get advice on certain aspects of their company with a mentor. Mentors are volunteering entrepreneurs with significant experience and knowledge who provide guidance to their mentees through monthly meetings. Almost 200 mentees took part in the programme, all selected via interviews.</w:t>
      </w:r>
    </w:p>
    <w:p w14:paraId="5B225FF4" w14:textId="4B1AD4DB" w:rsidR="0007129D" w:rsidRDefault="0007129D" w:rsidP="0007129D">
      <w:pPr>
        <w:pStyle w:val="SingleTxt"/>
      </w:pPr>
      <w:r>
        <w:t>120.</w:t>
      </w:r>
      <w:r>
        <w:tab/>
        <w:t>The National Mentor Program has a subgroup dedicated for female businesses, and 92 of 201 mentees are enterprises led and owned by women. Almost half of the mentors are also well-established female entrepreneurs who are familiar with and can provide guidance with issues regarding gender differences in business and other issues specific to female owned enterprises.</w:t>
      </w:r>
    </w:p>
    <w:p w14:paraId="5F64BA30" w14:textId="36479B1B" w:rsidR="000869F3" w:rsidRPr="000869F3" w:rsidRDefault="000869F3" w:rsidP="000869F3">
      <w:pPr>
        <w:pStyle w:val="SingleTxt"/>
        <w:spacing w:after="0" w:line="120" w:lineRule="exact"/>
        <w:rPr>
          <w:sz w:val="10"/>
        </w:rPr>
      </w:pPr>
    </w:p>
    <w:p w14:paraId="50C7EDB4" w14:textId="102B75CB" w:rsidR="0007129D" w:rsidRDefault="0007129D" w:rsidP="00086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Online Entrepreneurial Forum</w:t>
      </w:r>
    </w:p>
    <w:p w14:paraId="6E52B01B" w14:textId="753AE0F5" w:rsidR="000869F3" w:rsidRPr="000869F3" w:rsidRDefault="000869F3" w:rsidP="000869F3">
      <w:pPr>
        <w:pStyle w:val="SingleTxt"/>
        <w:spacing w:after="0" w:line="120" w:lineRule="exact"/>
        <w:rPr>
          <w:sz w:val="10"/>
          <w:lang w:val="en-US"/>
        </w:rPr>
      </w:pPr>
    </w:p>
    <w:p w14:paraId="20F6F8F8" w14:textId="012A0F85" w:rsidR="0007129D" w:rsidRDefault="0007129D" w:rsidP="0007129D">
      <w:pPr>
        <w:pStyle w:val="SingleTxt"/>
      </w:pPr>
      <w:r>
        <w:t>121.</w:t>
      </w:r>
      <w:r>
        <w:tab/>
        <w:t xml:space="preserve">The Online Entrepreneurial Forum was created in 2020 with the aim to bring together experts and entrepreneurs in an online forum to share their experiences and knowledge. The SEED Foundation has held 30 of such forums so far, one of them being specifically dedicated to female businesses during the economic crisis. On this forum, national and international research data were presented, and individual cases were showcased. </w:t>
      </w:r>
    </w:p>
    <w:p w14:paraId="45A21A30" w14:textId="76D3781B" w:rsidR="000869F3" w:rsidRPr="000869F3" w:rsidRDefault="000869F3" w:rsidP="000869F3">
      <w:pPr>
        <w:pStyle w:val="SingleTxt"/>
        <w:spacing w:after="0" w:line="120" w:lineRule="exact"/>
        <w:rPr>
          <w:sz w:val="10"/>
        </w:rPr>
      </w:pPr>
    </w:p>
    <w:p w14:paraId="3DBA0F1F" w14:textId="0FE817E3" w:rsidR="0007129D" w:rsidRDefault="0007129D" w:rsidP="00086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Successful women</w:t>
      </w:r>
      <w:r w:rsidR="00024758">
        <w:t>’</w:t>
      </w:r>
      <w:r>
        <w:t>s enterprises</w:t>
      </w:r>
    </w:p>
    <w:p w14:paraId="7C3C9101" w14:textId="3A93DD02" w:rsidR="000869F3" w:rsidRPr="000869F3" w:rsidRDefault="000869F3" w:rsidP="000869F3">
      <w:pPr>
        <w:pStyle w:val="SingleTxt"/>
        <w:spacing w:after="0" w:line="120" w:lineRule="exact"/>
        <w:rPr>
          <w:sz w:val="10"/>
          <w:lang w:val="en-US"/>
        </w:rPr>
      </w:pPr>
    </w:p>
    <w:p w14:paraId="25E2E79D" w14:textId="276A0E76" w:rsidR="0007129D" w:rsidRDefault="0007129D" w:rsidP="0007129D">
      <w:pPr>
        <w:pStyle w:val="SingleTxt"/>
      </w:pPr>
      <w:r>
        <w:t>122.</w:t>
      </w:r>
      <w:r>
        <w:tab/>
        <w:t>Since 2019, SEED issues a call for applications each year to find female entrepreneurial/managerial role models.</w:t>
      </w:r>
      <w:r w:rsidR="000869F3">
        <w:rPr>
          <w:rStyle w:val="FootnoteReference"/>
        </w:rPr>
        <w:footnoteReference w:id="15"/>
      </w:r>
      <w:r>
        <w:t xml:space="preserve"> The award granted by SEED is beneficial both from PR and from network building perspectives. </w:t>
      </w:r>
    </w:p>
    <w:p w14:paraId="32B288DF" w14:textId="0639AFDA" w:rsidR="000869F3" w:rsidRPr="000869F3" w:rsidRDefault="000869F3" w:rsidP="000869F3">
      <w:pPr>
        <w:pStyle w:val="SingleTxt"/>
        <w:spacing w:after="0" w:line="120" w:lineRule="exact"/>
        <w:rPr>
          <w:sz w:val="10"/>
        </w:rPr>
      </w:pPr>
    </w:p>
    <w:p w14:paraId="6E1BF3B1" w14:textId="4160C1AA" w:rsidR="000869F3" w:rsidRPr="000869F3" w:rsidRDefault="000869F3" w:rsidP="000869F3">
      <w:pPr>
        <w:pStyle w:val="SingleTxt"/>
        <w:spacing w:after="0" w:line="120" w:lineRule="exact"/>
        <w:rPr>
          <w:sz w:val="10"/>
        </w:rPr>
      </w:pPr>
    </w:p>
    <w:p w14:paraId="0CDC333A" w14:textId="6B5AA94D" w:rsidR="0007129D" w:rsidRDefault="0007129D" w:rsidP="000869F3">
      <w:pPr>
        <w:pStyle w:val="H1"/>
        <w:ind w:right="1260"/>
      </w:pPr>
      <w:r>
        <w:tab/>
      </w:r>
      <w:r>
        <w:tab/>
        <w:t>Disadvantaged groups of women</w:t>
      </w:r>
    </w:p>
    <w:p w14:paraId="101DF0FA" w14:textId="67B25FFD" w:rsidR="000869F3" w:rsidRPr="000869F3" w:rsidRDefault="000869F3" w:rsidP="000869F3">
      <w:pPr>
        <w:pStyle w:val="SingleTxt"/>
        <w:spacing w:after="0" w:line="120" w:lineRule="exact"/>
        <w:rPr>
          <w:sz w:val="10"/>
        </w:rPr>
      </w:pPr>
    </w:p>
    <w:p w14:paraId="41195D74" w14:textId="0522FE3D" w:rsidR="000869F3" w:rsidRPr="000869F3" w:rsidRDefault="000869F3" w:rsidP="000869F3">
      <w:pPr>
        <w:pStyle w:val="SingleTxt"/>
        <w:spacing w:after="0" w:line="120" w:lineRule="exact"/>
        <w:rPr>
          <w:sz w:val="10"/>
        </w:rPr>
      </w:pPr>
    </w:p>
    <w:p w14:paraId="76A5EC98" w14:textId="77777777" w:rsidR="0007129D" w:rsidRDefault="0007129D" w:rsidP="0007129D">
      <w:pPr>
        <w:pStyle w:val="SingleTxt"/>
      </w:pPr>
      <w:r>
        <w:t>123.</w:t>
      </w:r>
      <w:r>
        <w:tab/>
        <w:t xml:space="preserve">The Police does not have a register of racial origin, </w:t>
      </w:r>
      <w:proofErr w:type="gramStart"/>
      <w:r>
        <w:t>in particular of</w:t>
      </w:r>
      <w:proofErr w:type="gramEnd"/>
      <w:r>
        <w:t xml:space="preserve"> disadvantaged groups of women, elderly women, women with disabilities, rural women and women belonging to minorities, including Roma.</w:t>
      </w:r>
    </w:p>
    <w:p w14:paraId="567269B8" w14:textId="3940A568" w:rsidR="0007129D" w:rsidRDefault="0007129D" w:rsidP="0007129D">
      <w:pPr>
        <w:pStyle w:val="SingleTxt"/>
      </w:pPr>
      <w:r>
        <w:t>124.</w:t>
      </w:r>
      <w:r>
        <w:tab/>
        <w:t xml:space="preserve">According to the Act XXXIV of 1994 on the Police, the police officers must act without bias. The National Police Headquarters and the National Roma Self-Government concluded a cooperation agreement. The aim is to establish a conflict- and prejudice-free relationship between the Police and the Roma minority. To execute the actual tasks stemming from this cooperation agreement, annual evaluation </w:t>
      </w:r>
      <w:proofErr w:type="gramStart"/>
      <w:r>
        <w:t>are</w:t>
      </w:r>
      <w:proofErr w:type="gramEnd"/>
      <w:r>
        <w:t xml:space="preserve"> carried out, and the future tasks are in a yearly action plan.</w:t>
      </w:r>
      <w:r w:rsidR="000869F3">
        <w:rPr>
          <w:rStyle w:val="FootnoteReference"/>
        </w:rPr>
        <w:footnoteReference w:id="16"/>
      </w:r>
    </w:p>
    <w:p w14:paraId="7E4EA443" w14:textId="0329E250" w:rsidR="0007129D" w:rsidRDefault="0007129D" w:rsidP="0007129D">
      <w:pPr>
        <w:pStyle w:val="SingleTxt"/>
      </w:pPr>
      <w:r>
        <w:t>125.</w:t>
      </w:r>
      <w:r>
        <w:tab/>
        <w:t xml:space="preserve">Act II of 2007 on the Admission and Right of Residence of Third Country Nationals (the Act on Admission and Residence) introduces the concept of </w:t>
      </w:r>
      <w:r w:rsidR="00024758">
        <w:t>‘</w:t>
      </w:r>
      <w:r>
        <w:t>Persons eligible for preferential treatment.</w:t>
      </w:r>
      <w:r w:rsidR="00024758">
        <w:t>’</w:t>
      </w:r>
      <w:r>
        <w:t xml:space="preserve"> The term refers to unaccompanied minors, minors, elderly people, disabled people, pregnant women, single parents with minor children and persons who have been subjected to torture, </w:t>
      </w:r>
      <w:proofErr w:type="gramStart"/>
      <w:r>
        <w:t>rape</w:t>
      </w:r>
      <w:proofErr w:type="gramEnd"/>
      <w:r>
        <w:t xml:space="preserve"> or other serious forms of psychological, physical or sexual violence. These persons must be paid special attention to during the administrative proceedings.</w:t>
      </w:r>
    </w:p>
    <w:p w14:paraId="2A00982D" w14:textId="19B636A1" w:rsidR="0007129D" w:rsidRDefault="0007129D" w:rsidP="0007129D">
      <w:pPr>
        <w:pStyle w:val="SingleTxt"/>
      </w:pPr>
      <w:r>
        <w:lastRenderedPageBreak/>
        <w:t>126.</w:t>
      </w:r>
      <w:r>
        <w:tab/>
        <w:t>In the asylum-proceedings, female applicants can choose the gender of the interpreter or case officer participating in their personal interview.</w:t>
      </w:r>
      <w:r w:rsidR="000869F3">
        <w:rPr>
          <w:rStyle w:val="FootnoteReference"/>
        </w:rPr>
        <w:footnoteReference w:id="17"/>
      </w:r>
      <w:r>
        <w:t xml:space="preserve"> During the hearings, if a topic such as sexual harassment or domestic violence comes up, the authority pays special attention.</w:t>
      </w:r>
    </w:p>
    <w:p w14:paraId="73DAB74F" w14:textId="77777777" w:rsidR="0007129D" w:rsidRDefault="0007129D" w:rsidP="0007129D">
      <w:pPr>
        <w:pStyle w:val="SingleTxt"/>
      </w:pPr>
      <w:r>
        <w:t>127.</w:t>
      </w:r>
      <w:r>
        <w:tab/>
        <w:t xml:space="preserve">When providing reception conditions, women shall be accommodated separately from men, except for married couples, and families with minors. The needs for persons eligible for preferential treatment, and the gender identity of the asylum-seeker are also </w:t>
      </w:r>
      <w:proofErr w:type="gramStart"/>
      <w:r>
        <w:t>taken into account</w:t>
      </w:r>
      <w:proofErr w:type="gramEnd"/>
      <w:r>
        <w:t>.</w:t>
      </w:r>
    </w:p>
    <w:p w14:paraId="28B73E0C" w14:textId="77777777" w:rsidR="0007129D" w:rsidRDefault="0007129D" w:rsidP="0007129D">
      <w:pPr>
        <w:pStyle w:val="SingleTxt"/>
      </w:pPr>
      <w:r>
        <w:t>128.</w:t>
      </w:r>
      <w:r>
        <w:tab/>
        <w:t xml:space="preserve">Persons with special needs may be eligible to additional health care services, rehabilitation, psychological and clinical psychological </w:t>
      </w:r>
      <w:proofErr w:type="gramStart"/>
      <w:r>
        <w:t>care</w:t>
      </w:r>
      <w:proofErr w:type="gramEnd"/>
      <w:r>
        <w:t xml:space="preserve"> or psychotherapeutic treatment free of charge. </w:t>
      </w:r>
    </w:p>
    <w:p w14:paraId="18D41F04" w14:textId="77777777" w:rsidR="0007129D" w:rsidRDefault="0007129D" w:rsidP="0007129D">
      <w:pPr>
        <w:pStyle w:val="SingleTxt"/>
      </w:pPr>
      <w:r>
        <w:t>129.</w:t>
      </w:r>
      <w:r>
        <w:tab/>
        <w:t>In the reception facilities, the social workers pay attention to pre-integration when organizing leisure programs (for example by providing Hungarian language lessons) and organize programs separately for women (for example hand crafts).</w:t>
      </w:r>
    </w:p>
    <w:p w14:paraId="1CB688F7" w14:textId="10EE7F2C" w:rsidR="0007129D" w:rsidRDefault="0007129D" w:rsidP="0007129D">
      <w:pPr>
        <w:pStyle w:val="SingleTxt"/>
      </w:pPr>
      <w:r>
        <w:t>130.</w:t>
      </w:r>
      <w:r>
        <w:tab/>
        <w:t>Pursuant to Act on Admission and Residence, a residence permit may be issued on the grounds of family reunification, among others and broadly speaking, to a third-country national who is a spouse, a minor child (including adopted or foster) or</w:t>
      </w:r>
      <w:r w:rsidR="000869F3">
        <w:t xml:space="preserve"> – </w:t>
      </w:r>
      <w:r>
        <w:t>on special conditions</w:t>
      </w:r>
      <w:r w:rsidR="000869F3">
        <w:t xml:space="preserve"> – </w:t>
      </w:r>
      <w:r>
        <w:t xml:space="preserve">parent/sibling of: </w:t>
      </w:r>
    </w:p>
    <w:p w14:paraId="21B11B2A" w14:textId="05331767" w:rsidR="0007129D" w:rsidRDefault="000869F3" w:rsidP="000869F3">
      <w:pPr>
        <w:pStyle w:val="SingleTxt"/>
        <w:tabs>
          <w:tab w:val="right" w:pos="1685"/>
        </w:tabs>
        <w:ind w:left="1742" w:hanging="475"/>
      </w:pPr>
      <w:r>
        <w:tab/>
      </w:r>
      <w:r w:rsidR="0007129D">
        <w:t>•</w:t>
      </w:r>
      <w:r w:rsidR="0007129D">
        <w:tab/>
        <w:t xml:space="preserve">A Hungarian </w:t>
      </w:r>
      <w:proofErr w:type="gramStart"/>
      <w:r w:rsidR="0007129D">
        <w:t>citizen;</w:t>
      </w:r>
      <w:proofErr w:type="gramEnd"/>
      <w:r w:rsidR="0007129D">
        <w:t xml:space="preserve"> </w:t>
      </w:r>
    </w:p>
    <w:p w14:paraId="226BCCE9" w14:textId="14157F3F" w:rsidR="0007129D" w:rsidRDefault="000869F3" w:rsidP="000869F3">
      <w:pPr>
        <w:pStyle w:val="SingleTxt"/>
        <w:tabs>
          <w:tab w:val="right" w:pos="1685"/>
        </w:tabs>
        <w:ind w:left="1742" w:hanging="475"/>
      </w:pPr>
      <w:r>
        <w:tab/>
      </w:r>
      <w:r w:rsidR="0007129D">
        <w:t>•</w:t>
      </w:r>
      <w:r w:rsidR="0007129D">
        <w:tab/>
        <w:t xml:space="preserve">A third-country national holding a long-term visa, or residence permit, or immigration </w:t>
      </w:r>
      <w:proofErr w:type="gramStart"/>
      <w:r w:rsidR="0007129D">
        <w:t>permit;</w:t>
      </w:r>
      <w:proofErr w:type="gramEnd"/>
    </w:p>
    <w:p w14:paraId="1CA0D865" w14:textId="17BF6088" w:rsidR="0007129D" w:rsidRDefault="000869F3" w:rsidP="000869F3">
      <w:pPr>
        <w:pStyle w:val="SingleTxt"/>
        <w:tabs>
          <w:tab w:val="right" w:pos="1685"/>
        </w:tabs>
        <w:ind w:left="1742" w:hanging="475"/>
      </w:pPr>
      <w:r>
        <w:tab/>
      </w:r>
      <w:r w:rsidR="0007129D">
        <w:t>•</w:t>
      </w:r>
      <w:r w:rsidR="0007129D">
        <w:tab/>
        <w:t xml:space="preserve">A refugee in Hungary. </w:t>
      </w:r>
    </w:p>
    <w:p w14:paraId="619A54AF" w14:textId="2A172ACE" w:rsidR="0007129D" w:rsidRDefault="0007129D" w:rsidP="0007129D">
      <w:pPr>
        <w:pStyle w:val="SingleTxt"/>
      </w:pPr>
      <w:r>
        <w:t>131.</w:t>
      </w:r>
      <w:r>
        <w:tab/>
        <w:t xml:space="preserve">For persons who remained in Hungary beyond the duration of lawful residence due to humanitarian reasons or reasons in connection with his/her gainful employment, or those who are victims of trafficking in human beings, a certificate of temporary residence shall be issued. Further, even in the absence of regular eligibility, a residence permit may be issued to migrants who have been subjected to particularly exploitative working conditions, or to third-country national minors who were employed illegally. </w:t>
      </w:r>
      <w:r w:rsidR="00024758">
        <w:t>‘</w:t>
      </w:r>
      <w:r>
        <w:t>Particularly exploitative working conditions</w:t>
      </w:r>
      <w:r w:rsidR="00024758">
        <w:t>’</w:t>
      </w:r>
      <w:r>
        <w:t>, as defined by the Act on Admission and Residence, refer to working conditions, including those resulting from gender-based discrimination which, for example, affect workers</w:t>
      </w:r>
      <w:r w:rsidR="00024758">
        <w:t>’</w:t>
      </w:r>
      <w:r>
        <w:t xml:space="preserve"> health and safety, and which offend human dignity.</w:t>
      </w:r>
    </w:p>
    <w:p w14:paraId="70B8C7E7" w14:textId="7BD9CFC1" w:rsidR="000869F3" w:rsidRPr="000869F3" w:rsidRDefault="000869F3" w:rsidP="000869F3">
      <w:pPr>
        <w:pStyle w:val="SingleTxt"/>
        <w:spacing w:after="0" w:line="120" w:lineRule="exact"/>
        <w:rPr>
          <w:sz w:val="10"/>
        </w:rPr>
      </w:pPr>
    </w:p>
    <w:p w14:paraId="6E0417D2" w14:textId="2E12C51B" w:rsidR="000869F3" w:rsidRPr="000869F3" w:rsidRDefault="000869F3" w:rsidP="000869F3">
      <w:pPr>
        <w:pStyle w:val="SingleTxt"/>
        <w:spacing w:after="0" w:line="120" w:lineRule="exact"/>
        <w:rPr>
          <w:sz w:val="10"/>
        </w:rPr>
      </w:pPr>
    </w:p>
    <w:p w14:paraId="78AFAE0A" w14:textId="74F615AA" w:rsidR="0007129D" w:rsidRDefault="0007129D" w:rsidP="000869F3">
      <w:pPr>
        <w:pStyle w:val="H1"/>
        <w:ind w:right="1260"/>
      </w:pPr>
      <w:r>
        <w:tab/>
      </w:r>
      <w:r>
        <w:tab/>
        <w:t>Marriage and family relations</w:t>
      </w:r>
    </w:p>
    <w:p w14:paraId="1FAA1006" w14:textId="5A3573FF" w:rsidR="000869F3" w:rsidRPr="000869F3" w:rsidRDefault="000869F3" w:rsidP="000869F3">
      <w:pPr>
        <w:pStyle w:val="SingleTxt"/>
        <w:spacing w:after="0" w:line="120" w:lineRule="exact"/>
        <w:rPr>
          <w:sz w:val="10"/>
        </w:rPr>
      </w:pPr>
    </w:p>
    <w:p w14:paraId="4FAFD1DB" w14:textId="27129EB2" w:rsidR="000869F3" w:rsidRPr="000869F3" w:rsidRDefault="000869F3" w:rsidP="000869F3">
      <w:pPr>
        <w:pStyle w:val="SingleTxt"/>
        <w:spacing w:after="0" w:line="120" w:lineRule="exact"/>
        <w:rPr>
          <w:sz w:val="10"/>
        </w:rPr>
      </w:pPr>
    </w:p>
    <w:p w14:paraId="06B4A821" w14:textId="77777777" w:rsidR="0007129D" w:rsidRDefault="0007129D" w:rsidP="0007129D">
      <w:pPr>
        <w:pStyle w:val="SingleTxt"/>
      </w:pPr>
      <w:r>
        <w:t>132.</w:t>
      </w:r>
      <w:r>
        <w:tab/>
        <w:t xml:space="preserve">The protection of the family, being a fundamental unit of society and the basis of the survival of the nation, is a high priority of Hungary. The Fundamental Law protects the institution of marriage as the voluntary union of a man and a woman, and the basis of family ties are marriage and the relationship between parents and children. </w:t>
      </w:r>
    </w:p>
    <w:p w14:paraId="5BA29C14" w14:textId="77777777" w:rsidR="0007129D" w:rsidRDefault="0007129D" w:rsidP="0007129D">
      <w:pPr>
        <w:pStyle w:val="SingleTxt"/>
      </w:pPr>
      <w:r>
        <w:t>133.</w:t>
      </w:r>
      <w:r>
        <w:tab/>
        <w:t xml:space="preserve">The measures of the Family Protection Action Plan are widely available, without any differentiation of families. Hungary provides vast support to couples and families who, in the absence of such support, would not be able to move forward according to their plans and desires in terms of home creation, starting a family or expand their respective families. </w:t>
      </w:r>
    </w:p>
    <w:p w14:paraId="084A9DE9" w14:textId="184EC6D7" w:rsidR="0007129D" w:rsidRDefault="0007129D" w:rsidP="0007129D">
      <w:pPr>
        <w:pStyle w:val="SingleTxt"/>
      </w:pPr>
      <w:r>
        <w:t>134.</w:t>
      </w:r>
      <w:r>
        <w:tab/>
        <w:t>To help women in an abusive relationship, the support services detailed in paragraphs 25</w:t>
      </w:r>
      <w:r w:rsidR="000869F3">
        <w:t>–</w:t>
      </w:r>
      <w:r>
        <w:t>30 are widely available in the whole country.</w:t>
      </w:r>
    </w:p>
    <w:p w14:paraId="3198A3AD" w14:textId="4DF04C88" w:rsidR="0007129D" w:rsidRDefault="0007129D" w:rsidP="0007129D">
      <w:pPr>
        <w:pStyle w:val="SingleTxt"/>
      </w:pPr>
      <w:r>
        <w:lastRenderedPageBreak/>
        <w:t>135.</w:t>
      </w:r>
      <w:r>
        <w:tab/>
        <w:t>Under the Civil Code, while the legal age for marriage is 18 years, minors above 16 years may marry exceptionally. This requires the prior consent of the Guardianship Authority that is preceded by a meticulous investigation (involving personal interviews, the permission of the applicant</w:t>
      </w:r>
      <w:r w:rsidR="00024758">
        <w:t>’</w:t>
      </w:r>
      <w:r>
        <w:t>s legal representative, opinion of the applicant</w:t>
      </w:r>
      <w:r w:rsidR="00024758">
        <w:t>’</w:t>
      </w:r>
      <w:r>
        <w:t xml:space="preserve">s GP of his/her mental and physical condition, personal income assessment etc.). A marriage of a minor without the prior consent of the Guardianship Authority is void. For this reason, there is no criminal offence as </w:t>
      </w:r>
      <w:r w:rsidR="00024758">
        <w:t>‘</w:t>
      </w:r>
      <w:r>
        <w:t>child marriage</w:t>
      </w:r>
      <w:r w:rsidR="00024758">
        <w:t>’</w:t>
      </w:r>
      <w:r>
        <w:t xml:space="preserve">, hence no related case either. In 2019, out of 438 applications submitted by minors for the permission to marry, 65 were rejected.   </w:t>
      </w:r>
    </w:p>
    <w:p w14:paraId="445AFD1A" w14:textId="71ACAD3A" w:rsidR="000869F3" w:rsidRPr="000869F3" w:rsidRDefault="000869F3" w:rsidP="000869F3">
      <w:pPr>
        <w:pStyle w:val="SingleTxt"/>
        <w:spacing w:after="0" w:line="120" w:lineRule="exact"/>
        <w:rPr>
          <w:sz w:val="10"/>
        </w:rPr>
      </w:pPr>
    </w:p>
    <w:p w14:paraId="087E81A9" w14:textId="7840DFF9" w:rsidR="000869F3" w:rsidRPr="000869F3" w:rsidRDefault="000869F3" w:rsidP="000869F3">
      <w:pPr>
        <w:pStyle w:val="SingleTxt"/>
        <w:spacing w:after="0" w:line="120" w:lineRule="exact"/>
        <w:rPr>
          <w:sz w:val="10"/>
        </w:rPr>
      </w:pPr>
    </w:p>
    <w:p w14:paraId="47CBE7E2" w14:textId="211697CD" w:rsidR="0007129D" w:rsidRDefault="0007129D" w:rsidP="000869F3">
      <w:pPr>
        <w:pStyle w:val="H1"/>
        <w:ind w:right="1260"/>
      </w:pPr>
      <w:r>
        <w:tab/>
      </w:r>
      <w:r>
        <w:tab/>
        <w:t>Climate change and disaster risk reduction</w:t>
      </w:r>
    </w:p>
    <w:p w14:paraId="7ACA5C3A" w14:textId="40410539" w:rsidR="000869F3" w:rsidRPr="000869F3" w:rsidRDefault="000869F3" w:rsidP="000869F3">
      <w:pPr>
        <w:pStyle w:val="SingleTxt"/>
        <w:spacing w:after="0" w:line="120" w:lineRule="exact"/>
        <w:rPr>
          <w:sz w:val="10"/>
        </w:rPr>
      </w:pPr>
    </w:p>
    <w:p w14:paraId="197221C5" w14:textId="4A862FAC" w:rsidR="000869F3" w:rsidRPr="000869F3" w:rsidRDefault="000869F3" w:rsidP="000869F3">
      <w:pPr>
        <w:pStyle w:val="SingleTxt"/>
        <w:spacing w:after="0" w:line="120" w:lineRule="exact"/>
        <w:rPr>
          <w:sz w:val="10"/>
        </w:rPr>
      </w:pPr>
    </w:p>
    <w:p w14:paraId="748BA03E" w14:textId="7A7FA205" w:rsidR="0007129D" w:rsidRDefault="0007129D" w:rsidP="0007129D">
      <w:pPr>
        <w:pStyle w:val="SingleTxt"/>
      </w:pPr>
      <w:r>
        <w:t>136.</w:t>
      </w:r>
      <w:r>
        <w:tab/>
        <w:t xml:space="preserve">As part of the objective </w:t>
      </w:r>
      <w:r w:rsidR="00FF18AA">
        <w:t>“</w:t>
      </w:r>
      <w:r>
        <w:t>Promoting climate change adaptation and risk prevention</w:t>
      </w:r>
      <w:r w:rsidR="00FF18AA">
        <w:t>”</w:t>
      </w:r>
      <w:r>
        <w:t xml:space="preserve">, EU Member States should have a national or regional risk assessment for disaster management, including climate change adaptation, </w:t>
      </w:r>
      <w:proofErr w:type="gramStart"/>
      <w:r>
        <w:t>in order to</w:t>
      </w:r>
      <w:proofErr w:type="gramEnd"/>
      <w:r>
        <w:t xml:space="preserve"> implement related investments. Pursuant to Article 6 (a) of Decision No 1313/2013/EU of the European Parliament and of the Council of 17 December 2013 on an EU Civil Protection Mechanism, Hungary prepared a National Disaster Risk Assessment Report in 2014, revised in 2020.</w:t>
      </w:r>
    </w:p>
    <w:p w14:paraId="2B8F4DE1" w14:textId="1E69F0B9" w:rsidR="0007129D" w:rsidRDefault="0007129D" w:rsidP="0007129D">
      <w:pPr>
        <w:pStyle w:val="SingleTxt"/>
      </w:pPr>
      <w:r>
        <w:t>137.</w:t>
      </w:r>
      <w:r>
        <w:tab/>
        <w:t>The report identified 12 types of risk, with a particular focus on climate change-related risks (</w:t>
      </w:r>
      <w:proofErr w:type="gramStart"/>
      <w:r>
        <w:t>e.g.</w:t>
      </w:r>
      <w:proofErr w:type="gramEnd"/>
      <w:r>
        <w:t xml:space="preserve"> heat and cold waves, drought, floods). 30 risk scenarios and 72 sub</w:t>
      </w:r>
      <w:r w:rsidR="00245A98">
        <w:noBreakHyphen/>
      </w:r>
      <w:r>
        <w:t xml:space="preserve">scenarios were developed, depending on the possible consequences. The report applied an integrated and holistic approach, </w:t>
      </w:r>
      <w:proofErr w:type="gramStart"/>
      <w:r>
        <w:t>taking into account</w:t>
      </w:r>
      <w:proofErr w:type="gramEnd"/>
      <w:r>
        <w:t xml:space="preserve"> the potential impacts on the stability of society without any discrimination (in this vein, not mentioning a gender perspective specifically).   </w:t>
      </w:r>
    </w:p>
    <w:p w14:paraId="1020937D" w14:textId="212EEF16" w:rsidR="009740EE" w:rsidRDefault="0007129D" w:rsidP="0007129D">
      <w:pPr>
        <w:pStyle w:val="SingleTxt"/>
      </w:pPr>
      <w:r>
        <w:t>138.</w:t>
      </w:r>
      <w:r>
        <w:tab/>
        <w:t>In relevant decision-making mechanisms, including decisions on disaster risk reduction and adaptation to climate change, the participation of women within the professional disaster management body in all levels. The “National Disaster Management Directorate General” issued the “Equal Opportunity Plan for Disaster Management Organization”, that stipulates the requirement of equal treatment and equal opportunities for employees. The design principle of equality prohibits direct and indirect discrimination, in particular discrimination on gender.</w:t>
      </w:r>
    </w:p>
    <w:p w14:paraId="2096F5B0" w14:textId="1A70CDB5" w:rsidR="000869F3" w:rsidRPr="00163B36" w:rsidRDefault="000869F3" w:rsidP="0007129D">
      <w:pPr>
        <w:pStyle w:val="SingleTxt"/>
      </w:pPr>
      <w:r>
        <w:rPr>
          <w:noProof/>
          <w:w w:val="100"/>
        </w:rPr>
        <mc:AlternateContent>
          <mc:Choice Requires="wps">
            <w:drawing>
              <wp:anchor distT="0" distB="0" distL="114300" distR="114300" simplePos="0" relativeHeight="251663360" behindDoc="0" locked="0" layoutInCell="1" allowOverlap="1" wp14:anchorId="7490573E" wp14:editId="643331D9">
                <wp:simplePos x="0" y="0"/>
                <wp:positionH relativeFrom="column">
                  <wp:posOffset>2669540</wp:posOffset>
                </wp:positionH>
                <wp:positionV relativeFrom="paragraph">
                  <wp:posOffset>304800</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C5224"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DO&#10;ctJ62QEAAAwEAAAOAAAAAAAAAAAAAAAAAC4CAABkcnMvZTJvRG9jLnhtbFBLAQItABQABgAIAAAA&#10;IQCFoHiC3wAAAAkBAAAPAAAAAAAAAAAAAAAAADMEAABkcnMvZG93bnJldi54bWxQSwUGAAAAAAQA&#10;BADzAAAAPwUAAAAA&#10;" strokecolor="#010000" strokeweight=".25pt"/>
            </w:pict>
          </mc:Fallback>
        </mc:AlternateContent>
      </w:r>
      <w:bookmarkEnd w:id="1"/>
    </w:p>
    <w:sectPr w:rsidR="000869F3" w:rsidRPr="00163B36" w:rsidSect="009740E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tart" w:date="2022-03-02T15:17:00Z" w:initials="Start">
    <w:p w14:paraId="0D423B90" w14:textId="77777777" w:rsidR="00685DAC" w:rsidRDefault="00685DAC">
      <w:pPr>
        <w:pStyle w:val="CommentText"/>
      </w:pPr>
      <w:r>
        <w:rPr>
          <w:rStyle w:val="CommentReference"/>
        </w:rPr>
        <w:annotationRef/>
      </w:r>
      <w:r>
        <w:t>&lt;&lt;ODS JOB NO&gt;&gt;</w:t>
      </w:r>
      <w:proofErr w:type="spellStart"/>
      <w:r>
        <w:t>N2226945E</w:t>
      </w:r>
      <w:proofErr w:type="spellEnd"/>
      <w:r>
        <w:t>&lt;&lt;ODS JOB NO&gt;&gt;</w:t>
      </w:r>
    </w:p>
    <w:p w14:paraId="6344B7B2" w14:textId="77777777" w:rsidR="00685DAC" w:rsidRDefault="00685DAC">
      <w:pPr>
        <w:pStyle w:val="CommentText"/>
      </w:pPr>
      <w:r>
        <w:t xml:space="preserve">&lt;&lt;ODS DOC </w:t>
      </w:r>
      <w:proofErr w:type="spellStart"/>
      <w:r>
        <w:t>SYMBOL1</w:t>
      </w:r>
      <w:proofErr w:type="spellEnd"/>
      <w:r>
        <w:t>&gt;&gt;</w:t>
      </w:r>
      <w:proofErr w:type="spellStart"/>
      <w:r>
        <w:t>CEDAW</w:t>
      </w:r>
      <w:proofErr w:type="spellEnd"/>
      <w:r>
        <w:t>/C/HUN/</w:t>
      </w:r>
      <w:proofErr w:type="spellStart"/>
      <w:r>
        <w:t>RQ</w:t>
      </w:r>
      <w:proofErr w:type="spellEnd"/>
      <w:r>
        <w:t xml:space="preserve">/9&lt;&lt;ODS DOC </w:t>
      </w:r>
      <w:proofErr w:type="spellStart"/>
      <w:r>
        <w:t>SYMBOL1</w:t>
      </w:r>
      <w:proofErr w:type="spellEnd"/>
      <w:r>
        <w:t>&gt;&gt;</w:t>
      </w:r>
    </w:p>
    <w:p w14:paraId="5E04DA35" w14:textId="5E4818A8" w:rsidR="00685DAC" w:rsidRDefault="00685DAC">
      <w:pPr>
        <w:pStyle w:val="CommentText"/>
      </w:pPr>
      <w:r>
        <w:t xml:space="preserve">&lt;&lt;ODS DOC </w:t>
      </w:r>
      <w:proofErr w:type="spellStart"/>
      <w:r>
        <w:t>SYMBOL2</w:t>
      </w:r>
      <w:proofErr w:type="spellEnd"/>
      <w:r>
        <w:t xml:space="preserve">&gt;&gt;&lt;&lt;ODS DOC </w:t>
      </w:r>
      <w:proofErr w:type="spellStart"/>
      <w:r>
        <w:t>SYMBOL2</w:t>
      </w:r>
      <w:proofErr w:type="spellEnd"/>
      <w: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04DA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091A" w16cex:dateUtc="2022-03-02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04DA35" w16cid:durableId="25CA09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6342" w14:textId="77777777" w:rsidR="00DA2E3B" w:rsidRDefault="00DA2E3B" w:rsidP="00556720">
      <w:r>
        <w:separator/>
      </w:r>
    </w:p>
  </w:endnote>
  <w:endnote w:type="continuationSeparator" w:id="0">
    <w:p w14:paraId="239119E9" w14:textId="77777777" w:rsidR="00DA2E3B" w:rsidRDefault="00DA2E3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5DAC" w14:paraId="18E2F661" w14:textId="77777777" w:rsidTr="00685DAC">
      <w:tc>
        <w:tcPr>
          <w:tcW w:w="4920" w:type="dxa"/>
          <w:shd w:val="clear" w:color="auto" w:fill="auto"/>
        </w:tcPr>
        <w:p w14:paraId="2A491A4C" w14:textId="411188EA" w:rsidR="00685DAC" w:rsidRPr="00685DAC" w:rsidRDefault="00685DAC" w:rsidP="00685DA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F6F32">
            <w:rPr>
              <w:b w:val="0"/>
              <w:w w:val="103"/>
              <w:sz w:val="14"/>
            </w:rPr>
            <w:t>22-02795</w:t>
          </w:r>
          <w:r>
            <w:rPr>
              <w:b w:val="0"/>
              <w:w w:val="103"/>
              <w:sz w:val="14"/>
            </w:rPr>
            <w:fldChar w:fldCharType="end"/>
          </w:r>
        </w:p>
      </w:tc>
      <w:tc>
        <w:tcPr>
          <w:tcW w:w="4920" w:type="dxa"/>
          <w:shd w:val="clear" w:color="auto" w:fill="auto"/>
        </w:tcPr>
        <w:p w14:paraId="51829034" w14:textId="7E5B3AC0" w:rsidR="00685DAC" w:rsidRPr="00685DAC" w:rsidRDefault="00685DAC" w:rsidP="00685DA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1DDC4B8" w14:textId="77777777" w:rsidR="00685DAC" w:rsidRPr="00685DAC" w:rsidRDefault="00685DAC" w:rsidP="00685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5DAC" w14:paraId="241DAE09" w14:textId="77777777" w:rsidTr="00685DAC">
      <w:tc>
        <w:tcPr>
          <w:tcW w:w="4920" w:type="dxa"/>
          <w:shd w:val="clear" w:color="auto" w:fill="auto"/>
        </w:tcPr>
        <w:p w14:paraId="0EE94ABA" w14:textId="403E60CC" w:rsidR="00685DAC" w:rsidRPr="00685DAC" w:rsidRDefault="00685DAC" w:rsidP="00685DA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6E46C5B" w14:textId="158362C7" w:rsidR="00685DAC" w:rsidRPr="00685DAC" w:rsidRDefault="00685DAC" w:rsidP="00685DA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F6F32">
            <w:rPr>
              <w:b w:val="0"/>
              <w:w w:val="103"/>
              <w:sz w:val="14"/>
            </w:rPr>
            <w:t>22-02795</w:t>
          </w:r>
          <w:r>
            <w:rPr>
              <w:b w:val="0"/>
              <w:w w:val="103"/>
              <w:sz w:val="14"/>
            </w:rPr>
            <w:fldChar w:fldCharType="end"/>
          </w:r>
        </w:p>
      </w:tc>
    </w:tr>
  </w:tbl>
  <w:p w14:paraId="508F3855" w14:textId="77777777" w:rsidR="00685DAC" w:rsidRPr="00685DAC" w:rsidRDefault="00685DAC" w:rsidP="00685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685DAC" w14:paraId="03EA089F" w14:textId="77777777" w:rsidTr="00685DAC">
      <w:tc>
        <w:tcPr>
          <w:tcW w:w="3801" w:type="dxa"/>
        </w:tcPr>
        <w:p w14:paraId="5E7EBB96" w14:textId="0D778E1C" w:rsidR="00685DAC" w:rsidRDefault="00685DAC" w:rsidP="00685DAC">
          <w:pPr>
            <w:pStyle w:val="ReleaseDate0"/>
          </w:pPr>
          <w:r>
            <w:rPr>
              <w:noProof/>
            </w:rPr>
            <w:drawing>
              <wp:anchor distT="0" distB="0" distL="114300" distR="114300" simplePos="0" relativeHeight="251658240" behindDoc="0" locked="0" layoutInCell="1" allowOverlap="1" wp14:anchorId="30C9CB16" wp14:editId="1DEB31C2">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22-02795 (</w:t>
          </w:r>
          <w:proofErr w:type="gramStart"/>
          <w:r>
            <w:t xml:space="preserve">E)   </w:t>
          </w:r>
          <w:proofErr w:type="gramEnd"/>
          <w:r>
            <w:t xml:space="preserve"> 0</w:t>
          </w:r>
          <w:r w:rsidR="00AD4B32">
            <w:t>4</w:t>
          </w:r>
          <w:r>
            <w:t>0322</w:t>
          </w:r>
        </w:p>
        <w:p w14:paraId="196919B2" w14:textId="3EEF6234" w:rsidR="00685DAC" w:rsidRPr="00685DAC" w:rsidRDefault="00685DAC" w:rsidP="00685DA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*2202795*</w:t>
          </w:r>
        </w:p>
      </w:tc>
      <w:tc>
        <w:tcPr>
          <w:tcW w:w="4920" w:type="dxa"/>
        </w:tcPr>
        <w:p w14:paraId="700B7DE7" w14:textId="43239691" w:rsidR="00685DAC" w:rsidRDefault="00685DAC" w:rsidP="00685DAC">
          <w:pPr>
            <w:pStyle w:val="Footer"/>
            <w:jc w:val="right"/>
            <w:rPr>
              <w:b w:val="0"/>
              <w:sz w:val="20"/>
            </w:rPr>
          </w:pPr>
          <w:r>
            <w:rPr>
              <w:b w:val="0"/>
              <w:sz w:val="20"/>
            </w:rPr>
            <w:drawing>
              <wp:inline distT="0" distB="0" distL="0" distR="0" wp14:anchorId="475407CD" wp14:editId="6C89348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52314B1" w14:textId="77777777" w:rsidR="00685DAC" w:rsidRPr="00685DAC" w:rsidRDefault="00685DAC" w:rsidP="00685D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12AD" w14:textId="77777777" w:rsidR="00DA2E3B" w:rsidRPr="00EA5AB9" w:rsidRDefault="00DA2E3B" w:rsidP="00EA5AB9">
      <w:pPr>
        <w:pStyle w:val="Footer"/>
        <w:spacing w:after="80"/>
        <w:ind w:left="792"/>
        <w:rPr>
          <w:sz w:val="16"/>
        </w:rPr>
      </w:pPr>
      <w:r w:rsidRPr="00EA5AB9">
        <w:rPr>
          <w:sz w:val="16"/>
        </w:rPr>
        <w:t>__________________</w:t>
      </w:r>
    </w:p>
  </w:footnote>
  <w:footnote w:type="continuationSeparator" w:id="0">
    <w:p w14:paraId="6EED7353" w14:textId="77777777" w:rsidR="00DA2E3B" w:rsidRPr="00EA5AB9" w:rsidRDefault="00DA2E3B" w:rsidP="00EA5AB9">
      <w:pPr>
        <w:pStyle w:val="Footer"/>
        <w:spacing w:after="80"/>
        <w:ind w:left="792"/>
        <w:rPr>
          <w:sz w:val="16"/>
        </w:rPr>
      </w:pPr>
      <w:r w:rsidRPr="00EA5AB9">
        <w:rPr>
          <w:sz w:val="16"/>
        </w:rPr>
        <w:t>__________________</w:t>
      </w:r>
    </w:p>
  </w:footnote>
  <w:footnote w:id="1">
    <w:p w14:paraId="56748A81" w14:textId="0E70D3A4" w:rsidR="00EA5AB9" w:rsidRPr="00EA5AB9" w:rsidRDefault="00EA5AB9" w:rsidP="00EA5A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A5AB9">
        <w:rPr>
          <w:rStyle w:val="FootnoteReference"/>
        </w:rPr>
        <w:footnoteRef/>
      </w:r>
      <w:r>
        <w:tab/>
      </w:r>
      <w:hyperlink r:id="rId1" w:history="1">
        <w:r w:rsidRPr="00EA5AB9">
          <w:rPr>
            <w:rStyle w:val="Hyperlink"/>
          </w:rPr>
          <w:t>https://www.ksh.hu/docs/hun/xftp/idoszaki/mikrocenzus2016/mikrocenzus_2016_4.pdf</w:t>
        </w:r>
      </w:hyperlink>
      <w:r w:rsidRPr="00EA5AB9">
        <w:t xml:space="preserve"> table 2.3.</w:t>
      </w:r>
    </w:p>
  </w:footnote>
  <w:footnote w:id="2">
    <w:p w14:paraId="6302520B" w14:textId="008BEBFD" w:rsidR="00EA5AB9" w:rsidRPr="00EA5AB9" w:rsidRDefault="00EA5AB9" w:rsidP="00EA5AB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A5AB9">
        <w:rPr>
          <w:rStyle w:val="FootnoteReference"/>
        </w:rPr>
        <w:footnoteRef/>
      </w:r>
      <w:r>
        <w:tab/>
        <w:t xml:space="preserve">See Government Decision </w:t>
      </w:r>
      <w:r w:rsidRPr="00EA5AB9">
        <w:t>1685</w:t>
      </w:r>
      <w:r>
        <w:t>/</w:t>
      </w:r>
      <w:r w:rsidRPr="00EA5AB9">
        <w:t>2020</w:t>
      </w:r>
      <w:r>
        <w:t xml:space="preserve">. (X. </w:t>
      </w:r>
      <w:r w:rsidRPr="00EA5AB9">
        <w:t>22</w:t>
      </w:r>
      <w:r>
        <w:t>.).</w:t>
      </w:r>
    </w:p>
  </w:footnote>
  <w:footnote w:id="3">
    <w:p w14:paraId="6055D160" w14:textId="1973FC71" w:rsidR="00BD20AE" w:rsidRPr="00BD20AE" w:rsidRDefault="00BD20AE" w:rsidP="00BD20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ab/>
      </w:r>
      <w:hyperlink r:id="rId2" w:history="1">
        <w:r w:rsidRPr="00B41A84">
          <w:rPr>
            <w:rStyle w:val="Hyperlink"/>
          </w:rPr>
          <w:t>https://</w:t>
        </w:r>
        <w:proofErr w:type="spellStart"/>
        <w:r w:rsidRPr="00B41A84">
          <w:rPr>
            <w:rStyle w:val="Hyperlink"/>
          </w:rPr>
          <w:t>www.mcc.hu</w:t>
        </w:r>
        <w:proofErr w:type="spellEnd"/>
        <w:r w:rsidRPr="00B41A84">
          <w:rPr>
            <w:rStyle w:val="Hyperlink"/>
          </w:rPr>
          <w:t>/</w:t>
        </w:r>
        <w:proofErr w:type="spellStart"/>
        <w:r w:rsidRPr="00B41A84">
          <w:rPr>
            <w:rStyle w:val="Hyperlink"/>
          </w:rPr>
          <w:t>en</w:t>
        </w:r>
        <w:proofErr w:type="spellEnd"/>
        <w:r w:rsidRPr="00B41A84">
          <w:rPr>
            <w:rStyle w:val="Hyperlink"/>
          </w:rPr>
          <w:t>/women-public-leadership-programme</w:t>
        </w:r>
      </w:hyperlink>
      <w:r>
        <w:t>.</w:t>
      </w:r>
    </w:p>
  </w:footnote>
  <w:footnote w:id="4">
    <w:p w14:paraId="154FC637" w14:textId="2CD214CF" w:rsidR="00BD20AE" w:rsidRPr="00BD20AE" w:rsidRDefault="00BD20AE" w:rsidP="00BD20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BD20AE">
        <w:t xml:space="preserve">Government Decree 110/2012. (VI. 4.) on the issuance, </w:t>
      </w:r>
      <w:proofErr w:type="gramStart"/>
      <w:r w:rsidRPr="00BD20AE">
        <w:t>implementation</w:t>
      </w:r>
      <w:proofErr w:type="gramEnd"/>
      <w:r w:rsidRPr="00BD20AE">
        <w:t xml:space="preserve"> and application of the National Core Curriculum.</w:t>
      </w:r>
    </w:p>
  </w:footnote>
  <w:footnote w:id="5">
    <w:p w14:paraId="0511AA33" w14:textId="2EE81680" w:rsidR="00BD20AE" w:rsidRPr="00BD20AE" w:rsidRDefault="00BD20AE" w:rsidP="00BD20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BD20AE">
        <w:t>Global Citizenship Education (UNESCO).</w:t>
      </w:r>
    </w:p>
  </w:footnote>
  <w:footnote w:id="6">
    <w:p w14:paraId="30456111" w14:textId="11A847EE" w:rsidR="00605A99" w:rsidRPr="00605A99" w:rsidRDefault="00605A99" w:rsidP="00605A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3" w:history="1">
        <w:r w:rsidRPr="00D13FE6">
          <w:rPr>
            <w:rStyle w:val="Hyperlink"/>
          </w:rPr>
          <w:t>https://</w:t>
        </w:r>
        <w:proofErr w:type="spellStart"/>
        <w:r w:rsidRPr="00D13FE6">
          <w:rPr>
            <w:rStyle w:val="Hyperlink"/>
          </w:rPr>
          <w:t>njt.hu</w:t>
        </w:r>
        <w:proofErr w:type="spellEnd"/>
        <w:r w:rsidRPr="00D13FE6">
          <w:rPr>
            <w:rStyle w:val="Hyperlink"/>
          </w:rPr>
          <w:t>/translation/</w:t>
        </w:r>
        <w:proofErr w:type="spellStart"/>
        <w:r w:rsidRPr="00D13FE6">
          <w:rPr>
            <w:rStyle w:val="Hyperlink"/>
          </w:rPr>
          <w:t>J2012T0100P_20200716_FIN.PDF</w:t>
        </w:r>
        <w:proofErr w:type="spellEnd"/>
      </w:hyperlink>
      <w:r w:rsidRPr="00605A99">
        <w:t>.</w:t>
      </w:r>
    </w:p>
  </w:footnote>
  <w:footnote w:id="7">
    <w:p w14:paraId="3610DE1A" w14:textId="1ABD9906" w:rsidR="006A4072" w:rsidRPr="006A4072" w:rsidRDefault="006A4072" w:rsidP="006A40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A572E">
        <w:t>Entry into force: 1 July 2020.</w:t>
      </w:r>
    </w:p>
  </w:footnote>
  <w:footnote w:id="8">
    <w:p w14:paraId="703F708A" w14:textId="7FDC36DF" w:rsidR="00CA572E" w:rsidRPr="00CA572E" w:rsidRDefault="00CA572E" w:rsidP="00CA572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4" w:history="1">
        <w:r w:rsidRPr="00D13FE6">
          <w:rPr>
            <w:rStyle w:val="Hyperlink"/>
          </w:rPr>
          <w:t>https://</w:t>
        </w:r>
        <w:proofErr w:type="spellStart"/>
        <w:r w:rsidRPr="00D13FE6">
          <w:rPr>
            <w:rStyle w:val="Hyperlink"/>
          </w:rPr>
          <w:t>www.nokmagyarorszagert.hu</w:t>
        </w:r>
        <w:proofErr w:type="spellEnd"/>
        <w:r w:rsidRPr="00D13FE6">
          <w:rPr>
            <w:rStyle w:val="Hyperlink"/>
          </w:rPr>
          <w:t>/</w:t>
        </w:r>
        <w:proofErr w:type="spellStart"/>
        <w:r w:rsidRPr="00D13FE6">
          <w:rPr>
            <w:rStyle w:val="Hyperlink"/>
          </w:rPr>
          <w:t>dij</w:t>
        </w:r>
        <w:proofErr w:type="spellEnd"/>
        <w:r w:rsidRPr="00D13FE6">
          <w:rPr>
            <w:rStyle w:val="Hyperlink"/>
          </w:rPr>
          <w:t>/</w:t>
        </w:r>
      </w:hyperlink>
      <w:r>
        <w:t>.</w:t>
      </w:r>
    </w:p>
  </w:footnote>
  <w:footnote w:id="9">
    <w:p w14:paraId="2A7E16DD" w14:textId="53F746B6" w:rsidR="00936C11" w:rsidRPr="00936C11" w:rsidRDefault="00936C11" w:rsidP="00936C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936C11">
        <w:t>Indicators are repetition of school years, having older siblings already dropped out, having parents with low qualifications, lack housing etc.</w:t>
      </w:r>
    </w:p>
  </w:footnote>
  <w:footnote w:id="10">
    <w:p w14:paraId="4D84C5D7" w14:textId="3E31F8CE" w:rsidR="00F73F3C" w:rsidRPr="00AD4B32" w:rsidRDefault="00F73F3C" w:rsidP="00F73F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AD4B32">
        <w:t xml:space="preserve"> </w:t>
      </w:r>
      <w:r w:rsidRPr="00AD4B32">
        <w:tab/>
      </w:r>
      <w:bookmarkStart w:id="4" w:name="_Hlk97211745"/>
      <w:r w:rsidRPr="00AD4B32">
        <w:t xml:space="preserve">EUROSTAT. </w:t>
      </w:r>
      <w:hyperlink r:id="rId5" w:anchor="dohnyzssalkoholfogyaszts" w:history="1">
        <w:r w:rsidRPr="00AD4B32">
          <w:rPr>
            <w:rStyle w:val="Hyperlink"/>
          </w:rPr>
          <w:t>https://www.ksh.hu/docs/hun/xftp/idoszaki/elef/te_2019/index.html#dohnyzssalkoholfogyaszts</w:t>
        </w:r>
      </w:hyperlink>
      <w:r w:rsidRPr="00AD4B32">
        <w:t>.</w:t>
      </w:r>
      <w:bookmarkEnd w:id="4"/>
    </w:p>
  </w:footnote>
  <w:footnote w:id="11">
    <w:p w14:paraId="01C242B8" w14:textId="1E22D0FA" w:rsidR="00F73F3C" w:rsidRPr="00F73F3C" w:rsidRDefault="00F73F3C" w:rsidP="00F73F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AD4B32">
        <w:tab/>
      </w:r>
      <w:r>
        <w:rPr>
          <w:rStyle w:val="FootnoteReference"/>
        </w:rPr>
        <w:footnoteRef/>
      </w:r>
      <w:r w:rsidRPr="00F73F3C">
        <w:rPr>
          <w:lang w:val="en-US"/>
        </w:rPr>
        <w:t xml:space="preserve"> </w:t>
      </w:r>
      <w:r w:rsidRPr="00F73F3C">
        <w:rPr>
          <w:lang w:val="en-US"/>
        </w:rPr>
        <w:tab/>
      </w:r>
      <w:r w:rsidRPr="00F73F3C">
        <w:t xml:space="preserve">Hungarian Central Statistical Office: </w:t>
      </w:r>
      <w:hyperlink r:id="rId6" w:history="1">
        <w:r w:rsidRPr="00F73F3C">
          <w:rPr>
            <w:rStyle w:val="Hyperlink"/>
          </w:rPr>
          <w:t>https://</w:t>
        </w:r>
        <w:proofErr w:type="spellStart"/>
        <w:r w:rsidRPr="00F73F3C">
          <w:rPr>
            <w:rStyle w:val="Hyperlink"/>
          </w:rPr>
          <w:t>www.ksh.hu</w:t>
        </w:r>
        <w:proofErr w:type="spellEnd"/>
        <w:r w:rsidRPr="00F73F3C">
          <w:rPr>
            <w:rStyle w:val="Hyperlink"/>
          </w:rPr>
          <w:t>/</w:t>
        </w:r>
        <w:proofErr w:type="spellStart"/>
        <w:r w:rsidRPr="00F73F3C">
          <w:rPr>
            <w:rStyle w:val="Hyperlink"/>
          </w:rPr>
          <w:t>stadat_files</w:t>
        </w:r>
        <w:proofErr w:type="spellEnd"/>
        <w:r w:rsidRPr="00F73F3C">
          <w:rPr>
            <w:rStyle w:val="Hyperlink"/>
          </w:rPr>
          <w:t>/</w:t>
        </w:r>
        <w:proofErr w:type="spellStart"/>
        <w:r w:rsidRPr="00F73F3C">
          <w:rPr>
            <w:rStyle w:val="Hyperlink"/>
          </w:rPr>
          <w:t>ege</w:t>
        </w:r>
        <w:proofErr w:type="spellEnd"/>
        <w:r w:rsidRPr="00F73F3C">
          <w:rPr>
            <w:rStyle w:val="Hyperlink"/>
          </w:rPr>
          <w:t>/hu/</w:t>
        </w:r>
        <w:proofErr w:type="spellStart"/>
        <w:r w:rsidRPr="00F73F3C">
          <w:rPr>
            <w:rStyle w:val="Hyperlink"/>
          </w:rPr>
          <w:t>ege0038.html</w:t>
        </w:r>
        <w:proofErr w:type="spellEnd"/>
      </w:hyperlink>
      <w:r w:rsidRPr="00F73F3C">
        <w:t xml:space="preserve">. </w:t>
      </w:r>
    </w:p>
  </w:footnote>
  <w:footnote w:id="12">
    <w:p w14:paraId="363CC110" w14:textId="38B7CE01" w:rsidR="006737BA" w:rsidRPr="00F73F3C" w:rsidRDefault="006737BA" w:rsidP="00F73F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F73F3C">
        <w:rPr>
          <w:lang w:val="en-US"/>
        </w:rPr>
        <w:tab/>
      </w:r>
      <w:r>
        <w:rPr>
          <w:rStyle w:val="FootnoteReference"/>
        </w:rPr>
        <w:footnoteRef/>
      </w:r>
      <w:r w:rsidRPr="00F73F3C">
        <w:rPr>
          <w:lang w:val="en-US"/>
        </w:rPr>
        <w:t xml:space="preserve"> </w:t>
      </w:r>
      <w:r w:rsidRPr="00F73F3C">
        <w:rPr>
          <w:lang w:val="en-US"/>
        </w:rPr>
        <w:tab/>
      </w:r>
      <w:r w:rsidR="00F73F3C">
        <w:rPr>
          <w:lang w:val="en-US"/>
        </w:rPr>
        <w:t>N</w:t>
      </w:r>
      <w:proofErr w:type="spellStart"/>
      <w:r w:rsidR="00F73F3C" w:rsidRPr="00F73F3C">
        <w:t>ational</w:t>
      </w:r>
      <w:proofErr w:type="spellEnd"/>
      <w:r w:rsidR="00F73F3C" w:rsidRPr="00F73F3C">
        <w:t xml:space="preserve"> Public Health Centre World AIDS Day – 1</w:t>
      </w:r>
      <w:r w:rsidR="00F73F3C" w:rsidRPr="005108D6">
        <w:t>st</w:t>
      </w:r>
      <w:r w:rsidR="00F73F3C" w:rsidRPr="00F73F3C">
        <w:t xml:space="preserve"> December. </w:t>
      </w:r>
      <w:r w:rsidR="00F73F3C" w:rsidRPr="00F73F3C">
        <w:rPr>
          <w:lang w:val="fr-FR"/>
        </w:rPr>
        <w:t>Information (01.12.2020)</w:t>
      </w:r>
      <w:r w:rsidR="00F73F3C">
        <w:rPr>
          <w:lang w:val="fr-FR"/>
        </w:rPr>
        <w:t xml:space="preserve">. </w:t>
      </w:r>
      <w:hyperlink r:id="rId7" w:history="1">
        <w:r w:rsidR="00F73F3C" w:rsidRPr="004B365A">
          <w:rPr>
            <w:rStyle w:val="Hyperlink"/>
            <w:lang w:val="fr-CH"/>
          </w:rPr>
          <w:t>http://neak.gov.hu/sajtoszoba/kozlemenyek_eu_napok/egeszsegugyi_vilagnapok_aids</w:t>
        </w:r>
      </w:hyperlink>
      <w:r w:rsidR="00F73F3C" w:rsidRPr="00F73F3C">
        <w:rPr>
          <w:lang w:val="fr-CH"/>
        </w:rPr>
        <w:t>.</w:t>
      </w:r>
    </w:p>
  </w:footnote>
  <w:footnote w:id="13">
    <w:p w14:paraId="237B97D5" w14:textId="7E66C544" w:rsidR="000869F3" w:rsidRPr="000869F3" w:rsidRDefault="000869F3" w:rsidP="000869F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AD4B32">
        <w:rPr>
          <w:lang w:val="fr-FR"/>
        </w:rPr>
        <w:tab/>
      </w:r>
      <w:r>
        <w:rPr>
          <w:rStyle w:val="FootnoteReference"/>
        </w:rPr>
        <w:footnoteRef/>
      </w:r>
      <w:r>
        <w:t xml:space="preserve"> </w:t>
      </w:r>
      <w:r>
        <w:tab/>
      </w:r>
      <w:r w:rsidRPr="000869F3">
        <w:t xml:space="preserve">See at </w:t>
      </w:r>
      <w:hyperlink r:id="rId8" w:history="1">
        <w:r w:rsidRPr="000869F3">
          <w:rPr>
            <w:rStyle w:val="Hyperlink"/>
          </w:rPr>
          <w:t>https://</w:t>
        </w:r>
        <w:proofErr w:type="spellStart"/>
        <w:r w:rsidRPr="000869F3">
          <w:rPr>
            <w:rStyle w:val="Hyperlink"/>
          </w:rPr>
          <w:t>egyszulo.hu</w:t>
        </w:r>
        <w:proofErr w:type="spellEnd"/>
        <w:r w:rsidRPr="000869F3">
          <w:rPr>
            <w:rStyle w:val="Hyperlink"/>
          </w:rPr>
          <w:t>/</w:t>
        </w:r>
        <w:proofErr w:type="spellStart"/>
        <w:r w:rsidRPr="000869F3">
          <w:rPr>
            <w:rStyle w:val="Hyperlink"/>
          </w:rPr>
          <w:t>english</w:t>
        </w:r>
        <w:proofErr w:type="spellEnd"/>
      </w:hyperlink>
      <w:r w:rsidRPr="000869F3">
        <w:t xml:space="preserve">. </w:t>
      </w:r>
    </w:p>
  </w:footnote>
  <w:footnote w:id="14">
    <w:p w14:paraId="09397BAA" w14:textId="47AAB7CA" w:rsidR="000869F3" w:rsidRPr="000869F3" w:rsidRDefault="000869F3" w:rsidP="000869F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9F3">
        <w:t xml:space="preserve">See at </w:t>
      </w:r>
      <w:hyperlink r:id="rId9" w:history="1">
        <w:r w:rsidRPr="000869F3">
          <w:rPr>
            <w:rStyle w:val="Hyperlink"/>
          </w:rPr>
          <w:t>https://</w:t>
        </w:r>
        <w:proofErr w:type="spellStart"/>
        <w:r w:rsidRPr="000869F3">
          <w:rPr>
            <w:rStyle w:val="Hyperlink"/>
          </w:rPr>
          <w:t>youtu.be</w:t>
        </w:r>
        <w:proofErr w:type="spellEnd"/>
        <w:r w:rsidRPr="000869F3">
          <w:rPr>
            <w:rStyle w:val="Hyperlink"/>
          </w:rPr>
          <w:t>/</w:t>
        </w:r>
        <w:proofErr w:type="spellStart"/>
        <w:r w:rsidRPr="000869F3">
          <w:rPr>
            <w:rStyle w:val="Hyperlink"/>
          </w:rPr>
          <w:t>DV2ZQMjelOg</w:t>
        </w:r>
        <w:proofErr w:type="spellEnd"/>
      </w:hyperlink>
      <w:r w:rsidRPr="000869F3">
        <w:t>.</w:t>
      </w:r>
    </w:p>
  </w:footnote>
  <w:footnote w:id="15">
    <w:p w14:paraId="2AB9998A" w14:textId="7B59A469" w:rsidR="000869F3" w:rsidRPr="000869F3" w:rsidRDefault="000869F3" w:rsidP="000869F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9F3">
        <w:t xml:space="preserve">The call for this year is already available at </w:t>
      </w:r>
      <w:hyperlink r:id="rId10" w:history="1">
        <w:r w:rsidRPr="000869F3">
          <w:rPr>
            <w:rStyle w:val="Hyperlink"/>
          </w:rPr>
          <w:t>https://seed.hu/hirek/a-tortenet-folytatodik-sikeres-vallalkozonok-es-noi-vallalatvezetok-kerestetnek-2021-ben-is</w:t>
        </w:r>
      </w:hyperlink>
      <w:r w:rsidRPr="000869F3">
        <w:t>.</w:t>
      </w:r>
    </w:p>
  </w:footnote>
  <w:footnote w:id="16">
    <w:p w14:paraId="00165FCD" w14:textId="0CBC39F4" w:rsidR="000869F3" w:rsidRPr="000869F3" w:rsidRDefault="000869F3" w:rsidP="000869F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spellStart"/>
      <w:r w:rsidRPr="000869F3">
        <w:rPr>
          <w:lang w:val="en-AU"/>
        </w:rPr>
        <w:t>HNP</w:t>
      </w:r>
      <w:proofErr w:type="spellEnd"/>
      <w:r w:rsidRPr="000869F3">
        <w:rPr>
          <w:lang w:val="en-AU"/>
        </w:rPr>
        <w:t xml:space="preserve"> HQ decree 22/2011. (X. 21.) on Cooperation and Contact between the Police and Roma Minority Self-Governments.</w:t>
      </w:r>
    </w:p>
  </w:footnote>
  <w:footnote w:id="17">
    <w:p w14:paraId="7E5A6EF7" w14:textId="0B18BE60" w:rsidR="000869F3" w:rsidRPr="000869F3" w:rsidRDefault="000869F3" w:rsidP="000869F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69F3">
        <w:rPr>
          <w:lang w:val="en-AU"/>
        </w:rPr>
        <w:t>Government Decree 301/2007 (XI. 9.) on the implementation of Act LXXX of 2007 on Asylum.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5DAC" w14:paraId="188A882D" w14:textId="77777777" w:rsidTr="00685DAC">
      <w:trPr>
        <w:trHeight w:hRule="exact" w:val="864"/>
      </w:trPr>
      <w:tc>
        <w:tcPr>
          <w:tcW w:w="4920" w:type="dxa"/>
          <w:shd w:val="clear" w:color="auto" w:fill="auto"/>
          <w:vAlign w:val="bottom"/>
        </w:tcPr>
        <w:p w14:paraId="24C87BB7" w14:textId="212006D8" w:rsidR="00685DAC" w:rsidRPr="00685DAC" w:rsidRDefault="00685DAC" w:rsidP="00685DAC">
          <w:pPr>
            <w:pStyle w:val="Header"/>
            <w:spacing w:after="80"/>
            <w:rPr>
              <w:b/>
            </w:rPr>
          </w:pPr>
          <w:r>
            <w:rPr>
              <w:b/>
            </w:rPr>
            <w:fldChar w:fldCharType="begin"/>
          </w:r>
          <w:r>
            <w:rPr>
              <w:b/>
            </w:rPr>
            <w:instrText xml:space="preserve"> DOCVARIABLE "sss1" \* MERGEFORMAT </w:instrText>
          </w:r>
          <w:r>
            <w:rPr>
              <w:b/>
            </w:rPr>
            <w:fldChar w:fldCharType="separate"/>
          </w:r>
          <w:r w:rsidR="00EF6F32">
            <w:rPr>
              <w:b/>
            </w:rPr>
            <w:t>CEDAW/C/HUN/RQ/9</w:t>
          </w:r>
          <w:r>
            <w:rPr>
              <w:b/>
            </w:rPr>
            <w:fldChar w:fldCharType="end"/>
          </w:r>
        </w:p>
      </w:tc>
      <w:tc>
        <w:tcPr>
          <w:tcW w:w="4920" w:type="dxa"/>
          <w:shd w:val="clear" w:color="auto" w:fill="auto"/>
          <w:vAlign w:val="bottom"/>
        </w:tcPr>
        <w:p w14:paraId="3A3EDBFF" w14:textId="77777777" w:rsidR="00685DAC" w:rsidRDefault="00685DAC" w:rsidP="00685DAC">
          <w:pPr>
            <w:pStyle w:val="Header"/>
          </w:pPr>
        </w:p>
      </w:tc>
    </w:tr>
  </w:tbl>
  <w:p w14:paraId="29088D6B" w14:textId="77777777" w:rsidR="00685DAC" w:rsidRPr="00685DAC" w:rsidRDefault="00685DAC" w:rsidP="00685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5DAC" w14:paraId="3D5A726B" w14:textId="77777777" w:rsidTr="00685DAC">
      <w:trPr>
        <w:trHeight w:hRule="exact" w:val="864"/>
      </w:trPr>
      <w:tc>
        <w:tcPr>
          <w:tcW w:w="4920" w:type="dxa"/>
          <w:shd w:val="clear" w:color="auto" w:fill="auto"/>
          <w:vAlign w:val="bottom"/>
        </w:tcPr>
        <w:p w14:paraId="0682C0E0" w14:textId="77777777" w:rsidR="00685DAC" w:rsidRDefault="00685DAC" w:rsidP="00685DAC">
          <w:pPr>
            <w:pStyle w:val="Header"/>
          </w:pPr>
        </w:p>
      </w:tc>
      <w:tc>
        <w:tcPr>
          <w:tcW w:w="4920" w:type="dxa"/>
          <w:shd w:val="clear" w:color="auto" w:fill="auto"/>
          <w:vAlign w:val="bottom"/>
        </w:tcPr>
        <w:p w14:paraId="612E03F3" w14:textId="4C698FEC" w:rsidR="00685DAC" w:rsidRPr="00685DAC" w:rsidRDefault="00685DAC" w:rsidP="00685DAC">
          <w:pPr>
            <w:pStyle w:val="Header"/>
            <w:spacing w:after="80"/>
            <w:jc w:val="right"/>
            <w:rPr>
              <w:b/>
            </w:rPr>
          </w:pPr>
          <w:r>
            <w:rPr>
              <w:b/>
            </w:rPr>
            <w:fldChar w:fldCharType="begin"/>
          </w:r>
          <w:r>
            <w:rPr>
              <w:b/>
            </w:rPr>
            <w:instrText xml:space="preserve"> DOCVARIABLE "sss1" \* MERGEFORMAT </w:instrText>
          </w:r>
          <w:r>
            <w:rPr>
              <w:b/>
            </w:rPr>
            <w:fldChar w:fldCharType="separate"/>
          </w:r>
          <w:r w:rsidR="00EF6F32">
            <w:rPr>
              <w:b/>
            </w:rPr>
            <w:t>CEDAW/C/HUN/RQ/9</w:t>
          </w:r>
          <w:r>
            <w:rPr>
              <w:b/>
            </w:rPr>
            <w:fldChar w:fldCharType="end"/>
          </w:r>
        </w:p>
      </w:tc>
    </w:tr>
  </w:tbl>
  <w:p w14:paraId="1D6AA8ED" w14:textId="77777777" w:rsidR="00685DAC" w:rsidRPr="00685DAC" w:rsidRDefault="00685DAC" w:rsidP="00685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85DAC" w14:paraId="77ABFC81" w14:textId="77777777" w:rsidTr="00685DAC">
      <w:trPr>
        <w:trHeight w:hRule="exact" w:val="864"/>
      </w:trPr>
      <w:tc>
        <w:tcPr>
          <w:tcW w:w="1267" w:type="dxa"/>
          <w:tcBorders>
            <w:bottom w:val="single" w:sz="4" w:space="0" w:color="auto"/>
          </w:tcBorders>
          <w:shd w:val="clear" w:color="auto" w:fill="auto"/>
          <w:vAlign w:val="bottom"/>
        </w:tcPr>
        <w:p w14:paraId="6C335AB0" w14:textId="77777777" w:rsidR="00685DAC" w:rsidRDefault="00685DAC" w:rsidP="00685DAC">
          <w:pPr>
            <w:pStyle w:val="Header"/>
            <w:spacing w:after="120"/>
          </w:pPr>
        </w:p>
      </w:tc>
      <w:tc>
        <w:tcPr>
          <w:tcW w:w="1872" w:type="dxa"/>
          <w:tcBorders>
            <w:bottom w:val="single" w:sz="4" w:space="0" w:color="auto"/>
          </w:tcBorders>
          <w:shd w:val="clear" w:color="auto" w:fill="auto"/>
          <w:vAlign w:val="bottom"/>
        </w:tcPr>
        <w:p w14:paraId="092B04F5" w14:textId="12B7E262" w:rsidR="00685DAC" w:rsidRPr="00685DAC" w:rsidRDefault="00685DAC" w:rsidP="00685DA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269D796" w14:textId="77777777" w:rsidR="00685DAC" w:rsidRDefault="00685DAC" w:rsidP="00685DAC">
          <w:pPr>
            <w:pStyle w:val="Header"/>
            <w:spacing w:after="120"/>
          </w:pPr>
        </w:p>
      </w:tc>
      <w:tc>
        <w:tcPr>
          <w:tcW w:w="6466" w:type="dxa"/>
          <w:gridSpan w:val="4"/>
          <w:tcBorders>
            <w:bottom w:val="single" w:sz="4" w:space="0" w:color="auto"/>
          </w:tcBorders>
          <w:shd w:val="clear" w:color="auto" w:fill="auto"/>
          <w:vAlign w:val="bottom"/>
        </w:tcPr>
        <w:p w14:paraId="41807241" w14:textId="17D24FB9" w:rsidR="00685DAC" w:rsidRPr="00685DAC" w:rsidRDefault="00685DAC" w:rsidP="00685DAC">
          <w:pPr>
            <w:spacing w:after="80" w:line="240" w:lineRule="auto"/>
            <w:jc w:val="right"/>
            <w:rPr>
              <w:position w:val="-4"/>
            </w:rPr>
          </w:pPr>
          <w:proofErr w:type="spellStart"/>
          <w:r>
            <w:rPr>
              <w:position w:val="-4"/>
              <w:sz w:val="40"/>
            </w:rPr>
            <w:t>CEDAW</w:t>
          </w:r>
          <w:proofErr w:type="spellEnd"/>
          <w:r>
            <w:rPr>
              <w:position w:val="-4"/>
            </w:rPr>
            <w:t>/C/HUN/</w:t>
          </w:r>
          <w:proofErr w:type="spellStart"/>
          <w:r>
            <w:rPr>
              <w:position w:val="-4"/>
            </w:rPr>
            <w:t>RQ</w:t>
          </w:r>
          <w:proofErr w:type="spellEnd"/>
          <w:r>
            <w:rPr>
              <w:position w:val="-4"/>
            </w:rPr>
            <w:t>/9</w:t>
          </w:r>
        </w:p>
      </w:tc>
    </w:tr>
    <w:tr w:rsidR="00685DAC" w:rsidRPr="00685DAC" w14:paraId="3F253D92" w14:textId="77777777" w:rsidTr="00685DAC">
      <w:trPr>
        <w:gridAfter w:val="1"/>
        <w:wAfter w:w="15" w:type="dxa"/>
        <w:trHeight w:hRule="exact" w:val="2880"/>
      </w:trPr>
      <w:tc>
        <w:tcPr>
          <w:tcW w:w="1267" w:type="dxa"/>
          <w:tcBorders>
            <w:top w:val="single" w:sz="4" w:space="0" w:color="auto"/>
            <w:bottom w:val="single" w:sz="12" w:space="0" w:color="auto"/>
          </w:tcBorders>
          <w:shd w:val="clear" w:color="auto" w:fill="auto"/>
        </w:tcPr>
        <w:p w14:paraId="1C02D95A" w14:textId="18E3EE41" w:rsidR="00685DAC" w:rsidRPr="00685DAC" w:rsidRDefault="00685DAC" w:rsidP="00685DAC">
          <w:pPr>
            <w:pStyle w:val="Header"/>
            <w:spacing w:before="120"/>
            <w:jc w:val="center"/>
          </w:pPr>
          <w:r>
            <w:t xml:space="preserve"> </w:t>
          </w:r>
          <w:r>
            <w:drawing>
              <wp:inline distT="0" distB="0" distL="0" distR="0" wp14:anchorId="7B37F5FF" wp14:editId="12C8727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59082B" w14:textId="41240C8A" w:rsidR="00685DAC" w:rsidRPr="00685DAC" w:rsidRDefault="00685DAC" w:rsidP="00685DAC">
          <w:pPr>
            <w:pStyle w:val="XLarge"/>
            <w:spacing w:before="109"/>
          </w:pPr>
          <w:r>
            <w:t>Convention on the Elimination</w:t>
          </w:r>
          <w:r w:rsidR="00450F7E">
            <w:t xml:space="preserve"> </w:t>
          </w:r>
          <w:r>
            <w:t>of All Forms of Discrimination against Women</w:t>
          </w:r>
        </w:p>
      </w:tc>
      <w:tc>
        <w:tcPr>
          <w:tcW w:w="245" w:type="dxa"/>
          <w:tcBorders>
            <w:top w:val="single" w:sz="4" w:space="0" w:color="auto"/>
            <w:bottom w:val="single" w:sz="12" w:space="0" w:color="auto"/>
          </w:tcBorders>
          <w:shd w:val="clear" w:color="auto" w:fill="auto"/>
        </w:tcPr>
        <w:p w14:paraId="569B357B" w14:textId="77777777" w:rsidR="00685DAC" w:rsidRPr="00685DAC" w:rsidRDefault="00685DAC" w:rsidP="00685DAC">
          <w:pPr>
            <w:pStyle w:val="Header"/>
            <w:spacing w:before="109"/>
          </w:pPr>
        </w:p>
      </w:tc>
      <w:tc>
        <w:tcPr>
          <w:tcW w:w="3096" w:type="dxa"/>
          <w:tcBorders>
            <w:top w:val="single" w:sz="4" w:space="0" w:color="auto"/>
            <w:bottom w:val="single" w:sz="12" w:space="0" w:color="auto"/>
          </w:tcBorders>
          <w:shd w:val="clear" w:color="auto" w:fill="auto"/>
        </w:tcPr>
        <w:p w14:paraId="143401F5" w14:textId="77777777" w:rsidR="00685DAC" w:rsidRDefault="00685DAC" w:rsidP="00685DAC">
          <w:pPr>
            <w:pStyle w:val="Publication"/>
            <w:spacing w:before="240"/>
            <w:rPr>
              <w:color w:val="010000"/>
            </w:rPr>
          </w:pPr>
          <w:r>
            <w:rPr>
              <w:color w:val="010000"/>
            </w:rPr>
            <w:t>Distr.: General</w:t>
          </w:r>
        </w:p>
        <w:p w14:paraId="7E3C267E" w14:textId="77777777" w:rsidR="00685DAC" w:rsidRDefault="00685DAC" w:rsidP="00685DAC">
          <w:r>
            <w:t>25 February 2022</w:t>
          </w:r>
        </w:p>
        <w:p w14:paraId="5097E438" w14:textId="42C04202" w:rsidR="00685DAC" w:rsidRDefault="00685DAC" w:rsidP="00685DAC"/>
        <w:p w14:paraId="0F131B7A" w14:textId="77777777" w:rsidR="00450F7E" w:rsidRDefault="00685DAC" w:rsidP="00450F7E">
          <w:r>
            <w:t xml:space="preserve">Original: </w:t>
          </w:r>
          <w:r w:rsidR="00450F7E">
            <w:t>English</w:t>
          </w:r>
        </w:p>
        <w:p w14:paraId="1B5FA40D" w14:textId="6B11C2B4" w:rsidR="00685DAC" w:rsidRPr="00685DAC" w:rsidRDefault="00450F7E" w:rsidP="00450F7E">
          <w:r>
            <w:t xml:space="preserve">English, </w:t>
          </w:r>
          <w:proofErr w:type="gramStart"/>
          <w:r>
            <w:t>French</w:t>
          </w:r>
          <w:proofErr w:type="gramEnd"/>
          <w:r>
            <w:t xml:space="preserve"> and Spanish only</w:t>
          </w:r>
        </w:p>
      </w:tc>
    </w:tr>
  </w:tbl>
  <w:p w14:paraId="30AD3CE6" w14:textId="77777777" w:rsidR="00685DAC" w:rsidRPr="00685DAC" w:rsidRDefault="00685DAC" w:rsidP="00685D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C20"/>
    <w:multiLevelType w:val="hybridMultilevel"/>
    <w:tmpl w:val="5AC2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6FF0DCF"/>
    <w:multiLevelType w:val="hybridMultilevel"/>
    <w:tmpl w:val="245655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59400F1"/>
    <w:multiLevelType w:val="multilevel"/>
    <w:tmpl w:val="B916014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89A6579"/>
    <w:multiLevelType w:val="hybridMultilevel"/>
    <w:tmpl w:val="8E64161E"/>
    <w:lvl w:ilvl="0" w:tplc="FAF064B6">
      <w:start w:val="1"/>
      <w:numFmt w:val="lowerLetter"/>
      <w:lvlText w:val="%1)"/>
      <w:lvlJc w:val="left"/>
      <w:pPr>
        <w:ind w:left="720" w:hanging="360"/>
      </w:pPr>
      <w:rPr>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FCA008F"/>
    <w:multiLevelType w:val="hybridMultilevel"/>
    <w:tmpl w:val="220EFFE0"/>
    <w:lvl w:ilvl="0" w:tplc="FB52022A">
      <w:start w:val="1"/>
      <w:numFmt w:val="lowerLetter"/>
      <w:lvlText w:val="%1)"/>
      <w:lvlJc w:val="left"/>
      <w:pPr>
        <w:ind w:left="720" w:hanging="360"/>
      </w:pPr>
      <w:rPr>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79C415A7"/>
    <w:multiLevelType w:val="hybridMultilevel"/>
    <w:tmpl w:val="D7C2D73C"/>
    <w:lvl w:ilvl="0" w:tplc="A52C184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8"/>
  </w:num>
  <w:num w:numId="6">
    <w:abstractNumId w:val="3"/>
  </w:num>
  <w:num w:numId="7">
    <w:abstractNumId w:val="8"/>
  </w:num>
  <w:num w:numId="8">
    <w:abstractNumId w:val="3"/>
  </w:num>
  <w:num w:numId="9">
    <w:abstractNumId w:val="8"/>
  </w:num>
  <w:num w:numId="10">
    <w:abstractNumId w:val="3"/>
  </w:num>
  <w:num w:numId="11">
    <w:abstractNumId w:val="8"/>
  </w:num>
  <w:num w:numId="12">
    <w:abstractNumId w:val="1"/>
  </w:num>
  <w:num w:numId="13">
    <w:abstractNumId w:val="3"/>
  </w:num>
  <w:num w:numId="14">
    <w:abstractNumId w:val="5"/>
  </w:num>
  <w:num w:numId="15">
    <w:abstractNumId w:val="8"/>
  </w:num>
  <w:num w:numId="16">
    <w:abstractNumId w:val="1"/>
  </w:num>
  <w:num w:numId="17">
    <w:abstractNumId w:val="3"/>
  </w:num>
  <w:num w:numId="18">
    <w:abstractNumId w:val="5"/>
  </w:num>
  <w:num w:numId="19">
    <w:abstractNumId w:val="8"/>
  </w:num>
  <w:num w:numId="20">
    <w:abstractNumId w:val="3"/>
  </w:num>
  <w:num w:numId="21">
    <w:abstractNumId w:val="8"/>
  </w:num>
  <w:num w:numId="22">
    <w:abstractNumId w:val="3"/>
  </w:num>
  <w:num w:numId="23">
    <w:abstractNumId w:val="8"/>
  </w:num>
  <w:num w:numId="24">
    <w:abstractNumId w:val="3"/>
  </w:num>
  <w:num w:numId="25">
    <w:abstractNumId w:val="4"/>
  </w:num>
  <w:num w:numId="26">
    <w:abstractNumId w:val="6"/>
  </w:num>
  <w:num w:numId="27">
    <w:abstractNumId w:val="9"/>
  </w:num>
  <w:num w:numId="28">
    <w:abstractNumId w:val="7"/>
  </w:num>
  <w:num w:numId="29">
    <w:abstractNumId w:val="2"/>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Consideration of reports submitted by States parties under article 18 of the Convention on the Elimination of All Forms of Discrimination against Women_x000d_"/>
    <w:docVar w:name="Agenda1" w:val="Item 4 of the provisional agenda_x000d_"/>
    <w:docVar w:name="Barcode" w:val="*2202795*"/>
    <w:docVar w:name="CreationDt" w:val="02/03/2022 15:17:45"/>
    <w:docVar w:name="DocCategory" w:val="Doc"/>
    <w:docVar w:name="DocType" w:val="Final"/>
    <w:docVar w:name="DutyStation" w:val="New York"/>
    <w:docVar w:name="FooterJN" w:val="22-02795"/>
    <w:docVar w:name="jobn" w:val="22-02795 (E)"/>
    <w:docVar w:name="jobnDT" w:val="22-02795 (E)   020322"/>
    <w:docVar w:name="jobnDTDT" w:val="22-02795 (E)   020322   020322"/>
    <w:docVar w:name="JobNo" w:val="2202795E"/>
    <w:docVar w:name="JobNo2" w:val="2226945E"/>
    <w:docVar w:name="LocalDrive" w:val="0"/>
    <w:docVar w:name="OandT" w:val=" "/>
    <w:docVar w:name="Session1" w:val="Eighty-second session_x000d_"/>
    <w:docVar w:name="sss1" w:val="CEDAW/C/HUN/RQ/9"/>
    <w:docVar w:name="sss2" w:val="-"/>
    <w:docVar w:name="Symbol1" w:val="CEDAW/C/HUN/RQ/9"/>
    <w:docVar w:name="Symbol2" w:val="-"/>
    <w:docVar w:name="Title1" w:val="_x0009__x0009_Replies of Hungary to the list of issues and questions in relation to its ninth periodic report*,**_x000d_"/>
  </w:docVars>
  <w:rsids>
    <w:rsidRoot w:val="001C707B"/>
    <w:rsid w:val="000016D4"/>
    <w:rsid w:val="00012805"/>
    <w:rsid w:val="0001325F"/>
    <w:rsid w:val="00017FCF"/>
    <w:rsid w:val="00024758"/>
    <w:rsid w:val="00024D1E"/>
    <w:rsid w:val="000408AB"/>
    <w:rsid w:val="0007129D"/>
    <w:rsid w:val="000869F3"/>
    <w:rsid w:val="000B3288"/>
    <w:rsid w:val="000B5AFB"/>
    <w:rsid w:val="000C4C9C"/>
    <w:rsid w:val="000D0881"/>
    <w:rsid w:val="0011766D"/>
    <w:rsid w:val="00163B36"/>
    <w:rsid w:val="001A207A"/>
    <w:rsid w:val="001C22A4"/>
    <w:rsid w:val="001C66B8"/>
    <w:rsid w:val="001C707B"/>
    <w:rsid w:val="001D79B0"/>
    <w:rsid w:val="001F157E"/>
    <w:rsid w:val="001F2E59"/>
    <w:rsid w:val="002007C7"/>
    <w:rsid w:val="00200F9C"/>
    <w:rsid w:val="00201732"/>
    <w:rsid w:val="00211F9B"/>
    <w:rsid w:val="00214645"/>
    <w:rsid w:val="0022188C"/>
    <w:rsid w:val="00245A98"/>
    <w:rsid w:val="00254E20"/>
    <w:rsid w:val="00256690"/>
    <w:rsid w:val="0026267D"/>
    <w:rsid w:val="002706A2"/>
    <w:rsid w:val="00292879"/>
    <w:rsid w:val="00295AE0"/>
    <w:rsid w:val="002C633D"/>
    <w:rsid w:val="002D5AB8"/>
    <w:rsid w:val="002E09A8"/>
    <w:rsid w:val="002E5610"/>
    <w:rsid w:val="00300A9C"/>
    <w:rsid w:val="00300B6A"/>
    <w:rsid w:val="00303134"/>
    <w:rsid w:val="00313506"/>
    <w:rsid w:val="00333A03"/>
    <w:rsid w:val="00346E64"/>
    <w:rsid w:val="00371A3B"/>
    <w:rsid w:val="00383DE3"/>
    <w:rsid w:val="003A0A16"/>
    <w:rsid w:val="003C4993"/>
    <w:rsid w:val="003D159A"/>
    <w:rsid w:val="003E3B08"/>
    <w:rsid w:val="003E723B"/>
    <w:rsid w:val="003F25BA"/>
    <w:rsid w:val="0044179B"/>
    <w:rsid w:val="00450F7E"/>
    <w:rsid w:val="00465CBD"/>
    <w:rsid w:val="004856CD"/>
    <w:rsid w:val="00487C32"/>
    <w:rsid w:val="00492ED8"/>
    <w:rsid w:val="004A199E"/>
    <w:rsid w:val="004A2EDA"/>
    <w:rsid w:val="004A6554"/>
    <w:rsid w:val="004B0B18"/>
    <w:rsid w:val="004B4C46"/>
    <w:rsid w:val="004C4D1A"/>
    <w:rsid w:val="004D17DB"/>
    <w:rsid w:val="005108D6"/>
    <w:rsid w:val="00525648"/>
    <w:rsid w:val="00525F6C"/>
    <w:rsid w:val="0054091E"/>
    <w:rsid w:val="00556720"/>
    <w:rsid w:val="00564E7E"/>
    <w:rsid w:val="005774B6"/>
    <w:rsid w:val="005856F3"/>
    <w:rsid w:val="005A3F8D"/>
    <w:rsid w:val="005C49C8"/>
    <w:rsid w:val="005D3EA2"/>
    <w:rsid w:val="005E45B3"/>
    <w:rsid w:val="005F2F1C"/>
    <w:rsid w:val="00605A99"/>
    <w:rsid w:val="00612565"/>
    <w:rsid w:val="006137E4"/>
    <w:rsid w:val="00636929"/>
    <w:rsid w:val="0064252E"/>
    <w:rsid w:val="00651750"/>
    <w:rsid w:val="006557A0"/>
    <w:rsid w:val="006737BA"/>
    <w:rsid w:val="00674235"/>
    <w:rsid w:val="00685DAC"/>
    <w:rsid w:val="0069786C"/>
    <w:rsid w:val="006A4072"/>
    <w:rsid w:val="006A7BE9"/>
    <w:rsid w:val="006D6278"/>
    <w:rsid w:val="006E19F3"/>
    <w:rsid w:val="006E2FA3"/>
    <w:rsid w:val="006E336D"/>
    <w:rsid w:val="006F19E2"/>
    <w:rsid w:val="00707CAD"/>
    <w:rsid w:val="00747697"/>
    <w:rsid w:val="00764DD9"/>
    <w:rsid w:val="00777887"/>
    <w:rsid w:val="007A4C14"/>
    <w:rsid w:val="007A620C"/>
    <w:rsid w:val="007F1EE6"/>
    <w:rsid w:val="007F5324"/>
    <w:rsid w:val="00811400"/>
    <w:rsid w:val="00846D29"/>
    <w:rsid w:val="00855FFA"/>
    <w:rsid w:val="008645DF"/>
    <w:rsid w:val="008723C3"/>
    <w:rsid w:val="00890662"/>
    <w:rsid w:val="0089085F"/>
    <w:rsid w:val="008A156F"/>
    <w:rsid w:val="008C2ECD"/>
    <w:rsid w:val="008D25AE"/>
    <w:rsid w:val="008D33C8"/>
    <w:rsid w:val="008D353C"/>
    <w:rsid w:val="008F1C5D"/>
    <w:rsid w:val="00936C11"/>
    <w:rsid w:val="009425EA"/>
    <w:rsid w:val="00947922"/>
    <w:rsid w:val="009517EC"/>
    <w:rsid w:val="00960FB8"/>
    <w:rsid w:val="009709DF"/>
    <w:rsid w:val="009740EE"/>
    <w:rsid w:val="009868B9"/>
    <w:rsid w:val="009B6BDD"/>
    <w:rsid w:val="009E1969"/>
    <w:rsid w:val="009F527F"/>
    <w:rsid w:val="00A11105"/>
    <w:rsid w:val="00A20AC0"/>
    <w:rsid w:val="00A30DCB"/>
    <w:rsid w:val="00A41110"/>
    <w:rsid w:val="00A65E9C"/>
    <w:rsid w:val="00A67B69"/>
    <w:rsid w:val="00A73452"/>
    <w:rsid w:val="00A81678"/>
    <w:rsid w:val="00A909A6"/>
    <w:rsid w:val="00A93A73"/>
    <w:rsid w:val="00AA2E74"/>
    <w:rsid w:val="00AA31F4"/>
    <w:rsid w:val="00AA4864"/>
    <w:rsid w:val="00AB2BAB"/>
    <w:rsid w:val="00AC2F04"/>
    <w:rsid w:val="00AC617F"/>
    <w:rsid w:val="00AD4B32"/>
    <w:rsid w:val="00AE72A3"/>
    <w:rsid w:val="00AE7569"/>
    <w:rsid w:val="00B22784"/>
    <w:rsid w:val="00B240BA"/>
    <w:rsid w:val="00B27E2C"/>
    <w:rsid w:val="00B36017"/>
    <w:rsid w:val="00B40842"/>
    <w:rsid w:val="00B71CEC"/>
    <w:rsid w:val="00BA666B"/>
    <w:rsid w:val="00BB5C7D"/>
    <w:rsid w:val="00BD20AE"/>
    <w:rsid w:val="00BE196B"/>
    <w:rsid w:val="00BF5B27"/>
    <w:rsid w:val="00BF6BE0"/>
    <w:rsid w:val="00C30C01"/>
    <w:rsid w:val="00C75E32"/>
    <w:rsid w:val="00C779E4"/>
    <w:rsid w:val="00CA50BA"/>
    <w:rsid w:val="00CA572E"/>
    <w:rsid w:val="00CB0BA5"/>
    <w:rsid w:val="00CD35E6"/>
    <w:rsid w:val="00CD4AC4"/>
    <w:rsid w:val="00CE7435"/>
    <w:rsid w:val="00D526E8"/>
    <w:rsid w:val="00D94A42"/>
    <w:rsid w:val="00DA0DA7"/>
    <w:rsid w:val="00DA2E3B"/>
    <w:rsid w:val="00DB4528"/>
    <w:rsid w:val="00DC7B16"/>
    <w:rsid w:val="00DD1AEF"/>
    <w:rsid w:val="00DD42F7"/>
    <w:rsid w:val="00E51695"/>
    <w:rsid w:val="00E75C9F"/>
    <w:rsid w:val="00E870C2"/>
    <w:rsid w:val="00E97E84"/>
    <w:rsid w:val="00EA5AB9"/>
    <w:rsid w:val="00EC00C6"/>
    <w:rsid w:val="00ED42F5"/>
    <w:rsid w:val="00ED5AA7"/>
    <w:rsid w:val="00EF6F32"/>
    <w:rsid w:val="00F143E5"/>
    <w:rsid w:val="00F27BF6"/>
    <w:rsid w:val="00F30184"/>
    <w:rsid w:val="00F5593E"/>
    <w:rsid w:val="00F73F3C"/>
    <w:rsid w:val="00F7600D"/>
    <w:rsid w:val="00F850AD"/>
    <w:rsid w:val="00F8600E"/>
    <w:rsid w:val="00F94BC6"/>
    <w:rsid w:val="00FC49F5"/>
    <w:rsid w:val="00FE4D7D"/>
    <w:rsid w:val="00FF18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20ADF"/>
  <w15:chartTrackingRefBased/>
  <w15:docId w15:val="{4D3922AC-EE35-4310-9EDB-BB4BD3C7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0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C2F04"/>
    <w:pPr>
      <w:spacing w:line="300" w:lineRule="exact"/>
      <w:ind w:left="0" w:right="0" w:firstLine="0"/>
    </w:pPr>
    <w:rPr>
      <w:spacing w:val="-2"/>
      <w:sz w:val="28"/>
    </w:rPr>
  </w:style>
  <w:style w:type="paragraph" w:customStyle="1" w:styleId="HM">
    <w:name w:val="_ H __M"/>
    <w:basedOn w:val="HCh"/>
    <w:next w:val="Normal"/>
    <w:rsid w:val="00AC2F04"/>
    <w:pPr>
      <w:spacing w:line="360" w:lineRule="exact"/>
    </w:pPr>
    <w:rPr>
      <w:spacing w:val="-3"/>
      <w:w w:val="99"/>
      <w:sz w:val="34"/>
    </w:rPr>
  </w:style>
  <w:style w:type="paragraph" w:customStyle="1" w:styleId="H23">
    <w:name w:val="_ H_2/3"/>
    <w:basedOn w:val="Normal"/>
    <w:next w:val="SingleTxt"/>
    <w:rsid w:val="00AC2F04"/>
    <w:pPr>
      <w:outlineLvl w:val="1"/>
    </w:pPr>
    <w:rPr>
      <w:b/>
      <w:lang w:val="en-US"/>
    </w:rPr>
  </w:style>
  <w:style w:type="paragraph" w:customStyle="1" w:styleId="H4">
    <w:name w:val="_ H_4"/>
    <w:basedOn w:val="Normal"/>
    <w:next w:val="SingleTxt"/>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C2F0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C2F0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C2F04"/>
    <w:pPr>
      <w:spacing w:line="540" w:lineRule="exact"/>
    </w:pPr>
    <w:rPr>
      <w:spacing w:val="-8"/>
      <w:w w:val="96"/>
      <w:sz w:val="57"/>
    </w:rPr>
  </w:style>
  <w:style w:type="paragraph" w:customStyle="1" w:styleId="SS">
    <w:name w:val="__S_S"/>
    <w:basedOn w:val="HCh"/>
    <w:next w:val="Normal"/>
    <w:rsid w:val="00AC2F04"/>
    <w:pPr>
      <w:ind w:left="1267" w:right="1267"/>
    </w:pPr>
  </w:style>
  <w:style w:type="paragraph" w:customStyle="1" w:styleId="SingleTxt">
    <w:name w:val="__Single Txt"/>
    <w:basedOn w:val="Normal"/>
    <w:rsid w:val="00AC2F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C2F04"/>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C2F0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C2F04"/>
    <w:pPr>
      <w:spacing w:line="240" w:lineRule="exact"/>
      <w:ind w:left="0" w:right="5040" w:firstLine="0"/>
      <w:outlineLvl w:val="1"/>
    </w:pPr>
    <w:rPr>
      <w:sz w:val="20"/>
    </w:rPr>
  </w:style>
  <w:style w:type="paragraph" w:styleId="BalloonText">
    <w:name w:val="Balloon Text"/>
    <w:basedOn w:val="Normal"/>
    <w:link w:val="BalloonTextChar"/>
    <w:semiHidden/>
    <w:rsid w:val="00AC2F04"/>
    <w:rPr>
      <w:rFonts w:ascii="Tahoma" w:hAnsi="Tahoma" w:cs="Tahoma"/>
      <w:sz w:val="16"/>
      <w:szCs w:val="16"/>
    </w:rPr>
  </w:style>
  <w:style w:type="character" w:customStyle="1" w:styleId="BalloonTextChar">
    <w:name w:val="Balloon Text Char"/>
    <w:basedOn w:val="DefaultParagraphFont"/>
    <w:link w:val="BalloonText"/>
    <w:semiHidden/>
    <w:rsid w:val="00AC2F0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C2F0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C2F0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C2F04"/>
    <w:rPr>
      <w:sz w:val="6"/>
    </w:rPr>
  </w:style>
  <w:style w:type="paragraph" w:customStyle="1" w:styleId="Distribution">
    <w:name w:val="Distribution"/>
    <w:next w:val="Normal"/>
    <w:rsid w:val="00AC2F0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C2F0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C2F0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C2F04"/>
  </w:style>
  <w:style w:type="character" w:customStyle="1" w:styleId="EndnoteTextChar">
    <w:name w:val="Endnote Text Char"/>
    <w:basedOn w:val="DefaultParagraphFont"/>
    <w:link w:val="EndnoteText"/>
    <w:semiHidden/>
    <w:rsid w:val="00AC2F0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C2F0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C2F0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C2F0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C2F0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C2F0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C2F04"/>
    <w:pPr>
      <w:tabs>
        <w:tab w:val="right" w:pos="9965"/>
      </w:tabs>
      <w:spacing w:line="210" w:lineRule="exact"/>
    </w:pPr>
    <w:rPr>
      <w:spacing w:val="5"/>
      <w:w w:val="104"/>
      <w:sz w:val="17"/>
    </w:rPr>
  </w:style>
  <w:style w:type="paragraph" w:customStyle="1" w:styleId="SmallX">
    <w:name w:val="SmallX"/>
    <w:basedOn w:val="Small"/>
    <w:next w:val="Normal"/>
    <w:rsid w:val="00AC2F04"/>
    <w:pPr>
      <w:spacing w:line="180" w:lineRule="exact"/>
      <w:jc w:val="right"/>
    </w:pPr>
    <w:rPr>
      <w:spacing w:val="6"/>
      <w:w w:val="106"/>
      <w:sz w:val="14"/>
    </w:rPr>
  </w:style>
  <w:style w:type="paragraph" w:customStyle="1" w:styleId="TitleHCH">
    <w:name w:val="Title_H_CH"/>
    <w:basedOn w:val="H1"/>
    <w:next w:val="Normal"/>
    <w:qFormat/>
    <w:rsid w:val="00AC2F04"/>
    <w:pPr>
      <w:spacing w:line="300" w:lineRule="exact"/>
      <w:ind w:left="0" w:right="0" w:firstLine="0"/>
    </w:pPr>
    <w:rPr>
      <w:spacing w:val="-2"/>
      <w:sz w:val="28"/>
    </w:rPr>
  </w:style>
  <w:style w:type="paragraph" w:customStyle="1" w:styleId="TitleH2">
    <w:name w:val="Title_H2"/>
    <w:basedOn w:val="Normal"/>
    <w:next w:val="Normal"/>
    <w:qFormat/>
    <w:rsid w:val="00AC2F0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C2F04"/>
    <w:pPr>
      <w:spacing w:line="390" w:lineRule="exact"/>
    </w:pPr>
    <w:rPr>
      <w:spacing w:val="-4"/>
      <w:w w:val="98"/>
      <w:sz w:val="40"/>
    </w:rPr>
  </w:style>
  <w:style w:type="character" w:styleId="Hyperlink">
    <w:name w:val="Hyperlink"/>
    <w:basedOn w:val="DefaultParagraphFont"/>
    <w:uiPriority w:val="99"/>
    <w:rsid w:val="00AC2F04"/>
    <w:rPr>
      <w:color w:val="0000FF"/>
      <w:u w:val="none"/>
    </w:rPr>
  </w:style>
  <w:style w:type="paragraph" w:styleId="PlainText">
    <w:name w:val="Plain Text"/>
    <w:basedOn w:val="Normal"/>
    <w:link w:val="PlainTextChar"/>
    <w:rsid w:val="00AC2F0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C2F04"/>
    <w:rPr>
      <w:rFonts w:ascii="Courier New" w:eastAsia="Times New Roman" w:hAnsi="Courier New" w:cs="Times New Roman"/>
      <w:sz w:val="20"/>
      <w:szCs w:val="20"/>
      <w:lang w:val="en-US" w:eastAsia="en-GB"/>
    </w:rPr>
  </w:style>
  <w:style w:type="paragraph" w:customStyle="1" w:styleId="ReleaseDate0">
    <w:name w:val="Release Date"/>
    <w:next w:val="Footer"/>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C2F04"/>
  </w:style>
  <w:style w:type="table" w:styleId="TableGrid">
    <w:name w:val="Table Grid"/>
    <w:basedOn w:val="TableNormal"/>
    <w:uiPriority w:val="39"/>
    <w:rsid w:val="00AC2F0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85DAC"/>
    <w:pPr>
      <w:spacing w:line="240" w:lineRule="auto"/>
    </w:pPr>
  </w:style>
  <w:style w:type="character" w:customStyle="1" w:styleId="CommentTextChar">
    <w:name w:val="Comment Text Char"/>
    <w:basedOn w:val="DefaultParagraphFont"/>
    <w:link w:val="CommentText"/>
    <w:uiPriority w:val="99"/>
    <w:semiHidden/>
    <w:rsid w:val="00685D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85DAC"/>
    <w:rPr>
      <w:b/>
      <w:bCs/>
    </w:rPr>
  </w:style>
  <w:style w:type="character" w:customStyle="1" w:styleId="CommentSubjectChar">
    <w:name w:val="Comment Subject Char"/>
    <w:basedOn w:val="CommentTextChar"/>
    <w:link w:val="CommentSubject"/>
    <w:uiPriority w:val="99"/>
    <w:semiHidden/>
    <w:rsid w:val="00685DAC"/>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C30C01"/>
    <w:pPr>
      <w:ind w:left="720"/>
      <w:contextualSpacing/>
    </w:pPr>
  </w:style>
  <w:style w:type="character" w:styleId="UnresolvedMention">
    <w:name w:val="Unresolved Mention"/>
    <w:basedOn w:val="DefaultParagraphFont"/>
    <w:uiPriority w:val="99"/>
    <w:semiHidden/>
    <w:unhideWhenUsed/>
    <w:rsid w:val="00163B36"/>
    <w:rPr>
      <w:color w:val="605E5C"/>
      <w:shd w:val="clear" w:color="auto" w:fill="E1DFDD"/>
    </w:rPr>
  </w:style>
  <w:style w:type="paragraph" w:customStyle="1" w:styleId="SingleTxtG">
    <w:name w:val="_ Single Txt_G"/>
    <w:basedOn w:val="Normal"/>
    <w:link w:val="SingleTxtGChar"/>
    <w:qFormat/>
    <w:rsid w:val="00EA5AB9"/>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kern w:val="0"/>
    </w:rPr>
  </w:style>
  <w:style w:type="character" w:customStyle="1" w:styleId="SingleTxtGChar">
    <w:name w:val="_ Single Txt_G Char"/>
    <w:link w:val="SingleTxtG"/>
    <w:locked/>
    <w:rsid w:val="00EA5AB9"/>
    <w:rPr>
      <w:rFonts w:ascii="Times New Roman" w:eastAsiaTheme="minorHAnsi" w:hAnsi="Times New Roman" w:cs="Times New Roman"/>
      <w:sz w:val="20"/>
      <w:szCs w:val="20"/>
      <w:lang w:eastAsia="en-US"/>
    </w:rPr>
  </w:style>
  <w:style w:type="paragraph" w:styleId="Revision">
    <w:name w:val="Revision"/>
    <w:hidden/>
    <w:uiPriority w:val="99"/>
    <w:semiHidden/>
    <w:rsid w:val="00DA0DA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8363">
      <w:bodyDiv w:val="1"/>
      <w:marLeft w:val="0"/>
      <w:marRight w:val="0"/>
      <w:marTop w:val="0"/>
      <w:marBottom w:val="0"/>
      <w:divBdr>
        <w:top w:val="none" w:sz="0" w:space="0" w:color="auto"/>
        <w:left w:val="none" w:sz="0" w:space="0" w:color="auto"/>
        <w:bottom w:val="none" w:sz="0" w:space="0" w:color="auto"/>
        <w:right w:val="none" w:sz="0" w:space="0" w:color="auto"/>
      </w:divBdr>
    </w:div>
    <w:div w:id="1091313496">
      <w:bodyDiv w:val="1"/>
      <w:marLeft w:val="0"/>
      <w:marRight w:val="0"/>
      <w:marTop w:val="0"/>
      <w:marBottom w:val="0"/>
      <w:divBdr>
        <w:top w:val="none" w:sz="0" w:space="0" w:color="auto"/>
        <w:left w:val="none" w:sz="0" w:space="0" w:color="auto"/>
        <w:bottom w:val="none" w:sz="0" w:space="0" w:color="auto"/>
        <w:right w:val="none" w:sz="0" w:space="0" w:color="auto"/>
      </w:divBdr>
    </w:div>
    <w:div w:id="1092120789">
      <w:bodyDiv w:val="1"/>
      <w:marLeft w:val="0"/>
      <w:marRight w:val="0"/>
      <w:marTop w:val="0"/>
      <w:marBottom w:val="0"/>
      <w:divBdr>
        <w:top w:val="none" w:sz="0" w:space="0" w:color="auto"/>
        <w:left w:val="none" w:sz="0" w:space="0" w:color="auto"/>
        <w:bottom w:val="none" w:sz="0" w:space="0" w:color="auto"/>
        <w:right w:val="none" w:sz="0" w:space="0" w:color="auto"/>
      </w:divBdr>
    </w:div>
    <w:div w:id="17292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A/RES/78/18"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youtu.be/9uI_e3Fg_X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egyszulo.hu/english" TargetMode="External"/><Relationship Id="rId3" Type="http://schemas.openxmlformats.org/officeDocument/2006/relationships/hyperlink" Target="https://njt.hu/translation/J2012T0100P_20200716_FIN.PDF" TargetMode="External"/><Relationship Id="rId7" Type="http://schemas.openxmlformats.org/officeDocument/2006/relationships/hyperlink" Target="http://neak.gov.hu/sajtoszoba/kozlemenyek_eu_napok/egeszsegugyi_vilagnapok_aids" TargetMode="External"/><Relationship Id="rId2" Type="http://schemas.openxmlformats.org/officeDocument/2006/relationships/hyperlink" Target="https://www.mcc.hu/en/women-public-leadership-programme" TargetMode="External"/><Relationship Id="rId1" Type="http://schemas.openxmlformats.org/officeDocument/2006/relationships/hyperlink" Target="https://www.ksh.hu/docs/hun/xftp/idoszaki/mikrocenzus2016/mikrocenzus_2016_4.pdf" TargetMode="External"/><Relationship Id="rId6" Type="http://schemas.openxmlformats.org/officeDocument/2006/relationships/hyperlink" Target="https://www.ksh.hu/stadat_files/ege/hu/ege0038.html" TargetMode="External"/><Relationship Id="rId5" Type="http://schemas.openxmlformats.org/officeDocument/2006/relationships/hyperlink" Target="https://www.ksh.hu/docs/hun/xftp/idoszaki/elef/te_2019/index.html" TargetMode="External"/><Relationship Id="rId10" Type="http://schemas.openxmlformats.org/officeDocument/2006/relationships/hyperlink" Target="https://seed.hu/hirek/a-tortenet-folytatodik-sikeres-vallalkozonok-es-noi-vallalatvezetok-kerestetnek-2021-ben-is" TargetMode="External"/><Relationship Id="rId4" Type="http://schemas.openxmlformats.org/officeDocument/2006/relationships/hyperlink" Target="https://www.nokmagyarorszagert.hu/dij/" TargetMode="External"/><Relationship Id="rId9" Type="http://schemas.openxmlformats.org/officeDocument/2006/relationships/hyperlink" Target="https://youtu.be/DV2ZQMjelO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BAC6-56F5-47DD-8C34-0C883B2A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11000</Words>
  <Characters>62702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Lucas Mansell</cp:lastModifiedBy>
  <cp:revision>5</cp:revision>
  <cp:lastPrinted>2022-03-04T19:46:00Z</cp:lastPrinted>
  <dcterms:created xsi:type="dcterms:W3CDTF">2022-03-04T19:33:00Z</dcterms:created>
  <dcterms:modified xsi:type="dcterms:W3CDTF">2022-03-04T19:47:00Z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2202795</vt:lpwstr>
  </property>
  <property fmtid="{D5CDD505-2E9C-101B-9397-08002B2CF9AE}" pid="3" name="ODSRefJobNo">
    <vt:lpwstr>2226945E</vt:lpwstr>
  </property>
  <property fmtid="{D5CDD505-2E9C-101B-9397-08002B2CF9AE}" pid="4" name="Symbol1">
    <vt:lpwstr>CEDAW/C/HUN/RQ/9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Eighty-second session_x000d_</vt:lpwstr>
  </property>
  <property fmtid="{D5CDD505-2E9C-101B-9397-08002B2CF9AE}" pid="14" name="Agenda1">
    <vt:lpwstr>Item 4 of the provisional agenda_x000d_</vt:lpwstr>
  </property>
  <property fmtid="{D5CDD505-2E9C-101B-9397-08002B2CF9AE}" pid="15" name="Agenda Title1">
    <vt:lpwstr>Consideration of reports submitted by States parties under article 18 of the Convention on the Elimination of All Forms of Discrimination against Women_x000d_</vt:lpwstr>
  </property>
  <property fmtid="{D5CDD505-2E9C-101B-9397-08002B2CF9AE}" pid="16" name="Title1">
    <vt:lpwstr>Replies of Hungary to the list of issues and questions in relation to its ninth periodic report</vt:lpwstr>
  </property>
</Properties>
</file>