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142"/>
        <w:gridCol w:w="2819"/>
      </w:tblGrid>
      <w:tr w:rsidR="002D5AAC" w14:paraId="4C4A293A" w14:textId="77777777" w:rsidTr="003349E4">
        <w:trPr>
          <w:trHeight w:hRule="exact" w:val="851"/>
        </w:trPr>
        <w:tc>
          <w:tcPr>
            <w:tcW w:w="142" w:type="dxa"/>
            <w:tcBorders>
              <w:bottom w:val="single" w:sz="4" w:space="0" w:color="auto"/>
            </w:tcBorders>
          </w:tcPr>
          <w:p w14:paraId="5C70CBA7" w14:textId="77777777" w:rsidR="002D5AAC" w:rsidRDefault="002D5AAC" w:rsidP="00EA12AB">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6E41A845" w14:textId="77777777" w:rsidR="002D5AAC" w:rsidRPr="00BD33EE" w:rsidRDefault="00DF71B9" w:rsidP="003349E4">
            <w:pPr>
              <w:spacing w:after="80" w:line="300" w:lineRule="exact"/>
              <w:rPr>
                <w:sz w:val="28"/>
              </w:rPr>
            </w:pPr>
            <w:proofErr w:type="spellStart"/>
            <w:r>
              <w:rPr>
                <w:sz w:val="28"/>
              </w:rPr>
              <w:t>Организация</w:t>
            </w:r>
            <w:proofErr w:type="spellEnd"/>
            <w:r>
              <w:rPr>
                <w:sz w:val="28"/>
              </w:rPr>
              <w:t xml:space="preserve"> </w:t>
            </w:r>
            <w:proofErr w:type="spellStart"/>
            <w:r>
              <w:rPr>
                <w:sz w:val="28"/>
              </w:rPr>
              <w:t>Объединенных</w:t>
            </w:r>
            <w:proofErr w:type="spellEnd"/>
            <w:r>
              <w:rPr>
                <w:sz w:val="28"/>
              </w:rPr>
              <w:t xml:space="preserve"> </w:t>
            </w:r>
            <w:proofErr w:type="spellStart"/>
            <w:r>
              <w:rPr>
                <w:sz w:val="28"/>
              </w:rPr>
              <w:t>Наций</w:t>
            </w:r>
            <w:proofErr w:type="spellEnd"/>
          </w:p>
        </w:tc>
        <w:tc>
          <w:tcPr>
            <w:tcW w:w="4961" w:type="dxa"/>
            <w:gridSpan w:val="2"/>
            <w:tcBorders>
              <w:bottom w:val="single" w:sz="4" w:space="0" w:color="auto"/>
            </w:tcBorders>
            <w:vAlign w:val="bottom"/>
          </w:tcPr>
          <w:p w14:paraId="67E160C4" w14:textId="77777777" w:rsidR="002D5AAC" w:rsidRDefault="00EA12AB" w:rsidP="00EA12AB">
            <w:pPr>
              <w:jc w:val="right"/>
            </w:pPr>
            <w:r w:rsidRPr="00EA12AB">
              <w:rPr>
                <w:sz w:val="40"/>
              </w:rPr>
              <w:t>CRPD</w:t>
            </w:r>
            <w:r>
              <w:t>/C/PSE/1</w:t>
            </w:r>
          </w:p>
        </w:tc>
      </w:tr>
      <w:tr w:rsidR="002D5AAC" w:rsidRPr="00EA12AB" w14:paraId="6287849A" w14:textId="77777777" w:rsidTr="003349E4">
        <w:trPr>
          <w:trHeight w:hRule="exact" w:val="2835"/>
        </w:trPr>
        <w:tc>
          <w:tcPr>
            <w:tcW w:w="1280" w:type="dxa"/>
            <w:gridSpan w:val="2"/>
            <w:tcBorders>
              <w:top w:val="single" w:sz="4" w:space="0" w:color="auto"/>
              <w:bottom w:val="single" w:sz="12" w:space="0" w:color="auto"/>
            </w:tcBorders>
          </w:tcPr>
          <w:p w14:paraId="541C70BC" w14:textId="77777777" w:rsidR="002D5AAC" w:rsidRDefault="002E5067" w:rsidP="003349E4">
            <w:pPr>
              <w:spacing w:before="120"/>
              <w:jc w:val="center"/>
            </w:pPr>
            <w:r>
              <w:rPr>
                <w:noProof/>
                <w:lang w:val="fr-CH" w:eastAsia="fr-CH"/>
              </w:rPr>
              <w:drawing>
                <wp:inline distT="0" distB="0" distL="0" distR="0" wp14:anchorId="366843F3" wp14:editId="59038862">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621DADE4" w14:textId="77777777" w:rsidR="002D5AAC" w:rsidRPr="00033EE1" w:rsidRDefault="005966F1" w:rsidP="003349E4">
            <w:pPr>
              <w:spacing w:before="120" w:line="360" w:lineRule="exact"/>
              <w:rPr>
                <w:b/>
                <w:sz w:val="34"/>
                <w:szCs w:val="34"/>
              </w:rPr>
            </w:pPr>
            <w:proofErr w:type="spellStart"/>
            <w:r>
              <w:rPr>
                <w:b/>
                <w:spacing w:val="-4"/>
                <w:sz w:val="34"/>
                <w:szCs w:val="40"/>
              </w:rPr>
              <w:t>К</w:t>
            </w:r>
            <w:r w:rsidRPr="007511D7">
              <w:rPr>
                <w:b/>
                <w:spacing w:val="-4"/>
                <w:sz w:val="34"/>
                <w:szCs w:val="40"/>
              </w:rPr>
              <w:t>онвенция</w:t>
            </w:r>
            <w:proofErr w:type="spellEnd"/>
            <w:r>
              <w:rPr>
                <w:b/>
                <w:spacing w:val="-4"/>
                <w:sz w:val="34"/>
                <w:szCs w:val="40"/>
              </w:rPr>
              <w:t xml:space="preserve"> о </w:t>
            </w:r>
            <w:proofErr w:type="spellStart"/>
            <w:r>
              <w:rPr>
                <w:b/>
                <w:spacing w:val="-4"/>
                <w:sz w:val="34"/>
                <w:szCs w:val="40"/>
              </w:rPr>
              <w:t>правах</w:t>
            </w:r>
            <w:proofErr w:type="spellEnd"/>
            <w:r w:rsidRPr="007511D7">
              <w:rPr>
                <w:b/>
                <w:spacing w:val="-4"/>
                <w:sz w:val="34"/>
                <w:szCs w:val="40"/>
              </w:rPr>
              <w:br/>
            </w:r>
            <w:proofErr w:type="spellStart"/>
            <w:r>
              <w:rPr>
                <w:b/>
                <w:spacing w:val="-4"/>
                <w:sz w:val="34"/>
                <w:szCs w:val="40"/>
              </w:rPr>
              <w:t>инвалидов</w:t>
            </w:r>
            <w:proofErr w:type="spellEnd"/>
          </w:p>
        </w:tc>
        <w:tc>
          <w:tcPr>
            <w:tcW w:w="2819" w:type="dxa"/>
            <w:tcBorders>
              <w:top w:val="single" w:sz="4" w:space="0" w:color="auto"/>
              <w:bottom w:val="single" w:sz="12" w:space="0" w:color="auto"/>
            </w:tcBorders>
          </w:tcPr>
          <w:p w14:paraId="27A4FC9D" w14:textId="77777777" w:rsidR="002D5AAC" w:rsidRDefault="00EA12AB" w:rsidP="003349E4">
            <w:pPr>
              <w:spacing w:before="240"/>
              <w:rPr>
                <w:lang w:val="en-US"/>
              </w:rPr>
            </w:pPr>
            <w:r>
              <w:rPr>
                <w:lang w:val="en-US"/>
              </w:rPr>
              <w:t>Distr.: General</w:t>
            </w:r>
          </w:p>
          <w:p w14:paraId="7F7BE561" w14:textId="77777777" w:rsidR="00EA12AB" w:rsidRDefault="00EA12AB" w:rsidP="00EA12AB">
            <w:pPr>
              <w:spacing w:line="240" w:lineRule="exact"/>
              <w:rPr>
                <w:lang w:val="en-US"/>
              </w:rPr>
            </w:pPr>
            <w:r>
              <w:rPr>
                <w:lang w:val="en-US"/>
              </w:rPr>
              <w:t>1 November 2019</w:t>
            </w:r>
          </w:p>
          <w:p w14:paraId="4F1BABFB" w14:textId="77777777" w:rsidR="00EA12AB" w:rsidRDefault="00EA12AB" w:rsidP="00EA12AB">
            <w:pPr>
              <w:spacing w:line="240" w:lineRule="exact"/>
              <w:rPr>
                <w:lang w:val="en-US"/>
              </w:rPr>
            </w:pPr>
            <w:r>
              <w:rPr>
                <w:lang w:val="en-US"/>
              </w:rPr>
              <w:t>Russian</w:t>
            </w:r>
          </w:p>
          <w:p w14:paraId="73A18BD4" w14:textId="77777777" w:rsidR="00EA12AB" w:rsidRDefault="00EA12AB" w:rsidP="00EA12AB">
            <w:pPr>
              <w:spacing w:line="240" w:lineRule="exact"/>
              <w:rPr>
                <w:lang w:val="en-US"/>
              </w:rPr>
            </w:pPr>
            <w:r>
              <w:rPr>
                <w:lang w:val="en-US"/>
              </w:rPr>
              <w:t>Original: Arabic</w:t>
            </w:r>
          </w:p>
          <w:p w14:paraId="177E4771" w14:textId="77777777" w:rsidR="00EA12AB" w:rsidRPr="00EA12AB" w:rsidRDefault="00EA12AB" w:rsidP="00EA12AB">
            <w:pPr>
              <w:spacing w:line="240" w:lineRule="exact"/>
              <w:rPr>
                <w:lang w:val="en-US"/>
              </w:rPr>
            </w:pPr>
            <w:r w:rsidRPr="00EA12AB">
              <w:rPr>
                <w:lang w:val="en-US"/>
              </w:rPr>
              <w:t>Arabic, English, Russian and Spanish only</w:t>
            </w:r>
          </w:p>
        </w:tc>
      </w:tr>
    </w:tbl>
    <w:p w14:paraId="03F6FDE3" w14:textId="77777777" w:rsidR="00EA12AB" w:rsidRPr="008B3D0E" w:rsidRDefault="00C030AE" w:rsidP="00C030AE">
      <w:pPr>
        <w:spacing w:before="120"/>
        <w:rPr>
          <w:sz w:val="24"/>
          <w:szCs w:val="24"/>
          <w:lang w:val="ru-RU"/>
        </w:rPr>
      </w:pPr>
      <w:r w:rsidRPr="008B3D0E">
        <w:rPr>
          <w:b/>
          <w:bCs/>
          <w:sz w:val="24"/>
          <w:szCs w:val="24"/>
          <w:lang w:val="ru-RU"/>
        </w:rPr>
        <w:t>Комитет по правам инвалидов</w:t>
      </w:r>
    </w:p>
    <w:p w14:paraId="35769D32" w14:textId="77777777" w:rsidR="00EA12AB" w:rsidRPr="00EA12AB" w:rsidRDefault="00EA12AB" w:rsidP="00C030AE">
      <w:pPr>
        <w:pStyle w:val="HChG"/>
      </w:pPr>
      <w:r w:rsidRPr="00EA12AB">
        <w:tab/>
      </w:r>
      <w:r w:rsidRPr="00EA12AB">
        <w:tab/>
        <w:t>Первоначальный доклад, представленный Государством Палестина согласно статье 35 Конвенции, ожидаемый в</w:t>
      </w:r>
      <w:r w:rsidR="00C030AE">
        <w:rPr>
          <w:lang w:val="en-US"/>
        </w:rPr>
        <w:t> </w:t>
      </w:r>
      <w:r w:rsidRPr="00EA12AB">
        <w:t>2016 году</w:t>
      </w:r>
      <w:r w:rsidR="00C030AE" w:rsidRPr="00C030AE">
        <w:rPr>
          <w:rStyle w:val="aa"/>
          <w:b w:val="0"/>
          <w:bCs/>
          <w:sz w:val="20"/>
          <w:vertAlign w:val="baseline"/>
        </w:rPr>
        <w:footnoteReference w:customMarkFollows="1" w:id="1"/>
        <w:t>*</w:t>
      </w:r>
      <w:r w:rsidR="00C030AE" w:rsidRPr="00C030AE">
        <w:rPr>
          <w:b w:val="0"/>
          <w:bCs/>
          <w:sz w:val="20"/>
        </w:rPr>
        <w:t xml:space="preserve"> </w:t>
      </w:r>
      <w:r w:rsidR="00C030AE" w:rsidRPr="00C030AE">
        <w:rPr>
          <w:rStyle w:val="aa"/>
          <w:b w:val="0"/>
          <w:bCs/>
          <w:sz w:val="20"/>
          <w:vertAlign w:val="baseline"/>
        </w:rPr>
        <w:footnoteReference w:customMarkFollows="1" w:id="2"/>
        <w:t>**</w:t>
      </w:r>
    </w:p>
    <w:p w14:paraId="227955B1" w14:textId="77777777" w:rsidR="00C030AE" w:rsidRDefault="00EA12AB" w:rsidP="00C030AE">
      <w:pPr>
        <w:pStyle w:val="SingleTxtG"/>
        <w:jc w:val="right"/>
      </w:pPr>
      <w:r w:rsidRPr="00EA12AB">
        <w:t>[Дата получения: 14 июня 2019 г</w:t>
      </w:r>
      <w:r w:rsidR="00C030AE">
        <w:t>ода</w:t>
      </w:r>
      <w:r w:rsidRPr="00EA12AB">
        <w:t>]</w:t>
      </w:r>
    </w:p>
    <w:p w14:paraId="23D92891" w14:textId="77777777" w:rsidR="00C030AE" w:rsidRDefault="00C030AE" w:rsidP="008E2BCB">
      <w:pPr>
        <w:pStyle w:val="SingleTxtG"/>
      </w:pPr>
      <w:r>
        <w:br w:type="page"/>
      </w:r>
    </w:p>
    <w:p w14:paraId="5CF5FE2B" w14:textId="77777777" w:rsidR="00EA12AB" w:rsidRPr="00EA12AB" w:rsidRDefault="00C030AE" w:rsidP="00C030AE">
      <w:pPr>
        <w:pStyle w:val="HChG"/>
      </w:pPr>
      <w:r>
        <w:lastRenderedPageBreak/>
        <w:tab/>
      </w:r>
      <w:r>
        <w:tab/>
      </w:r>
      <w:r w:rsidR="00EA12AB" w:rsidRPr="00EA12AB">
        <w:t>Введение</w:t>
      </w:r>
    </w:p>
    <w:p w14:paraId="64249A00" w14:textId="77777777" w:rsidR="00EA12AB" w:rsidRPr="00EA12AB" w:rsidRDefault="00EA12AB" w:rsidP="00EA12AB">
      <w:pPr>
        <w:pStyle w:val="SingleTxtG"/>
      </w:pPr>
      <w:r w:rsidRPr="00EA12AB">
        <w:t>1.</w:t>
      </w:r>
      <w:r w:rsidRPr="00EA12AB">
        <w:tab/>
        <w:t>Государство Палестина присоединилось к Конвенции о правах инвалидов 1</w:t>
      </w:r>
      <w:r w:rsidR="008E2BCB">
        <w:t> </w:t>
      </w:r>
      <w:r w:rsidRPr="00EA12AB">
        <w:t xml:space="preserve">апреля 2014 года, не сделав никаких оговорок ни к одной из ее статей из уважения к принципам и духу Конвенции и исходя из убеждения в том, что инвалиды должны пользоваться теми же правами, что и другие граждане. Настоящий доклад представляется в соответствии с обязательствами Палестины по Конвенции и во исполнение ее обязанности применять ее положения, особенно положения </w:t>
      </w:r>
      <w:r w:rsidR="004212DB">
        <w:br/>
      </w:r>
      <w:r w:rsidRPr="00EA12AB">
        <w:t>статьи</w:t>
      </w:r>
      <w:r w:rsidR="004212DB">
        <w:rPr>
          <w:lang w:val="en-US"/>
        </w:rPr>
        <w:t> </w:t>
      </w:r>
      <w:r w:rsidRPr="00EA12AB">
        <w:t>35</w:t>
      </w:r>
      <w:r w:rsidR="004212DB" w:rsidRPr="004212DB">
        <w:t xml:space="preserve"> </w:t>
      </w:r>
      <w:r w:rsidRPr="00EA12AB">
        <w:t>(1). В частности, в нем изложены законодательные, административные и судебные аспекты мер, рамок и круга ведения, касающихся положений Конвенции.</w:t>
      </w:r>
      <w:r w:rsidR="008E2BCB">
        <w:t xml:space="preserve"> </w:t>
      </w:r>
    </w:p>
    <w:p w14:paraId="6B34DECB" w14:textId="77777777" w:rsidR="00EA12AB" w:rsidRPr="00EA12AB" w:rsidRDefault="00EA12AB" w:rsidP="00EA12AB">
      <w:pPr>
        <w:pStyle w:val="SingleTxtG"/>
      </w:pPr>
      <w:r w:rsidRPr="00EA12AB">
        <w:t>2.</w:t>
      </w:r>
      <w:r w:rsidRPr="00EA12AB">
        <w:tab/>
        <w:t>После присоединения Палестины к международным договорам и конвенциям Президент 7 мая 2014 года издал решение о создании национального постоянного комитета на уровне министров для принятия последующих мер в связи с присоединением.</w:t>
      </w:r>
      <w:r w:rsidR="00C030AE">
        <w:t xml:space="preserve"> </w:t>
      </w:r>
      <w:r w:rsidRPr="00EA12AB">
        <w:t xml:space="preserve">Комитет </w:t>
      </w:r>
      <w:bookmarkStart w:id="0" w:name="_Hlk40347260"/>
      <w:r w:rsidRPr="00EA12AB">
        <w:t>возглавляет</w:t>
      </w:r>
      <w:bookmarkEnd w:id="0"/>
      <w:r w:rsidRPr="00EA12AB">
        <w:t xml:space="preserve"> Министерство иностранных дел и по делам экспатриантов, а в его состав входят представители ряда министерств и соответствующих учреждений; Независимая комиссия по правам человека представлена в качестве наблюдателя. Задача комитета заключается в контроле за выполнением обязательств, вытекающих из присоединения к международным договорам.</w:t>
      </w:r>
      <w:r w:rsidR="00C030AE">
        <w:t xml:space="preserve"> </w:t>
      </w:r>
      <w:r w:rsidRPr="00EA12AB">
        <w:t xml:space="preserve">Настоящий доклад подготовлен совместным подкомитетом, действующим в качестве национальной рабочей группы, сформированной по решению национального постоянного комитета. Подкомитет возглавляет Министерство социальных дел в качестве компетентного органа, а в его состав входят представители Палестинского центрального статистического бюро, Министерства здравоохранения, Министерства труда, Министерства </w:t>
      </w:r>
      <w:bookmarkStart w:id="1" w:name="_Hlk38907948"/>
      <w:r w:rsidRPr="00EA12AB">
        <w:t>просвещения</w:t>
      </w:r>
      <w:bookmarkEnd w:id="1"/>
      <w:r w:rsidRPr="00EA12AB">
        <w:t xml:space="preserve"> и высшего образования, Министерства транспорта и связи, Министерства местного самоуправления, Высшего совета по делам молодежи и спорта, Национального комитета по делам летних лагерей, Министерства телекоммуникаций и информационных технологий, Министерства культуры, Министерства информации, полицейских сил, Государственной прокуратуры, Высшего судебного совета, Бюро Верховного кади, Министерства по делам женщин, Министерства юстиции, Министерства национальной экономики, Бюро гражданской службы, Центральной избирательной комиссии, Службы гражданской обороны, Независимой комиссии по правам человека, Ближневосточного агентства Организации Объединенных Наций для помощи палестинским беженцам и организации работ (БАПОР) и высшего комитета по делам лагерей, который работает с палестинскими беженцами.</w:t>
      </w:r>
    </w:p>
    <w:p w14:paraId="6654080E" w14:textId="77777777" w:rsidR="00EA12AB" w:rsidRPr="00EA12AB" w:rsidRDefault="00EA12AB" w:rsidP="00EA12AB">
      <w:pPr>
        <w:pStyle w:val="SingleTxtG"/>
        <w:rPr>
          <w:bCs/>
        </w:rPr>
      </w:pPr>
      <w:r w:rsidRPr="00EA12AB">
        <w:t>3.</w:t>
      </w:r>
      <w:r w:rsidRPr="00EA12AB">
        <w:tab/>
        <w:t>Используя подход, основанный на сотрудничестве и широком участии официальных организаций и организаций гражданского общества, которому неизменно следует Палестина, совместный комитет подготовил доклад в сотрудничестве с группой неправительственных организаций (НПО), работающих с инвалидами, которая представила рабочей группе доклад в виде информации и рекомендаций, касающихся прав инвалидов.</w:t>
      </w:r>
      <w:r w:rsidR="00C030AE">
        <w:t xml:space="preserve"> </w:t>
      </w:r>
      <w:r w:rsidRPr="00EA12AB">
        <w:t xml:space="preserve">В число НПО входили Всеобщий союз инвалидов, Палестинское общество Красного Полумесяца, </w:t>
      </w:r>
      <w:proofErr w:type="spellStart"/>
      <w:r w:rsidRPr="00EA12AB">
        <w:t>Вифлеемское</w:t>
      </w:r>
      <w:proofErr w:type="spellEnd"/>
      <w:r w:rsidRPr="00EA12AB">
        <w:t xml:space="preserve"> арабское общество реабилитации, Организация по развитию общин </w:t>
      </w:r>
      <w:r w:rsidR="008E2BCB">
        <w:t>«</w:t>
      </w:r>
      <w:proofErr w:type="spellStart"/>
      <w:r w:rsidRPr="00EA12AB">
        <w:t>Кадер</w:t>
      </w:r>
      <w:proofErr w:type="spellEnd"/>
      <w:r w:rsidR="008E2BCB">
        <w:t>»</w:t>
      </w:r>
      <w:r w:rsidRPr="00EA12AB">
        <w:t xml:space="preserve">, Программа реабилитации АМХ в Восточном Иерусалиме, </w:t>
      </w:r>
      <w:r w:rsidR="008E2BCB">
        <w:t>«</w:t>
      </w:r>
      <w:proofErr w:type="spellStart"/>
      <w:r w:rsidRPr="00EA12AB">
        <w:t>Асват</w:t>
      </w:r>
      <w:proofErr w:type="spellEnd"/>
      <w:r w:rsidR="008E2BCB">
        <w:t>»</w:t>
      </w:r>
      <w:r w:rsidRPr="00EA12AB">
        <w:t xml:space="preserve"> (Палестинский феминистский центр по гендерным вопросам и сексуальным свободам), организация </w:t>
      </w:r>
      <w:r w:rsidR="008E2BCB">
        <w:t>«</w:t>
      </w:r>
      <w:r w:rsidRPr="00EA12AB">
        <w:t>Звезды надежды</w:t>
      </w:r>
      <w:r w:rsidR="008E2BCB">
        <w:t>»</w:t>
      </w:r>
      <w:r w:rsidRPr="00EA12AB">
        <w:t xml:space="preserve"> и Палестинский консультативный совет по вопросам развития НПО.</w:t>
      </w:r>
      <w:r w:rsidR="00C030AE">
        <w:t xml:space="preserve"> </w:t>
      </w:r>
      <w:r w:rsidRPr="00EA12AB">
        <w:t xml:space="preserve">Также была привлечена группа НПО, работающих в Газе, в том числе Сеть представителей инвалидов, </w:t>
      </w:r>
      <w:r w:rsidR="008E2BCB">
        <w:t>«</w:t>
      </w:r>
      <w:proofErr w:type="spellStart"/>
      <w:r w:rsidRPr="00EA12AB">
        <w:t>Фаджар</w:t>
      </w:r>
      <w:proofErr w:type="spellEnd"/>
      <w:r w:rsidR="008E2BCB">
        <w:t>»</w:t>
      </w:r>
      <w:r w:rsidRPr="00EA12AB">
        <w:t xml:space="preserve"> (Палестинское общество по вопросам ухода и развития) и Общество реабилитации </w:t>
      </w:r>
      <w:r w:rsidR="008E2BCB">
        <w:t>«</w:t>
      </w:r>
      <w:r w:rsidRPr="00EA12AB">
        <w:t>Эль-</w:t>
      </w:r>
      <w:proofErr w:type="spellStart"/>
      <w:r w:rsidRPr="00EA12AB">
        <w:t>Амаль</w:t>
      </w:r>
      <w:proofErr w:type="spellEnd"/>
      <w:r w:rsidR="008E2BCB">
        <w:t>»</w:t>
      </w:r>
      <w:r w:rsidRPr="00EA12AB">
        <w:t>.</w:t>
      </w:r>
      <w:r w:rsidR="00C030AE">
        <w:t xml:space="preserve"> </w:t>
      </w:r>
      <w:r w:rsidRPr="00EA12AB">
        <w:t>Следует отметить, что сотрудничество с этими организациями ограничивалось только предоставлением информации и данных.</w:t>
      </w:r>
    </w:p>
    <w:p w14:paraId="40C5FA18" w14:textId="77777777" w:rsidR="00EA12AB" w:rsidRPr="00EA12AB" w:rsidRDefault="00EA12AB" w:rsidP="00EA12AB">
      <w:pPr>
        <w:pStyle w:val="SingleTxtG"/>
        <w:rPr>
          <w:bCs/>
        </w:rPr>
      </w:pPr>
      <w:r w:rsidRPr="00EA12AB">
        <w:t>4.</w:t>
      </w:r>
      <w:r w:rsidRPr="00EA12AB">
        <w:tab/>
        <w:t xml:space="preserve">Доклад был представлен соответствующим государственным учреждениям и организациям гражданского общества на семинарах-практикумах, проведенных в сотрудничестве с министерствами и официальными органами для сотрудников, работающих в области инвалидности. Техническая поддержка оказывалась Управлением Верховного комиссара по правам человека и Детским фондом Организации Объединенных Наций (ЮНИСЕФ). Сами инвалиды принимали участие в подготовке первоначального доклада Государства Палестина: они участвовали в </w:t>
      </w:r>
      <w:r w:rsidRPr="00EA12AB">
        <w:lastRenderedPageBreak/>
        <w:t>подготовительных семинарах и имели возможность внести свой вклад в процесс подготовки доклада.</w:t>
      </w:r>
    </w:p>
    <w:p w14:paraId="061851F9" w14:textId="77777777" w:rsidR="00EA12AB" w:rsidRPr="00EA12AB" w:rsidRDefault="00EA12AB" w:rsidP="00EA12AB">
      <w:pPr>
        <w:pStyle w:val="SingleTxtG"/>
      </w:pPr>
      <w:r w:rsidRPr="00EA12AB">
        <w:t>5.</w:t>
      </w:r>
      <w:r w:rsidRPr="00EA12AB">
        <w:tab/>
        <w:t>Проект доклада был направлен для изучения представителям организаций гражданского общества, работающих с инвалидами, палестинских правозащитных организаций и НПО; были проведены общенациональные консультации по докладу. Затем доклад был представлен палестинским правительственным организациям и организациям гражданского общества. Поскольку Израиль, оккупирующая держава, не разрешает организациям гражданского общества в секторе Газа въезжать на Западный берег, было проведено два национальных консультативных совещания: одно</w:t>
      </w:r>
      <w:r w:rsidR="008E2BCB">
        <w:t> </w:t>
      </w:r>
      <w:r w:rsidRPr="00EA12AB">
        <w:t>– для организаций на Западном берегу, включая Иерусалим, 28 марта 2018 года и другое – для организаций гражданского общества в секторе Газа в штаб-квартире Независимой комиссии по правам человека по прямой видеосвязи 18 апреля 2018 года. Обсуждалось содержание доклада, и высказанные замечания были отражены в окончательном варианте. Следует отметить, что в обсуждениях участвовали инвалиды, а для лиц с нарушениями слуха были предусмотрены услуги сурдопереводчика.</w:t>
      </w:r>
    </w:p>
    <w:p w14:paraId="6E0D7C78" w14:textId="77777777" w:rsidR="00EA12AB" w:rsidRPr="00EA12AB" w:rsidRDefault="00EA12AB" w:rsidP="00EA12AB">
      <w:pPr>
        <w:pStyle w:val="SingleTxtG"/>
      </w:pPr>
      <w:r w:rsidRPr="00EA12AB">
        <w:t>6.</w:t>
      </w:r>
      <w:r w:rsidRPr="00EA12AB">
        <w:tab/>
        <w:t>В дополнение к созданию национального постоянного комитета для принятия последующих мер в связи с присоединением Государства Палестина к международным договорам и конвенциям в 2017 году был сформирован комитет для обеспечения согласования действующего палестинского законодательства с международными хартиями и договорами. В задачи комитета, возглавляемого Министерством юстиции, входит внесение поправок в законы, постановления и процедуры с целью приведения их в соответствие с положениями международного права.</w:t>
      </w:r>
    </w:p>
    <w:p w14:paraId="166CFE95" w14:textId="77777777" w:rsidR="00EA12AB" w:rsidRPr="00EA12AB" w:rsidRDefault="00EA12AB" w:rsidP="00EA12AB">
      <w:pPr>
        <w:pStyle w:val="SingleTxtG"/>
      </w:pPr>
      <w:r w:rsidRPr="00EA12AB">
        <w:t>7.</w:t>
      </w:r>
      <w:r w:rsidRPr="00EA12AB">
        <w:tab/>
        <w:t>В докладе подробно рассматриваются статьи Конвенции, особенно статьи 1–33, в соответствии с руководящими принципами подготовки докладов, изложенными в документе Комитета по правам инвалидов, новыми руководящими принципами, выпущенными в 2016 году, и замечаниями общего порядка, принятыми Комитетом. Доклад охватывает период с даты присоединения к Конвенции (2014 год) по середину 2018 года.</w:t>
      </w:r>
      <w:r w:rsidR="00C030AE">
        <w:t xml:space="preserve"> </w:t>
      </w:r>
    </w:p>
    <w:p w14:paraId="6E6F5EB0" w14:textId="77777777" w:rsidR="00EA12AB" w:rsidRPr="00EA12AB" w:rsidRDefault="00EA12AB" w:rsidP="00EA12AB">
      <w:pPr>
        <w:pStyle w:val="SingleTxtG"/>
      </w:pPr>
      <w:r w:rsidRPr="00EA12AB">
        <w:t>8.</w:t>
      </w:r>
      <w:r w:rsidRPr="00EA12AB">
        <w:tab/>
        <w:t>Государство Палестина подчеркивает, что представление настоящего доклада не освобождает Израиль, оккупирующую державу, от его правовых обязательств по международному праву, особенно по международному гуманитарному праву и международному праву прав человека, включая его обязанность соблюдать положения Конвенции о правах инвалидов и представить свой собственный доклад о степени соблюдения им положений Конвенции на оккупированной палестинской территории, включая Восточный Иерусалим, как это предусмотрено в консультативном заключении Международного Суда (2004 год) о правовых последствиях строительства стены на оккупированной палестинской территории.</w:t>
      </w:r>
    </w:p>
    <w:p w14:paraId="4190677F" w14:textId="77777777" w:rsidR="00EA12AB" w:rsidRPr="00EA12AB" w:rsidRDefault="00C030AE" w:rsidP="00C030AE">
      <w:pPr>
        <w:pStyle w:val="HChG"/>
      </w:pPr>
      <w:r w:rsidRPr="00C030AE">
        <w:tab/>
      </w:r>
      <w:r w:rsidR="00EA12AB" w:rsidRPr="00EA12AB">
        <w:rPr>
          <w:lang w:val="en-US"/>
        </w:rPr>
        <w:t>I</w:t>
      </w:r>
      <w:r w:rsidR="00EA12AB" w:rsidRPr="00EA12AB">
        <w:t>.</w:t>
      </w:r>
      <w:r w:rsidR="00EA12AB" w:rsidRPr="00EA12AB">
        <w:tab/>
        <w:t>Правовой, социальный и экономический контекст прав инвалидов</w:t>
      </w:r>
    </w:p>
    <w:p w14:paraId="5BDF39CB" w14:textId="77777777" w:rsidR="00EA12AB" w:rsidRPr="00EA12AB" w:rsidRDefault="00C030AE" w:rsidP="00C030AE">
      <w:pPr>
        <w:pStyle w:val="H1G"/>
      </w:pPr>
      <w:r w:rsidRPr="00C030AE">
        <w:tab/>
      </w:r>
      <w:r w:rsidR="00EA12AB" w:rsidRPr="00EA12AB">
        <w:rPr>
          <w:lang w:val="en-US"/>
        </w:rPr>
        <w:t>A</w:t>
      </w:r>
      <w:r w:rsidR="00EA12AB" w:rsidRPr="00EA12AB">
        <w:t>.</w:t>
      </w:r>
      <w:r w:rsidR="00EA12AB" w:rsidRPr="00EA12AB">
        <w:tab/>
        <w:t>Защита и поощрение прав человека – общие рамки</w:t>
      </w:r>
    </w:p>
    <w:p w14:paraId="1DB9059A" w14:textId="77777777" w:rsidR="00EA12AB" w:rsidRPr="00EA12AB" w:rsidRDefault="00C030AE" w:rsidP="00C030AE">
      <w:pPr>
        <w:pStyle w:val="H23G"/>
      </w:pPr>
      <w:r>
        <w:tab/>
      </w:r>
      <w:r>
        <w:tab/>
      </w:r>
      <w:r w:rsidR="00EA12AB" w:rsidRPr="00EA12AB">
        <w:t>Законодательная основа</w:t>
      </w:r>
    </w:p>
    <w:p w14:paraId="5E18AB27" w14:textId="77777777" w:rsidR="00C030AE" w:rsidRDefault="00EA12AB" w:rsidP="00EA12AB">
      <w:pPr>
        <w:pStyle w:val="SingleTxtG"/>
        <w:rPr>
          <w:bCs/>
        </w:rPr>
      </w:pPr>
      <w:r w:rsidRPr="00EA12AB">
        <w:t>9.</w:t>
      </w:r>
      <w:r w:rsidRPr="00EA12AB">
        <w:tab/>
        <w:t>В Декларации независимости, принятой Палестинским национальным советом в 1988 году, была провозглашена приверженность Государства Палестина принципам и целям Организации Объединенных Наций и Всеобщей декларации прав человека.</w:t>
      </w:r>
      <w:r w:rsidR="00C030AE">
        <w:t xml:space="preserve"> </w:t>
      </w:r>
      <w:r w:rsidRPr="00EA12AB">
        <w:t>В</w:t>
      </w:r>
      <w:r w:rsidR="00C030AE">
        <w:t> </w:t>
      </w:r>
      <w:r w:rsidRPr="00EA12AB">
        <w:t>Декларации независимости было объявлено о создании независимого и свободного Государства Палестина на основе принципа полного равенства прав и свобод всех палестинцев, где бы они ни находились, в рамках парламентской демократии, основанной на принципах социальной справедливости, равенства и недискриминации в отношении прав граждан.</w:t>
      </w:r>
      <w:r w:rsidR="00C030AE">
        <w:t xml:space="preserve"> </w:t>
      </w:r>
      <w:r w:rsidRPr="00EA12AB">
        <w:t xml:space="preserve">В Декларации независимости также подтверждалась приверженность Государства Палестина системе универсальных прав человека, </w:t>
      </w:r>
      <w:r w:rsidRPr="00EA12AB">
        <w:lastRenderedPageBreak/>
        <w:t>содержащихся в международных договорах и конвенциях, включая защиту прав инвалидов. Для обеспечения этого обязательства была разработана политика, направленная на создание правовой системы, основанной на принципах верховенства права и независимости судебной власти.</w:t>
      </w:r>
    </w:p>
    <w:p w14:paraId="736AD892" w14:textId="77777777" w:rsidR="00C030AE" w:rsidRDefault="00EA12AB" w:rsidP="00EA12AB">
      <w:pPr>
        <w:pStyle w:val="SingleTxtG"/>
        <w:rPr>
          <w:bCs/>
        </w:rPr>
      </w:pPr>
      <w:r w:rsidRPr="00EA12AB">
        <w:t>10.</w:t>
      </w:r>
      <w:r w:rsidRPr="00EA12AB">
        <w:tab/>
        <w:t>Палестинская правовая система состоит из свода законов и законодательных актов, явившихся результатом различных периодов оккупации и иностранного правления, которым Палестина подвергалась в прошлом. Ряд законов, относящихся к периоду Османской империи, британской оккупации, египетской администрации в секторе Газа и иорданского правления на Западном берегу, до сих пор остаются в силе.</w:t>
      </w:r>
    </w:p>
    <w:p w14:paraId="65035E56" w14:textId="77777777" w:rsidR="00C030AE" w:rsidRDefault="00EA12AB" w:rsidP="00EA12AB">
      <w:pPr>
        <w:pStyle w:val="SingleTxtG"/>
      </w:pPr>
      <w:r w:rsidRPr="00EA12AB">
        <w:t>11.</w:t>
      </w:r>
      <w:r w:rsidRPr="00EA12AB">
        <w:tab/>
        <w:t>Государство Палестина на протяжении многих лет принимает различные законодательные акты, направленные на поощрение и защиту политических прав всех граждан, включая инвалидов. Так, в статье 9 Основного закона (с поправками) предусматривается, что палестинцы равны перед законом и судами и что между ними не должно быть никакой дискриминации по признаку расы, пола, цвета кожи, религии, политических убеждений или инвалидности, а в Законе № 4 (1999 год) о правах инвалидов и подзаконном акте о применении Закона (2004 год) предусматривается право инвалидов на свободную и достойную жизнь и возможность пользоваться целым рядом услуг наравне с другими гражданами, с которыми они имеют одинаковые права и обязанности, в пределах, допускаемых их способностями и возможностями. В</w:t>
      </w:r>
      <w:r w:rsidR="00051B02">
        <w:rPr>
          <w:lang w:val="en-US"/>
        </w:rPr>
        <w:t> </w:t>
      </w:r>
      <w:r w:rsidRPr="00EA12AB">
        <w:t>законе далее заявляется, что Государство Палестина несет ответственность за обеспечение защиты прав инвалидов и облегчение им доступа к юридически гарантированным правам.</w:t>
      </w:r>
    </w:p>
    <w:p w14:paraId="4D46E87A" w14:textId="77777777" w:rsidR="00C030AE" w:rsidRDefault="00EA12AB" w:rsidP="00EA12AB">
      <w:pPr>
        <w:pStyle w:val="SingleTxtG"/>
      </w:pPr>
      <w:r w:rsidRPr="00EA12AB">
        <w:t>12.</w:t>
      </w:r>
      <w:r w:rsidRPr="00EA12AB">
        <w:tab/>
        <w:t>После присоединения к международным конвенциям и договорам Государство Палестина приложило значительные усилия для обеспечения подготовки национальных организаций по вопросам прав человека и правозащитных механизмов, включая подготовку официальных докладов.</w:t>
      </w:r>
    </w:p>
    <w:p w14:paraId="345164FE" w14:textId="77777777" w:rsidR="00C030AE" w:rsidRDefault="00EA12AB" w:rsidP="00EA12AB">
      <w:pPr>
        <w:pStyle w:val="SingleTxtG"/>
      </w:pPr>
      <w:r w:rsidRPr="00EA12AB">
        <w:t>13.</w:t>
      </w:r>
      <w:r w:rsidRPr="00EA12AB">
        <w:tab/>
        <w:t xml:space="preserve">По решению Министра иностранных дел и по делам экспатриантов в его качестве председателя национального постоянного комитета для принятия последующих мер в связи с присоединением Государства Палестина к международным договорам был сформирован комитет по согласованию законодательства под председательством Министерства юстиции, в состав которого вошли представители соответствующих правительственных учреждений и организаций гражданского общества. Комитет отвечает за приведение внутреннего законодательства и законов в соответствие с международными стандартами в области прав человека в целом и положениями Конвенции в частности. Комитет проводит обзор действующего внутреннего палестинского законодательства и определяет те законы, в которые необходимо внести поправки в свете положений международных конвенций. К законам, которые необходимо пересмотреть и изменить, относятся некоторые уголовные кодексы, которые все еще действуют, в том числе Уголовный кодекс Иордании, Закон № 16 (1960 год), применяемый на Западном берегу, и Уголовный кодекс периода британского мандатного управления, Закон № 74 </w:t>
      </w:r>
      <w:r w:rsidR="008E2BCB">
        <w:br/>
      </w:r>
      <w:r w:rsidRPr="00EA12AB">
        <w:t>(1936 год), который до сих пор остается в силе в секторе Газа.</w:t>
      </w:r>
    </w:p>
    <w:p w14:paraId="319C217E" w14:textId="77777777" w:rsidR="00C030AE" w:rsidRDefault="00EA12AB" w:rsidP="00EA12AB">
      <w:pPr>
        <w:pStyle w:val="SingleTxtG"/>
      </w:pPr>
      <w:r w:rsidRPr="00EA12AB">
        <w:t>14.</w:t>
      </w:r>
      <w:r w:rsidRPr="00EA12AB">
        <w:tab/>
        <w:t>Ввиду столь большого числа законодательных поправок, вносимых Государством Палестина в целях обеспечения соответствия международным конвенциям, и после изучения национальных законов и законодательных актов, касающихся прав инвалидов, стала очевидной необходимость разработки на национальном уровне нового закона, касающегося инвалидов, который включал бы пересмотренное определение инвалидности в соответствии с международной правозащитной концепцией. Соответственно, ведется подготовка нового закона об инвалидах, положения которого будут совместимы с положениями международного права.</w:t>
      </w:r>
    </w:p>
    <w:p w14:paraId="4DBDA19C" w14:textId="77777777" w:rsidR="00C030AE" w:rsidRDefault="00EA12AB" w:rsidP="00EA12AB">
      <w:pPr>
        <w:pStyle w:val="SingleTxtG"/>
      </w:pPr>
      <w:r w:rsidRPr="00EA12AB">
        <w:t>15.</w:t>
      </w:r>
      <w:r w:rsidRPr="00EA12AB">
        <w:tab/>
        <w:t xml:space="preserve">В рамках процесса согласования палестинского законодательства с принципами международных конвенций в 2017 году в законодательном порядке было принято решение об образовании и высшем образовании, регулирующее инклюзивное образование. Оно подтверждает право детей-инвалидов на образование наравне с другими детьми. В настоящее время ведется работа по внесению поправок в Закон о </w:t>
      </w:r>
      <w:r w:rsidRPr="00EA12AB">
        <w:lastRenderedPageBreak/>
        <w:t>занятости и Закон о гражданской службе для обеспечения того, чтобы инвалиды имели право на получение достойной работы, соответствующей состоянию их здоровья.</w:t>
      </w:r>
    </w:p>
    <w:p w14:paraId="7EEDB868" w14:textId="77777777" w:rsidR="00C030AE" w:rsidRDefault="00EA12AB" w:rsidP="00EA12AB">
      <w:pPr>
        <w:pStyle w:val="SingleTxtG"/>
      </w:pPr>
      <w:r w:rsidRPr="00EA12AB">
        <w:t>16.</w:t>
      </w:r>
      <w:r w:rsidRPr="00EA12AB">
        <w:tab/>
        <w:t>Постановление № 4 (2017 год) Верховного конституционного суда подтвердило примат международных конвенций над обычным внутренним законодательством. Такие конвенции приобретают больший вес, чем внутреннее законодательство, после их ратификации и опубликования и прохождения различных обязательных формальных этапов до их принятия в качестве норм внутреннего законодательства, имеющих обязательную силу для отдельных лиц и органов власти; они также должны соответствовать сфере применения палестинского Основного закона.</w:t>
      </w:r>
      <w:r w:rsidR="00C030AE">
        <w:t xml:space="preserve"> </w:t>
      </w:r>
      <w:r w:rsidRPr="00EA12AB">
        <w:t>В марте 2018</w:t>
      </w:r>
      <w:r w:rsidR="00051B02">
        <w:rPr>
          <w:lang w:val="en-US"/>
        </w:rPr>
        <w:t> </w:t>
      </w:r>
      <w:r w:rsidRPr="00EA12AB">
        <w:t>года в очередном постановлении Верховного конституционного суда было дано толкование статьи 10 Основного закона, предусматривающей, что права человека и основные свободы носят обязательный характер и должны соблюдаться.</w:t>
      </w:r>
    </w:p>
    <w:p w14:paraId="00C86CB7" w14:textId="77777777" w:rsidR="00EA12AB" w:rsidRPr="00051B02" w:rsidRDefault="00EA12AB" w:rsidP="00EA12AB">
      <w:pPr>
        <w:pStyle w:val="SingleTxtG"/>
      </w:pPr>
      <w:r w:rsidRPr="00EA12AB">
        <w:t>17.</w:t>
      </w:r>
      <w:r w:rsidRPr="00EA12AB">
        <w:tab/>
        <w:t>Ответственность за осуществление положений Конвенции о правах инвалидов возложена на исполнительные и судебные органы следующим образом</w:t>
      </w:r>
      <w:r w:rsidR="008179E0">
        <w:rPr>
          <w:rStyle w:val="ab"/>
        </w:rPr>
        <w:endnoteReference w:id="1"/>
      </w:r>
      <w:r w:rsidR="00051B02">
        <w:t>:</w:t>
      </w:r>
    </w:p>
    <w:p w14:paraId="23FF5092" w14:textId="77777777" w:rsidR="00EA12AB" w:rsidRPr="00EA12AB" w:rsidRDefault="00C030AE" w:rsidP="00C030AE">
      <w:pPr>
        <w:pStyle w:val="Bullet1G"/>
        <w:numPr>
          <w:ilvl w:val="0"/>
          <w:numId w:val="0"/>
        </w:numPr>
        <w:tabs>
          <w:tab w:val="left" w:pos="1701"/>
        </w:tabs>
        <w:ind w:left="1701" w:hanging="170"/>
        <w:rPr>
          <w:bCs/>
        </w:rPr>
      </w:pPr>
      <w:r w:rsidRPr="00EA12AB">
        <w:rPr>
          <w:bCs/>
        </w:rPr>
        <w:t>•</w:t>
      </w:r>
      <w:r w:rsidRPr="00EA12AB">
        <w:rPr>
          <w:bCs/>
        </w:rPr>
        <w:tab/>
      </w:r>
      <w:r w:rsidR="00EA12AB" w:rsidRPr="00EA12AB">
        <w:t>исполнительная власть: в партнерстве и сотрудничестве с государственными учреждениями, организациями гражданского общества, Независимой комиссией по правам человека в качестве наблюдателя и Палестинским центральным статистическим бюро Министерство социального развития руководит сектором по правам инвалидов в Палестине; Министерство также председательствует в Высшем совете по делам инвалидов, национальном головном органе, выполняющем надзорные функции;</w:t>
      </w:r>
    </w:p>
    <w:p w14:paraId="14C2AB56" w14:textId="77777777" w:rsidR="00C030AE" w:rsidRDefault="00C030AE" w:rsidP="00C030AE">
      <w:pPr>
        <w:pStyle w:val="Bullet1G"/>
        <w:numPr>
          <w:ilvl w:val="0"/>
          <w:numId w:val="0"/>
        </w:numPr>
        <w:tabs>
          <w:tab w:val="left" w:pos="1701"/>
        </w:tabs>
        <w:ind w:left="1701" w:hanging="170"/>
        <w:rPr>
          <w:bCs/>
        </w:rPr>
      </w:pPr>
      <w:r>
        <w:rPr>
          <w:bCs/>
        </w:rPr>
        <w:t>•</w:t>
      </w:r>
      <w:r>
        <w:rPr>
          <w:bCs/>
        </w:rPr>
        <w:tab/>
      </w:r>
      <w:r w:rsidR="00EA12AB" w:rsidRPr="00EA12AB">
        <w:t>судебная власть: судебная власть состоит из судов различных видов и уровней, о которых говорится в статье 6 Закона о судебной власти</w:t>
      </w:r>
      <w:r w:rsidR="00051B02">
        <w:rPr>
          <w:rStyle w:val="ab"/>
        </w:rPr>
        <w:endnoteReference w:id="2"/>
      </w:r>
      <w:r w:rsidR="00EA12AB" w:rsidRPr="00EA12AB">
        <w:t>, и Государственной прокуратуры; шариатская судебная система состоит из шариатских судов и подчиняется положениям Закона № 3 (2011 год) о шариатской судебной системе.</w:t>
      </w:r>
    </w:p>
    <w:p w14:paraId="0B33CD5D" w14:textId="77777777" w:rsidR="00C030AE" w:rsidRDefault="00C030AE" w:rsidP="00C030AE">
      <w:pPr>
        <w:pStyle w:val="H1G"/>
      </w:pPr>
      <w:r>
        <w:tab/>
      </w:r>
      <w:r w:rsidR="00EA12AB" w:rsidRPr="00EA12AB">
        <w:t>B.</w:t>
      </w:r>
      <w:r w:rsidR="00EA12AB" w:rsidRPr="00EA12AB">
        <w:tab/>
        <w:t>Равенство и недискриминация – Общая информация</w:t>
      </w:r>
    </w:p>
    <w:p w14:paraId="5D5A0CB6" w14:textId="77777777" w:rsidR="00C030AE" w:rsidRDefault="00EA12AB" w:rsidP="00EA12AB">
      <w:pPr>
        <w:pStyle w:val="SingleTxtG"/>
      </w:pPr>
      <w:r w:rsidRPr="00EA12AB">
        <w:t>18.</w:t>
      </w:r>
      <w:r w:rsidRPr="00EA12AB">
        <w:tab/>
        <w:t>Статья 9 Основного закона предусматривает, что палестинцы равны перед законом и судами и что между ними не должно быть никакой дискриминации по признаку расы, пола, цвета кожи, религии, политических убеждений или инвалидности. Статья 22 Основного закона наделяет инвалидов правом на социальное страхование наравне с другими гражданами. Она рассматривает предоставление инвалидам ухода, образования и медицинского и социального страхования в качестве категорического обязательства правительства Государства Палестина, которое должно быть гарантировано.</w:t>
      </w:r>
    </w:p>
    <w:p w14:paraId="62A692D8" w14:textId="77777777" w:rsidR="00C030AE" w:rsidRDefault="00C030AE" w:rsidP="00C030AE">
      <w:pPr>
        <w:pStyle w:val="H1G"/>
      </w:pPr>
      <w:r>
        <w:tab/>
      </w:r>
      <w:r w:rsidR="00EA12AB" w:rsidRPr="00EA12AB">
        <w:t>С.</w:t>
      </w:r>
      <w:r w:rsidR="00EA12AB" w:rsidRPr="00EA12AB">
        <w:tab/>
        <w:t>Доступ к правосудию и средствам правовой защиты</w:t>
      </w:r>
    </w:p>
    <w:p w14:paraId="2B5C6035" w14:textId="77777777" w:rsidR="00C030AE" w:rsidRDefault="00EA12AB" w:rsidP="00EA12AB">
      <w:pPr>
        <w:pStyle w:val="SingleTxtG"/>
      </w:pPr>
      <w:r w:rsidRPr="00EA12AB">
        <w:t>19.</w:t>
      </w:r>
      <w:r w:rsidRPr="00EA12AB">
        <w:tab/>
        <w:t>Главная цель Национальной стратегии в области правосудия и верховенства права (2014–2016 годы) заключается в создании системы правосудия, способной обеспечить эффективное и действенное проведение справедливого судебного разбирательства.</w:t>
      </w:r>
      <w:r w:rsidR="00C030AE">
        <w:t xml:space="preserve"> </w:t>
      </w:r>
      <w:r w:rsidRPr="00EA12AB">
        <w:t xml:space="preserve">План Группы по гендерным вопросам Министерства юстиции </w:t>
      </w:r>
      <w:r w:rsidR="008E2BCB">
        <w:br/>
      </w:r>
      <w:r w:rsidRPr="00EA12AB">
        <w:t>(2018–2019</w:t>
      </w:r>
      <w:r w:rsidR="008E2BCB">
        <w:t> </w:t>
      </w:r>
      <w:r w:rsidRPr="00EA12AB">
        <w:t>годы) содержит стратегические цели, касающиеся создания законодательной среды, благоприятной для отправления правосудия, которые были пересмотрены с гендерной точки зрения в целях содействия доступу инвалидов к правосудию. План также предусматривает разработку национальной стратегии правовой помощи в сотрудничестве с Министерством социального развития, шариатскими судами и Министерством по делам женщин.</w:t>
      </w:r>
    </w:p>
    <w:p w14:paraId="11E38EC6" w14:textId="77777777" w:rsidR="00C030AE" w:rsidRDefault="00C030AE" w:rsidP="00C030AE">
      <w:pPr>
        <w:pStyle w:val="HChG"/>
      </w:pPr>
      <w:r w:rsidRPr="008E2BCB">
        <w:tab/>
      </w:r>
      <w:r w:rsidR="00EA12AB" w:rsidRPr="00EA12AB">
        <w:rPr>
          <w:lang w:val="en-GB"/>
        </w:rPr>
        <w:t>II</w:t>
      </w:r>
      <w:r w:rsidR="00EA12AB" w:rsidRPr="00EA12AB">
        <w:t>.</w:t>
      </w:r>
      <w:r w:rsidR="00EA12AB" w:rsidRPr="00EA12AB">
        <w:tab/>
        <w:t>Общие положения Конвенции (статьи 1–4)</w:t>
      </w:r>
    </w:p>
    <w:p w14:paraId="61E8FA46" w14:textId="77777777" w:rsidR="00C030AE" w:rsidRDefault="00EA12AB" w:rsidP="00EA12AB">
      <w:pPr>
        <w:pStyle w:val="SingleTxtG"/>
      </w:pPr>
      <w:r w:rsidRPr="00EA12AB">
        <w:t>20.</w:t>
      </w:r>
      <w:r w:rsidRPr="00EA12AB">
        <w:tab/>
        <w:t xml:space="preserve">В статье 1 Закона № 4 (1999 год) о правах инвалидов инвалид определяется как лицо, страдающее устойчивым полным или частичным ограничением возможностей </w:t>
      </w:r>
      <w:r w:rsidRPr="00EA12AB">
        <w:lastRenderedPageBreak/>
        <w:t>здоровья, будь то врожденным или иным, которое постоянно сказывается на любых его/е</w:t>
      </w:r>
      <w:r w:rsidR="008E2BCB">
        <w:t>е</w:t>
      </w:r>
      <w:r w:rsidRPr="00EA12AB">
        <w:t xml:space="preserve"> сенсорных навыках или физических, психических или умственных способностях в той мере, в какой это препятствует его/е</w:t>
      </w:r>
      <w:r w:rsidR="008E2BCB">
        <w:t>е</w:t>
      </w:r>
      <w:r w:rsidRPr="00EA12AB">
        <w:t xml:space="preserve"> нормальной жизнедеятельности в обществе наравне со здоровыми трудоспособными людьми. Это</w:t>
      </w:r>
      <w:r w:rsidR="00EB473B">
        <w:rPr>
          <w:lang w:val="en-US"/>
        </w:rPr>
        <w:t> </w:t>
      </w:r>
      <w:r w:rsidRPr="00EA12AB">
        <w:t xml:space="preserve">определение соответствует главным принципам Конвенции и ее концепции инвалидов как лиц, обладающих всеми правами человека. Однако в нем не содержится прямых ссылок на внешние факторы, культурные и законодательные препятствия и барьеры, которые ограничивают всестороннее участие. В статье 8 Закона о детях </w:t>
      </w:r>
      <w:r w:rsidR="00EB473B">
        <w:br/>
      </w:r>
      <w:r w:rsidRPr="00EA12AB">
        <w:t>(2004 год, с</w:t>
      </w:r>
      <w:r w:rsidR="00046216">
        <w:rPr>
          <w:lang w:val="en-US"/>
        </w:rPr>
        <w:t> </w:t>
      </w:r>
      <w:r w:rsidRPr="00EA12AB">
        <w:t>поправками) подчеркивается необходимость интеграции детей-инвалидов во все сферы жизни общества</w:t>
      </w:r>
      <w:r w:rsidR="00051B02">
        <w:rPr>
          <w:rStyle w:val="ab"/>
        </w:rPr>
        <w:endnoteReference w:id="3"/>
      </w:r>
      <w:r w:rsidRPr="00EA12AB">
        <w:t>.</w:t>
      </w:r>
    </w:p>
    <w:p w14:paraId="41D6400C" w14:textId="77777777" w:rsidR="00C030AE" w:rsidRDefault="00EA12AB" w:rsidP="00EA12AB">
      <w:pPr>
        <w:pStyle w:val="SingleTxtG"/>
      </w:pPr>
      <w:r w:rsidRPr="00EA12AB">
        <w:t>21.</w:t>
      </w:r>
      <w:r w:rsidRPr="00EA12AB">
        <w:tab/>
        <w:t xml:space="preserve">По данным Всеобщей переписи населения, жилищного фонда и хозяйств </w:t>
      </w:r>
      <w:r w:rsidR="008E2BCB">
        <w:br/>
      </w:r>
      <w:r w:rsidRPr="00EA12AB">
        <w:t>(2017 год), в ходе которой для измерения показателей инвалидности в различных обществах применялась классификация, принятая Всемирной организацией здравоохранения, доля лиц, имеющих ограничение возможностей здоровья/</w:t>
      </w:r>
      <w:r w:rsidR="003B6EBB" w:rsidRPr="003B6EBB">
        <w:t xml:space="preserve"> </w:t>
      </w:r>
      <w:r w:rsidRPr="00EA12AB">
        <w:t xml:space="preserve">инвалидность, в том числе лиц с некоторыми ограничениями и </w:t>
      </w:r>
      <w:bookmarkStart w:id="3" w:name="_Hlk40175554"/>
      <w:r w:rsidRPr="00EA12AB">
        <w:t>серьезными ограничениями возможностей здоровья</w:t>
      </w:r>
      <w:bookmarkEnd w:id="3"/>
      <w:r w:rsidRPr="00EA12AB">
        <w:t xml:space="preserve"> (полная нетрудоспособность), составляет </w:t>
      </w:r>
      <w:r w:rsidR="008E2BCB">
        <w:br/>
      </w:r>
      <w:r w:rsidRPr="00EA12AB">
        <w:t>5,8</w:t>
      </w:r>
      <w:r w:rsidR="008E2BCB">
        <w:t xml:space="preserve">% </w:t>
      </w:r>
      <w:r w:rsidRPr="00EA12AB">
        <w:t>(255 224 человека): 5,3</w:t>
      </w:r>
      <w:r w:rsidR="008E2BCB">
        <w:t xml:space="preserve">% </w:t>
      </w:r>
      <w:r w:rsidRPr="00EA12AB">
        <w:t>среди женщин (115 634 человека) и 6,2</w:t>
      </w:r>
      <w:r w:rsidR="008E2BCB">
        <w:t xml:space="preserve">% </w:t>
      </w:r>
      <w:r w:rsidRPr="00EA12AB">
        <w:t xml:space="preserve">среди </w:t>
      </w:r>
      <w:r w:rsidR="008E2BCB">
        <w:br/>
      </w:r>
      <w:r w:rsidRPr="00EA12AB">
        <w:t>мужчин (139</w:t>
      </w:r>
      <w:r w:rsidR="008E2BCB">
        <w:t> </w:t>
      </w:r>
      <w:r w:rsidRPr="00EA12AB">
        <w:t>590</w:t>
      </w:r>
      <w:r w:rsidR="008E2BCB">
        <w:t> </w:t>
      </w:r>
      <w:r w:rsidRPr="00EA12AB">
        <w:t xml:space="preserve">человек). На Западном берегу этот показатель составляет </w:t>
      </w:r>
      <w:r w:rsidR="008E2BCB">
        <w:br/>
      </w:r>
      <w:r w:rsidRPr="00EA12AB">
        <w:t>5,0</w:t>
      </w:r>
      <w:r w:rsidR="008E2BCB">
        <w:t>%</w:t>
      </w:r>
      <w:r w:rsidRPr="00EA12AB">
        <w:t xml:space="preserve"> (127 262 человека), а в секторе Газа – 6,8</w:t>
      </w:r>
      <w:r w:rsidR="008E2BCB">
        <w:t>%</w:t>
      </w:r>
      <w:r w:rsidRPr="00EA12AB">
        <w:t xml:space="preserve"> (127 962 человека).</w:t>
      </w:r>
      <w:r w:rsidR="00C030AE">
        <w:t xml:space="preserve"> </w:t>
      </w:r>
      <w:r w:rsidRPr="00EA12AB">
        <w:t xml:space="preserve">Число лиц с серьезными ограничениями возможностей здоровья и полной нетрудоспособностью составляет 92 710 </w:t>
      </w:r>
      <w:bookmarkStart w:id="4" w:name="_Hlk41230308"/>
      <w:r w:rsidRPr="00EA12AB">
        <w:t>человек</w:t>
      </w:r>
      <w:bookmarkEnd w:id="4"/>
      <w:r w:rsidRPr="00EA12AB">
        <w:t xml:space="preserve"> (51 693 мужчины и 41 017 женщин</w:t>
      </w:r>
      <w:r w:rsidR="00051B02">
        <w:rPr>
          <w:rStyle w:val="ab"/>
        </w:rPr>
        <w:endnoteReference w:id="4"/>
      </w:r>
      <w:r w:rsidRPr="00EA12AB">
        <w:t>); этот показатель составляет 44 570 человек на Западном берегу и 48 140 в секторе Газа.</w:t>
      </w:r>
    </w:p>
    <w:p w14:paraId="5363E66C" w14:textId="77777777" w:rsidR="00C030AE" w:rsidRDefault="00EA12AB" w:rsidP="00EA12AB">
      <w:pPr>
        <w:pStyle w:val="SingleTxtG"/>
      </w:pPr>
      <w:r w:rsidRPr="00EA12AB">
        <w:t>22.</w:t>
      </w:r>
      <w:r w:rsidRPr="00EA12AB">
        <w:tab/>
        <w:t>В ходе обследования, проведенного Палестинским центральным статистическим бюро в 2011 году в сотрудничестве с Министерством социального развития, были приняты некоторые определения ограничения возможностей здоровья и инвалидности и разъяснено, что это такое.</w:t>
      </w:r>
      <w:r w:rsidR="00C030AE">
        <w:t xml:space="preserve"> </w:t>
      </w:r>
      <w:r w:rsidRPr="00EA12AB">
        <w:t xml:space="preserve">Согласно определению на основе критерия ограничения возможностей здоровья, инвалид – это человек, который имеет некоторые ограничения возможностей здоровья, </w:t>
      </w:r>
      <w:bookmarkStart w:id="5" w:name="_Hlk40175783"/>
      <w:r w:rsidRPr="00EA12AB">
        <w:t xml:space="preserve">серьезные ограничения возможностей здоровья </w:t>
      </w:r>
      <w:bookmarkEnd w:id="5"/>
      <w:r w:rsidRPr="00EA12AB">
        <w:t>или полную нетрудоспособность. Согласно определению на основе критерия инвалидности, инвалид – это человек, который имеет серьезные ограничения возможностей здоровья или полную нетрудоспособность</w:t>
      </w:r>
      <w:r w:rsidR="00051B02">
        <w:rPr>
          <w:rStyle w:val="ab"/>
        </w:rPr>
        <w:endnoteReference w:id="5"/>
      </w:r>
      <w:r w:rsidRPr="00EA12AB">
        <w:t>.</w:t>
      </w:r>
      <w:r w:rsidR="00C030AE">
        <w:t xml:space="preserve"> </w:t>
      </w:r>
    </w:p>
    <w:p w14:paraId="3A8BA3D0" w14:textId="77777777" w:rsidR="00C030AE" w:rsidRDefault="00EA12AB" w:rsidP="00EA12AB">
      <w:pPr>
        <w:pStyle w:val="SingleTxtG"/>
      </w:pPr>
      <w:r w:rsidRPr="00EA12AB">
        <w:t>23.</w:t>
      </w:r>
      <w:r w:rsidRPr="00EA12AB">
        <w:tab/>
        <w:t>Согласно широкому определению инвалидности, ее распространенность как на Западном берегу, так и в секторе Газа составляет около 7</w:t>
      </w:r>
      <w:r w:rsidR="008E2BCB">
        <w:t>%</w:t>
      </w:r>
      <w:r w:rsidRPr="00EA12AB">
        <w:t>. Согласно узкому определению, этот показатель составляет 2,7</w:t>
      </w:r>
      <w:r w:rsidR="008E2BCB">
        <w:t>%</w:t>
      </w:r>
      <w:r w:rsidRPr="00EA12AB">
        <w:t>: 2,9</w:t>
      </w:r>
      <w:r w:rsidR="008E2BCB">
        <w:t>%</w:t>
      </w:r>
      <w:r w:rsidRPr="00EA12AB">
        <w:t xml:space="preserve"> на Западном берегу </w:t>
      </w:r>
      <w:r w:rsidR="008E2BCB">
        <w:br/>
      </w:r>
      <w:r w:rsidRPr="00EA12AB">
        <w:t>и 2,4</w:t>
      </w:r>
      <w:r w:rsidR="008E2BCB">
        <w:t>%</w:t>
      </w:r>
      <w:r w:rsidRPr="00EA12AB">
        <w:t xml:space="preserve"> в секторе Газа.</w:t>
      </w:r>
      <w:r w:rsidR="00C030AE">
        <w:t xml:space="preserve"> </w:t>
      </w:r>
      <w:r w:rsidRPr="00EA12AB">
        <w:t>Для мужчин этот показатель составляет 2,9</w:t>
      </w:r>
      <w:r w:rsidR="008E2BCB">
        <w:t>%</w:t>
      </w:r>
      <w:r w:rsidRPr="00EA12AB">
        <w:t xml:space="preserve"> по сравнению с 2,5</w:t>
      </w:r>
      <w:r w:rsidR="008E2BCB">
        <w:t>%</w:t>
      </w:r>
      <w:r w:rsidRPr="00EA12AB">
        <w:t xml:space="preserve"> для женщин. Это указывает на настоятельную необходимость проведения точного, всеобъемлющего и обновленного обследования для определения масштабов, характера и распространенности инвалидности, уровня имеющихся услуг и проблем, с которыми сталкиваются инвалиды.</w:t>
      </w:r>
    </w:p>
    <w:p w14:paraId="1A182F97" w14:textId="77777777" w:rsidR="00C030AE" w:rsidRDefault="00EA12AB" w:rsidP="008E2BCB">
      <w:pPr>
        <w:pStyle w:val="SingleTxtG"/>
      </w:pPr>
      <w:r w:rsidRPr="00EA12AB">
        <w:t>24.</w:t>
      </w:r>
      <w:r w:rsidRPr="00EA12AB">
        <w:tab/>
        <w:t>Стратегическое планирование сектора социального развития совпало с радикальным сдвигом в подходе Министерства социального развития – с переходом от помощи и защиты к развитию в более широком смысле. В марте 2016 года Кабинет министров принял решение о передаче Министерства социальных дел в ведение Министерства социального развития, которое было утверждено указом Президента.</w:t>
      </w:r>
    </w:p>
    <w:p w14:paraId="2CE68335" w14:textId="77777777" w:rsidR="00C030AE" w:rsidRDefault="00EA12AB" w:rsidP="00EA12AB">
      <w:pPr>
        <w:pStyle w:val="SingleTxtG"/>
      </w:pPr>
      <w:r w:rsidRPr="00EA12AB">
        <w:t>25.</w:t>
      </w:r>
      <w:r w:rsidRPr="00EA12AB">
        <w:tab/>
        <w:t>Вторая цель стратегии сектора социального развития (2017–2022 годы) предусматривает развитие социальных услуг для уязвимых и обездоленных групп населения. Несмотря на ряд трудностей, были достигнуты определенные успехи, в том числе:</w:t>
      </w:r>
    </w:p>
    <w:p w14:paraId="22444972" w14:textId="77777777" w:rsidR="00C030AE" w:rsidRPr="00C030AE" w:rsidRDefault="008E2BCB" w:rsidP="008E2BCB">
      <w:pPr>
        <w:pStyle w:val="SingleTxtG"/>
      </w:pPr>
      <w:r>
        <w:tab/>
      </w:r>
      <w:r>
        <w:tab/>
      </w:r>
      <w:r w:rsidR="00C030AE">
        <w:t>1)</w:t>
      </w:r>
      <w:r w:rsidR="00C030AE">
        <w:tab/>
      </w:r>
      <w:r w:rsidR="00EA12AB" w:rsidRPr="00C030AE">
        <w:t>планирование услуг с учетом потребностей: выделены средства на приобретение услуг у местных предприятий; ряд благотворительных организаций получили лицензии; 2 198 инвалидам были оказаны услуги по защите, размещению и реабилитации. К числу нерешенных проблем относятся отсутствие центров для инвалидов, нехватка бюджетных средств на материально-техническое обеспечение и неразвитость основных объектов инфраструктуры;</w:t>
      </w:r>
    </w:p>
    <w:p w14:paraId="30C24EF1" w14:textId="77777777" w:rsidR="00C030AE" w:rsidRDefault="008E2BCB" w:rsidP="008E2BCB">
      <w:pPr>
        <w:pStyle w:val="SingleTxtG"/>
        <w:rPr>
          <w:bCs/>
        </w:rPr>
      </w:pPr>
      <w:r>
        <w:tab/>
      </w:r>
      <w:r>
        <w:tab/>
      </w:r>
      <w:r w:rsidR="00C030AE">
        <w:t>2)</w:t>
      </w:r>
      <w:r w:rsidR="00C030AE">
        <w:tab/>
      </w:r>
      <w:r w:rsidR="00EA12AB" w:rsidRPr="00C030AE">
        <w:t xml:space="preserve">содействие децентрализованному предоставлению услуг путем выбора вариантов на местном уровне: усилия были сосредоточены на разработке систем </w:t>
      </w:r>
      <w:r w:rsidR="00EA12AB" w:rsidRPr="00C030AE">
        <w:lastRenderedPageBreak/>
        <w:t>стандартов качества для социальных услуг, предоставляемых лицам с тяжелыми формами инвалидности, а также на формировании и подготовке группы сотрудников</w:t>
      </w:r>
      <w:r w:rsidR="00EA12AB" w:rsidRPr="00EA12AB">
        <w:t xml:space="preserve"> Министерства, специализирующихся на проблеме инвалидности</w:t>
      </w:r>
      <w:r w:rsidR="003A5C20">
        <w:rPr>
          <w:rStyle w:val="ab"/>
        </w:rPr>
        <w:endnoteReference w:id="6"/>
      </w:r>
      <w:r w:rsidR="00EA12AB" w:rsidRPr="00EA12AB">
        <w:t>.</w:t>
      </w:r>
    </w:p>
    <w:p w14:paraId="295B33B1" w14:textId="77777777" w:rsidR="00C030AE" w:rsidRDefault="00EA12AB" w:rsidP="00EA12AB">
      <w:pPr>
        <w:pStyle w:val="SingleTxtG"/>
      </w:pPr>
      <w:r w:rsidRPr="00EA12AB">
        <w:t>26.</w:t>
      </w:r>
      <w:r w:rsidRPr="00EA12AB">
        <w:tab/>
        <w:t>Государство предоставляет инвалидам возможность осуществлять свое право на участие, активно вовлекая их в процесс разработки политики, законодательства и программ. Два человека были назначены представлять инвалидов как в Высшем совете по делам инвалидов, так и во Всеобщем союзе инвалидов. Кроме того, рамки стратегического планирования в секторе инвалидности были утверждены Кабинетом министров и приняты министерствами за основу. Эти рамки были также использованы в ряде инициатив, направленных на повышение информированности должностных лиц по некоторым вопросам, таким как адаптация общественного транспорта, в рамках национального плана развития транспортного сектора</w:t>
      </w:r>
      <w:r w:rsidR="003A5C20">
        <w:rPr>
          <w:rStyle w:val="ab"/>
        </w:rPr>
        <w:endnoteReference w:id="7"/>
      </w:r>
      <w:r w:rsidRPr="00EA12AB">
        <w:t>.</w:t>
      </w:r>
    </w:p>
    <w:p w14:paraId="2ADAD35C" w14:textId="77777777" w:rsidR="00C030AE" w:rsidRDefault="00EA12AB" w:rsidP="00EA12AB">
      <w:pPr>
        <w:pStyle w:val="SingleTxtG"/>
      </w:pPr>
      <w:r w:rsidRPr="00EA12AB">
        <w:t>27.</w:t>
      </w:r>
      <w:r w:rsidRPr="00EA12AB">
        <w:tab/>
        <w:t xml:space="preserve">Кроме того, национальные планы по поощрению участия и интеграции инвалидов дают им возможность участвовать в работе Высшего совета по делам инвалидов. В состав Совета входят по одному представителю от Всеобщего союза инвалидов, Вифлеемского арабского общества реабилитации и Общества друзей пациентов, а также эксперт, который в настоящее время является координатором Совета. </w:t>
      </w:r>
    </w:p>
    <w:p w14:paraId="27EB43E5" w14:textId="77777777" w:rsidR="00C030AE" w:rsidRDefault="00EA12AB" w:rsidP="00EA12AB">
      <w:pPr>
        <w:pStyle w:val="SingleTxtG"/>
      </w:pPr>
      <w:r w:rsidRPr="00EA12AB">
        <w:t>28.</w:t>
      </w:r>
      <w:r w:rsidRPr="00EA12AB">
        <w:tab/>
        <w:t>Что касается участия и представленности в комитетах, то число инвалидов, а</w:t>
      </w:r>
      <w:r w:rsidR="008E2BCB">
        <w:t> </w:t>
      </w:r>
      <w:r w:rsidRPr="00EA12AB">
        <w:t xml:space="preserve">также представляющих </w:t>
      </w:r>
      <w:bookmarkStart w:id="6" w:name="_Hlk38880471"/>
      <w:r w:rsidRPr="00EA12AB">
        <w:t>их организаци</w:t>
      </w:r>
      <w:bookmarkEnd w:id="6"/>
      <w:r w:rsidRPr="00EA12AB">
        <w:t xml:space="preserve">й значительно увеличилось в относительном выражении. Помимо Всеобщего союза инвалидов существуют организация </w:t>
      </w:r>
      <w:r w:rsidR="008E2BCB">
        <w:t>«</w:t>
      </w:r>
      <w:r w:rsidRPr="00EA12AB">
        <w:t>Звезды надежды</w:t>
      </w:r>
      <w:r w:rsidR="008E2BCB">
        <w:t>»</w:t>
      </w:r>
      <w:r w:rsidRPr="00EA12AB">
        <w:t xml:space="preserve"> и Палестинский союз глухих</w:t>
      </w:r>
      <w:r w:rsidR="003A5C20">
        <w:rPr>
          <w:rStyle w:val="ab"/>
        </w:rPr>
        <w:endnoteReference w:id="8"/>
      </w:r>
      <w:r w:rsidRPr="00EA12AB">
        <w:t xml:space="preserve">. Что касается участия женщин-инвалидов, то две из них представляют Министерство труда и Министерство местного самоуправления, а две – организацию </w:t>
      </w:r>
      <w:r w:rsidR="008E2BCB">
        <w:t>«</w:t>
      </w:r>
      <w:proofErr w:type="spellStart"/>
      <w:r w:rsidRPr="00EA12AB">
        <w:t>Асват</w:t>
      </w:r>
      <w:proofErr w:type="spellEnd"/>
      <w:r w:rsidR="008E2BCB">
        <w:t>»</w:t>
      </w:r>
      <w:r w:rsidRPr="00EA12AB">
        <w:t xml:space="preserve"> и </w:t>
      </w:r>
      <w:proofErr w:type="spellStart"/>
      <w:r w:rsidRPr="00EA12AB">
        <w:t>Вифлеемское</w:t>
      </w:r>
      <w:proofErr w:type="spellEnd"/>
      <w:r w:rsidRPr="00EA12AB">
        <w:t xml:space="preserve"> арабское общество реабилитации.</w:t>
      </w:r>
    </w:p>
    <w:p w14:paraId="07986902" w14:textId="77777777" w:rsidR="00C030AE" w:rsidRDefault="00EA12AB" w:rsidP="00EA12AB">
      <w:pPr>
        <w:pStyle w:val="SingleTxtG"/>
      </w:pPr>
      <w:r w:rsidRPr="00EA12AB">
        <w:t>29.</w:t>
      </w:r>
      <w:r w:rsidRPr="00EA12AB">
        <w:tab/>
        <w:t>За последние десять лет Совет провел в общей сложности 15 заседаний, последнее из которых состоялось в мае 2018 года после перерыва, продлившегося более полутора лет. В соответствии с правилами процедуры он, как предполагалось, должен был бы провести 40 заседаний в течение этого периода из расчета не менее четырех заседаний в год.</w:t>
      </w:r>
    </w:p>
    <w:p w14:paraId="7D0129C5" w14:textId="77777777" w:rsidR="00C030AE" w:rsidRDefault="00EA12AB" w:rsidP="00EA12AB">
      <w:pPr>
        <w:pStyle w:val="SingleTxtG"/>
      </w:pPr>
      <w:r w:rsidRPr="00EA12AB">
        <w:t>30.</w:t>
      </w:r>
      <w:r w:rsidRPr="00EA12AB">
        <w:tab/>
        <w:t>Деятельность Высшего совета по делам инвалидов тесно связана с рядом факторов, в первую очередь с общеполитической ситуацией, перестановками в министерствах, положением движения за права инвалидов, составом Совета и структурой его круга ведения. Они влияют на деятельность Совета следующим образом:</w:t>
      </w:r>
    </w:p>
    <w:p w14:paraId="30AC65AD" w14:textId="77777777" w:rsidR="00C030AE" w:rsidRDefault="00C030AE" w:rsidP="00C030AE">
      <w:pPr>
        <w:pStyle w:val="Bullet1G"/>
        <w:numPr>
          <w:ilvl w:val="0"/>
          <w:numId w:val="0"/>
        </w:numPr>
        <w:tabs>
          <w:tab w:val="left" w:pos="1701"/>
        </w:tabs>
        <w:ind w:left="1701" w:hanging="170"/>
      </w:pPr>
      <w:r>
        <w:t>•</w:t>
      </w:r>
      <w:r>
        <w:tab/>
      </w:r>
      <w:r w:rsidR="00EA12AB" w:rsidRPr="00EA12AB">
        <w:t>общая политическая ситуация в Государстве Палестина: разделение страны влияет на структуру представительства, причем основное внимание уделяется учреждениям с широким национальным охватом, таким как Общество Красного Полумесяца и Всеобщий союз инвалидов, а также министерствам и правительственным учреждениям, в которых жители Газы не представлены. Кроме того, агрессивные действия израильских оккупационных сил, особенно в Газе, отвлекают внимание от вопросов развития и прав, включая вопросы инвалидности;</w:t>
      </w:r>
    </w:p>
    <w:p w14:paraId="60C5621B" w14:textId="77777777" w:rsidR="00C030AE" w:rsidRDefault="00C030AE" w:rsidP="00C030AE">
      <w:pPr>
        <w:pStyle w:val="Bullet1G"/>
        <w:numPr>
          <w:ilvl w:val="0"/>
          <w:numId w:val="0"/>
        </w:numPr>
        <w:tabs>
          <w:tab w:val="left" w:pos="1701"/>
        </w:tabs>
        <w:ind w:left="1701" w:hanging="170"/>
      </w:pPr>
      <w:r>
        <w:t>•</w:t>
      </w:r>
      <w:r>
        <w:tab/>
      </w:r>
      <w:r w:rsidR="00EA12AB" w:rsidRPr="00EA12AB">
        <w:t>смена одних министров другими сказывалась на уровне внимания, уделяемого Совету</w:t>
      </w:r>
      <w:r w:rsidR="003A5C20">
        <w:rPr>
          <w:rStyle w:val="ab"/>
        </w:rPr>
        <w:endnoteReference w:id="9"/>
      </w:r>
      <w:r w:rsidR="00EA12AB" w:rsidRPr="00EA12AB">
        <w:t>;</w:t>
      </w:r>
    </w:p>
    <w:p w14:paraId="0F5191DC" w14:textId="77777777" w:rsidR="00C030AE" w:rsidRDefault="00C030AE" w:rsidP="00C030AE">
      <w:pPr>
        <w:pStyle w:val="Bullet1G"/>
        <w:numPr>
          <w:ilvl w:val="0"/>
          <w:numId w:val="0"/>
        </w:numPr>
        <w:tabs>
          <w:tab w:val="left" w:pos="1701"/>
        </w:tabs>
        <w:ind w:left="1701" w:hanging="170"/>
      </w:pPr>
      <w:r>
        <w:t>•</w:t>
      </w:r>
      <w:r>
        <w:tab/>
      </w:r>
      <w:r w:rsidR="00EA12AB" w:rsidRPr="00EA12AB">
        <w:t>ситуация с движением за права инвалидов непосредственно влияет на характер работы и деятельность Совета: чем активнее деятельность организаций по защите прав инвалидов, тем заметнее работа Совета и тем чаще проводятся его заседания, и наоборот;</w:t>
      </w:r>
    </w:p>
    <w:p w14:paraId="4755558D" w14:textId="77777777" w:rsidR="00C030AE" w:rsidRDefault="00C030AE" w:rsidP="00C030AE">
      <w:pPr>
        <w:pStyle w:val="Bullet1G"/>
        <w:numPr>
          <w:ilvl w:val="0"/>
          <w:numId w:val="0"/>
        </w:numPr>
        <w:tabs>
          <w:tab w:val="left" w:pos="1701"/>
        </w:tabs>
        <w:ind w:left="1701" w:hanging="170"/>
      </w:pPr>
      <w:r>
        <w:t>•</w:t>
      </w:r>
      <w:r>
        <w:tab/>
      </w:r>
      <w:r w:rsidR="00EA12AB" w:rsidRPr="00EA12AB">
        <w:t>подчинение Совета Министерству социального развития противоречит его надзорной функции. По этой причине круг ведения Совета необходимо изменить, чтобы обеспечить иной правовой статус и независимое финансовое положение</w:t>
      </w:r>
      <w:r w:rsidR="003A5C20">
        <w:rPr>
          <w:rStyle w:val="ab"/>
        </w:rPr>
        <w:endnoteReference w:id="10"/>
      </w:r>
      <w:r w:rsidR="00EA12AB" w:rsidRPr="00EA12AB">
        <w:t>.</w:t>
      </w:r>
    </w:p>
    <w:p w14:paraId="2FBFD7A4" w14:textId="77777777" w:rsidR="00C030AE" w:rsidRDefault="00EA12AB" w:rsidP="00EA12AB">
      <w:pPr>
        <w:pStyle w:val="SingleTxtG"/>
      </w:pPr>
      <w:r w:rsidRPr="00EA12AB">
        <w:lastRenderedPageBreak/>
        <w:t>31.</w:t>
      </w:r>
      <w:r w:rsidRPr="00EA12AB">
        <w:tab/>
        <w:t>Помимо присоединения к Конвенции о правах ребенка и Конвенции о ликвидации всех форм дискриминации в отношении женщин Государство Палестина приняло ряд внутренних мер, подчеркнув свою приверженность осуществлению и защите прав инвалидов, и эта задача постепенно решается. Нижеследующие меры представляют собой часть процесса подготовки нового закона об инвалидах, который должен прийти на смену прежнему Закону № 4 (1999 год):</w:t>
      </w:r>
    </w:p>
    <w:p w14:paraId="6DC08B1D" w14:textId="77777777" w:rsidR="00C030AE" w:rsidRDefault="00C030AE" w:rsidP="00C030AE">
      <w:pPr>
        <w:pStyle w:val="SingleTxtG"/>
      </w:pPr>
      <w:r>
        <w:tab/>
      </w:r>
      <w:r>
        <w:tab/>
        <w:t>a)</w:t>
      </w:r>
      <w:r>
        <w:tab/>
      </w:r>
      <w:r w:rsidR="00EA12AB" w:rsidRPr="00EA12AB">
        <w:t>разработка нового законопроекта: сформирован комитет под председательством Министерства социального развития в составе представителей организаций гражданского общества и различных министерств для разработки нового закона о правах инвалидов, совместимого с международными конвенциями. Работа над первоначальным проектом завершена, и законопроект доработан с учетом замечаний соответствующих организаций. Ведется работа по созыву рабочих совещаний для организаций инвалидов на уровне местных общин, государственных учреждений и международных организаций с целью сбора дополнительных замечаний и внесения в законопроект необходимых поправок. Затем будет подготовлена пояснительная записка, которая будет представлена Кабинету министров и органам, предусмотренным законодательством. Этот процесс будет продолжаться до тех пор, пока законопроект не будет принят, возможно, в конце 2019 года;</w:t>
      </w:r>
    </w:p>
    <w:p w14:paraId="0EA5BDE4" w14:textId="77777777" w:rsidR="00C030AE" w:rsidRDefault="00C030AE" w:rsidP="00C030AE">
      <w:pPr>
        <w:pStyle w:val="SingleTxtG"/>
      </w:pPr>
      <w:r>
        <w:tab/>
      </w:r>
      <w:r>
        <w:tab/>
        <w:t>b)</w:t>
      </w:r>
      <w:r>
        <w:tab/>
      </w:r>
      <w:r w:rsidR="00EA12AB" w:rsidRPr="00EA12AB">
        <w:t>подготовка списка: в настоящее время Министерство социального развития готовит список инвалидов, получающих денежную помощь от Министерства (их число составляет сейчас около 52 000 человек), с тем чтобы определить распространенность инвалидности по мухафазам, городам, деревням, лагерям, типам инвалидности и возрастным группам, а также провести оценку потребностей с учетом типа инвалидности. Этот проект, финансируемый Фондом по спасению детей, направлен на содействие использованию карточки инвалида.</w:t>
      </w:r>
    </w:p>
    <w:p w14:paraId="07728C1A" w14:textId="77777777" w:rsidR="00C030AE" w:rsidRDefault="00C030AE" w:rsidP="00EA12AB">
      <w:pPr>
        <w:pStyle w:val="SingleTxtG"/>
      </w:pPr>
      <w:r>
        <w:tab/>
      </w:r>
      <w:r>
        <w:tab/>
      </w:r>
      <w:r w:rsidR="00EA12AB" w:rsidRPr="00EA12AB">
        <w:t>С помощью плана по внедрению карточки инвалида Министерство социального развития стремится создать всеобъемлющую базу данных по всем инвалидам, а не только тем, кто получает денежную помощь. В рамках сотрудничества между Министерством и Палестинским центральным статистическим бюро и при финансовой поддержке Фонда по спасению детей был разработан планшетный бланк, который могут заполнять специально обученные социальные работники. Однако при осуществлении этого проекта возникли проблемы с компанией, разрабатывающей программное обеспечение. В качестве первого шага в настоящее время заполняются бумажные бланки примерно на 1</w:t>
      </w:r>
      <w:r w:rsidR="008E2BCB">
        <w:t> </w:t>
      </w:r>
      <w:r w:rsidR="00EA12AB" w:rsidRPr="00EA12AB">
        <w:t xml:space="preserve">200 инвалидов, зарегистрированных в качестве получателей </w:t>
      </w:r>
      <w:proofErr w:type="spellStart"/>
      <w:r w:rsidR="00EA12AB" w:rsidRPr="00EA12AB">
        <w:t>ассистивных</w:t>
      </w:r>
      <w:proofErr w:type="spellEnd"/>
      <w:r w:rsidR="00EA12AB" w:rsidRPr="00EA12AB">
        <w:t xml:space="preserve"> устройств. Позднее будет принят комплексный план, предусматривающий электронный ввод данных об инвалидах, получающих услуги по линии Министерства.</w:t>
      </w:r>
    </w:p>
    <w:p w14:paraId="507584BB" w14:textId="77777777" w:rsidR="00C030AE" w:rsidRDefault="00C030AE" w:rsidP="00C030AE">
      <w:pPr>
        <w:pStyle w:val="H1G"/>
      </w:pPr>
      <w:r>
        <w:tab/>
      </w:r>
      <w:r>
        <w:tab/>
      </w:r>
      <w:r w:rsidR="00EA12AB" w:rsidRPr="00EA12AB">
        <w:t>Общие положения Конвенции (статьи 1–4)</w:t>
      </w:r>
    </w:p>
    <w:p w14:paraId="4771D81E" w14:textId="77777777" w:rsidR="00C030AE" w:rsidRDefault="00C030AE" w:rsidP="00EB473B">
      <w:pPr>
        <w:pStyle w:val="H1G"/>
      </w:pPr>
      <w:r>
        <w:tab/>
      </w:r>
      <w:r>
        <w:tab/>
      </w:r>
      <w:r w:rsidR="00EA12AB" w:rsidRPr="00EA12AB">
        <w:t>Статья 1</w:t>
      </w:r>
      <w:r>
        <w:br/>
      </w:r>
      <w:r w:rsidR="00EA12AB" w:rsidRPr="00EA12AB">
        <w:t>Цель</w:t>
      </w:r>
    </w:p>
    <w:p w14:paraId="757CDD19" w14:textId="77777777" w:rsidR="00C030AE" w:rsidRDefault="00EA12AB" w:rsidP="00EA12AB">
      <w:pPr>
        <w:pStyle w:val="SingleTxtG"/>
      </w:pPr>
      <w:r w:rsidRPr="00EA12AB">
        <w:t>32.</w:t>
      </w:r>
      <w:r w:rsidRPr="00EA12AB">
        <w:tab/>
        <w:t>Государство Палестина стремится защищать и обеспечивать права инвалидов на нескольких уровнях.</w:t>
      </w:r>
      <w:r w:rsidR="00C030AE">
        <w:t xml:space="preserve"> </w:t>
      </w:r>
      <w:r w:rsidRPr="00EA12AB">
        <w:t>На законодательном уровне был принят Закон о правах инвалидов (1999 год), призванный регулировать и защищать законные права инвалидов, которые должны гарантироваться всеми государственными органами.</w:t>
      </w:r>
      <w:r w:rsidR="00C030AE">
        <w:t xml:space="preserve"> </w:t>
      </w:r>
      <w:r w:rsidRPr="00EA12AB">
        <w:t>Впоследствии был принят подзаконный акт о применении этого Закона (2004 год), в котором подтверждается, что инвалиды имеют право на свободную и достойную жизнь и что инвалидность не может являться основанием для отказа в доступе к правам.</w:t>
      </w:r>
    </w:p>
    <w:p w14:paraId="523AFEFE" w14:textId="77777777" w:rsidR="00C030AE" w:rsidRDefault="00EA12AB" w:rsidP="00EA12AB">
      <w:pPr>
        <w:pStyle w:val="SingleTxtG"/>
      </w:pPr>
      <w:r w:rsidRPr="00EA12AB">
        <w:t>33.</w:t>
      </w:r>
      <w:r w:rsidRPr="00EA12AB">
        <w:tab/>
        <w:t>Вместе с тем, хотя в Законе о правах инвалидов и Законе о детях затрагивается ряд аспектов прав инвалидов, по-прежнему существует необходимость в обеспечении соблюдения на местах и приведении практики в соответствие с законодательством. Эти вопросы будут учтены в новом законе.</w:t>
      </w:r>
    </w:p>
    <w:p w14:paraId="3C553A4E" w14:textId="77777777" w:rsidR="00C030AE" w:rsidRDefault="00EA12AB" w:rsidP="00EA12AB">
      <w:pPr>
        <w:pStyle w:val="SingleTxtG"/>
      </w:pPr>
      <w:r w:rsidRPr="00EA12AB">
        <w:lastRenderedPageBreak/>
        <w:t>34.</w:t>
      </w:r>
      <w:r w:rsidRPr="00EA12AB">
        <w:tab/>
        <w:t xml:space="preserve">Инвалиды в Палестине, особенно женщины, по-прежнему страдают от определенных форм дискриминации в силу культурных традиций. </w:t>
      </w:r>
      <w:r w:rsidR="002D2E13">
        <w:br/>
      </w:r>
      <w:r w:rsidRPr="00EA12AB">
        <w:t>Женщины-инвалиды принимают ограниченное участие в общественной жизни, занятости, образовании и досуге, и лишь немногие из них осуществляют свое право на вступление в брак, деторождение и самостоятельную жизнь. Государство Палестина стремится ликвидировать все формы дискриминации в отношении женщин в целом и женщин-инвалидов в частности с помощью национальных планов и стратегий, направленных на интеграцию женщин во все сферы политической и культурной жизни и предоставление им возможности пользоваться своими правами на образование и трудоустройство.</w:t>
      </w:r>
    </w:p>
    <w:p w14:paraId="2CAA889F" w14:textId="77777777" w:rsidR="00C030AE" w:rsidRDefault="00FD53CB" w:rsidP="00EB473B">
      <w:pPr>
        <w:pStyle w:val="H1G"/>
      </w:pPr>
      <w:r>
        <w:tab/>
      </w:r>
      <w:r>
        <w:tab/>
      </w:r>
      <w:r w:rsidR="00EA12AB" w:rsidRPr="00EA12AB">
        <w:t>Статья 2</w:t>
      </w:r>
      <w:r>
        <w:br/>
      </w:r>
      <w:r w:rsidR="00EA12AB" w:rsidRPr="00EA12AB">
        <w:t>Определения</w:t>
      </w:r>
    </w:p>
    <w:p w14:paraId="2547FDC7" w14:textId="77777777" w:rsidR="00C030AE" w:rsidRDefault="00EA12AB" w:rsidP="00EA12AB">
      <w:pPr>
        <w:pStyle w:val="SingleTxtG"/>
      </w:pPr>
      <w:r w:rsidRPr="00EA12AB">
        <w:t>35.</w:t>
      </w:r>
      <w:r w:rsidRPr="00EA12AB">
        <w:tab/>
        <w:t>В статье 1 Закона № 4 (1999 год) инвалид определяется как лицо, страдающее устойчивым полным или частичным ограничением возможностей здоровья, будь то врожденным или иным, которое постоянно сказывается на любых его/е</w:t>
      </w:r>
      <w:r w:rsidR="008E2BCB">
        <w:t>е</w:t>
      </w:r>
      <w:r w:rsidRPr="00EA12AB">
        <w:t xml:space="preserve"> сенсорных навыках или физических, психических или умственных способностях в той мере, в какой это препятствует его/е</w:t>
      </w:r>
      <w:r w:rsidR="008E2BCB">
        <w:t>е</w:t>
      </w:r>
      <w:r w:rsidRPr="00EA12AB">
        <w:t xml:space="preserve"> нормальной жизнедеятельности в обществе наравне со здоровыми трудоспособными людьми.</w:t>
      </w:r>
    </w:p>
    <w:p w14:paraId="55DF6FBE" w14:textId="77777777" w:rsidR="00C030AE" w:rsidRDefault="00EA12AB" w:rsidP="00EA12AB">
      <w:pPr>
        <w:pStyle w:val="SingleTxtG"/>
      </w:pPr>
      <w:r w:rsidRPr="00EA12AB">
        <w:t>36.</w:t>
      </w:r>
      <w:r w:rsidRPr="00EA12AB">
        <w:tab/>
        <w:t>Вышеупомянутое определение инвалида как неполноценного лица несовместимо с Конвенцией. Это определение, базирующееся прежде всего на физических недостатках и функциональных ограничениях (т.</w:t>
      </w:r>
      <w:r w:rsidR="008E2BCB">
        <w:t> </w:t>
      </w:r>
      <w:r w:rsidRPr="00EA12AB">
        <w:t xml:space="preserve">е. степени нетрудоспособности или ограничения возможностей здоровья) и обусловленной этими ограничениями деятельности лица, не соответствует современному подходу к определению инвалидности, принятому в Конвенции. Кроме того, существует некоторая непоследовательность в определении понятия </w:t>
      </w:r>
      <w:r w:rsidR="008E2BCB">
        <w:t>«</w:t>
      </w:r>
      <w:r w:rsidRPr="00EA12AB">
        <w:t>инвалидность</w:t>
      </w:r>
      <w:r w:rsidR="008E2BCB">
        <w:t>»</w:t>
      </w:r>
      <w:r w:rsidRPr="00EA12AB">
        <w:t>, принятом различными министерствами, отвечающими за оказание услуг инвалидам на основе карточки инвалида, в том числе Министерством здравоохранения, Министерством труда, Министерством социального развития и Министерством транспорта и коммуникаций, что приводит к проблемам при разработке планов и программ. Это будет учтено при подготовке нового закона и формулировании определения, стандартизированного в соответствии с международными конвенциями.</w:t>
      </w:r>
    </w:p>
    <w:p w14:paraId="77CEAB8E" w14:textId="77777777" w:rsidR="00C030AE" w:rsidRDefault="00EA12AB" w:rsidP="00EA12AB">
      <w:pPr>
        <w:pStyle w:val="SingleTxtG"/>
      </w:pPr>
      <w:r w:rsidRPr="00EA12AB">
        <w:t>37.</w:t>
      </w:r>
      <w:r w:rsidRPr="00EA12AB">
        <w:tab/>
        <w:t>В подзаконном акте 2004 года о применении Закона № 4 (1999</w:t>
      </w:r>
      <w:r w:rsidR="002D2E13" w:rsidRPr="002D2E13">
        <w:t xml:space="preserve"> </w:t>
      </w:r>
      <w:r w:rsidR="002D2E13">
        <w:t>год</w:t>
      </w:r>
      <w:r w:rsidRPr="00EA12AB">
        <w:t>) инвалидность классифицируется следующим образом:</w:t>
      </w:r>
    </w:p>
    <w:p w14:paraId="4E985721" w14:textId="77777777" w:rsidR="00EA12AB" w:rsidRPr="00EA12AB" w:rsidRDefault="00C030AE" w:rsidP="00FD53CB">
      <w:pPr>
        <w:pStyle w:val="Bullet1G"/>
      </w:pPr>
      <w:r w:rsidRPr="00EA12AB">
        <w:rPr>
          <w:rFonts w:ascii="Symbol" w:hAnsi="Symbol"/>
        </w:rPr>
        <w:tab/>
      </w:r>
      <w:r w:rsidR="00EA12AB" w:rsidRPr="00EA12AB">
        <w:t>нарушение моторных функций: инвалидность в результате функционального повреждения нервов, мышц, костей или суставов, что ограничивает или вызывает потерю двигательной способности организма;</w:t>
      </w:r>
    </w:p>
    <w:p w14:paraId="4553603C" w14:textId="77777777" w:rsidR="00C030AE" w:rsidRDefault="00C030AE" w:rsidP="00FD53CB">
      <w:pPr>
        <w:pStyle w:val="Bullet1G"/>
      </w:pPr>
      <w:r>
        <w:rPr>
          <w:rFonts w:ascii="Symbol" w:hAnsi="Symbol"/>
        </w:rPr>
        <w:tab/>
      </w:r>
      <w:r w:rsidR="00EA12AB" w:rsidRPr="00EA12AB">
        <w:t>сенсорное расстройство: инвалидность, являющаяся следствием травмы или повреждения органов чувств и вызывающая нарушения зрения, слуха или речи, как указано в приложении к подзаконному акту;</w:t>
      </w:r>
    </w:p>
    <w:p w14:paraId="2A9FB012" w14:textId="77777777" w:rsidR="00C030AE" w:rsidRDefault="00C030AE" w:rsidP="00FD53CB">
      <w:pPr>
        <w:pStyle w:val="Bullet1G"/>
      </w:pPr>
      <w:r>
        <w:rPr>
          <w:rFonts w:ascii="Symbol" w:hAnsi="Symbol"/>
        </w:rPr>
        <w:tab/>
      </w:r>
      <w:r w:rsidR="00EA12AB" w:rsidRPr="00EA12AB">
        <w:t>психические расстройства: инвалидность, вызванная нарушением высших функций мозга, таких как способность к концентрации, навыки счета и память; это ограничивает способность к обучению и нарушает когнитивные функции, а</w:t>
      </w:r>
      <w:r w:rsidR="002D2E13">
        <w:t> </w:t>
      </w:r>
      <w:r w:rsidR="00EA12AB" w:rsidRPr="00EA12AB">
        <w:t>также приводит к поведенческим расстройствам;</w:t>
      </w:r>
    </w:p>
    <w:p w14:paraId="4B3266F3" w14:textId="77777777" w:rsidR="00C030AE" w:rsidRDefault="00C030AE" w:rsidP="00FD53CB">
      <w:pPr>
        <w:pStyle w:val="Bullet1G"/>
      </w:pPr>
      <w:r>
        <w:rPr>
          <w:rFonts w:ascii="Symbol" w:hAnsi="Symbol"/>
        </w:rPr>
        <w:tab/>
      </w:r>
      <w:r w:rsidR="00EA12AB" w:rsidRPr="00EA12AB">
        <w:t>умственная неполноценность: неполноценность, вызванная психическим, наследственным или генетическим заболеванием или иным фактором, мешающим мозгу нормально выполнять свои функции;</w:t>
      </w:r>
    </w:p>
    <w:p w14:paraId="67A44BE5" w14:textId="77777777" w:rsidR="00C030AE" w:rsidRDefault="00C030AE" w:rsidP="00FD53CB">
      <w:pPr>
        <w:pStyle w:val="Bullet1G"/>
      </w:pPr>
      <w:r>
        <w:rPr>
          <w:rFonts w:ascii="Symbol" w:hAnsi="Symbol"/>
        </w:rPr>
        <w:tab/>
      </w:r>
      <w:r w:rsidR="00EA12AB" w:rsidRPr="00EA12AB">
        <w:t>двойная инвалидность: когда один человек страдает от двух разных типов инвалидности;</w:t>
      </w:r>
    </w:p>
    <w:p w14:paraId="2500854E" w14:textId="77777777" w:rsidR="00C030AE" w:rsidRDefault="00C030AE" w:rsidP="00FD53CB">
      <w:pPr>
        <w:pStyle w:val="Bullet1G"/>
      </w:pPr>
      <w:r>
        <w:rPr>
          <w:rFonts w:ascii="Symbol" w:hAnsi="Symbol"/>
        </w:rPr>
        <w:tab/>
      </w:r>
      <w:r w:rsidR="00EA12AB" w:rsidRPr="00EA12AB">
        <w:t>комплексная инвалидность: когда один человек страдает от нескольких типов инвалидности.</w:t>
      </w:r>
    </w:p>
    <w:p w14:paraId="2006D781" w14:textId="77777777" w:rsidR="00C030AE" w:rsidRDefault="00EA12AB" w:rsidP="00EA12AB">
      <w:pPr>
        <w:pStyle w:val="SingleTxtG"/>
      </w:pPr>
      <w:r w:rsidRPr="00EA12AB">
        <w:t>38.</w:t>
      </w:r>
      <w:r w:rsidRPr="00EA12AB">
        <w:tab/>
        <w:t xml:space="preserve">В связи с вопросом об определении инвалидности, принятом для сбора данных и статистических обследований, Палестинское центральное статистическое бюро </w:t>
      </w:r>
      <w:r w:rsidRPr="00EA12AB">
        <w:lastRenderedPageBreak/>
        <w:t>отмечает, что Всемирная организация здравоохранения и Вашингтонская группа по статистике инвалидности разработали стандартное определение для измерения ограничения возможностей здоровья/инвалидности во всех обществах. Вашингтонская группа предложила набор из шести ключевых вопросов для измерения инвалидности в формате переписи населения со шкалой из четырех вариантов ответа на каждый вопрос, а именно</w:t>
      </w:r>
      <w:r w:rsidR="002D2E13">
        <w:t>:</w:t>
      </w:r>
      <w:r w:rsidRPr="00EA12AB">
        <w:t xml:space="preserve"> 1</w:t>
      </w:r>
      <w:r w:rsidR="00EB473B" w:rsidRPr="00EB473B">
        <w:t>)</w:t>
      </w:r>
      <w:r w:rsidRPr="00EA12AB">
        <w:t xml:space="preserve"> </w:t>
      </w:r>
      <w:r w:rsidR="008E2BCB">
        <w:t>«</w:t>
      </w:r>
      <w:r w:rsidRPr="00EA12AB">
        <w:t>не имею ограничений возможностей здоровья</w:t>
      </w:r>
      <w:r w:rsidR="008E2BCB">
        <w:t>»</w:t>
      </w:r>
      <w:r w:rsidRPr="00EA12AB">
        <w:t xml:space="preserve">; </w:t>
      </w:r>
      <w:r w:rsidR="002D2E13">
        <w:br/>
      </w:r>
      <w:r w:rsidRPr="00EA12AB">
        <w:t>2</w:t>
      </w:r>
      <w:r w:rsidR="00EB473B" w:rsidRPr="00EB473B">
        <w:t>)</w:t>
      </w:r>
      <w:r w:rsidR="002D2E13">
        <w:t xml:space="preserve"> </w:t>
      </w:r>
      <w:r w:rsidR="008E2BCB">
        <w:t>«</w:t>
      </w:r>
      <w:r w:rsidRPr="00EA12AB">
        <w:t>имею некоторые ограничения возможностей здоровья</w:t>
      </w:r>
      <w:r w:rsidR="008E2BCB">
        <w:t>»</w:t>
      </w:r>
      <w:r w:rsidRPr="00EA12AB">
        <w:t>; 3</w:t>
      </w:r>
      <w:r w:rsidR="00EB473B" w:rsidRPr="00EB473B">
        <w:t>)</w:t>
      </w:r>
      <w:r w:rsidRPr="00EA12AB">
        <w:t xml:space="preserve"> </w:t>
      </w:r>
      <w:r w:rsidR="008E2BCB">
        <w:t>«</w:t>
      </w:r>
      <w:r w:rsidRPr="00EA12AB">
        <w:t>имею серьезные ограничения возможностей здоровья</w:t>
      </w:r>
      <w:r w:rsidR="008E2BCB">
        <w:t>»</w:t>
      </w:r>
      <w:r w:rsidR="002D2E13">
        <w:t>;</w:t>
      </w:r>
      <w:r w:rsidRPr="00EA12AB">
        <w:t xml:space="preserve"> и 4</w:t>
      </w:r>
      <w:r w:rsidR="00EB473B" w:rsidRPr="00EB473B">
        <w:t>)</w:t>
      </w:r>
      <w:r w:rsidRPr="00EA12AB">
        <w:t xml:space="preserve"> </w:t>
      </w:r>
      <w:r w:rsidR="008E2BCB">
        <w:t>«</w:t>
      </w:r>
      <w:r w:rsidRPr="00EA12AB">
        <w:t>полностью нетрудоспособен</w:t>
      </w:r>
      <w:r w:rsidR="008E2BCB">
        <w:t>»</w:t>
      </w:r>
      <w:r w:rsidR="00621E85">
        <w:rPr>
          <w:rStyle w:val="ab"/>
        </w:rPr>
        <w:endnoteReference w:id="11"/>
      </w:r>
      <w:r w:rsidRPr="00EA12AB">
        <w:t>. Распространенность инвалидности в палестинском обществе указывается в соответствии с кратким и расширенным списками Вашингтонской группы в приложении 1.</w:t>
      </w:r>
      <w:r w:rsidR="00C030AE">
        <w:t xml:space="preserve"> </w:t>
      </w:r>
    </w:p>
    <w:p w14:paraId="4186455B" w14:textId="77777777" w:rsidR="00C030AE" w:rsidRDefault="00EA12AB" w:rsidP="00EA12AB">
      <w:pPr>
        <w:pStyle w:val="SingleTxtG"/>
      </w:pPr>
      <w:r w:rsidRPr="00EA12AB">
        <w:t>39.</w:t>
      </w:r>
      <w:r w:rsidRPr="00EA12AB">
        <w:tab/>
        <w:t>Язык: статья 11 Закона о правах инвалидов подтверждает необходимость использования языка жестов во всех государственных учреждениях. В подзаконном акте о применении этого Закона четко указано, что Министерство социального развития обязано осуществлять его в сотрудничестве с государственными учреждениями</w:t>
      </w:r>
      <w:r w:rsidR="00621E85">
        <w:rPr>
          <w:rStyle w:val="ab"/>
        </w:rPr>
        <w:endnoteReference w:id="12"/>
      </w:r>
      <w:r w:rsidRPr="00EA12AB">
        <w:t>.</w:t>
      </w:r>
    </w:p>
    <w:p w14:paraId="571F9790" w14:textId="77777777" w:rsidR="00C030AE" w:rsidRDefault="00EA12AB" w:rsidP="008D5ACF">
      <w:pPr>
        <w:pStyle w:val="Bullet1G"/>
      </w:pPr>
      <w:r w:rsidRPr="00EA12AB">
        <w:t xml:space="preserve">Диплом </w:t>
      </w:r>
      <w:bookmarkStart w:id="7" w:name="_Hlk38895620"/>
      <w:r w:rsidRPr="00EA12AB">
        <w:t xml:space="preserve">переводчика языка жестов Университета </w:t>
      </w:r>
      <w:proofErr w:type="spellStart"/>
      <w:r w:rsidRPr="00EA12AB">
        <w:t>Кадури</w:t>
      </w:r>
      <w:proofErr w:type="spellEnd"/>
      <w:r w:rsidRPr="00EA12AB">
        <w:t xml:space="preserve"> </w:t>
      </w:r>
      <w:bookmarkEnd w:id="7"/>
      <w:r w:rsidRPr="00EA12AB">
        <w:t xml:space="preserve">получил аккредитацию Управления по аккредитации и качеству в 2017 году. </w:t>
      </w:r>
      <w:proofErr w:type="spellStart"/>
      <w:r w:rsidRPr="00EA12AB">
        <w:t>Бирзейтский</w:t>
      </w:r>
      <w:proofErr w:type="spellEnd"/>
      <w:r w:rsidRPr="00EA12AB">
        <w:t xml:space="preserve"> университет предлагает факультативный курс по языку жестов, который был включен Министерством юстиции в Закон об устном переводе в качестве права глухих лиц, которым должны быть обеспечены услуги переводчика языка жестов.</w:t>
      </w:r>
    </w:p>
    <w:p w14:paraId="7206518A" w14:textId="77777777" w:rsidR="00EA12AB" w:rsidRPr="00EA12AB" w:rsidRDefault="00EA12AB" w:rsidP="008D5ACF">
      <w:pPr>
        <w:pStyle w:val="Bullet1G"/>
      </w:pPr>
      <w:r w:rsidRPr="00EA12AB">
        <w:t>На практике еще предстоит проделать большую работу по предоставлению инвалидам услуг переводчика языка жестов, и Палестина работает над достижением этой цели во всех учреждениях в будущем. Такие НПО, как Общество Красного Полумесяца, ежегодно организуют десятки курсов по изучению языка жестов для добровольцев, общинных активистов, сотрудников и других лиц с целью сделать его обычным явлением в палестинском обществе.</w:t>
      </w:r>
    </w:p>
    <w:p w14:paraId="7773205A" w14:textId="77777777" w:rsidR="00C030AE" w:rsidRDefault="00EA12AB" w:rsidP="00EA12AB">
      <w:pPr>
        <w:pStyle w:val="SingleTxtG"/>
      </w:pPr>
      <w:r w:rsidRPr="00EA12AB">
        <w:t>40.</w:t>
      </w:r>
      <w:r w:rsidRPr="00EA12AB">
        <w:tab/>
        <w:t xml:space="preserve">Термин </w:t>
      </w:r>
      <w:r w:rsidR="008E2BCB">
        <w:t>«</w:t>
      </w:r>
      <w:r w:rsidRPr="00EA12AB">
        <w:t>разумное приспособление</w:t>
      </w:r>
      <w:r w:rsidR="008E2BCB">
        <w:t>»</w:t>
      </w:r>
      <w:r w:rsidRPr="00EA12AB">
        <w:t xml:space="preserve"> в действующем Законе не фигурирует, но будет включен в разрабатываемый в настоящее время законопроект в соответствии с Конвенцией.</w:t>
      </w:r>
    </w:p>
    <w:p w14:paraId="16AD1B67" w14:textId="77777777" w:rsidR="00C030AE" w:rsidRDefault="00EA12AB" w:rsidP="00EA12AB">
      <w:pPr>
        <w:pStyle w:val="SingleTxtG"/>
      </w:pPr>
      <w:r w:rsidRPr="00EA12AB">
        <w:t>41.</w:t>
      </w:r>
      <w:r w:rsidRPr="00EA12AB">
        <w:tab/>
        <w:t>В статье 17 Закона о правах инвалидов рассматривается вопрос об адаптации средств связи к возможностям инвалидов. Статья предусматривает, что Министерство телекоммуникаций прилагает усилия к тому, чтобы обеспечить необходимые условия, позволяющие инвалидам пользоваться телекоммуникационным оборудованием, аппаратурой и приспособлениями. Это закреплено в статье 18 подзаконного акт о применении данного Закона.</w:t>
      </w:r>
    </w:p>
    <w:p w14:paraId="0A00F7E4" w14:textId="77777777" w:rsidR="00C030AE" w:rsidRDefault="00EA12AB" w:rsidP="00EA12AB">
      <w:pPr>
        <w:pStyle w:val="SingleTxtG"/>
      </w:pPr>
      <w:r w:rsidRPr="00EA12AB">
        <w:t>42.</w:t>
      </w:r>
      <w:r w:rsidRPr="00EA12AB">
        <w:tab/>
        <w:t>Закон о правах инвалидов включает положения, касающиеся права на универсальный дизайн, что означает адаптацию зданий, учреждений, магазинов, рынков и рабочих мест для использования всеми людьми.</w:t>
      </w:r>
      <w:r w:rsidR="00C030AE">
        <w:t xml:space="preserve"> </w:t>
      </w:r>
      <w:r w:rsidRPr="00EA12AB">
        <w:t>За это отвечают Министерство социального развития, Министерство труда, Министерство транспорта и коммуникаций и Министерство местного самоуправления.</w:t>
      </w:r>
      <w:r w:rsidR="00C030AE">
        <w:t xml:space="preserve"> </w:t>
      </w:r>
      <w:r w:rsidRPr="00EA12AB">
        <w:t xml:space="preserve">В статье 10 Закона содержатся указания по адаптации детских площадок, лагерей и спортивных клубов. Однако термин </w:t>
      </w:r>
      <w:r w:rsidR="008E2BCB">
        <w:t>«</w:t>
      </w:r>
      <w:r w:rsidRPr="00EA12AB">
        <w:t>универсальный дизайн</w:t>
      </w:r>
      <w:r w:rsidR="008E2BCB">
        <w:t>»</w:t>
      </w:r>
      <w:r w:rsidRPr="00EA12AB">
        <w:t xml:space="preserve"> в настоящем Законе не фигурирует, и на уровне исполнительных органов все еще существует необходимость в детальном применении этого принципа.</w:t>
      </w:r>
    </w:p>
    <w:p w14:paraId="6232A584" w14:textId="77777777" w:rsidR="00C030AE" w:rsidRDefault="00EA12AB" w:rsidP="00EA12AB">
      <w:pPr>
        <w:pStyle w:val="SingleTxtG"/>
      </w:pPr>
      <w:r w:rsidRPr="00EA12AB">
        <w:t>43.</w:t>
      </w:r>
      <w:r w:rsidRPr="00EA12AB">
        <w:tab/>
        <w:t>Хотя Министерство национальной экономики уделяет особое внимание регулированию экономической жизни и повышению уровня жизни всех, включая инвалидов, ни в законе, ни в постановлениях Министерства не учитываются потребности инвалидов при разработке дизайна товаров и изделий.</w:t>
      </w:r>
    </w:p>
    <w:p w14:paraId="4C04A1ED" w14:textId="77777777" w:rsidR="00C030AE" w:rsidRDefault="00EA12AB" w:rsidP="00EA12AB">
      <w:pPr>
        <w:pStyle w:val="SingleTxtG"/>
      </w:pPr>
      <w:r w:rsidRPr="00EA12AB">
        <w:t>44.</w:t>
      </w:r>
      <w:r w:rsidRPr="00EA12AB">
        <w:tab/>
        <w:t>Благотворительные организации, работающие с инвалидами, имеют лицензию Главного управления промышленности и природных ресурсов Министерства национальной экономики. Инвалиды могут продвигать и продавать свою продукцию через эти благотворительные организации. В этой связи на сегодняшний день получили лицензии десять благотворительных и кооперативных обществ.</w:t>
      </w:r>
    </w:p>
    <w:p w14:paraId="68C4ED4B" w14:textId="77777777" w:rsidR="00C030AE" w:rsidRDefault="00FD53CB" w:rsidP="00EB473B">
      <w:pPr>
        <w:pStyle w:val="H1G"/>
      </w:pPr>
      <w:r>
        <w:lastRenderedPageBreak/>
        <w:tab/>
      </w:r>
      <w:r>
        <w:tab/>
      </w:r>
      <w:r w:rsidR="00EA12AB" w:rsidRPr="00EA12AB">
        <w:t>Статьи 3–4</w:t>
      </w:r>
      <w:r>
        <w:br/>
      </w:r>
      <w:r w:rsidR="00EA12AB" w:rsidRPr="00EA12AB">
        <w:t>Общие принципы и обязательства</w:t>
      </w:r>
    </w:p>
    <w:p w14:paraId="65D03B2C" w14:textId="77777777" w:rsidR="00C030AE" w:rsidRPr="003E1AA5" w:rsidRDefault="00EA12AB" w:rsidP="00EA12AB">
      <w:pPr>
        <w:pStyle w:val="SingleTxtG"/>
        <w:rPr>
          <w:i/>
        </w:rPr>
      </w:pPr>
      <w:r w:rsidRPr="00EA12AB">
        <w:rPr>
          <w:i/>
          <w:iCs/>
        </w:rPr>
        <w:t>3 (1) Уважение присущего человеку достоинства, его личной самостоятельности, включая свободу делать свой собственный выбор, и независимости</w:t>
      </w:r>
    </w:p>
    <w:p w14:paraId="007AFA87" w14:textId="77777777" w:rsidR="00C030AE" w:rsidRDefault="00EA12AB" w:rsidP="00EA12AB">
      <w:pPr>
        <w:pStyle w:val="SingleTxtG"/>
      </w:pPr>
      <w:r w:rsidRPr="00EA12AB">
        <w:t>45.</w:t>
      </w:r>
      <w:r w:rsidRPr="00EA12AB">
        <w:tab/>
        <w:t>Статья 3 Закона о правах инвалидов касается обязательств государства перед инвалидами, в которой говорится, что государство обязано обеспечивать права таких лиц и облегчать им доступ к этим правам.</w:t>
      </w:r>
      <w:r w:rsidR="00C030AE">
        <w:t xml:space="preserve"> </w:t>
      </w:r>
      <w:r w:rsidRPr="00EA12AB">
        <w:t>С этой целью Министерство в координации с заинтересованными сторонами занимается подготовкой программ повышения осведомленности инвалидов, их семей и общин, уделяя особое внимание вопросам, связанным с правами, изложенными в Законе. Однако в том, что касается осуществления, существуют различия в плане доступа к правам и услугам в зависимости от типа инвалидности. Например, транспортные средства для лиц с нарушениями двигательных функций пользуются освобождением от таможенной пошлины, с тем чтобы облегчить им доступ и дать возможность принимать активное участие в жизни общества.</w:t>
      </w:r>
    </w:p>
    <w:p w14:paraId="08E9C3F8" w14:textId="77777777" w:rsidR="00C030AE" w:rsidRDefault="00EA12AB" w:rsidP="00EA12AB">
      <w:pPr>
        <w:pStyle w:val="SingleTxtG"/>
      </w:pPr>
      <w:r w:rsidRPr="00EA12AB">
        <w:t>46.</w:t>
      </w:r>
      <w:r w:rsidRPr="00EA12AB">
        <w:tab/>
        <w:t>Принятый Закон о правах инвалидов является важным самостоятельным законодательным актом, содержащим ряд положений, клаузул и основополагающих прав, которые регулируют жизнь инвалидов.</w:t>
      </w:r>
      <w:r w:rsidR="00C030AE">
        <w:t xml:space="preserve"> </w:t>
      </w:r>
      <w:r w:rsidRPr="00EA12AB">
        <w:t>Имеется также ряд соответствующих, четко определенных положений, содержащихся в действующих законах общего применения, главным образом в Основном законе Палестины (2003 год, с поправками), Законе о занятости № 7 (2000 год) и Законе о гражданской службе № 4 (1998 год).</w:t>
      </w:r>
    </w:p>
    <w:p w14:paraId="0B0FBA0B" w14:textId="77777777" w:rsidR="00C030AE" w:rsidRDefault="00EA12AB" w:rsidP="00EA12AB">
      <w:pPr>
        <w:pStyle w:val="SingleTxtG"/>
      </w:pPr>
      <w:r w:rsidRPr="00EA12AB">
        <w:t>47.</w:t>
      </w:r>
      <w:r w:rsidRPr="00EA12AB">
        <w:tab/>
        <w:t>Несмотря на важность Закона о правах инвалидов в целом и необходимость его применения и обеспечения соблюдения, он, тем не менее, содержит много недостатков и слабых мест, наиболее существенные из которых можно кратко определить как отсутствие механизмов подотчетности и наказаний за невыполнение.</w:t>
      </w:r>
      <w:r w:rsidR="00C030AE">
        <w:t xml:space="preserve"> </w:t>
      </w:r>
      <w:r w:rsidRPr="00EA12AB">
        <w:t xml:space="preserve">Существует также противоречие между этим Законом и некоторыми другими законодательными актами, регулирующими права инвалидов. Например, Закон о правах инвалидов и Закон о занятости предусматривают, что инвалиды должны составлять не менее 5% от общего числа работников. Однако статья 24 Закона о гражданской службе требует, чтобы претенденты на рабочие места </w:t>
      </w:r>
      <w:r w:rsidR="008E2BCB">
        <w:t>«</w:t>
      </w:r>
      <w:r w:rsidRPr="00EA12AB">
        <w:t>не имели патологий, заболеваний и инвалидности</w:t>
      </w:r>
      <w:r w:rsidR="008E2BCB">
        <w:t>»</w:t>
      </w:r>
      <w:r w:rsidR="00F87172">
        <w:rPr>
          <w:rStyle w:val="ab"/>
        </w:rPr>
        <w:endnoteReference w:id="13"/>
      </w:r>
      <w:r w:rsidRPr="00EA12AB">
        <w:t>. Несмотря на это положение Закона о гражданской службе, Всеобщий совет по кадровым вопросам с 2012 года обязывает государственные учреждения применять предусмотренную законом процентную долю инвалидов, фиксируя эту квоту в рамках ежегодных ассигнований на новые должности.</w:t>
      </w:r>
    </w:p>
    <w:p w14:paraId="7560F8C5" w14:textId="77777777" w:rsidR="00C030AE" w:rsidRDefault="00EA12AB" w:rsidP="00EA12AB">
      <w:pPr>
        <w:pStyle w:val="SingleTxtG"/>
      </w:pPr>
      <w:r w:rsidRPr="00EA12AB">
        <w:t>48.</w:t>
      </w:r>
      <w:r w:rsidRPr="00EA12AB">
        <w:tab/>
        <w:t>Несмотря на правовые и концептуальные проблемы, связанные с Законом о правах инвалидов, в котором инвалидность рассматривается как органическая проблема, затрагивающая инвалидов, Министерство социального развития в своих общих и секторальных планах, программах и мероприятиях ориентируется прежде всего на правозащитную концепцию инвалидности.</w:t>
      </w:r>
      <w:r w:rsidR="00C030AE">
        <w:t xml:space="preserve"> </w:t>
      </w:r>
      <w:r w:rsidRPr="00EA12AB">
        <w:t>Это связано с отказом Министерства следовать медицинской концепции до тех пор, пока не будет окончательно доработан и принят новый закон.</w:t>
      </w:r>
    </w:p>
    <w:p w14:paraId="24348BAD" w14:textId="77777777" w:rsidR="00C030AE" w:rsidRDefault="00EA12AB" w:rsidP="00EA12AB">
      <w:pPr>
        <w:pStyle w:val="SingleTxtG"/>
      </w:pPr>
      <w:r w:rsidRPr="00EA12AB">
        <w:t>49.</w:t>
      </w:r>
      <w:r w:rsidRPr="00EA12AB">
        <w:tab/>
        <w:t>Стратегия социальной защиты (2014–2016 годы), разработанная Министерством социального развития как компетентным органом, содержит стратегические цели, касающиеся обездоленных групп палестинского общества, включая инвалидов. Система социальной защиты, которая является целью этой стратегии, основана на трех взаимосвязанных опорах – предупреждении, расширении прав и возможностей и защите, призванных улучшить положение семей путем создания комплексной и преобразующей системы для инвалидов как мужчин, так и женщин и вывести их из порочного круга нищеты, маргинализации и социальной изоляции. В законодательной сфере внесен на утверждение проект положения о центрах для инвалидов и указания по закупке услуг, которые не могут быть предоставлены по линии НПО.</w:t>
      </w:r>
    </w:p>
    <w:p w14:paraId="0EDF2F83" w14:textId="77777777" w:rsidR="00C030AE" w:rsidRDefault="00EA12AB" w:rsidP="00EA12AB">
      <w:pPr>
        <w:pStyle w:val="SingleTxtG"/>
      </w:pPr>
      <w:r w:rsidRPr="00EA12AB">
        <w:t>50.</w:t>
      </w:r>
      <w:r w:rsidRPr="00EA12AB">
        <w:tab/>
        <w:t xml:space="preserve">В 2017 году правительство Государства Палестина в лице Министерства социального развития ввело в действие Стратегию сектора социального развития </w:t>
      </w:r>
      <w:r w:rsidRPr="00EA12AB">
        <w:lastRenderedPageBreak/>
        <w:t>(2017–2022 годы)</w:t>
      </w:r>
      <w:r w:rsidR="00013579">
        <w:rPr>
          <w:rStyle w:val="ab"/>
        </w:rPr>
        <w:endnoteReference w:id="14"/>
      </w:r>
      <w:r w:rsidRPr="00EA12AB">
        <w:t>, представляющую собой один из элементов политики, направленной на осуществление социальных преобразований и достижение ряда целей, включая сокращение масштабов нищеты и ликвидацию всех форм маргинализации в палестинском обществе.</w:t>
      </w:r>
    </w:p>
    <w:p w14:paraId="232E68E4" w14:textId="77777777" w:rsidR="00C030AE" w:rsidRDefault="00EA12AB" w:rsidP="00EA12AB">
      <w:pPr>
        <w:pStyle w:val="SingleTxtG"/>
      </w:pPr>
      <w:r w:rsidRPr="00EA12AB">
        <w:t>51.</w:t>
      </w:r>
      <w:r w:rsidRPr="00EA12AB">
        <w:tab/>
        <w:t xml:space="preserve">Кроме того, в 2012 году при финансовой поддержке организации </w:t>
      </w:r>
      <w:r w:rsidR="008E2BCB">
        <w:t>«</w:t>
      </w:r>
      <w:proofErr w:type="spellStart"/>
      <w:r w:rsidRPr="00EA12AB">
        <w:t>Диакония</w:t>
      </w:r>
      <w:proofErr w:type="spellEnd"/>
      <w:r w:rsidR="008E2BCB">
        <w:t>»</w:t>
      </w:r>
      <w:r w:rsidRPr="00EA12AB">
        <w:t xml:space="preserve">/НАД было начато осуществление Национальной стратегической рамочной программы по вопросам инвалидности в рамках совместных усилий государственных учреждений и Центра исследований в области развития при </w:t>
      </w:r>
      <w:proofErr w:type="spellStart"/>
      <w:r w:rsidRPr="00EA12AB">
        <w:t>Бирзейтском</w:t>
      </w:r>
      <w:proofErr w:type="spellEnd"/>
      <w:r w:rsidRPr="00EA12AB">
        <w:t xml:space="preserve"> университете. Основанный на модели развития в области прав человека, этот план обеспечивает надлежащую основу, позволяющую всем организациям, работающим в секторе инвалидности, двигаться вперед и придерживаться единого общенационального подхода</w:t>
      </w:r>
      <w:r w:rsidR="00013579">
        <w:rPr>
          <w:rStyle w:val="ab"/>
        </w:rPr>
        <w:endnoteReference w:id="15"/>
      </w:r>
      <w:r w:rsidRPr="00EA12AB">
        <w:t>.</w:t>
      </w:r>
    </w:p>
    <w:p w14:paraId="467AC46D" w14:textId="77777777" w:rsidR="00C030AE" w:rsidRDefault="00EA12AB" w:rsidP="00EA12AB">
      <w:pPr>
        <w:pStyle w:val="SingleTxtG"/>
      </w:pPr>
      <w:r w:rsidRPr="00EA12AB">
        <w:t>52.</w:t>
      </w:r>
      <w:r w:rsidRPr="00EA12AB">
        <w:tab/>
        <w:t>Важность Стратегической рамочной программы обусловлена необходимостью направлять и регулировать изменения в целях улучшения жизни инвалидов и общества в целом. Стратегическая рамочная программа – это инструмент, предоставляющий возможность управлять процессом изменений в рамках единой структуры в партнерстве с заинтересованными сторонами. Вовлечение инвалидов в разработку, осуществление, мониторинг, обзор и оценку планов является одним из основных элементов стратегических рамок</w:t>
      </w:r>
      <w:r w:rsidR="00916207">
        <w:rPr>
          <w:rStyle w:val="ab"/>
        </w:rPr>
        <w:endnoteReference w:id="16"/>
      </w:r>
      <w:r w:rsidRPr="00EA12AB">
        <w:t>.</w:t>
      </w:r>
    </w:p>
    <w:p w14:paraId="6ECE5C04" w14:textId="77777777" w:rsidR="00C030AE" w:rsidRDefault="00EA12AB" w:rsidP="00EA12AB">
      <w:pPr>
        <w:pStyle w:val="SingleTxtG"/>
      </w:pPr>
      <w:r w:rsidRPr="00EA12AB">
        <w:t>53.</w:t>
      </w:r>
      <w:r w:rsidRPr="00EA12AB">
        <w:tab/>
        <w:t>В настоящее время Государство Палестина работает над принятием Стратегических рамок и правозащитного подхода в министерских планах, превращая их в план осуществления, регулируемый фиксированными сроками, для решения проблем, связанных с инвалидностью, включая концепцию участия и осуществления прав инвалидов.</w:t>
      </w:r>
    </w:p>
    <w:p w14:paraId="7DACFE29" w14:textId="77777777" w:rsidR="00C030AE" w:rsidRDefault="00EA12AB" w:rsidP="00EA12AB">
      <w:pPr>
        <w:pStyle w:val="SingleTxtG"/>
      </w:pPr>
      <w:r w:rsidRPr="00EA12AB">
        <w:t>54.</w:t>
      </w:r>
      <w:r w:rsidRPr="00EA12AB">
        <w:tab/>
        <w:t>В целях координации правительственных и неправительственных усилий по обеспечению достойной жизни для инвалидов в 2012 году был издан президентский указ, касающийся Высшего совета по делам инвалидов, который призван сыграть свою роль в мониторинге и надзоре за осуществлением стратегических рамок.</w:t>
      </w:r>
      <w:r w:rsidR="00C030AE">
        <w:t xml:space="preserve"> </w:t>
      </w:r>
      <w:r w:rsidRPr="00EA12AB">
        <w:t>В</w:t>
      </w:r>
      <w:r w:rsidR="008E2BCB">
        <w:t> </w:t>
      </w:r>
      <w:r w:rsidRPr="00EA12AB">
        <w:t>соответствии с этим указом в состав Совета входят 16 учреждений, представляющих государственный сектор, НПО, организации инвалидов и частный сектор, а также Независимая комиссия по правам человека в качестве наблюдателя.</w:t>
      </w:r>
      <w:r w:rsidR="00C030AE">
        <w:t xml:space="preserve"> </w:t>
      </w:r>
    </w:p>
    <w:p w14:paraId="709F5CB5" w14:textId="77777777" w:rsidR="00C030AE" w:rsidRDefault="00EA12AB" w:rsidP="00EA12AB">
      <w:pPr>
        <w:pStyle w:val="SingleTxtG"/>
      </w:pPr>
      <w:r w:rsidRPr="00EA12AB">
        <w:t>55.</w:t>
      </w:r>
      <w:r w:rsidRPr="00EA12AB">
        <w:tab/>
        <w:t>Высший совет представляет собой всеобъемлющую национальную структуру, отвечающую за руководство, мониторинг и регулирование деятельности в секторе инвалидности и обеспечивающую единое видение и подход, а также институциональные рамки действий</w:t>
      </w:r>
      <w:r w:rsidR="00916207">
        <w:rPr>
          <w:rStyle w:val="ab"/>
        </w:rPr>
        <w:endnoteReference w:id="17"/>
      </w:r>
      <w:r w:rsidRPr="00EA12AB">
        <w:t>.</w:t>
      </w:r>
    </w:p>
    <w:p w14:paraId="2CB488A9" w14:textId="77777777" w:rsidR="00C030AE" w:rsidRDefault="00EA12AB" w:rsidP="00EA12AB">
      <w:pPr>
        <w:pStyle w:val="SingleTxtG"/>
      </w:pPr>
      <w:r w:rsidRPr="00EA12AB">
        <w:t>56.</w:t>
      </w:r>
      <w:r w:rsidRPr="00EA12AB">
        <w:tab/>
        <w:t xml:space="preserve">Отсутствие самостоятельности у Высшего совета мешает ему надлежащим образом выполнять свои функции по надзору и мониторингу. В связи с этим пятью международными организациями – МОТ, ПРООН, ЮНЕСКО, ЮНИСЕФ и </w:t>
      </w:r>
      <w:r w:rsidR="008E2BCB">
        <w:br/>
      </w:r>
      <w:r w:rsidRPr="00EA12AB">
        <w:t>ВОЗ – была проведена оценка деятельности Высшего совета, и одна из ключевых рекомендаций, вынесенных по ее итогам, заключалась в необходимости того, чтобы Высший совет стал независимым от Министерства социального развития. С этой целью Министерство представило Кабинету министров законодательный меморандум о преобразовании Высшего совета в автономный орган; Министерство будет входить в состав Высшего совета, возглавлять который будет независимый орган для обеспечения его нейтралитета и эффективности.</w:t>
      </w:r>
    </w:p>
    <w:p w14:paraId="24EB8D71" w14:textId="77777777" w:rsidR="00C030AE" w:rsidRDefault="00EA12AB" w:rsidP="00EA12AB">
      <w:pPr>
        <w:pStyle w:val="SingleTxtG"/>
      </w:pPr>
      <w:r w:rsidRPr="00EA12AB">
        <w:t>57.</w:t>
      </w:r>
      <w:r w:rsidRPr="00EA12AB">
        <w:tab/>
        <w:t>В целях расширения доступа инвалидов к своим правам Министерство социального развития в сотрудничестве с Министерством финансов и Министерством здравоохранения инициировало программу освобождения от уплаты таможенных пошлин для автотранспортных средств инвалидов с расстройствами опорно</w:t>
      </w:r>
      <w:r w:rsidR="00916207">
        <w:noBreakHyphen/>
      </w:r>
      <w:r w:rsidRPr="00EA12AB">
        <w:t xml:space="preserve">двигательного аппарата и программу кредитования, начатую в сотрудничестве с Фондом ОАЭ, созданным в 2008 году в качестве совместного предприятия Министерства социального развития и Красного Полумесяца ОАЭ. Предполагаемый объем средств составил 6 513 300 долл. США, которые должны быть направлены на обеспечение расширения экономических прав и возможностей инвалидов, их реинтеграции в общество и включения в процесс производства путем предоставления им льготных, беспроцентных займов для создания производственных </w:t>
      </w:r>
      <w:r w:rsidR="008E2BCB">
        <w:br/>
      </w:r>
      <w:r w:rsidRPr="00EA12AB">
        <w:lastRenderedPageBreak/>
        <w:t>проектов, приносящих доход. К настоящему времени было инвестировано порядка 2</w:t>
      </w:r>
      <w:r w:rsidR="008E2BCB">
        <w:t> </w:t>
      </w:r>
      <w:r w:rsidRPr="00EA12AB">
        <w:t>821 342 долл. США и доработано 533 проекта</w:t>
      </w:r>
      <w:r w:rsidR="00916207">
        <w:rPr>
          <w:rStyle w:val="ab"/>
        </w:rPr>
        <w:endnoteReference w:id="18"/>
      </w:r>
      <w:r w:rsidRPr="00EA12AB">
        <w:t>. Механизм предоставления кредитов предусматривает получение заявок в специально подготовленных досье, отвечающих условиям, установленным управлениями социального развития</w:t>
      </w:r>
      <w:r w:rsidR="00233B67">
        <w:rPr>
          <w:rStyle w:val="ab"/>
        </w:rPr>
        <w:endnoteReference w:id="19"/>
      </w:r>
      <w:r w:rsidRPr="00EA12AB">
        <w:t>. К числу препятствий относятся низкий уровень залога, который способ</w:t>
      </w:r>
      <w:r w:rsidR="00681E19">
        <w:t>ны</w:t>
      </w:r>
      <w:r w:rsidRPr="00EA12AB">
        <w:t xml:space="preserve"> </w:t>
      </w:r>
      <w:r w:rsidR="00681E19">
        <w:t>покрыть</w:t>
      </w:r>
      <w:r w:rsidRPr="00EA12AB">
        <w:t xml:space="preserve"> инвалиды, и другие факторы. Планируется внести изменения в уставные документы с целью увеличения суммы залога.</w:t>
      </w:r>
    </w:p>
    <w:p w14:paraId="7B9DFDEA" w14:textId="77777777" w:rsidR="00C030AE" w:rsidRDefault="00EA12AB" w:rsidP="00EA12AB">
      <w:pPr>
        <w:pStyle w:val="SingleTxtG"/>
      </w:pPr>
      <w:r w:rsidRPr="00EA12AB">
        <w:t>58.</w:t>
      </w:r>
      <w:r w:rsidRPr="00EA12AB">
        <w:tab/>
        <w:t>Министерство юстиции возглавляет Комитет по гендерно-ориентированному законодательству, созданный постановлением Кабинета министров в 2018 году. Основные функции этого Комитета состоят в том, чтобы рассматривать и пересматривать законы и законодательство с гендерной точки зрения и приводить их в соответствие с международными стандартами. Министерство юстиции организовало ряд учебных курсов и семинаров по вопросам рассмотрения и пересмотра законодательства с гендерной точки зрения, начиная с Закона о службе в силах безопасности и Закона о защите от насилия в семье, принятых соответственно в 2017</w:t>
      </w:r>
      <w:r w:rsidR="008E2BCB">
        <w:t> </w:t>
      </w:r>
      <w:r w:rsidRPr="00EA12AB">
        <w:t>и 2018 годах. Эти мероприятия проводятся для специалистов по правовым вопросам и работников, занимающихся гендерной проблематикой в учреждениях сектора правосудия, а также для сотрудников полиции.</w:t>
      </w:r>
      <w:r w:rsidR="00C030AE">
        <w:t xml:space="preserve"> </w:t>
      </w:r>
    </w:p>
    <w:p w14:paraId="7723005A" w14:textId="77777777" w:rsidR="00C030AE" w:rsidRDefault="00EA12AB" w:rsidP="00EA12AB">
      <w:pPr>
        <w:pStyle w:val="SingleTxtG"/>
      </w:pPr>
      <w:r w:rsidRPr="00EA12AB">
        <w:t>59.</w:t>
      </w:r>
      <w:r w:rsidRPr="00EA12AB">
        <w:tab/>
        <w:t>В целях оказания помощи в выделении бюджетных средств для реагирования на гендерные проблемы в 2017 году Министерство юстиции в рамках своего сотрудничества с Министерством финансов организовало учебный курс по гендерной проблематике. Была также запущена программа юридической помощи.</w:t>
      </w:r>
    </w:p>
    <w:p w14:paraId="14D170C3" w14:textId="77777777" w:rsidR="00C030AE" w:rsidRDefault="00EA12AB" w:rsidP="00EA12AB">
      <w:pPr>
        <w:pStyle w:val="SingleTxtG"/>
      </w:pPr>
      <w:r w:rsidRPr="00EA12AB">
        <w:t>60.</w:t>
      </w:r>
      <w:r w:rsidRPr="00EA12AB">
        <w:tab/>
        <w:t>Бюджетные ассигнования на социальный сектор составляют 44,22</w:t>
      </w:r>
      <w:r w:rsidR="008E2BCB">
        <w:t>%</w:t>
      </w:r>
      <w:r w:rsidRPr="00EA12AB">
        <w:t xml:space="preserve"> от государственного бюджета. Хотя в бюджете не предусмотрены конкретные ассигнования на нужды инвалидов, в бюджете Министерства просвещения и высшего образования такие ассигнования в 2018 году составили 868 892 шекеля по сравнению с 1</w:t>
      </w:r>
      <w:r w:rsidR="00681E19">
        <w:t> </w:t>
      </w:r>
      <w:r w:rsidRPr="00EA12AB">
        <w:t>652</w:t>
      </w:r>
      <w:r w:rsidR="00681E19">
        <w:t> </w:t>
      </w:r>
      <w:r w:rsidRPr="00EA12AB">
        <w:t>645 шекелями в 2017 году. В таблице 2 показаны ассигнования на нужды инвалидов по линии различных министерств.</w:t>
      </w:r>
    </w:p>
    <w:p w14:paraId="41DFAA41" w14:textId="77777777" w:rsidR="00C030AE" w:rsidRDefault="00FD53CB" w:rsidP="00FD53CB">
      <w:pPr>
        <w:pStyle w:val="HChG"/>
      </w:pPr>
      <w:r>
        <w:tab/>
      </w:r>
      <w:r w:rsidR="00EA12AB" w:rsidRPr="00EA12AB">
        <w:t>III.</w:t>
      </w:r>
      <w:r w:rsidR="00EA12AB" w:rsidRPr="00EA12AB">
        <w:tab/>
        <w:t xml:space="preserve">Конкретные права, предусмотренные в Конвенции </w:t>
      </w:r>
    </w:p>
    <w:p w14:paraId="3C93490B" w14:textId="77777777" w:rsidR="00C030AE" w:rsidRDefault="00FD53CB" w:rsidP="00EB473B">
      <w:pPr>
        <w:pStyle w:val="H1G"/>
      </w:pPr>
      <w:r>
        <w:tab/>
      </w:r>
      <w:r>
        <w:tab/>
      </w:r>
      <w:r w:rsidR="00EA12AB" w:rsidRPr="00EA12AB">
        <w:t>Статья 5</w:t>
      </w:r>
      <w:r>
        <w:br/>
      </w:r>
      <w:r w:rsidR="00EA12AB" w:rsidRPr="00EA12AB">
        <w:t>Равенство и недискриминация</w:t>
      </w:r>
    </w:p>
    <w:p w14:paraId="79660522" w14:textId="77777777" w:rsidR="00C030AE" w:rsidRDefault="00EA12AB" w:rsidP="00EA12AB">
      <w:pPr>
        <w:pStyle w:val="SingleTxtG"/>
        <w:rPr>
          <w:bCs/>
        </w:rPr>
      </w:pPr>
      <w:r w:rsidRPr="00EA12AB">
        <w:t>61.</w:t>
      </w:r>
      <w:r w:rsidRPr="00EA12AB">
        <w:tab/>
        <w:t>В Декларации независимости, принятой Палестинским национальным советом в 1988 году, была провозглашена приверженность Государства Палестина принципам и целям Организации Объединенных Наций и Всеобщей декларации прав человека. Декларация независимости заложила правовую основу для обеспечения равенства и запрета всех форм дискриминации. В Декларации было объявлено о создании независимого и свободного Государства Палестина на основе принципа полного равенства прав и свобод всех палестинцев, где бы они ни находились, в рамках парламентской демократии, основанной на принципах социальной справедливости, равенства и недискриминации в отношении прав граждан. В Декларации независимости также провозглашалась приверженность Государства Палестина системе универсальных прав человека, содержащихся в международных договорах и конвенциях, включая защиту прав инвалидов. Для обеспечения этого обязательства была разработана политика, направленная на создание правовой системы, основанной на принципах верховенства права и независимости судебной власти.</w:t>
      </w:r>
    </w:p>
    <w:p w14:paraId="59DFD6E5" w14:textId="77777777" w:rsidR="00C030AE" w:rsidRDefault="00EA12AB" w:rsidP="00EA12AB">
      <w:pPr>
        <w:pStyle w:val="SingleTxtG"/>
      </w:pPr>
      <w:r w:rsidRPr="00EA12AB">
        <w:t>62.</w:t>
      </w:r>
      <w:r w:rsidRPr="00EA12AB">
        <w:tab/>
        <w:t>В Основном законе Палестины подтверждаются принципы равенства и запрета всех форм дискриминации, изложенные в Декларации независимости. В нем прямо указывается, что инвалидность не может являться основанием для дискриминации, и предусматривается предоставление услуг инвалидам, хотя он и включает их в различные другие группы. В статье 22 (2) говорится, что обеспечение благосостояния семей мучеников, заключенных, раненых и инвалидов является обязанностью, которая должна регламентироваться законом. Государство Палестина гарантирует им образование, здравоохранение и социальное страхование.</w:t>
      </w:r>
    </w:p>
    <w:p w14:paraId="7B43FE9B" w14:textId="77777777" w:rsidR="00C030AE" w:rsidRDefault="00EA12AB" w:rsidP="00EA12AB">
      <w:pPr>
        <w:pStyle w:val="SingleTxtG"/>
      </w:pPr>
      <w:r w:rsidRPr="00EA12AB">
        <w:lastRenderedPageBreak/>
        <w:t>63.</w:t>
      </w:r>
      <w:r w:rsidRPr="00EA12AB">
        <w:tab/>
        <w:t>Статья 2 Закона о правах инвалидов предусматривает, что инвалид, как и любой другой гражданин, имеет право на достойную жизнь. В статье 3 Закона о детях также провозглашается право всех детей в полной мере пользоваться правами, предусмотренными законом, на основе равенства с другими детьми без дискриминации по признаку инвалидности или по какой-либо иной причине</w:t>
      </w:r>
      <w:r w:rsidR="00233B67">
        <w:rPr>
          <w:rStyle w:val="ab"/>
        </w:rPr>
        <w:endnoteReference w:id="20"/>
      </w:r>
      <w:r w:rsidRPr="00EA12AB">
        <w:t xml:space="preserve">. </w:t>
      </w:r>
    </w:p>
    <w:p w14:paraId="7A8B8454" w14:textId="77777777" w:rsidR="00C030AE" w:rsidRDefault="00EA12AB" w:rsidP="00EA12AB">
      <w:pPr>
        <w:pStyle w:val="SingleTxtG"/>
      </w:pPr>
      <w:r w:rsidRPr="00EA12AB">
        <w:t>64.</w:t>
      </w:r>
      <w:r w:rsidRPr="00EA12AB">
        <w:tab/>
        <w:t>Закон о правах инвалидов гарантирует защиту инвалидов от всех форм насилия, жестокого обращения и дискриминации и предусматривает, что государство должно ввести в действие соответствующие нормы и правила. В нем далее провозглашается, что инвалиды не должны подвергаться какой-либо дискриминации, обусловленной их инвалидностью, в социальной, экономической или политической жизни. Закон предоставляет инвалидам право требовать адекватной и надлежащей компенсации от тех, кто подвергает их дискриминации.</w:t>
      </w:r>
    </w:p>
    <w:p w14:paraId="55608CD1" w14:textId="77777777" w:rsidR="00C030AE" w:rsidRDefault="00EA12AB" w:rsidP="00EA12AB">
      <w:pPr>
        <w:pStyle w:val="SingleTxtG"/>
      </w:pPr>
      <w:r w:rsidRPr="00EA12AB">
        <w:t>65.</w:t>
      </w:r>
      <w:r w:rsidRPr="00EA12AB">
        <w:tab/>
        <w:t>С учетом архаичного характера законов и законодательства в Государстве Палестина существует ряд положений, которые несовместимы с Конвенцией. Однако присоединение Палестины к Конвенции является шагом в правильном направлении и подчеркивает необходимость продолжения работы по внесению поправок в законы таким образом, чтобы это соответствовало основополагающему праву инвалидов на равенство и недискриминацию. Через свои институты Государство Палестина стремится ликвидировать все формы дискриминации в отношении инвалидов и преодолеть культурные факторы, которые иногда приводят к дискриминации.</w:t>
      </w:r>
    </w:p>
    <w:p w14:paraId="740702F7" w14:textId="77777777" w:rsidR="00C030AE" w:rsidRDefault="00EA12AB" w:rsidP="00EA12AB">
      <w:pPr>
        <w:pStyle w:val="SingleTxtG"/>
      </w:pPr>
      <w:r w:rsidRPr="00EA12AB">
        <w:t>66.</w:t>
      </w:r>
      <w:r w:rsidRPr="00EA12AB">
        <w:tab/>
        <w:t>Стратегия сектора социального развития (2017–2022 годы) подтверждает концепцию социального развития, направленную на расширение прав и возможностей маргинализированных общин и предоставление им возможности участвовать в жизни общества и добиваться того, чтобы их голос был услышан в процессе принятия решений. В нем далее подчеркивается важность того, чтобы не исключать и не дискриминировать маргинализированные группы, включая инвалидов.</w:t>
      </w:r>
    </w:p>
    <w:p w14:paraId="4C09C427" w14:textId="77777777" w:rsidR="00C030AE" w:rsidRDefault="00EA12AB" w:rsidP="00EA12AB">
      <w:pPr>
        <w:pStyle w:val="SingleTxtG"/>
      </w:pPr>
      <w:r w:rsidRPr="00EA12AB">
        <w:t>67.</w:t>
      </w:r>
      <w:r w:rsidRPr="00EA12AB">
        <w:tab/>
        <w:t xml:space="preserve">В 2013 году правительство подготовило Национальный план развития </w:t>
      </w:r>
      <w:r w:rsidR="008E2BCB">
        <w:br/>
      </w:r>
      <w:r w:rsidRPr="00EA12AB">
        <w:t>(2014–2016 годы), состоящий из стратегических рамок, определяющих приоритетные направления деятельности правительства. Применительно к сектору социальной защиты и развития план предусматривает оказание устойчивых, основанных на правах человека социальных услуг в целях содействия сокращению масштабов нищеты и поощрения социальной справедливости в отношении различных групп населения. В</w:t>
      </w:r>
      <w:r w:rsidR="00FD53CB">
        <w:t> </w:t>
      </w:r>
      <w:r w:rsidRPr="00EA12AB">
        <w:t>соответствии с целями плана Министерство социального развития в том же году в партнерстве с национальной группой, состоящей из организаций, работающих в области социальной защиты, и под ее руководством подготовило национальную стратегию для сектора социальной защиты (2014–2016 годы).</w:t>
      </w:r>
    </w:p>
    <w:p w14:paraId="2DB6E0EA" w14:textId="77777777" w:rsidR="00C030AE" w:rsidRDefault="00EA12AB" w:rsidP="00EA12AB">
      <w:pPr>
        <w:pStyle w:val="SingleTxtG"/>
      </w:pPr>
      <w:r w:rsidRPr="00EA12AB">
        <w:t>68.</w:t>
      </w:r>
      <w:r w:rsidRPr="00EA12AB">
        <w:tab/>
        <w:t>Несмотря на утверждение этого принципа, во многих областях палестинской культуры и общества в целом и в отношении к женщинам-инвалидам в частности все еще сохраняются различные формы дискриминации. В качестве примеров можно привести ограниченное участие женщин-инвалидов в общественной жизни, занятости, образовании и досуге, а также ограничения в реализации их права на вступление в брак, деторождение и самостоятельную жизнь.</w:t>
      </w:r>
    </w:p>
    <w:p w14:paraId="5BDF3531" w14:textId="77777777" w:rsidR="00C030AE" w:rsidRDefault="00EA12AB" w:rsidP="00EA12AB">
      <w:pPr>
        <w:pStyle w:val="SingleTxtG"/>
      </w:pPr>
      <w:r w:rsidRPr="00EA12AB">
        <w:t>69.</w:t>
      </w:r>
      <w:r w:rsidRPr="00EA12AB">
        <w:tab/>
        <w:t>В 2017 году в Министерство социального развития поступило 97 жалоб от инвалидов: 68 – от мужчин и 29 – от женщин. Большинство жалоб касались приостановки выплаты денежной помощи и закрытия досье заявителя на том основании, что семья уже имела источник дохода. Такое положение дел несовместимо с программой денежной помощи и означает, что инвалид, будучи членом семьи, теряет свое право на этот вид помощи.</w:t>
      </w:r>
    </w:p>
    <w:p w14:paraId="1D087DE2" w14:textId="77777777" w:rsidR="00C030AE" w:rsidRDefault="00EA12AB" w:rsidP="00EA12AB">
      <w:pPr>
        <w:pStyle w:val="SingleTxtG"/>
      </w:pPr>
      <w:r w:rsidRPr="00EA12AB">
        <w:t>70.</w:t>
      </w:r>
      <w:r w:rsidRPr="00EA12AB">
        <w:tab/>
        <w:t xml:space="preserve">В бюджете Министерства социального развития на 2019 год денежная помощь малообеспеченным семьям, возглавляемым престарелыми или инвалидами, будет конвертирована в фиксированные социальные кредиты, не подпадающие под критерии бедности; кредиты будут рассматриваться как базовая социальная защита (минимальный уровень социальной защиты). </w:t>
      </w:r>
    </w:p>
    <w:p w14:paraId="69D1FBD9" w14:textId="77777777" w:rsidR="00C030AE" w:rsidRDefault="00FD53CB" w:rsidP="00EB473B">
      <w:pPr>
        <w:pStyle w:val="H1G"/>
      </w:pPr>
      <w:r>
        <w:lastRenderedPageBreak/>
        <w:tab/>
      </w:r>
      <w:r>
        <w:tab/>
      </w:r>
      <w:r w:rsidR="00EA12AB" w:rsidRPr="00EA12AB">
        <w:t>Статья 8</w:t>
      </w:r>
      <w:r>
        <w:br/>
      </w:r>
      <w:r w:rsidR="00EA12AB" w:rsidRPr="00EA12AB">
        <w:t>Просветительно-воспитательная работа</w:t>
      </w:r>
    </w:p>
    <w:p w14:paraId="37B7AF3D" w14:textId="77777777" w:rsidR="00C030AE" w:rsidRDefault="00EA12AB" w:rsidP="00EA12AB">
      <w:pPr>
        <w:pStyle w:val="SingleTxtG"/>
      </w:pPr>
      <w:r w:rsidRPr="00EA12AB">
        <w:t>71.</w:t>
      </w:r>
      <w:r w:rsidRPr="00EA12AB">
        <w:tab/>
        <w:t>Палестинский законодательный орган стремится обеспечить защиту прав инвалидов путем повышения просвещенности и, в частности, изменения негативного стереотипа, который существует в обществе в отношении них. Соответственно, в статьях 3 и 7 подзаконного акта о применении Закона о правах инвалидов подтверждается необходимость распространения знаний и просвещения общества по вопросам инвалидности. Согласно пояснительной записке, ответственность в этом отношении возлагается на Министерство социального развития, которое действует в партнерстве с Министерством информации и другими заинтересованными сторонами. Был принят ряд мер.</w:t>
      </w:r>
    </w:p>
    <w:p w14:paraId="1CCA9738" w14:textId="77777777" w:rsidR="00C030AE" w:rsidRDefault="00EA12AB" w:rsidP="00EA12AB">
      <w:pPr>
        <w:pStyle w:val="SingleTxtG"/>
      </w:pPr>
      <w:r w:rsidRPr="00EA12AB">
        <w:t>72.</w:t>
      </w:r>
      <w:r w:rsidRPr="00EA12AB">
        <w:tab/>
        <w:t>Стратегические рамки в интересах инвалидов в Государстве Палестина предусматривают проведение многочисленных мероприятий и акций, направленных на повышение просвещенности общества в вопросах инвалидности. Министерство социального развития ежегодно осуществляет надзор за многими подобными мероприятиями и публикует брошюры об услугах, которые оно предлагает. В</w:t>
      </w:r>
      <w:r w:rsidR="008E2BCB">
        <w:t> </w:t>
      </w:r>
      <w:r w:rsidRPr="00EA12AB">
        <w:t xml:space="preserve">сотрудничестве с Фондом по спасению детей и Информационным агентством </w:t>
      </w:r>
      <w:r w:rsidR="008E2BCB">
        <w:t>«</w:t>
      </w:r>
      <w:proofErr w:type="spellStart"/>
      <w:r w:rsidRPr="00EA12AB">
        <w:t>Маан</w:t>
      </w:r>
      <w:proofErr w:type="spellEnd"/>
      <w:r w:rsidR="008E2BCB">
        <w:t>»</w:t>
      </w:r>
      <w:r w:rsidRPr="00EA12AB">
        <w:t xml:space="preserve"> Министерство провело различные мероприятия по повышению просвещенности, включая постановку коротких сценок и спектаклей, в которых рассматриваются важные вопросы, затрагивающие жизнь инвалидов.</w:t>
      </w:r>
    </w:p>
    <w:p w14:paraId="231813F1" w14:textId="77777777" w:rsidR="00C030AE" w:rsidRDefault="00EA12AB" w:rsidP="00EA12AB">
      <w:pPr>
        <w:pStyle w:val="SingleTxtG"/>
      </w:pPr>
      <w:r w:rsidRPr="00EA12AB">
        <w:t>73.</w:t>
      </w:r>
      <w:r w:rsidRPr="00EA12AB">
        <w:tab/>
        <w:t>В апреле 2018 года Министерство социального развития при поддержке Фонда по спасению детей реализовало специальную программу по повышению просвещенности в вопросах инвалидности. Речь идет о проведении семинаров</w:t>
      </w:r>
      <w:r w:rsidR="00233B67">
        <w:noBreakHyphen/>
      </w:r>
      <w:r w:rsidRPr="00EA12AB">
        <w:t>практикумов, призванных повысить уровень восприимчивости инвалидности в семьях, улучшить реагирование семьи на проблемы инвалидов, повысить качество освещения в средствах массовой информации и расширить возможности доступа инвалидов к общественным местам и осуществления их права на пользование государственными программами, а также их прав в области</w:t>
      </w:r>
      <w:r w:rsidRPr="00EA12AB">
        <w:rPr>
          <w:lang w:val="en-GB"/>
        </w:rPr>
        <w:t> </w:t>
      </w:r>
      <w:r w:rsidRPr="00EA12AB">
        <w:t>культуры и проведения досуга. Семинары были ориентированы на семьи, сотрудников органов защиты, инженеров Министерства местного самоуправления, сельских старост и глав муниципальных советов, сотрудников Министерства просвещения и высшего образования, директоров спортивных центров, а также на правозащитные организации и средства массовой информации. В таблице 3 представлены типы семинаров, проведенных Министерством социального развития.</w:t>
      </w:r>
    </w:p>
    <w:p w14:paraId="6DC1BACC" w14:textId="77777777" w:rsidR="00C030AE" w:rsidRDefault="00EA12AB" w:rsidP="00EA12AB">
      <w:pPr>
        <w:pStyle w:val="SingleTxtG"/>
      </w:pPr>
      <w:r w:rsidRPr="00EA12AB">
        <w:t>74.</w:t>
      </w:r>
      <w:r w:rsidRPr="00EA12AB">
        <w:tab/>
        <w:t>Министерство информации подготовило план для сектора инвалидности на основе трех стратегических целей: улучшение освещения проблем инвалидности в средствах массовой информации; повышение социальной и институциональной восприимчивости к проблемам инвалидности; и повышение осведомленности инвалидов об их законных правах и предоставляемых им услугах. Для достижения этих целей были налажены сотрудничество и сетевое взаимодействие между организациями инвалидов и средствами массовой информации, а также проведены многочисленные практикумы и информационные форумы.</w:t>
      </w:r>
      <w:r w:rsidR="00C030AE">
        <w:t xml:space="preserve"> </w:t>
      </w:r>
    </w:p>
    <w:p w14:paraId="3C28116E" w14:textId="77777777" w:rsidR="00C030AE" w:rsidRDefault="00EA12AB" w:rsidP="00EA12AB">
      <w:pPr>
        <w:pStyle w:val="SingleTxtG"/>
      </w:pPr>
      <w:r w:rsidRPr="00EA12AB">
        <w:t>75.</w:t>
      </w:r>
      <w:r w:rsidRPr="00EA12AB">
        <w:tab/>
        <w:t>В партнерстве с организациями, работающими с инвалидами, Министерство информации создало координационные рамки: сеть для поддержки сектора инвалидности в средствах массовой информации.</w:t>
      </w:r>
      <w:r w:rsidR="00C030AE">
        <w:t xml:space="preserve"> </w:t>
      </w:r>
      <w:r w:rsidRPr="00EA12AB">
        <w:t>Однако его деятельность была временно приостановлена в связи с финансовыми и техническими обстоятельствами входящих в его состав организаций. Министерство распространило руководство для работников и организаций средств массовой информации по освещению вопросов инвалидности с правозащитной точки зрения.</w:t>
      </w:r>
      <w:r w:rsidR="00C030AE">
        <w:t xml:space="preserve"> </w:t>
      </w:r>
      <w:r w:rsidRPr="00EA12AB">
        <w:t>Оно также организовало многочисленные мероприятия по повышению осведомленности, включая семинары, форумы и краткие обзоры, посвященные правам инвалидов. В своем подходе к проблемам инвалидности палестинские средства массовой информации сочетают аспекты оказания помощи и соблюдения прав человека. Следует отметить, что в Министерство информации не поступало никаких жалоб на унижение достоинства инвалидов в средствах массовой информации.</w:t>
      </w:r>
    </w:p>
    <w:p w14:paraId="68318366" w14:textId="77777777" w:rsidR="00C030AE" w:rsidRDefault="00EA12AB" w:rsidP="00EA12AB">
      <w:pPr>
        <w:pStyle w:val="SingleTxtG"/>
      </w:pPr>
      <w:r w:rsidRPr="00EA12AB">
        <w:lastRenderedPageBreak/>
        <w:t>76.</w:t>
      </w:r>
      <w:r w:rsidRPr="00EA12AB">
        <w:tab/>
        <w:t>Палестинская вещательная корпорация выделяет эфирное время для разъяснения прав инвалидов.</w:t>
      </w:r>
      <w:r w:rsidR="00C030AE">
        <w:t xml:space="preserve"> </w:t>
      </w:r>
      <w:r w:rsidRPr="00EA12AB">
        <w:t>Управление общественной информации также использует радио для повышения осведомленности инвалидов о проблемах здравоохранения в общинах, например посредством трансляции рекламных объявлений, подчеркивающих важность соблюдения правил дорожного движения и подготовленных с учетом состояния их здоровья. Ведется подготовка радиопередач, призванных повысить просвещенность общества в вопросах отношения к инвалидам и перейти от гуманитарного подхода к инвалидности к правозащитному. Палестинское радио сообщает о связанных с инвалидностью мероприятиях и семинарах, которые широко освещаются в рамках Арабского форума слепых в Кувейте. Кроме того, Палестинская вещательная корпорация проводит семинары для повышения осведомленности сотрудников и консультирования их по вопросам надлежащей терминологии и правозащитного подхода, которые следует использовать при работе с инвалидами.</w:t>
      </w:r>
    </w:p>
    <w:p w14:paraId="4E8AC31C" w14:textId="77777777" w:rsidR="00C030AE" w:rsidRDefault="00EA12AB" w:rsidP="00EA12AB">
      <w:pPr>
        <w:pStyle w:val="SingleTxtG"/>
      </w:pPr>
      <w:r w:rsidRPr="00EA12AB">
        <w:t>77.</w:t>
      </w:r>
      <w:r w:rsidRPr="00EA12AB">
        <w:tab/>
        <w:t xml:space="preserve">В 2014 и 2015 годах Высший совет по делам молодежи и спорта провел учебные курсы по повышению квалификации техников и администраторов, отвечающих за спортивные соревнования инвалидов, и работающих с ними молодежных организаций. Было проведено более пяти учебных семинаров, ориентированных на спортсменов и руководителей организаций, работающих с инвалидами. Спортивные и молодежные мероприятия использовались для повышения осведомленности о правах инвалидов путем отбора и пропаганды на каждом мероприятии конкретной темы или идеи. Так, например, преодоление социальной стигматизации лиц с синдромом Дауна и отказ от использования термина </w:t>
      </w:r>
      <w:r w:rsidR="008E2BCB">
        <w:t>«</w:t>
      </w:r>
      <w:r w:rsidRPr="00EA12AB">
        <w:t>умственно отсталый</w:t>
      </w:r>
      <w:r w:rsidR="008E2BCB">
        <w:t>»</w:t>
      </w:r>
      <w:r w:rsidRPr="00EA12AB">
        <w:t xml:space="preserve"> стали темами, которые пропагандировала палестинская команда, участвовавшая в пяти соревнованиях на Специальной олимпиаде 2014 года.</w:t>
      </w:r>
    </w:p>
    <w:p w14:paraId="3C6BE7F5" w14:textId="77777777" w:rsidR="00C030AE" w:rsidRDefault="00EA12AB" w:rsidP="00EA12AB">
      <w:pPr>
        <w:pStyle w:val="SingleTxtG"/>
      </w:pPr>
      <w:r w:rsidRPr="00EA12AB">
        <w:t>78.</w:t>
      </w:r>
      <w:r w:rsidRPr="00EA12AB">
        <w:tab/>
        <w:t>Министерство просвещения и высшего образования организует многочисленные мероприятия, направленные на повышение осведомленности и изменение отношения к учащимся с ограниченными возможностями. К ним относится проведение таких мероприятий, как Международная неделя глухих и Всемирный день слуха, а также эффективное использование школьного радио. Работая в координации со специализированными организациями, Министерство стремится повысить просвещенность в вопросах инвалидности в школах. Оно публикует брошюры и руководства, в которых обсуждается вопрос о том, как изменить отношение к инвалидам, в том числе руководство для преподавателей по изменению отношения учащихся к инвалидам и руководство по профессиональным стандартам для преподавателей, работающих в ресурсных кабинетах инклюзивного образования.</w:t>
      </w:r>
    </w:p>
    <w:p w14:paraId="12AE733B" w14:textId="77777777" w:rsidR="00C030AE" w:rsidRDefault="00EA12AB" w:rsidP="00EA12AB">
      <w:pPr>
        <w:pStyle w:val="SingleTxtG"/>
      </w:pPr>
      <w:r w:rsidRPr="00EA12AB">
        <w:t>79.</w:t>
      </w:r>
      <w:r w:rsidRPr="00EA12AB">
        <w:tab/>
        <w:t>Министерство проводит предварительную подготовку всех новых педагогов и групп, работающих в системе специального образования. Она организована в форме систематических учебных занятий, проводимых в начале каждого учебного года, а</w:t>
      </w:r>
      <w:r w:rsidR="000B56B9">
        <w:rPr>
          <w:lang w:val="en-US"/>
        </w:rPr>
        <w:t> </w:t>
      </w:r>
      <w:r w:rsidRPr="00EA12AB">
        <w:t>затем по мере необходимости. Главные управления Министерства совместно работают над осуществлением политики в области инклюзивного образования, а</w:t>
      </w:r>
      <w:r w:rsidR="000B56B9">
        <w:rPr>
          <w:lang w:val="en-US"/>
        </w:rPr>
        <w:t> </w:t>
      </w:r>
      <w:r w:rsidRPr="00EA12AB">
        <w:t xml:space="preserve">министерский комитет отвечает за контроль над ее осуществлением. Насколько это возможно, учащиеся-инвалиды вовлекаются в различные виды деятельности и мероприятия, что позволяет развивать их таланты и способности. Министр просвещения и высшего образования подготовил мероприятие под названием </w:t>
      </w:r>
      <w:r w:rsidR="008E2BCB">
        <w:t>«</w:t>
      </w:r>
      <w:r w:rsidRPr="00EA12AB">
        <w:t>В</w:t>
      </w:r>
      <w:r w:rsidR="000B56B9">
        <w:rPr>
          <w:lang w:val="en-US"/>
        </w:rPr>
        <w:t> </w:t>
      </w:r>
      <w:r w:rsidRPr="00EA12AB">
        <w:t>кресле Министра</w:t>
      </w:r>
      <w:r w:rsidR="008E2BCB">
        <w:t>»</w:t>
      </w:r>
      <w:r w:rsidRPr="00EA12AB">
        <w:t>, в рамках которого он принимает высокопоставленных посетителей с ограниченными возможностями. Наконец, в школах были созданы комитеты друзей инвалидов с целью оказания помощи и поддержки своим коллегам и ускорения их интеграции в школе без ограничений или проблем, с которыми они могли бы столкнуться в противном случае.</w:t>
      </w:r>
    </w:p>
    <w:p w14:paraId="49874E03" w14:textId="77777777" w:rsidR="00C030AE" w:rsidRDefault="00EA12AB" w:rsidP="00EA12AB">
      <w:pPr>
        <w:pStyle w:val="SingleTxtG"/>
      </w:pPr>
      <w:r w:rsidRPr="00EA12AB">
        <w:t>80.</w:t>
      </w:r>
      <w:r w:rsidRPr="00EA12AB">
        <w:tab/>
        <w:t xml:space="preserve">Инженеры, работающие в Главном управлении зданий Министерства местного самоуправления, проходят инструктаж по вопросу о важности создания в школах благоприятной для инвалидов среды, позволяющей им свободно передвигаться и иметь доступ к объектам. В качестве справочного пособия было принято руководство по эксплуатации объектов, подготовленное Ассоциацией инженеров. Информацию об адаптации зданий к потребностям инвалидов и связанных с этим вопросах можно найти в журнале </w:t>
      </w:r>
      <w:r w:rsidR="008E2BCB">
        <w:t>«</w:t>
      </w:r>
      <w:r w:rsidRPr="00916207">
        <w:t>Местное самоуправление</w:t>
      </w:r>
      <w:r w:rsidR="008E2BCB">
        <w:t>»</w:t>
      </w:r>
      <w:r w:rsidRPr="00EA12AB">
        <w:t xml:space="preserve">, который распространяется среди всех </w:t>
      </w:r>
      <w:r w:rsidRPr="00EA12AB">
        <w:lastRenderedPageBreak/>
        <w:t>местных органов власти. В период с 2016 года по середину 2018 года Министерство местного самоуправления участвовало в нескольких семинарах-практикумах по вопросам инвалидности, представляя документы или выступая в качестве модератора дискуссий по мерам, которые необходимо принять при адаптации зданий для обеспечения доступа инвалидов.</w:t>
      </w:r>
      <w:r w:rsidR="00C030AE">
        <w:t xml:space="preserve"> </w:t>
      </w:r>
    </w:p>
    <w:p w14:paraId="66C8B00A" w14:textId="77777777" w:rsidR="00C030AE" w:rsidRDefault="00EA12AB" w:rsidP="00EA12AB">
      <w:pPr>
        <w:pStyle w:val="SingleTxtG"/>
      </w:pPr>
      <w:r w:rsidRPr="00EA12AB">
        <w:t>81.</w:t>
      </w:r>
      <w:r w:rsidRPr="00EA12AB">
        <w:tab/>
        <w:t>Министерство транспорта и коммуникаций использует печатные и аудиовизуальные материалы для повышения осведомленности о дорожном движении и выделяет в своих публикациях место для разъяснения прав инвалидов на свободу передвижения и транспортные услуги в целях повышения осведомленности граждан об этих правах и поощрения водителей к адаптации своих транспортных средств. Для</w:t>
      </w:r>
      <w:r w:rsidR="000B56B9">
        <w:rPr>
          <w:lang w:val="en-US"/>
        </w:rPr>
        <w:t> </w:t>
      </w:r>
      <w:r w:rsidRPr="00EA12AB">
        <w:t xml:space="preserve">рекламы этой акции Министерство использует свой веб-сайт и цифровой журнал </w:t>
      </w:r>
      <w:r w:rsidR="008E2BCB">
        <w:t>«</w:t>
      </w:r>
      <w:proofErr w:type="spellStart"/>
      <w:r w:rsidRPr="008E2BCB">
        <w:t>Мувасалати</w:t>
      </w:r>
      <w:proofErr w:type="spellEnd"/>
      <w:r w:rsidR="008E2BCB">
        <w:t>»</w:t>
      </w:r>
      <w:r w:rsidRPr="00EA12AB">
        <w:t>.</w:t>
      </w:r>
    </w:p>
    <w:p w14:paraId="3C165F80" w14:textId="77777777" w:rsidR="00C030AE" w:rsidRDefault="00EA12AB" w:rsidP="00EA12AB">
      <w:pPr>
        <w:pStyle w:val="SingleTxtG"/>
      </w:pPr>
      <w:r w:rsidRPr="00EA12AB">
        <w:t>82.</w:t>
      </w:r>
      <w:r w:rsidRPr="00EA12AB">
        <w:tab/>
        <w:t xml:space="preserve">В 2016–2018 годах Министерство транспорта и коммуникаций через Высший совет по дорожному движению организовало для школ Западного берега программы повышения осведомленности о дорожном движении, рассчитанные примерно на </w:t>
      </w:r>
      <w:r w:rsidR="008E2BCB">
        <w:br/>
      </w:r>
      <w:r w:rsidRPr="00EA12AB">
        <w:t>1</w:t>
      </w:r>
      <w:r w:rsidR="00916207">
        <w:t> </w:t>
      </w:r>
      <w:r w:rsidRPr="00EA12AB">
        <w:t>000 учащихся, включая инвалидов. Сформированы группы по безопасности дорожного движения, которым поручено проводить занятия с учащимися и читать им лекции.</w:t>
      </w:r>
    </w:p>
    <w:p w14:paraId="415A929B" w14:textId="77777777" w:rsidR="00C030AE" w:rsidRDefault="00EA12AB" w:rsidP="00EA12AB">
      <w:pPr>
        <w:pStyle w:val="SingleTxtG"/>
      </w:pPr>
      <w:r w:rsidRPr="00EA12AB">
        <w:t>83.</w:t>
      </w:r>
      <w:r w:rsidRPr="00EA12AB">
        <w:tab/>
        <w:t>В 2016 году Группа по гендерным вопросам Министерства юстиции провела семинары-практикумы, направленные на включение гендерных вопросов в планы действий Министерства, а также в процессы последующей деятельности и оценки. В</w:t>
      </w:r>
      <w:r w:rsidR="00C973E7">
        <w:rPr>
          <w:lang w:val="en-US"/>
        </w:rPr>
        <w:t> </w:t>
      </w:r>
      <w:r w:rsidRPr="00EA12AB">
        <w:t>партнерстве с сектором правосудия и рядом правозащитных и женских организаций был проведен семинар для определения гендерных приоритетов и политических мер в сфере правосудия на предстоящий плановый период (2017–2022 годы). В целях обеспечения учета гендерной проблематики в стратегическом плане Министерства юстиции (2017–2022 годы) в партнерстве с НПО был проведен семинар-практикум по вопросам объединения усилий в деле определения приоритетов и внедрения законодательных механизмов, учитывающих гендерную проблематику.</w:t>
      </w:r>
    </w:p>
    <w:p w14:paraId="4AB72DBB" w14:textId="77777777" w:rsidR="00C030AE" w:rsidRDefault="00EA12AB" w:rsidP="00EA12AB">
      <w:pPr>
        <w:pStyle w:val="SingleTxtG"/>
      </w:pPr>
      <w:r w:rsidRPr="00EA12AB">
        <w:t>84.</w:t>
      </w:r>
      <w:r w:rsidRPr="00EA12AB">
        <w:tab/>
        <w:t>Отдел по правам человека Государственной прокуратуры стремится повысить уровень осведомленности в обществе путем организации учебных курсов и разработки оперативных руководящих принципов по защите прав детей, женщин и инвалидов.</w:t>
      </w:r>
    </w:p>
    <w:p w14:paraId="70624E93" w14:textId="77777777" w:rsidR="00C030AE" w:rsidRDefault="00EA12AB" w:rsidP="00EA12AB">
      <w:pPr>
        <w:pStyle w:val="SingleTxtG"/>
      </w:pPr>
      <w:r w:rsidRPr="00EA12AB">
        <w:t>85.</w:t>
      </w:r>
      <w:r w:rsidRPr="00EA12AB">
        <w:tab/>
        <w:t>С 2016 года подразделение полиции по защите семьи осуществляет программу, направленную на подготовку сотрудников различных ведомств по вопросам обращения с инвалидами.</w:t>
      </w:r>
    </w:p>
    <w:p w14:paraId="066D4FF9" w14:textId="77777777" w:rsidR="00C030AE" w:rsidRDefault="00EA12AB" w:rsidP="00EA12AB">
      <w:pPr>
        <w:pStyle w:val="SingleTxtG"/>
      </w:pPr>
      <w:r w:rsidRPr="00EA12AB">
        <w:t>86.</w:t>
      </w:r>
      <w:r w:rsidRPr="00EA12AB">
        <w:tab/>
        <w:t>Несмотря на озабоченность палестинских средств массовой информации по поводу прав человека инвалидов, реакция сектора на проблемы инвалидов в целом носит ограниченный характер. Это объясняется несколькими причинами, в первую очередь нехваткой журналистов, специализирующихся на деликатных вопросах, связанных с инвалидностью, незнанием предмета и неумением использовать надлежащую терминологию, что отрицательно сказывается на освещении. Кроме того, медийные организации не имеют письменных руководящих принципов и политики для освещения проблем инвалидности таким образом, чтобы они оказывали позитивное воздействие на общество. Эти недостатки влияют на то, как решаются проблемы инвалидности, в результате чего освещение носит не систематический, а</w:t>
      </w:r>
      <w:r w:rsidR="00C973E7">
        <w:rPr>
          <w:lang w:val="en-US"/>
        </w:rPr>
        <w:t> </w:t>
      </w:r>
      <w:r w:rsidRPr="00EA12AB">
        <w:t>фрагментарный характер и сосредоточено в основном на описании событий.</w:t>
      </w:r>
    </w:p>
    <w:p w14:paraId="2AA1AC98" w14:textId="77777777" w:rsidR="00C030AE" w:rsidRDefault="00EA12AB" w:rsidP="00EA12AB">
      <w:pPr>
        <w:pStyle w:val="SingleTxtG"/>
      </w:pPr>
      <w:r w:rsidRPr="00EA12AB">
        <w:t>87.</w:t>
      </w:r>
      <w:r w:rsidRPr="00EA12AB">
        <w:tab/>
        <w:t>Распространение культуры прав человека в целом и прав инвалидов в частности привлекло внимание Независимой комиссии по правам человека ввиду ее усилий по преодолению стереотипов, укоренившихся в обществе взглядов, негативного поведения и предрассудков в отношении инвалидов. Комиссия провела ряд мероприятий по повышению осведомленности местных общин об инвалидности. В</w:t>
      </w:r>
      <w:r w:rsidR="00C973E7">
        <w:rPr>
          <w:lang w:val="en-US"/>
        </w:rPr>
        <w:t> </w:t>
      </w:r>
      <w:r w:rsidRPr="00EA12AB">
        <w:t>таблице 4 показаны основные мероприятия, проведенные Независимой комиссией по правам человека.</w:t>
      </w:r>
    </w:p>
    <w:p w14:paraId="17671259" w14:textId="77777777" w:rsidR="00C030AE" w:rsidRDefault="00EA12AB" w:rsidP="00EA12AB">
      <w:pPr>
        <w:pStyle w:val="SingleTxtG"/>
      </w:pPr>
      <w:r w:rsidRPr="00EA12AB">
        <w:t>88.</w:t>
      </w:r>
      <w:r w:rsidRPr="00EA12AB">
        <w:tab/>
        <w:t xml:space="preserve">Всеобщий союз инвалидов осуществил ряд проектов, направленных на повышение просвещенности общества в вопросах прав инвалидов, включая кампании, проводимые в партнерстве с соответствующими </w:t>
      </w:r>
      <w:bookmarkStart w:id="8" w:name="_Hlk38985361"/>
      <w:r w:rsidRPr="00EA12AB">
        <w:t>организаци</w:t>
      </w:r>
      <w:bookmarkEnd w:id="8"/>
      <w:r w:rsidRPr="00EA12AB">
        <w:t xml:space="preserve">ями в целях поощрения </w:t>
      </w:r>
      <w:r w:rsidRPr="00EA12AB">
        <w:lastRenderedPageBreak/>
        <w:t>позитивного отношения к различным формам участия инвалидов в жизни общества. Союз эффективно использует средства массовой информации для просвещения общества и разъяснения проблем инвалидов.</w:t>
      </w:r>
      <w:r w:rsidR="00C030AE">
        <w:t xml:space="preserve"> </w:t>
      </w:r>
      <w:r w:rsidRPr="00EA12AB">
        <w:t xml:space="preserve">С момента своего создания Союз осуществил многочисленные проекты, в том числе программу молодежного лидерства совместно с организацией </w:t>
      </w:r>
      <w:r w:rsidR="008E2BCB">
        <w:t>«</w:t>
      </w:r>
      <w:proofErr w:type="spellStart"/>
      <w:r w:rsidRPr="00EA12AB">
        <w:t>Тичер</w:t>
      </w:r>
      <w:proofErr w:type="spellEnd"/>
      <w:r w:rsidRPr="00EA12AB">
        <w:t xml:space="preserve"> </w:t>
      </w:r>
      <w:proofErr w:type="spellStart"/>
      <w:r w:rsidRPr="00EA12AB">
        <w:t>креативити</w:t>
      </w:r>
      <w:proofErr w:type="spellEnd"/>
      <w:r w:rsidR="008E2BCB">
        <w:t>»</w:t>
      </w:r>
      <w:r w:rsidRPr="00EA12AB">
        <w:t xml:space="preserve"> и информационно-просветительные программы в партнерстве с Иерусалимским отделением АМХ.</w:t>
      </w:r>
    </w:p>
    <w:p w14:paraId="68378C9D" w14:textId="77777777" w:rsidR="00C030AE" w:rsidRDefault="00EA12AB" w:rsidP="00EA12AB">
      <w:pPr>
        <w:pStyle w:val="SingleTxtG"/>
      </w:pPr>
      <w:r w:rsidRPr="00EA12AB">
        <w:t>89.</w:t>
      </w:r>
      <w:r w:rsidRPr="00EA12AB">
        <w:tab/>
        <w:t>Группа организаций гражданского общества на Западном берегу и в секторе Газа помогает повышать осведомленность и добиваться изменения отношения общества к правам инвалидов на ряде уровней путем укрепления потенциала специалистов, работающих с инвалидами, организации информационно-просветительных мероприятий и кампаний и проведения акций в средствах массовой информации</w:t>
      </w:r>
      <w:r w:rsidR="00233B67">
        <w:rPr>
          <w:rStyle w:val="ab"/>
        </w:rPr>
        <w:endnoteReference w:id="21"/>
      </w:r>
      <w:r w:rsidRPr="00EA12AB">
        <w:t>.</w:t>
      </w:r>
    </w:p>
    <w:p w14:paraId="361A4A4A" w14:textId="77777777" w:rsidR="00C030AE" w:rsidRDefault="00FD53CB" w:rsidP="00EB473B">
      <w:pPr>
        <w:pStyle w:val="H1G"/>
      </w:pPr>
      <w:r>
        <w:tab/>
      </w:r>
      <w:r>
        <w:tab/>
      </w:r>
      <w:r w:rsidR="00EA12AB" w:rsidRPr="00EA12AB">
        <w:t>Статья 9</w:t>
      </w:r>
      <w:r>
        <w:br/>
      </w:r>
      <w:r w:rsidR="00EA12AB" w:rsidRPr="00EA12AB">
        <w:t>Доступность</w:t>
      </w:r>
    </w:p>
    <w:p w14:paraId="29A0B7E6" w14:textId="77777777" w:rsidR="00C030AE" w:rsidRDefault="00FD53CB" w:rsidP="00FD53CB">
      <w:pPr>
        <w:pStyle w:val="H4G"/>
      </w:pPr>
      <w:r>
        <w:tab/>
      </w:r>
      <w:r w:rsidR="00EA12AB" w:rsidRPr="00EA12AB">
        <w:t>a)</w:t>
      </w:r>
      <w:r w:rsidR="00EA12AB" w:rsidRPr="00EA12AB">
        <w:tab/>
        <w:t>Меры по обеспечению доступа к зданиям и общественным объектам</w:t>
      </w:r>
    </w:p>
    <w:p w14:paraId="15BBC32E" w14:textId="77777777" w:rsidR="00EA12AB" w:rsidRPr="000B56B9" w:rsidRDefault="00EA12AB" w:rsidP="00EA12AB">
      <w:pPr>
        <w:pStyle w:val="SingleTxtG"/>
      </w:pPr>
      <w:r w:rsidRPr="00EA12AB">
        <w:t>90.</w:t>
      </w:r>
      <w:r w:rsidRPr="00EA12AB">
        <w:tab/>
        <w:t>В Законе о правах инвалидов доступности общественных зданий посвящен целый раздел. В статье 12 уточняется цель обеспечения доступности и указаны органы, ответственные за мониторинг осуществления. Статья 13 предусматривает, что адаптация является обязательной за исключением тех случаев, когда</w:t>
      </w:r>
      <w:r w:rsidR="000B56B9">
        <w:t>:</w:t>
      </w:r>
    </w:p>
    <w:p w14:paraId="5F3B8045" w14:textId="77777777" w:rsidR="00C030AE" w:rsidRPr="00FD53CB" w:rsidRDefault="00FD53CB" w:rsidP="00FD53CB">
      <w:pPr>
        <w:pStyle w:val="SingleTxtG"/>
      </w:pPr>
      <w:r>
        <w:tab/>
      </w:r>
      <w:r>
        <w:tab/>
      </w:r>
      <w:r w:rsidR="00C030AE" w:rsidRPr="00FD53CB">
        <w:t>a)</w:t>
      </w:r>
      <w:r w:rsidR="00C030AE" w:rsidRPr="00FD53CB">
        <w:tab/>
      </w:r>
      <w:r w:rsidR="00EA12AB" w:rsidRPr="00FD53CB">
        <w:t xml:space="preserve">это угрожает историческому или археологическому характеру </w:t>
      </w:r>
      <w:bookmarkStart w:id="9" w:name="_Hlk38986235"/>
      <w:r w:rsidR="00EA12AB" w:rsidRPr="00FD53CB">
        <w:t>данного общественного объекта</w:t>
      </w:r>
      <w:bookmarkEnd w:id="9"/>
      <w:r w:rsidR="00EA12AB" w:rsidRPr="00FD53CB">
        <w:t>;</w:t>
      </w:r>
    </w:p>
    <w:p w14:paraId="08B4B8A0" w14:textId="77777777" w:rsidR="00C030AE" w:rsidRPr="00FD53CB" w:rsidRDefault="00FD53CB" w:rsidP="00FD53CB">
      <w:pPr>
        <w:pStyle w:val="SingleTxtG"/>
      </w:pPr>
      <w:r>
        <w:tab/>
      </w:r>
      <w:r>
        <w:tab/>
      </w:r>
      <w:r w:rsidR="00C030AE" w:rsidRPr="00FD53CB">
        <w:t>b)</w:t>
      </w:r>
      <w:r w:rsidR="00C030AE" w:rsidRPr="00FD53CB">
        <w:tab/>
      </w:r>
      <w:r w:rsidR="00EA12AB" w:rsidRPr="00FD53CB">
        <w:t>существует риск для безопасности данного общественного объекта;</w:t>
      </w:r>
    </w:p>
    <w:p w14:paraId="181B98A3" w14:textId="77777777" w:rsidR="00C030AE" w:rsidRPr="00FD53CB" w:rsidRDefault="00FD53CB" w:rsidP="00FD53CB">
      <w:pPr>
        <w:pStyle w:val="SingleTxtG"/>
      </w:pPr>
      <w:r>
        <w:tab/>
      </w:r>
      <w:r>
        <w:tab/>
      </w:r>
      <w:r w:rsidR="00C030AE" w:rsidRPr="00FD53CB">
        <w:t>c)</w:t>
      </w:r>
      <w:r w:rsidR="00C030AE" w:rsidRPr="00FD53CB">
        <w:tab/>
      </w:r>
      <w:r w:rsidR="00EA12AB" w:rsidRPr="00FD53CB">
        <w:t>работы обойдутся в сумму, превышающую 15% от стоимости общественного объекта.</w:t>
      </w:r>
    </w:p>
    <w:p w14:paraId="75BB55C4" w14:textId="77777777" w:rsidR="00C030AE" w:rsidRDefault="00FD53CB" w:rsidP="00EA12AB">
      <w:pPr>
        <w:pStyle w:val="SingleTxtG"/>
      </w:pPr>
      <w:r>
        <w:tab/>
      </w:r>
      <w:r>
        <w:tab/>
      </w:r>
      <w:r w:rsidR="00EA12AB" w:rsidRPr="00EA12AB">
        <w:t>В трех вышеперечисленных случаях власти должны найти приемлемые альтернативы для обеспечения использования инвалидами данного общественного объекта.</w:t>
      </w:r>
    </w:p>
    <w:p w14:paraId="2ED63505" w14:textId="77777777" w:rsidR="00C030AE" w:rsidRDefault="00EA12AB" w:rsidP="00EA12AB">
      <w:pPr>
        <w:pStyle w:val="SingleTxtG"/>
        <w:rPr>
          <w:bCs/>
          <w:iCs/>
        </w:rPr>
      </w:pPr>
      <w:r w:rsidRPr="00EA12AB">
        <w:t>91.</w:t>
      </w:r>
      <w:r w:rsidRPr="00EA12AB">
        <w:tab/>
        <w:t>Статьи 14, 15, 16 и 17 вышеупомянутого Закона касаются, соответственно, обеспечения образовательных потребностей инвалидов; обеспечения ответственности Министерства местного самоуправления за обязательную адаптацию зданий и общественных объектов для облегчения перемещения инвалидов; сведения к минимуму необходимости использования инвалидами частных транспортных средств и обеспечения того, чтобы Министерство транспорта и коммуникаций предоставляло им скидки</w:t>
      </w:r>
      <w:r w:rsidR="000B56B9">
        <w:t>,</w:t>
      </w:r>
      <w:r w:rsidRPr="00EA12AB">
        <w:t xml:space="preserve"> и, наконец, обеспечения того, чтобы Министерство телекоммуникаций и информационных технологий предоставило инвалидам возможности для использования телекоммуникационного оборудования и устройств.</w:t>
      </w:r>
    </w:p>
    <w:p w14:paraId="6ABCBB2F" w14:textId="77777777" w:rsidR="00C030AE" w:rsidRDefault="00EA12AB" w:rsidP="00EA12AB">
      <w:pPr>
        <w:pStyle w:val="SingleTxtG"/>
      </w:pPr>
      <w:r w:rsidRPr="00EA12AB">
        <w:t>92.</w:t>
      </w:r>
      <w:r w:rsidRPr="00EA12AB">
        <w:tab/>
        <w:t>Статья 13 подзаконного акта о применении Закона о правах инвалидов предусматривает, что общественные объекты должны быть приспособлены для использования инвалидами следующим образом:</w:t>
      </w:r>
    </w:p>
    <w:p w14:paraId="6565E705" w14:textId="77777777" w:rsidR="00EA12AB" w:rsidRPr="00FD53CB" w:rsidRDefault="00FD53CB" w:rsidP="00FD53CB">
      <w:pPr>
        <w:pStyle w:val="SingleTxtG"/>
      </w:pPr>
      <w:r>
        <w:tab/>
      </w:r>
      <w:r>
        <w:tab/>
      </w:r>
      <w:r w:rsidR="00C030AE" w:rsidRPr="00EA12AB">
        <w:t>1)</w:t>
      </w:r>
      <w:r w:rsidR="00C030AE" w:rsidRPr="00EA12AB">
        <w:tab/>
      </w:r>
      <w:r w:rsidR="00EA12AB" w:rsidRPr="00EA12AB">
        <w:t xml:space="preserve">улицы, </w:t>
      </w:r>
      <w:r w:rsidR="00EA12AB" w:rsidRPr="00FD53CB">
        <w:t>дороги, тротуары и полосы движения должны освобождаться от препятствий в координации между Министерством социальных дел, Министерством транспорта и Министерством местного самоуправления;</w:t>
      </w:r>
    </w:p>
    <w:p w14:paraId="115C88B4" w14:textId="77777777" w:rsidR="00EA12AB" w:rsidRPr="00FD53CB" w:rsidRDefault="00FD53CB" w:rsidP="00FD53CB">
      <w:pPr>
        <w:pStyle w:val="SingleTxtG"/>
      </w:pPr>
      <w:r>
        <w:tab/>
      </w:r>
      <w:r>
        <w:tab/>
      </w:r>
      <w:r w:rsidR="00C030AE" w:rsidRPr="00FD53CB">
        <w:t>2)</w:t>
      </w:r>
      <w:r w:rsidR="00C030AE" w:rsidRPr="00FD53CB">
        <w:tab/>
      </w:r>
      <w:r w:rsidR="00EA12AB" w:rsidRPr="00FD53CB">
        <w:t>правительственные и неправительственные здания должны быть приспособлены для обеспечения доступа и свободного передвижения инвалидов в координации между Министерством местного самоуправления и муниципальными и сельскими советами;</w:t>
      </w:r>
    </w:p>
    <w:p w14:paraId="25F52BB9" w14:textId="77777777" w:rsidR="00C030AE" w:rsidRDefault="00FD53CB" w:rsidP="00FD53CB">
      <w:pPr>
        <w:pStyle w:val="SingleTxtG"/>
      </w:pPr>
      <w:r>
        <w:tab/>
      </w:r>
      <w:r>
        <w:tab/>
      </w:r>
      <w:r w:rsidR="00C030AE" w:rsidRPr="00FD53CB">
        <w:t>3)</w:t>
      </w:r>
      <w:r w:rsidR="00C030AE" w:rsidRPr="00FD53CB">
        <w:tab/>
      </w:r>
      <w:r w:rsidR="00EA12AB" w:rsidRPr="00FD53CB">
        <w:t>рабочие места, рынки и коммерческие помещения должны быть приспособлены для использования инвалидами; за это отвечают Министерство местного самоуправления и Министерство труда</w:t>
      </w:r>
      <w:r w:rsidR="00EA12AB" w:rsidRPr="00EA12AB">
        <w:t>.</w:t>
      </w:r>
      <w:r w:rsidR="00C030AE">
        <w:t xml:space="preserve"> </w:t>
      </w:r>
    </w:p>
    <w:p w14:paraId="499B12E0" w14:textId="77777777" w:rsidR="00C030AE" w:rsidRDefault="00FD53CB" w:rsidP="00EA12AB">
      <w:pPr>
        <w:pStyle w:val="SingleTxtG"/>
      </w:pPr>
      <w:r>
        <w:lastRenderedPageBreak/>
        <w:tab/>
      </w:r>
      <w:r>
        <w:tab/>
      </w:r>
      <w:r w:rsidR="00EA12AB" w:rsidRPr="00EA12AB">
        <w:t>Статья 94 постановления Кабинета министров № 6 (2011 год) о строительных правилах местных органов самоуправления предусматривает, что общественные здания, коммерческие помещения, жилые дома с несколькими квартирами и офисные здания должны быть приспособлены к потребностям инвалидов; входы и проходы должны соответствовать спецификациям, установленным компетентным комитетом.</w:t>
      </w:r>
    </w:p>
    <w:p w14:paraId="5D2FFDD4" w14:textId="77777777" w:rsidR="00C030AE" w:rsidRDefault="00EA12AB" w:rsidP="00EA12AB">
      <w:pPr>
        <w:pStyle w:val="SingleTxtG"/>
      </w:pPr>
      <w:r w:rsidRPr="00EA12AB">
        <w:t>93.</w:t>
      </w:r>
      <w:r w:rsidRPr="00EA12AB">
        <w:tab/>
        <w:t>В целях выполнения требований законодательства и в результате проведения информационно-просветительных кампаний прилагаются значительные усилия по облегчению физического доступа для инвалидов. Был разработан национальный план обеспечения доступности, а проект строительного кодекса был укреплен за счет включения в него санкций за не отвечающие стандартам жилые здания, хотя эта работа не была завершена в связи с отказом американского донора от финансирования. В</w:t>
      </w:r>
      <w:r w:rsidR="00C973E7">
        <w:rPr>
          <w:lang w:val="en-US"/>
        </w:rPr>
        <w:t> </w:t>
      </w:r>
      <w:r w:rsidRPr="00EA12AB">
        <w:t>настоящее время ведется работа по обеспечению финансирования для завершения проекта.</w:t>
      </w:r>
    </w:p>
    <w:p w14:paraId="1529A1C8" w14:textId="77777777" w:rsidR="00C030AE" w:rsidRDefault="00EA12AB" w:rsidP="00EA12AB">
      <w:pPr>
        <w:pStyle w:val="SingleTxtG"/>
      </w:pPr>
      <w:r w:rsidRPr="00EA12AB">
        <w:t>94.</w:t>
      </w:r>
      <w:r w:rsidRPr="00EA12AB">
        <w:tab/>
        <w:t xml:space="preserve">В стратегический план Министерства местного самоуправления </w:t>
      </w:r>
      <w:r w:rsidR="00C973E7">
        <w:br/>
      </w:r>
      <w:r w:rsidRPr="00EA12AB">
        <w:t xml:space="preserve">(2017–2022 годы) был включен план действий, направленный на обеспечение приспособления инвалидов к физической среде, доступности и социальной интеграции. В партнерстве с Палестинским органом по развитию НПО и в сотрудничестве с программами реабилитации на базе общин (РБО) Министерство представило программный документ, направленный на включение инвалидов </w:t>
      </w:r>
      <w:bookmarkStart w:id="10" w:name="_Hlk38992514"/>
      <w:r w:rsidRPr="00EA12AB">
        <w:t xml:space="preserve">в работу </w:t>
      </w:r>
      <w:bookmarkEnd w:id="10"/>
      <w:r w:rsidRPr="00EA12AB">
        <w:t>местных органов власти и в деятельность и процесс планирования Министерства. Эта</w:t>
      </w:r>
      <w:r w:rsidR="000B56B9">
        <w:t> </w:t>
      </w:r>
      <w:r w:rsidRPr="00EA12AB">
        <w:t>информация была распространена среди всех местных органов власти, с тем чтобы можно было приступить к процессу вовлечения инвалидов в работу. Министерство включило вопросы инвалидности и в свой стратегический план на 2015–2017 годы, который также направлен на обеспечение приспособления к физической среде, доступности и социальной интеграции инвалидов.</w:t>
      </w:r>
    </w:p>
    <w:p w14:paraId="7930417B" w14:textId="77777777" w:rsidR="00C030AE" w:rsidRDefault="00EA12AB" w:rsidP="00EA12AB">
      <w:pPr>
        <w:pStyle w:val="SingleTxtG"/>
      </w:pPr>
      <w:r w:rsidRPr="00EA12AB">
        <w:t>95.</w:t>
      </w:r>
      <w:bookmarkStart w:id="11" w:name="_Hlk38992811"/>
      <w:r w:rsidRPr="00EA12AB">
        <w:tab/>
        <w:t xml:space="preserve">Высший организационный совет </w:t>
      </w:r>
      <w:bookmarkEnd w:id="11"/>
      <w:r w:rsidRPr="00EA12AB">
        <w:t>Министерства местного самоуправления разослал четыре циркуляра в адрес управлений и местных органов власти, предписывающих соблюдать требования, предъявляемые к общественным зданиям и объектам в плане обеспечения приспособления инвалидов к физической среде. Кроме того, Министерство разослало управлениям ряд решений, подтверждающих необходимость выполнения циркуляров, направляемых Высшим организационным советом. Помимо этого, Ассоциация инженеров подготовила руководство по проектированию зданий с учетом потребностей инвалидов</w:t>
      </w:r>
      <w:r w:rsidR="000855C6">
        <w:rPr>
          <w:rStyle w:val="ab"/>
        </w:rPr>
        <w:endnoteReference w:id="22"/>
      </w:r>
      <w:r w:rsidRPr="00EA12AB">
        <w:t>.</w:t>
      </w:r>
    </w:p>
    <w:p w14:paraId="4B4D04FE" w14:textId="77777777" w:rsidR="00C030AE" w:rsidRDefault="00EA12AB" w:rsidP="00EA12AB">
      <w:pPr>
        <w:pStyle w:val="SingleTxtG"/>
      </w:pPr>
      <w:r w:rsidRPr="00EA12AB">
        <w:t>96.</w:t>
      </w:r>
      <w:r w:rsidRPr="00EA12AB">
        <w:tab/>
        <w:t>На основании решения № 56/2005 (от 6 сентября 2005 года) Верховный суд Палестины постановил предписать Кабинету министров выполнять статьи 12–15 Закона о правах инвалидов, касающиеся доступности общественных объектов, и принимать с этой целью все необходимые решения и меры.</w:t>
      </w:r>
    </w:p>
    <w:p w14:paraId="64C5611C" w14:textId="77777777" w:rsidR="00C030AE" w:rsidRDefault="00EA12AB" w:rsidP="00EA12AB">
      <w:pPr>
        <w:pStyle w:val="SingleTxtG"/>
      </w:pPr>
      <w:r w:rsidRPr="00EA12AB">
        <w:t>97.</w:t>
      </w:r>
      <w:r w:rsidRPr="00EA12AB">
        <w:tab/>
        <w:t xml:space="preserve">Соблюдение требований об обеспечении приспособления инвалидов к физической среде при проектировании жилых зданий является одним из приоритетных направлений деятельности Всеобщего союза инвалидов, и с этой целью он организовал ряд кампаний. В 2016 году отделение Союза в </w:t>
      </w:r>
      <w:proofErr w:type="spellStart"/>
      <w:r w:rsidRPr="00EA12AB">
        <w:t>Наблусе</w:t>
      </w:r>
      <w:proofErr w:type="spellEnd"/>
      <w:r w:rsidRPr="00EA12AB">
        <w:t xml:space="preserve"> в партнерстве с Иерусалимским центром правовой помощи развернуло кампанию под названием </w:t>
      </w:r>
      <w:r w:rsidR="008E2BCB">
        <w:t>«</w:t>
      </w:r>
      <w:r w:rsidRPr="00EA12AB">
        <w:t xml:space="preserve">Мухафаза </w:t>
      </w:r>
      <w:proofErr w:type="spellStart"/>
      <w:r w:rsidRPr="00EA12AB">
        <w:t>Наблус</w:t>
      </w:r>
      <w:proofErr w:type="spellEnd"/>
      <w:r w:rsidRPr="00EA12AB">
        <w:t xml:space="preserve"> – друг инвалидов</w:t>
      </w:r>
      <w:r w:rsidR="008E2BCB">
        <w:t>»</w:t>
      </w:r>
      <w:r w:rsidRPr="00EA12AB">
        <w:t xml:space="preserve">. Союз также работал в сотрудничестве с мухафазой и муниципалитетом Рамаллы и заключил соглашение о сотрудничестве с муниципалитетами мухафазы </w:t>
      </w:r>
      <w:proofErr w:type="spellStart"/>
      <w:r w:rsidRPr="00EA12AB">
        <w:t>Тулькарм</w:t>
      </w:r>
      <w:proofErr w:type="spellEnd"/>
      <w:r w:rsidRPr="00EA12AB">
        <w:t>.</w:t>
      </w:r>
    </w:p>
    <w:p w14:paraId="032B4B0A" w14:textId="77777777" w:rsidR="00C030AE" w:rsidRDefault="00EA12AB" w:rsidP="00EA12AB">
      <w:pPr>
        <w:pStyle w:val="SingleTxtG"/>
      </w:pPr>
      <w:r w:rsidRPr="00EA12AB">
        <w:t>98.</w:t>
      </w:r>
      <w:r w:rsidRPr="00EA12AB">
        <w:tab/>
        <w:t>Нормативные и правовые барьеры на пути выполнения решений о доступности обусловлены сохранением прежнего, устаревшего законодательства и неприменением наказаний, которые бы сдерживали правонарушителей, даже после вынесения предупреждений. Существуют также препятствия на пути адаптации существующих старых зданий в связи с непомерными затратами. Несмотря на то, что Ассоциация инженеров подписала соглашение на уровне планирования, наличие весьма большого числа зданий, нуждающихся в адаптации, представляет собой серьезную проблему. Более того, на регулярный осмотр зданий просто не хватает времени. Помимо этого, нехватка кадров означает невозможность осуществления тщательного мониторинга и контроля, необходимых для обеспечения выполнения в полном объеме планов Министерства местного самоуправления и местных органов власти.</w:t>
      </w:r>
    </w:p>
    <w:p w14:paraId="2EEA6645" w14:textId="77777777" w:rsidR="00C030AE" w:rsidRDefault="00EA12AB" w:rsidP="00EA12AB">
      <w:pPr>
        <w:pStyle w:val="SingleTxtG"/>
      </w:pPr>
      <w:r w:rsidRPr="00EA12AB">
        <w:lastRenderedPageBreak/>
        <w:t xml:space="preserve">99. </w:t>
      </w:r>
      <w:r w:rsidRPr="00EA12AB">
        <w:tab/>
        <w:t>Что касается доступности учебных зданий и школ, то Министерство просвещения и высшего образования прилагает все усилия для устранения барьеров на пути процесса интеграции, который осуществляется с момента введения в 1997 году концепции инклюзивного образования. В результате проделанной работы большинство школ – около 58% – были приспособлены для приема учащихся</w:t>
      </w:r>
      <w:r w:rsidR="000855C6">
        <w:noBreakHyphen/>
      </w:r>
      <w:r w:rsidRPr="00EA12AB">
        <w:t>инвалидов.</w:t>
      </w:r>
      <w:r w:rsidR="00C030AE">
        <w:t xml:space="preserve"> </w:t>
      </w:r>
      <w:r w:rsidRPr="00EA12AB">
        <w:t>К числу проблем относится наличие ряда старых или арендуемых школьных зданий, которые трудно адаптировать из-за их ветхости или возражений арендодателя.</w:t>
      </w:r>
    </w:p>
    <w:p w14:paraId="71624247" w14:textId="77777777" w:rsidR="00C030AE" w:rsidRDefault="00EA12AB" w:rsidP="00EA12AB">
      <w:pPr>
        <w:pStyle w:val="SingleTxtG"/>
      </w:pPr>
      <w:r w:rsidRPr="00EA12AB">
        <w:t xml:space="preserve">100. </w:t>
      </w:r>
      <w:r w:rsidRPr="00EA12AB">
        <w:tab/>
        <w:t>Министерство подготовило учебную программу для 1–12 классов начальной школы, напечатанную шрифтом Брайля и распространенную среди учащихся с нарушениями зрения, которая была интегрирована в государственную школьную систему и некоторые частные школы. Министерство также активизировало подготовку персонала в области специального образования, назначив консультантов по вопросам инклюзивного образования для наблюдения за учащимися-инвалидами. Для работы с ресурсными группами были также назначены преподаватели, проводящие занятия в ресурсных кабинетах, и специализированный персонал. Кроме того, на уровне управлений и школ были назначены инспекторы по специальному образованию и сотрудники по инклюзивному образованию, соответственно, для обеспечения подготовки по вопросам общения с учащимися-инвалидами, которые были интегрированы в государственную школьную систему.</w:t>
      </w:r>
    </w:p>
    <w:p w14:paraId="61958D22" w14:textId="77777777" w:rsidR="00C030AE" w:rsidRDefault="00EA12AB" w:rsidP="00EA12AB">
      <w:pPr>
        <w:pStyle w:val="SingleTxtG"/>
      </w:pPr>
      <w:r w:rsidRPr="00EA12AB">
        <w:t>101.</w:t>
      </w:r>
      <w:r w:rsidRPr="00EA12AB">
        <w:tab/>
        <w:t>Число школ составляет 2 998, в том числе 2 269 на Западном берегу и 729 в Газе.</w:t>
      </w:r>
      <w:r w:rsidR="00C030AE">
        <w:t xml:space="preserve"> </w:t>
      </w:r>
      <w:r w:rsidRPr="00EA12AB">
        <w:t>В стране насчитывается 2</w:t>
      </w:r>
      <w:r w:rsidR="008A0058">
        <w:rPr>
          <w:lang w:val="en-US"/>
        </w:rPr>
        <w:t> </w:t>
      </w:r>
      <w:r w:rsidRPr="00EA12AB">
        <w:t xml:space="preserve">203 государственные школы, 370 школ БАПОР </w:t>
      </w:r>
      <w:r w:rsidR="000855C6">
        <w:br/>
      </w:r>
      <w:r w:rsidRPr="00EA12AB">
        <w:t>(275 в Газе и 95 на Западном берегу) и 425 частных школ.</w:t>
      </w:r>
      <w:r w:rsidR="00C030AE">
        <w:t xml:space="preserve"> </w:t>
      </w:r>
      <w:r w:rsidRPr="00EA12AB">
        <w:t>Имеется около 50 школ специального образования, лицензированных Министерством просвещения и высшего образования, которые посещают учащиеся с серьезными нарушениями зрения, слуха и психики, а также аутисты.</w:t>
      </w:r>
      <w:r w:rsidR="00C030AE">
        <w:t xml:space="preserve"> </w:t>
      </w:r>
      <w:r w:rsidRPr="00EA12AB">
        <w:t>Число учащихся в этих школах колеблется от одного учебного года к другому, однако в настоящее время на Западном берегу насчитывается 3</w:t>
      </w:r>
      <w:r w:rsidR="000855C6">
        <w:rPr>
          <w:lang w:val="en-US"/>
        </w:rPr>
        <w:t> </w:t>
      </w:r>
      <w:r w:rsidRPr="00EA12AB">
        <w:t>100 учащихся в основном из числа тех, чьи тяжелые физические недостатки затрудняют интеграцию в государственную школьную систему. Примерно 160</w:t>
      </w:r>
      <w:r w:rsidR="000855C6">
        <w:rPr>
          <w:lang w:val="en-US"/>
        </w:rPr>
        <w:t> </w:t>
      </w:r>
      <w:r w:rsidRPr="00EA12AB">
        <w:t>преподавателей, работающих в этих школах, являются сотрудниками Министерства.</w:t>
      </w:r>
      <w:r w:rsidR="00C030AE">
        <w:t xml:space="preserve"> </w:t>
      </w:r>
    </w:p>
    <w:p w14:paraId="41544E8F" w14:textId="77777777" w:rsidR="00C030AE" w:rsidRDefault="00EA12AB" w:rsidP="00EA12AB">
      <w:pPr>
        <w:pStyle w:val="SingleTxtG"/>
      </w:pPr>
      <w:r w:rsidRPr="00EA12AB">
        <w:t>102.</w:t>
      </w:r>
      <w:r w:rsidRPr="00EA12AB">
        <w:tab/>
        <w:t>Министерство здравоохранения и Министерство просвещения и высшего образования сотрудничают с рядом НПО в целях обеспечения доступности; четыре общественных здания, находящихся в ведении этих министерств, были переоборудованы в сотрудничестве с Иерусалимским отделением АМХ.</w:t>
      </w:r>
    </w:p>
    <w:p w14:paraId="5A568B6E" w14:textId="77777777" w:rsidR="00C030AE" w:rsidRDefault="00EA12AB" w:rsidP="00EA12AB">
      <w:pPr>
        <w:pStyle w:val="SingleTxtG"/>
      </w:pPr>
      <w:r w:rsidRPr="00EA12AB">
        <w:t>103.</w:t>
      </w:r>
      <w:r w:rsidRPr="00EA12AB">
        <w:tab/>
        <w:t>Израиль, оккупирующая держава, не разрешает палестинцам строить школы или расширять или переоборудовать существующие школы в оккупированном Иерусалиме.</w:t>
      </w:r>
    </w:p>
    <w:p w14:paraId="452FDFBD" w14:textId="77777777" w:rsidR="00C030AE" w:rsidRDefault="00FD53CB" w:rsidP="00FD53CB">
      <w:pPr>
        <w:pStyle w:val="H4G"/>
        <w:rPr>
          <w:b/>
        </w:rPr>
      </w:pPr>
      <w:r w:rsidRPr="008E2BCB">
        <w:tab/>
      </w:r>
      <w:r w:rsidR="00EA12AB" w:rsidRPr="00EA12AB">
        <w:rPr>
          <w:lang w:val="en-US"/>
        </w:rPr>
        <w:t>b</w:t>
      </w:r>
      <w:r w:rsidR="00EA12AB" w:rsidRPr="00EA12AB">
        <w:t>)</w:t>
      </w:r>
      <w:r w:rsidR="00EA12AB" w:rsidRPr="00EA12AB">
        <w:tab/>
        <w:t>Меры по адаптации средств транспорта и связи</w:t>
      </w:r>
    </w:p>
    <w:p w14:paraId="58A73B43" w14:textId="77777777" w:rsidR="00C030AE" w:rsidRDefault="00EA12AB" w:rsidP="00EA12AB">
      <w:pPr>
        <w:pStyle w:val="SingleTxtG"/>
      </w:pPr>
      <w:r w:rsidRPr="00EA12AB">
        <w:t>104.</w:t>
      </w:r>
      <w:r w:rsidRPr="00EA12AB">
        <w:tab/>
        <w:t>В рамках усилий по обеспечению доступности несколько учебных транспортных средств были приспособлены для обучения инвалидов вождению. В</w:t>
      </w:r>
      <w:r w:rsidR="00C973E7">
        <w:rPr>
          <w:lang w:val="en-US"/>
        </w:rPr>
        <w:t> </w:t>
      </w:r>
      <w:r w:rsidRPr="00EA12AB">
        <w:t>соответствии с Постановлением Высшего совета по дорожному движению № 16 (2009 год) Совет отвечает за разработку законодательства по проектированию дорог в соответствии с международными и местными стандартами. Кроме того, Совет работает в координации с Министерством местного самоуправления для определения инженерно-архитектурных условий и спецификаций, которые должны соблюдаться в общественных местах и в старых и новых зданиях для удовлетворения потребностей инвалидов. Он также отвечает за определение технических, инженерных и архитектурных спецификаций тротуаров и общественных парковочных мест для облегчения пользования ими инвалидами.</w:t>
      </w:r>
    </w:p>
    <w:p w14:paraId="22995EDF" w14:textId="77777777" w:rsidR="00C030AE" w:rsidRDefault="00EA12AB" w:rsidP="00EA12AB">
      <w:pPr>
        <w:pStyle w:val="SingleTxtG"/>
      </w:pPr>
      <w:r w:rsidRPr="00EA12AB">
        <w:t>105.</w:t>
      </w:r>
      <w:r w:rsidRPr="00EA12AB">
        <w:tab/>
        <w:t xml:space="preserve">Высший совет по дорожному движению включил программу по обеспечению доступа инвалидов в комплексную схему дорожного движения для муниципалитетов Рамаллы, </w:t>
      </w:r>
      <w:proofErr w:type="spellStart"/>
      <w:r w:rsidRPr="00EA12AB">
        <w:t>Бейтунии</w:t>
      </w:r>
      <w:proofErr w:type="spellEnd"/>
      <w:r w:rsidRPr="00EA12AB">
        <w:t xml:space="preserve"> и Эль-</w:t>
      </w:r>
      <w:proofErr w:type="spellStart"/>
      <w:r w:rsidRPr="00EA12AB">
        <w:t>Биры</w:t>
      </w:r>
      <w:proofErr w:type="spellEnd"/>
      <w:r w:rsidRPr="00EA12AB">
        <w:t xml:space="preserve">, предусматривающую перестройку и планирование полос для движения внутри городов в целях уменьшения заторов на дорогах. Подготовлен законопроект о внесении изменений в Закон о дорожном движении № 5 </w:t>
      </w:r>
      <w:r w:rsidRPr="00EA12AB">
        <w:lastRenderedPageBreak/>
        <w:t>(2000 год) в соответствии с международными стандартами. Этот законопроект определяет роль Министерства транспорта и коммуникаций и услуги, которые оно обязано предоставлять в рамках программы выдачи карточки инвалида.</w:t>
      </w:r>
    </w:p>
    <w:p w14:paraId="70D94935" w14:textId="77777777" w:rsidR="00C030AE" w:rsidRDefault="00EA12AB" w:rsidP="00EA12AB">
      <w:pPr>
        <w:pStyle w:val="SingleTxtG"/>
      </w:pPr>
      <w:r w:rsidRPr="00EA12AB">
        <w:t>106.</w:t>
      </w:r>
      <w:r w:rsidRPr="00EA12AB">
        <w:tab/>
        <w:t>Министерство транспорта и коммуникаций планирует выделить специальные парковочные места для инвалидов на всех существующих и проектируемых объектах и установить таблички с указанием этих мест.</w:t>
      </w:r>
      <w:r w:rsidR="00C030AE">
        <w:t xml:space="preserve"> </w:t>
      </w:r>
      <w:r w:rsidRPr="00EA12AB">
        <w:t>Оно также установит пандусы во всех школах, университетах, компаниях, учреждениях и сервисных центрах.</w:t>
      </w:r>
      <w:r w:rsidR="00C030AE">
        <w:t xml:space="preserve"> </w:t>
      </w:r>
      <w:r w:rsidRPr="00EA12AB">
        <w:t>Для</w:t>
      </w:r>
      <w:r w:rsidR="00A215EA">
        <w:rPr>
          <w:lang w:val="en-US"/>
        </w:rPr>
        <w:t> </w:t>
      </w:r>
      <w:r w:rsidRPr="00EA12AB">
        <w:t>реализации этих планов Министерство будет поддерживать связь с Высшим советом по дорожному движению. Разрешения на строительство новых зданий будут выдаваться только в том случае, если они отвечают требованиям Министерства.</w:t>
      </w:r>
    </w:p>
    <w:p w14:paraId="5ADA58EF" w14:textId="77777777" w:rsidR="00C030AE" w:rsidRDefault="00EA12AB" w:rsidP="00EA12AB">
      <w:pPr>
        <w:pStyle w:val="SingleTxtG"/>
      </w:pPr>
      <w:r w:rsidRPr="00EA12AB">
        <w:t>107.</w:t>
      </w:r>
      <w:r w:rsidRPr="00EA12AB">
        <w:tab/>
        <w:t>Для оценки качества услуг, предоставляемых Министерством транспорта и связи на Западном берегу, была сформирована рабочая группа в составе представителей главных управлений Министерства и Кабинета министров. Инвалидов принимают сразу же по прибытии в здание Министерства, и им нет необходимости подниматься на лифте. Если инвалид не может получить доступ к соответствующему управлению, сотрудник компании посетит его на дому.</w:t>
      </w:r>
    </w:p>
    <w:p w14:paraId="0592AB35" w14:textId="77777777" w:rsidR="00C030AE" w:rsidRDefault="00EA12AB" w:rsidP="00EA12AB">
      <w:pPr>
        <w:pStyle w:val="SingleTxtG"/>
      </w:pPr>
      <w:r w:rsidRPr="00EA12AB">
        <w:t>108.</w:t>
      </w:r>
      <w:r w:rsidRPr="00EA12AB">
        <w:tab/>
        <w:t>В целях расширения доступа инвалидов Министерство местного самоуправления заключило два соглашения с программой реабилитации на базе общин (РБО) в центральных и южных районах Западного берега.</w:t>
      </w:r>
      <w:r w:rsidR="00C030AE">
        <w:t xml:space="preserve"> </w:t>
      </w:r>
      <w:r w:rsidRPr="00EA12AB">
        <w:t>На Западном берегу под эгидой Министерства были проведены две конференции по этому вопросу и было заключено 150 соглашений между вышеупомянутой программой реабилитации на базе общин и местными властями на Западном берегу. Министерство также заключило соглашение со Всеобщим союзом инвалидов о физической доступности 16 зданий муниципалитета; в Газе 19 муниципалитетов подписали аналогичные соглашения</w:t>
      </w:r>
      <w:r w:rsidR="00EB5F7A">
        <w:rPr>
          <w:rStyle w:val="ab"/>
        </w:rPr>
        <w:endnoteReference w:id="23"/>
      </w:r>
      <w:r w:rsidRPr="00EA12AB">
        <w:t>.</w:t>
      </w:r>
    </w:p>
    <w:p w14:paraId="66BED6AF" w14:textId="77777777" w:rsidR="00C030AE" w:rsidRDefault="00EA12AB" w:rsidP="00EA12AB">
      <w:pPr>
        <w:pStyle w:val="SingleTxtG"/>
      </w:pPr>
      <w:r w:rsidRPr="00EA12AB">
        <w:t>109.</w:t>
      </w:r>
      <w:r w:rsidR="00EC10D3">
        <w:tab/>
      </w:r>
      <w:r w:rsidRPr="00EA12AB">
        <w:t>Министерство местного самоуправления подготовило программный документ о включении вопросов инвалидности в повестку дня местных органов власти.</w:t>
      </w:r>
      <w:r w:rsidR="00C030AE">
        <w:t xml:space="preserve"> </w:t>
      </w:r>
      <w:r w:rsidRPr="00EA12AB">
        <w:t>Хотя строительные нормы и правила требуют от местных властей обеспечения доступности, из-за отсутствия мер контроля их реализация носит непоследовательный характер. До</w:t>
      </w:r>
      <w:r w:rsidR="00A215EA">
        <w:rPr>
          <w:lang w:val="en-US"/>
        </w:rPr>
        <w:t> </w:t>
      </w:r>
      <w:r w:rsidRPr="00EA12AB">
        <w:t xml:space="preserve">сих пор в общественных зданиях и на информационно-технологических объектах нет табличек со шрифтом Брайля. </w:t>
      </w:r>
    </w:p>
    <w:p w14:paraId="423EEDE3" w14:textId="77777777" w:rsidR="00C030AE" w:rsidRDefault="00EA12AB" w:rsidP="00EA12AB">
      <w:pPr>
        <w:pStyle w:val="SingleTxtG"/>
      </w:pPr>
      <w:r w:rsidRPr="00EA12AB">
        <w:t>110.</w:t>
      </w:r>
      <w:r w:rsidRPr="00EA12AB">
        <w:tab/>
        <w:t>Министерство местного самоуправления и Ассоциация инженеров подготовили совместный документ по вопросам доступности, хотя инженеры еще не прошли подготовку по этим вопросам. Данная проблема обсуждается со Всеобщим союзом инвалидов.</w:t>
      </w:r>
    </w:p>
    <w:p w14:paraId="0338F00A" w14:textId="77777777" w:rsidR="00C030AE" w:rsidRDefault="00EA12AB" w:rsidP="00EA12AB">
      <w:pPr>
        <w:pStyle w:val="SingleTxtG"/>
      </w:pPr>
      <w:r w:rsidRPr="00EA12AB">
        <w:t>111.</w:t>
      </w:r>
      <w:r w:rsidRPr="00EA12AB">
        <w:tab/>
        <w:t xml:space="preserve">В широком плане услуги, предоставляемые в рамках программы БАПОР в интересах беженцев-инвалидов, включают переоборудование и разумную перестройку зданий, предоставление </w:t>
      </w:r>
      <w:proofErr w:type="spellStart"/>
      <w:r w:rsidRPr="00EA12AB">
        <w:t>ассистивных</w:t>
      </w:r>
      <w:proofErr w:type="spellEnd"/>
      <w:r w:rsidRPr="00EA12AB">
        <w:t xml:space="preserve"> устройств, логопедию, физиотерапию, трудотерапию, слуховую терапию, посещения на дому, специальные учебные заведения, программы самообучения, наращивание потенциала сиделок, финансовую поддержку, позволяющую переводить инвалидов в специализированные учреждения, и защиту инвалидов в рамках программы БАПОР. Однако осуществление этой программы было приостановлено в связи с сокращением бюджета Агентства, что сказалось на реализации прав инвалидов.</w:t>
      </w:r>
    </w:p>
    <w:p w14:paraId="3A5D698E" w14:textId="77777777" w:rsidR="00C030AE" w:rsidRDefault="00EA12AB" w:rsidP="00EA12AB">
      <w:pPr>
        <w:pStyle w:val="SingleTxtG"/>
      </w:pPr>
      <w:r w:rsidRPr="00EA12AB">
        <w:t>112.</w:t>
      </w:r>
      <w:r w:rsidRPr="00EA12AB">
        <w:tab/>
        <w:t>Высший комитет по делам лагерей осуществляет программу модификации жилых зданий и учреждений, с тем чтобы они отвечали потребностям инвалидов. В</w:t>
      </w:r>
      <w:r w:rsidR="00EC10D3">
        <w:rPr>
          <w:lang w:val="en-US"/>
        </w:rPr>
        <w:t> </w:t>
      </w:r>
      <w:r w:rsidRPr="00EA12AB">
        <w:t>качестве совместного проекта эта программа финансируется за счет взносов БАПОР и семейных пожертвований.</w:t>
      </w:r>
    </w:p>
    <w:p w14:paraId="2CA72FBA" w14:textId="77777777" w:rsidR="00C030AE" w:rsidRDefault="00EA12AB" w:rsidP="00EA12AB">
      <w:pPr>
        <w:pStyle w:val="SingleTxtG"/>
      </w:pPr>
      <w:r w:rsidRPr="00EA12AB">
        <w:t>113.</w:t>
      </w:r>
      <w:r w:rsidRPr="00EA12AB">
        <w:tab/>
        <w:t>В докладе Палестинского центрального статистического бюро за 2011 год, подготовленном в сотрудничестве с Министерством социального развития, представлены статистические данные по доступности для инвалидов</w:t>
      </w:r>
      <w:r w:rsidR="00EB5F7A">
        <w:rPr>
          <w:rStyle w:val="ab"/>
        </w:rPr>
        <w:endnoteReference w:id="24"/>
      </w:r>
      <w:r w:rsidRPr="00EA12AB">
        <w:t>.</w:t>
      </w:r>
    </w:p>
    <w:p w14:paraId="24DEB376" w14:textId="77777777" w:rsidR="00C030AE" w:rsidRDefault="00FD53CB" w:rsidP="00C17D30">
      <w:pPr>
        <w:pStyle w:val="H1G"/>
      </w:pPr>
      <w:r>
        <w:lastRenderedPageBreak/>
        <w:tab/>
      </w:r>
      <w:r>
        <w:tab/>
      </w:r>
      <w:r w:rsidR="00EA12AB" w:rsidRPr="00EA12AB">
        <w:t>Статья 10</w:t>
      </w:r>
      <w:r>
        <w:br/>
      </w:r>
      <w:r w:rsidR="00EA12AB" w:rsidRPr="00EA12AB">
        <w:t>Право на жизнь</w:t>
      </w:r>
    </w:p>
    <w:p w14:paraId="0E9774E3" w14:textId="77777777" w:rsidR="00C030AE" w:rsidRDefault="00EA12AB" w:rsidP="00EA12AB">
      <w:pPr>
        <w:pStyle w:val="SingleTxtG"/>
      </w:pPr>
      <w:r w:rsidRPr="00EA12AB">
        <w:t>114.</w:t>
      </w:r>
      <w:r w:rsidRPr="00EA12AB">
        <w:tab/>
        <w:t>Палестинское законодательство гарантирует право на жизнь каждому человеку, включая инвалидов, и предусматривает все медицинские и правовые меры для защиты права инвалидов на жизнь. Статья 2 Закона о правах инвалидов гласит, что такие лица имеют право на свободную и достойную жизнь.</w:t>
      </w:r>
    </w:p>
    <w:p w14:paraId="636BD2B9" w14:textId="77777777" w:rsidR="00C030AE" w:rsidRDefault="00EA12AB" w:rsidP="00EA12AB">
      <w:pPr>
        <w:pStyle w:val="SingleTxtG"/>
      </w:pPr>
      <w:r w:rsidRPr="00EA12AB">
        <w:t>115.</w:t>
      </w:r>
      <w:r w:rsidRPr="00EA12AB">
        <w:tab/>
        <w:t>Палестинскими судебными органами или Всеобщим союзом инвалидов не было зарегистрировано ни одного случая торговли органами инвалидов. Судебная система не располагает статистическими данными о нарушениях права инвалидов на жизнь.</w:t>
      </w:r>
    </w:p>
    <w:p w14:paraId="3A7FEE21" w14:textId="77777777" w:rsidR="00C030AE" w:rsidRDefault="00EA12AB" w:rsidP="00EA12AB">
      <w:pPr>
        <w:pStyle w:val="SingleTxtG"/>
      </w:pPr>
      <w:r w:rsidRPr="00EA12AB">
        <w:t>116.</w:t>
      </w:r>
      <w:r w:rsidRPr="00EA12AB">
        <w:tab/>
        <w:t>В том что касается планирования будущих законодательных мер по усилению защиты права инвалидов на жизнь, Министерство юстиции в рамках своего законодательного мандата стремится включить в свой предстоящий стратегический план (2017–2022 годы) законодательство об ужесточении наказания за нарушение права инвалидов на жизнь.</w:t>
      </w:r>
    </w:p>
    <w:p w14:paraId="58DF498B" w14:textId="77777777" w:rsidR="00C030AE" w:rsidRDefault="00EA12AB" w:rsidP="00EA12AB">
      <w:pPr>
        <w:pStyle w:val="SingleTxtG"/>
      </w:pPr>
      <w:r w:rsidRPr="00EA12AB">
        <w:t>117.</w:t>
      </w:r>
      <w:r w:rsidRPr="00EA12AB">
        <w:tab/>
        <w:t>Страдания инвалидов на оккупированной палестинской территории усугубляются преступлениями, ежедневно совершаемыми израильскими оккупационными силами в отношении палестинского народа и имущества в целом и инвалидов и их семей в частности, которые являются одной из наиболее уязвимых групп в обществе. Политика блокады и полной изоляции оккупированной палестинской территории привела к катастрофическому ухудшению условий жизни. В секторе Газа незаконная и бесчеловечная израильская блокада, введенная более 12</w:t>
      </w:r>
      <w:r w:rsidR="00EB5F7A">
        <w:t> </w:t>
      </w:r>
      <w:r w:rsidRPr="00EA12AB">
        <w:t>лет назад, привела к экономическому и социальному коллапсу. Безработица, нищета и отсутствие продовольственной безопасности среди палестинского населения достигли беспрецедентных масштабов. В результате ухудшилось социально-экономическое положение инвалидов и их семей, которые и без того страдают от острого недостатка средств реабилитации, социальной защиты, здравоохранения, образования и занятости.</w:t>
      </w:r>
    </w:p>
    <w:p w14:paraId="0915465F" w14:textId="77777777" w:rsidR="00C030AE" w:rsidRDefault="00EA12AB" w:rsidP="00EA12AB">
      <w:pPr>
        <w:pStyle w:val="SingleTxtG"/>
      </w:pPr>
      <w:r w:rsidRPr="00EA12AB">
        <w:t>118.</w:t>
      </w:r>
      <w:r w:rsidRPr="00EA12AB">
        <w:tab/>
        <w:t>На показателях инвалидности в Государстве Палестина, за исключением случаев инвалидности, вызванных социальными, экологическими и семейными факторами, сказываются продолжающиеся систематические и широко распространенные злоупотребления Израиля в отношении гражданского населения. Палестинцы-инвалиды становятся жертвами действий израильских оккупационных сил в не меньшей степени, чем их трудоспособные соотечественники, и было зарегистрировано множество случаев нарушения израильскими оккупационными силами права инвалидов на жизнь; они квалифицируются как преступления по международному гуманитарному праву. С начала 2000 года более 6</w:t>
      </w:r>
      <w:r w:rsidR="00EC10D3">
        <w:rPr>
          <w:lang w:val="en-US"/>
        </w:rPr>
        <w:t> </w:t>
      </w:r>
      <w:r w:rsidRPr="00EA12AB">
        <w:t>000 человек получили постоянную инвалидность в результате причиненных им травм. Около 600</w:t>
      </w:r>
      <w:r w:rsidR="008552D1">
        <w:rPr>
          <w:lang w:val="en-US"/>
        </w:rPr>
        <w:t> </w:t>
      </w:r>
      <w:r w:rsidRPr="00EA12AB">
        <w:t>человек получили постоянную инвалидность в результате израильской агрессии против сектора Газа в 2008–2009 годах и еще 16 человек получили постоянную инвалидность во время агрессии в 2012 году. Около 53 инвалидов были ранены в ходе израильской агрессии в 2014 году, а 180 человек получили постоянную инвалидность из-за нанесенных им ранений. В результате трех войн Израиля против сектора Газа инвалидами стали примерно 50 000 палестинцев.</w:t>
      </w:r>
    </w:p>
    <w:p w14:paraId="10395B12" w14:textId="77777777" w:rsidR="00C030AE" w:rsidRDefault="00EA12AB" w:rsidP="00EA12AB">
      <w:pPr>
        <w:pStyle w:val="SingleTxtG"/>
      </w:pPr>
      <w:r w:rsidRPr="00EA12AB">
        <w:t>119.</w:t>
      </w:r>
      <w:r w:rsidRPr="00EA12AB">
        <w:tab/>
        <w:t xml:space="preserve">В 2015 году в результате израильской агрессии в секторе Газа погибли порядка 42 инвалидов, в том числе 25 человек с физическими недостатками. На Западном берегу 187 инвалидов </w:t>
      </w:r>
      <w:bookmarkStart w:id="12" w:name="_Hlk40696545"/>
      <w:r w:rsidRPr="00EA12AB">
        <w:t xml:space="preserve">были ранены </w:t>
      </w:r>
      <w:bookmarkEnd w:id="12"/>
      <w:r w:rsidRPr="00EA12AB">
        <w:t>оккупационными силами и арестованы</w:t>
      </w:r>
      <w:r w:rsidR="00EC10D3">
        <w:t>,</w:t>
      </w:r>
      <w:r w:rsidRPr="00EA12AB">
        <w:t xml:space="preserve"> несмотря на то что они получили ранения</w:t>
      </w:r>
      <w:r w:rsidR="00EB5F7A">
        <w:rPr>
          <w:rStyle w:val="ab"/>
        </w:rPr>
        <w:endnoteReference w:id="25"/>
      </w:r>
      <w:r w:rsidRPr="00EA12AB">
        <w:t xml:space="preserve">. В 2014–2015 годах было ранено в общей сложности 10 481 палестинцев, в том числе 1 489 детей; в 2016 году ранения получили около </w:t>
      </w:r>
      <w:r w:rsidR="00EC10D3">
        <w:br/>
      </w:r>
      <w:r w:rsidRPr="00EA12AB">
        <w:t>1</w:t>
      </w:r>
      <w:r w:rsidR="008552D1">
        <w:rPr>
          <w:lang w:val="en-US"/>
        </w:rPr>
        <w:t> </w:t>
      </w:r>
      <w:r w:rsidRPr="00EA12AB">
        <w:t xml:space="preserve">685 палестинцев. В 2017–2018 годах израильскими силами были ранены более </w:t>
      </w:r>
      <w:r w:rsidR="008552D1">
        <w:br/>
      </w:r>
      <w:r w:rsidRPr="00EA12AB">
        <w:t>23 000 палестинцев. В 2018 году были убиты шесть палестинцев-инвалидов, включая ребенка, страдающего психическими расстройствами.</w:t>
      </w:r>
    </w:p>
    <w:p w14:paraId="036769A1" w14:textId="77777777" w:rsidR="00C030AE" w:rsidRDefault="00EA12AB" w:rsidP="00EA12AB">
      <w:pPr>
        <w:pStyle w:val="SingleTxtG"/>
      </w:pPr>
      <w:r w:rsidRPr="00EA12AB">
        <w:t>120.</w:t>
      </w:r>
      <w:r w:rsidRPr="00EA12AB">
        <w:tab/>
        <w:t>Организация Объединенных Наций и другие международные органы сообщают, что палестинские граждане из числа инвалидов становятся мишенью израильских оккупационных сил, несмотря на их очевидную инвалидность. Кроме того, солдаты целятся в нижние части тела, чтобы вызвать постоянную инвалидность.</w:t>
      </w:r>
      <w:r w:rsidR="00C030AE">
        <w:t xml:space="preserve"> </w:t>
      </w:r>
      <w:r w:rsidRPr="00EA12AB">
        <w:lastRenderedPageBreak/>
        <w:t>Международное сообщество считает также, что оружие, используемое израильскими оккупационными силами против палестинского народа, является самым опасным видом вооружений, предназначенным для убийства или нанесения серьезных ранений таким образом, чтобы вызвать постоянную инвалидность.</w:t>
      </w:r>
    </w:p>
    <w:p w14:paraId="314BFFC9" w14:textId="77777777" w:rsidR="00C030AE" w:rsidRDefault="00EA12AB" w:rsidP="00EA12AB">
      <w:pPr>
        <w:pStyle w:val="SingleTxtG"/>
      </w:pPr>
      <w:r w:rsidRPr="00EA12AB">
        <w:t>121.</w:t>
      </w:r>
      <w:r w:rsidRPr="00EA12AB">
        <w:tab/>
        <w:t xml:space="preserve">В 2014 году оккупационные силы на Западном берегу и в секторе Газа совершили налеты на помещения многих учреждений, обеспечивающих уход за инвалидами и их реабилитацию, и разграбили их, в том числе здание штаб-квартиры Ассоциации </w:t>
      </w:r>
      <w:r w:rsidR="008E2BCB">
        <w:t>«</w:t>
      </w:r>
      <w:r w:rsidRPr="00EA12AB">
        <w:t>Право на жизнь</w:t>
      </w:r>
      <w:r w:rsidR="008E2BCB">
        <w:t>»</w:t>
      </w:r>
      <w:r w:rsidRPr="00EA12AB">
        <w:t xml:space="preserve"> в Газе.</w:t>
      </w:r>
    </w:p>
    <w:p w14:paraId="4BA081A2" w14:textId="77777777" w:rsidR="00C030AE" w:rsidRDefault="00C17D30" w:rsidP="00C17D30">
      <w:pPr>
        <w:pStyle w:val="H1G"/>
      </w:pPr>
      <w:r>
        <w:tab/>
      </w:r>
      <w:r w:rsidR="00FD53CB">
        <w:tab/>
      </w:r>
      <w:r w:rsidR="00EA12AB" w:rsidRPr="00EA12AB">
        <w:t>Статья 11</w:t>
      </w:r>
      <w:r w:rsidR="00FD53CB">
        <w:br/>
      </w:r>
      <w:r w:rsidR="00EA12AB" w:rsidRPr="00EA12AB">
        <w:t>Ситуации риска и чрезвычайные гуманитарные ситуации</w:t>
      </w:r>
    </w:p>
    <w:p w14:paraId="679A05DB" w14:textId="77777777" w:rsidR="00C030AE" w:rsidRDefault="00EA12AB" w:rsidP="00EA12AB">
      <w:pPr>
        <w:pStyle w:val="SingleTxtG"/>
      </w:pPr>
      <w:r w:rsidRPr="00EA12AB">
        <w:t>122.</w:t>
      </w:r>
      <w:r w:rsidRPr="00EA12AB">
        <w:tab/>
        <w:t>Закон о гражданской обороне № 3 (1998 год) гарантирует право членов общества на безопасную жизнь, защиту от опасностей и угроз из любых источников, включая бедствия и кризисы. В соответствии с Законом ответственность за это возлагается на Главное управление гражданской обороны</w:t>
      </w:r>
      <w:r w:rsidR="00EB5F7A">
        <w:rPr>
          <w:rStyle w:val="ab"/>
        </w:rPr>
        <w:endnoteReference w:id="26"/>
      </w:r>
      <w:r w:rsidRPr="00EA12AB">
        <w:t>.</w:t>
      </w:r>
      <w:r w:rsidR="00C030AE">
        <w:t xml:space="preserve"> </w:t>
      </w:r>
    </w:p>
    <w:p w14:paraId="1ADF92E1" w14:textId="77777777" w:rsidR="00C030AE" w:rsidRDefault="00EA12AB" w:rsidP="00EA12AB">
      <w:pPr>
        <w:pStyle w:val="SingleTxtG"/>
      </w:pPr>
      <w:r w:rsidRPr="00EA12AB">
        <w:t>123.</w:t>
      </w:r>
      <w:r w:rsidRPr="00EA12AB">
        <w:tab/>
        <w:t xml:space="preserve">Ежегодно подразделения гражданской обороны организуют около </w:t>
      </w:r>
      <w:r w:rsidR="008552D1">
        <w:br/>
      </w:r>
      <w:r w:rsidRPr="00EA12AB">
        <w:t>5</w:t>
      </w:r>
      <w:r w:rsidR="008552D1">
        <w:rPr>
          <w:lang w:val="en-US"/>
        </w:rPr>
        <w:t> </w:t>
      </w:r>
      <w:r w:rsidRPr="00EA12AB">
        <w:t>000 учебных курсов для различных групп населения, включая инвалидов, в целях их информирования о рисках и о том, как вести себя в случае различных инцидентов, в частности в ходе эвакуационных и спасательных операций. Они также готовят планы экстренных мероприятий для учреждений, с тем чтобы обеспечить защиту инвалидов в чрезвычайных и кризисных ситуациях.</w:t>
      </w:r>
      <w:r w:rsidR="00C030AE">
        <w:t xml:space="preserve"> </w:t>
      </w:r>
    </w:p>
    <w:p w14:paraId="0E127FEF" w14:textId="77777777" w:rsidR="00C030AE" w:rsidRDefault="00EA12AB" w:rsidP="00EA12AB">
      <w:pPr>
        <w:pStyle w:val="SingleTxtG"/>
      </w:pPr>
      <w:r w:rsidRPr="00EA12AB">
        <w:t>124.</w:t>
      </w:r>
      <w:r w:rsidRPr="00EA12AB">
        <w:tab/>
        <w:t>Управление гражданской обороны готовит ежегодный доклад с указанием числа погибших или раненых в результате несчастных случаев, связанных с пожарами. Цифры показывают, что наибольшему риску подвергаются дети, престарелые и инвалиды, и именно на них сосредоточены программы гражданской обороны.</w:t>
      </w:r>
      <w:r w:rsidR="00C030AE">
        <w:t xml:space="preserve"> </w:t>
      </w:r>
      <w:r w:rsidRPr="00EA12AB">
        <w:t>Программы включают утреннее радиообращение и короткие видеоклипы в социальных сетях, транслируемые с сопутствующим сурдопереводом. В 2018 году Всеобщий союз инвалидов в сотрудничестве с органами гражданской обороны разработал перечень инструкций по вопросам общественной безопасности и защиты от стихийных бедствий и опасностей в целом, в частности</w:t>
      </w:r>
      <w:r w:rsidR="00EC10D3">
        <w:t>,</w:t>
      </w:r>
      <w:r w:rsidRPr="00EA12AB">
        <w:t xml:space="preserve"> на рабочем месте.</w:t>
      </w:r>
    </w:p>
    <w:p w14:paraId="76C29E28" w14:textId="77777777" w:rsidR="00C030AE" w:rsidRDefault="00EA12AB" w:rsidP="00EA12AB">
      <w:pPr>
        <w:pStyle w:val="SingleTxtG"/>
      </w:pPr>
      <w:r w:rsidRPr="00EA12AB">
        <w:t>125.</w:t>
      </w:r>
      <w:r w:rsidRPr="00EA12AB">
        <w:tab/>
        <w:t>В условиях израильской оккупации палестинцы подвергаются систематическим и широко распространенным злоупотреблениям, включая насилие и жестокое обращение. Соответственно, Палестинское общество Красного Полумесяца и ряд других организаций принимают меры по защите палестинского гражданского населения, включая инвалидов. Были приняты соответствующие меры для обеспечения того, чтобы отделения и центры Красного Полумесяца предоставляли безопасное убежище инвалидам в периоды опасности. Кроме того, 70-процентный показатель успеха был достигнут благодаря обучению действиям в чрезвычайных ситуациях, в ходе эвакуации и т. д.</w:t>
      </w:r>
    </w:p>
    <w:p w14:paraId="233A566D" w14:textId="77777777" w:rsidR="00C030AE" w:rsidRDefault="00EA12AB" w:rsidP="00EA12AB">
      <w:pPr>
        <w:pStyle w:val="SingleTxtG"/>
      </w:pPr>
      <w:r w:rsidRPr="00EA12AB">
        <w:t>126.</w:t>
      </w:r>
      <w:r w:rsidRPr="00EA12AB">
        <w:tab/>
        <w:t>В последние годы Общество Красного Полумесяца начало включать инвалидов в программу, направленную на подготовку людей к борьбе со стихийными бедствиями и снижению риска. Кроме того, в ситуациях вооруженного конфликта поднятие флага Красного Полумесяца дает право отделениям и центрам Красного Полумесяца на то, чтобы считаться охраняемыми местами по международному праву. Тем не менее во время двух последних нападений на сектор Газа реабилитационный центр Красного Полумесяца в Хан-</w:t>
      </w:r>
      <w:proofErr w:type="spellStart"/>
      <w:r w:rsidRPr="00EA12AB">
        <w:t>Юнисе</w:t>
      </w:r>
      <w:proofErr w:type="spellEnd"/>
      <w:r w:rsidRPr="00EA12AB">
        <w:t xml:space="preserve"> подвергся обстрелу со стороны израильских оккупационных сил</w:t>
      </w:r>
      <w:r w:rsidR="001F36CB">
        <w:rPr>
          <w:rStyle w:val="ab"/>
        </w:rPr>
        <w:endnoteReference w:id="27"/>
      </w:r>
      <w:r w:rsidRPr="00EA12AB">
        <w:t>.</w:t>
      </w:r>
    </w:p>
    <w:p w14:paraId="10124AAC" w14:textId="77777777" w:rsidR="00C030AE" w:rsidRDefault="00EA12AB" w:rsidP="00EA12AB">
      <w:pPr>
        <w:pStyle w:val="SingleTxtG"/>
      </w:pPr>
      <w:r w:rsidRPr="00EA12AB">
        <w:t>127.</w:t>
      </w:r>
      <w:r w:rsidRPr="00EA12AB">
        <w:tab/>
        <w:t>Расистская оккупация Израилем палестинской территории, сопутствующее этому отсутствие безопасности для палестинских граждан и справедливого и устойчивого решения проблемы палестинских беженцев продолжают сказываться на физическом, социальном и психическом благополучии населения и ставят инвалидов, в том числе женщин и детей, под угрозу эксплуатации, насилия и надругательств. БАПОР отслеживает высокий уровень психических расстройств среди палестинских детей после недавней эскалации израильских операций и практики.</w:t>
      </w:r>
      <w:r w:rsidR="00C030AE">
        <w:t xml:space="preserve"> </w:t>
      </w:r>
      <w:r w:rsidRPr="00EA12AB">
        <w:t xml:space="preserve"> </w:t>
      </w:r>
    </w:p>
    <w:p w14:paraId="28C76F5E" w14:textId="77777777" w:rsidR="00C030AE" w:rsidRDefault="00EA12AB" w:rsidP="00EA12AB">
      <w:pPr>
        <w:pStyle w:val="SingleTxtG"/>
      </w:pPr>
      <w:r w:rsidRPr="00EA12AB">
        <w:lastRenderedPageBreak/>
        <w:t>128.</w:t>
      </w:r>
      <w:r w:rsidRPr="00EA12AB">
        <w:tab/>
        <w:t xml:space="preserve">В результате израильской агрессии против сектора Газа в 2014 году программы БАПОР были изменены, с тем чтобы облегчить возвращение к обычным школьным программам. Агентство осуществляет многочисленные программы, такие как </w:t>
      </w:r>
      <w:r w:rsidR="008E2BCB">
        <w:t>«</w:t>
      </w:r>
      <w:r w:rsidRPr="00EA12AB">
        <w:t>Неделя летних забав</w:t>
      </w:r>
      <w:r w:rsidR="008E2BCB">
        <w:t>»</w:t>
      </w:r>
      <w:r w:rsidRPr="00EA12AB">
        <w:t>, направленные на оказание психологической поддержки детям, в том числе детям-инвалидам, путем предоставления им безопасного места для игр и возможности завязывать новые дружеские отношения.</w:t>
      </w:r>
      <w:r w:rsidR="00C030AE">
        <w:t xml:space="preserve"> </w:t>
      </w:r>
    </w:p>
    <w:p w14:paraId="06083C8C" w14:textId="77777777" w:rsidR="00C030AE" w:rsidRDefault="00EA12AB" w:rsidP="00EA12AB">
      <w:pPr>
        <w:pStyle w:val="SingleTxtG"/>
      </w:pPr>
      <w:r w:rsidRPr="00EA12AB">
        <w:t>129.</w:t>
      </w:r>
      <w:r w:rsidRPr="00EA12AB">
        <w:tab/>
        <w:t xml:space="preserve">БАПОР выразило серьезную озабоченность по поводу того, что рост насилия и инцидентов в области безопасности, включая израильские военные операции в районах, прилегающих к лагерям беженцев, в последнее время привел к увеличению числа причиненных боеприпасами ранений, которые могут привести к постоянной потере трудоспособности. После значительного числа операций по обеспечению безопасности в лагерях Группа реагирования на кризисные ситуации БАПОР провела оперативную оценку и направила пострадавших лиц и семьи в соответствующие медицинские и психологические учреждения; инвалиды, получившие ранения в результате действий израильских оккупационных сил, были снабжены </w:t>
      </w:r>
      <w:proofErr w:type="spellStart"/>
      <w:r w:rsidRPr="00EA12AB">
        <w:t>ассистивными</w:t>
      </w:r>
      <w:proofErr w:type="spellEnd"/>
      <w:r w:rsidRPr="00EA12AB">
        <w:t xml:space="preserve"> устройствами.</w:t>
      </w:r>
    </w:p>
    <w:p w14:paraId="050780B5" w14:textId="77777777" w:rsidR="00C030AE" w:rsidRDefault="00EA12AB" w:rsidP="00EA12AB">
      <w:pPr>
        <w:pStyle w:val="SingleTxtG"/>
      </w:pPr>
      <w:r w:rsidRPr="00EA12AB">
        <w:t>130.</w:t>
      </w:r>
      <w:r w:rsidRPr="00EA12AB">
        <w:tab/>
        <w:t xml:space="preserve">Программа БАПОР для инвалидов предлагает широкий комплекс услуг, предусматривающих интеграцию беженцев-инвалидов в официальную систему образования Агентства, поддержку мобильности инвалидов, модификацию жилых помещений и обеспечение профессионально-технической реабилитации, включая логопедию, физиотерапию и </w:t>
      </w:r>
      <w:proofErr w:type="spellStart"/>
      <w:r w:rsidRPr="00EA12AB">
        <w:t>ассистивные</w:t>
      </w:r>
      <w:proofErr w:type="spellEnd"/>
      <w:r w:rsidRPr="00EA12AB">
        <w:t xml:space="preserve"> устройства. В 2014 году около 2 802 человек воспользовались учебными курсами по наращиванию потенциала, занятиями по повышению осведомленности и рекреационными мероприятиями для инвалидов и членов их семей. В 2018 году, после принятия решения о сокращении объема услуг Агентства, соглашения с организациями-партнерами, работающими с инвалидами, такими как Красный Полумесяц, не продлевались, а контракты, заключенные с экспертами в области реабилитации детей с ограниченными возможностями, были приостановлены; была также прекращена программа модификации и содержания жилых помещений, осуществлявшаяся в предыдущие годы.</w:t>
      </w:r>
    </w:p>
    <w:p w14:paraId="0BE15BED" w14:textId="77777777" w:rsidR="00C030AE" w:rsidRDefault="00FD53CB" w:rsidP="00C17D30">
      <w:pPr>
        <w:pStyle w:val="H1G"/>
      </w:pPr>
      <w:r>
        <w:tab/>
      </w:r>
      <w:r w:rsidR="00C17D30">
        <w:tab/>
      </w:r>
      <w:r>
        <w:tab/>
      </w:r>
      <w:r w:rsidR="00EA12AB" w:rsidRPr="00EA12AB">
        <w:t>Статья 12</w:t>
      </w:r>
      <w:r>
        <w:br/>
      </w:r>
      <w:r w:rsidR="00EA12AB" w:rsidRPr="00EA12AB">
        <w:t>Равенство перед законом</w:t>
      </w:r>
    </w:p>
    <w:p w14:paraId="5F90411A" w14:textId="77777777" w:rsidR="00C030AE" w:rsidRDefault="00EA12AB" w:rsidP="00EA12AB">
      <w:pPr>
        <w:pStyle w:val="SingleTxtG"/>
      </w:pPr>
      <w:r w:rsidRPr="00EA12AB">
        <w:t>131.</w:t>
      </w:r>
      <w:r w:rsidRPr="00EA12AB">
        <w:tab/>
        <w:t>В Основном законе подтверждается принцип равенства перед законом и судами всех палестинцев, независимо от пола, цвета кожи или инвалидности.</w:t>
      </w:r>
    </w:p>
    <w:p w14:paraId="3C1E7084" w14:textId="77777777" w:rsidR="00C030AE" w:rsidRDefault="00EA12AB" w:rsidP="00EA12AB">
      <w:pPr>
        <w:pStyle w:val="SingleTxtG"/>
      </w:pPr>
      <w:r w:rsidRPr="00EA12AB">
        <w:t>132.</w:t>
      </w:r>
      <w:r w:rsidRPr="00EA12AB">
        <w:tab/>
        <w:t xml:space="preserve">Шариатские суды признают инвалидов равными с другими лицами перед законом. Они стремятся отстаивать интересы таких лиц в семейных делах и обеспечивают им полную правовую защиту в финансовых вопросах. Закон разрешает судье оформлять бракосочетание лица с ограниченными умственными способностями, если получено медицинское заключение о том, что брак отвечает интересам этого лица. Если впоследствии будет установлено, что брак наносит ущерб этому лицу, то закон разрешает родителю/опекуну или попечителю подать иск о раздельном проживании на основании апелляционного решения в шариатском суде. </w:t>
      </w:r>
    </w:p>
    <w:p w14:paraId="76CF4B45" w14:textId="77777777" w:rsidR="00C030AE" w:rsidRDefault="00EA12AB" w:rsidP="00EA12AB">
      <w:pPr>
        <w:pStyle w:val="SingleTxtG"/>
      </w:pPr>
      <w:r w:rsidRPr="00EA12AB">
        <w:t>133.</w:t>
      </w:r>
      <w:r w:rsidRPr="00EA12AB">
        <w:tab/>
        <w:t>Палестинское законодательство предоставляет инвалидам как с физическими, так и с умственными недостатками возможность приобретать права и обязанности (</w:t>
      </w:r>
      <w:r w:rsidR="008E2BCB">
        <w:t>«</w:t>
      </w:r>
      <w:proofErr w:type="spellStart"/>
      <w:r w:rsidRPr="00EB5F7A">
        <w:t>ахлият</w:t>
      </w:r>
      <w:proofErr w:type="spellEnd"/>
      <w:r w:rsidRPr="00EB5F7A">
        <w:t xml:space="preserve"> аль-</w:t>
      </w:r>
      <w:proofErr w:type="spellStart"/>
      <w:r w:rsidRPr="00EB5F7A">
        <w:t>вуджуб</w:t>
      </w:r>
      <w:proofErr w:type="spellEnd"/>
      <w:r w:rsidR="008E2BCB" w:rsidRPr="00EB5F7A">
        <w:t>»</w:t>
      </w:r>
      <w:r w:rsidRPr="00EB5F7A">
        <w:t>). Однако, когда речь идет о способности выполнять обязательства (</w:t>
      </w:r>
      <w:r w:rsidR="008E2BCB" w:rsidRPr="00EB5F7A">
        <w:t>«</w:t>
      </w:r>
      <w:proofErr w:type="spellStart"/>
      <w:r w:rsidRPr="00EB5F7A">
        <w:t>ахлият</w:t>
      </w:r>
      <w:proofErr w:type="spellEnd"/>
      <w:r w:rsidRPr="00EB5F7A">
        <w:t xml:space="preserve"> аль-ада</w:t>
      </w:r>
      <w:r w:rsidR="008E2BCB" w:rsidRPr="00EB5F7A">
        <w:t>»</w:t>
      </w:r>
      <w:r w:rsidRPr="00EB5F7A">
        <w:t>),</w:t>
      </w:r>
      <w:r w:rsidRPr="00EA12AB">
        <w:t xml:space="preserve"> что предполагает способность действовать в соответствии с этими правами таким образом, который признается законом, шариатские суды рассматривают лиц с умственными недостатками как неправоспособных, т</w:t>
      </w:r>
      <w:r w:rsidR="001F36CB">
        <w:t>. </w:t>
      </w:r>
      <w:r w:rsidRPr="00EA12AB">
        <w:t>е</w:t>
      </w:r>
      <w:r w:rsidR="001F36CB">
        <w:t>.</w:t>
      </w:r>
      <w:r w:rsidRPr="00EA12AB">
        <w:t xml:space="preserve"> неправомочных участвовать в судебном разбирательстве. За</w:t>
      </w:r>
      <w:r w:rsidR="00756B73">
        <w:rPr>
          <w:lang w:val="en-US"/>
        </w:rPr>
        <w:t> </w:t>
      </w:r>
      <w:r w:rsidRPr="00EA12AB">
        <w:t xml:space="preserve">соблюдением их интересов следит судья, а родитель/опекун или попечитель не имеет права принимать какие-либо решения, наносящие ущерб их интересам. Кроме того, в законе проводится различие между физическими и умственными недостатками на том основании, что умственные отклонения ограничивают дееспособность. Следовательно, лица с умственными недостатками не могут осуществлять </w:t>
      </w:r>
      <w:r w:rsidRPr="00EA12AB">
        <w:lastRenderedPageBreak/>
        <w:t xml:space="preserve">коммерческие сделки купли-продажи и не могут приобретать собственность без агента, осуществляющего такие сделки от их имени. </w:t>
      </w:r>
    </w:p>
    <w:p w14:paraId="098795AC" w14:textId="77777777" w:rsidR="00C030AE" w:rsidRDefault="00EA12AB" w:rsidP="00EA12AB">
      <w:pPr>
        <w:pStyle w:val="SingleTxtG"/>
      </w:pPr>
      <w:r w:rsidRPr="00EA12AB">
        <w:t>134.</w:t>
      </w:r>
      <w:r w:rsidRPr="00EA12AB">
        <w:tab/>
        <w:t>Что касается способности приобретать права и обязанности, в силу которой лицо обладает определенными правами, в том числе правом на признание правосубъектности, то инвалиды по закону и на практике имеют одинаковое с другими лицами право на получение свидетельства о рождении или на подачу заявления на получение паспорта.</w:t>
      </w:r>
    </w:p>
    <w:p w14:paraId="3185A7D9" w14:textId="77777777" w:rsidR="00C030AE" w:rsidRDefault="00EA12AB" w:rsidP="00EA12AB">
      <w:pPr>
        <w:pStyle w:val="SingleTxtG"/>
      </w:pPr>
      <w:r w:rsidRPr="00EA12AB">
        <w:t>135.</w:t>
      </w:r>
      <w:r w:rsidRPr="00EA12AB">
        <w:tab/>
        <w:t>Бюро Верховного кади (шариатская судебная система) определило права, которыми пользуются инвалиды, следующим образом: физическая инвалидность не влияет на дееспособность человека, и он/она считается де-юре и де-факто полностью дееспособным. Здесь различие проводится между человеком, достигшим совершеннолетия (</w:t>
      </w:r>
      <w:r w:rsidR="008E2BCB">
        <w:t>«</w:t>
      </w:r>
      <w:proofErr w:type="spellStart"/>
      <w:r w:rsidRPr="008552D1">
        <w:t>балиг</w:t>
      </w:r>
      <w:proofErr w:type="spellEnd"/>
      <w:r w:rsidR="008E2BCB">
        <w:t>»</w:t>
      </w:r>
      <w:r w:rsidRPr="00EA12AB">
        <w:t xml:space="preserve">), и человеком, не достигшим его. Применительно к женщинам закон шариата определяет совершеннолетие как естественное наступление менструации, начинающееся с девятилетнего возраста; у мужчин оно определяется как начало ночных поллюций в возрасте 11 лет. Гражданское совершеннолетие </w:t>
      </w:r>
      <w:r w:rsidR="008552D1">
        <w:br/>
      </w:r>
      <w:r w:rsidRPr="00EA12AB">
        <w:t>(</w:t>
      </w:r>
      <w:r w:rsidR="008E2BCB">
        <w:t>«</w:t>
      </w:r>
      <w:r w:rsidRPr="008552D1">
        <w:t>аль-</w:t>
      </w:r>
      <w:proofErr w:type="spellStart"/>
      <w:r w:rsidRPr="008552D1">
        <w:t>булуг</w:t>
      </w:r>
      <w:proofErr w:type="spellEnd"/>
      <w:r w:rsidRPr="008552D1">
        <w:t xml:space="preserve"> аль-</w:t>
      </w:r>
      <w:proofErr w:type="spellStart"/>
      <w:r w:rsidRPr="008552D1">
        <w:t>хукми</w:t>
      </w:r>
      <w:proofErr w:type="spellEnd"/>
      <w:r w:rsidR="008E2BCB">
        <w:t>»</w:t>
      </w:r>
      <w:r w:rsidRPr="00EA12AB">
        <w:t xml:space="preserve">) наступает по достижении 15 лет по мусульманскому календарю (14 лет, </w:t>
      </w:r>
      <w:r w:rsidR="00756B73">
        <w:rPr>
          <w:lang w:val="en-US"/>
        </w:rPr>
        <w:t>6</w:t>
      </w:r>
      <w:r w:rsidRPr="00EA12AB">
        <w:t xml:space="preserve"> месяцев и 21 день по григорианскому календарю)</w:t>
      </w:r>
      <w:r w:rsidR="001F36CB">
        <w:rPr>
          <w:rStyle w:val="ab"/>
        </w:rPr>
        <w:endnoteReference w:id="28"/>
      </w:r>
      <w:r w:rsidRPr="00EA12AB">
        <w:t>.</w:t>
      </w:r>
    </w:p>
    <w:p w14:paraId="6F850ACB" w14:textId="77777777" w:rsidR="00C030AE" w:rsidRDefault="00EA12AB" w:rsidP="00EA12AB">
      <w:pPr>
        <w:pStyle w:val="SingleTxtG"/>
      </w:pPr>
      <w:r w:rsidRPr="00EA12AB">
        <w:t>136.</w:t>
      </w:r>
      <w:r w:rsidRPr="00EA12AB">
        <w:tab/>
        <w:t>Первый шаг состоит в том, чтобы определить, достигнуто ли совершеннолетие (как половая зрелость) или нет. Если несовершеннолетний с нарушением моторных функций не достиг половой зрелости, он считается совершеннолетним по достижении 15-летнего возраста по солнечному календарю, после чего он становится взрослым человеком. Его права до достижения гражданского совершеннолетия отличаются от его прав после этого. Если несовершеннолетний с нарушением моторных функций является бедным (т.</w:t>
      </w:r>
      <w:r w:rsidR="008552D1">
        <w:rPr>
          <w:lang w:val="en-US"/>
        </w:rPr>
        <w:t> </w:t>
      </w:r>
      <w:r w:rsidRPr="00EA12AB">
        <w:t xml:space="preserve">е. не имеющим собственного имущества), он имеет право ежемесячно получать от отца достаточную финансовую поддержку для покрытия расходов на питание, напитки и одежду. Отец также должен оплатить стоимость соответствующего лечения, определяемого на основании медицинского заключения. Он должен арендовать подходящее жилье для кормящей матери, чтобы ребенок мог расти в благоприятной для его здоровья среде. Отец обязан передать данные своей медицинской страховки матери несовершеннолетнего с нарушением моторных функций, чтобы ребенок мог пройти лечение; если он этого не сделает, суд обяжет его оплатить все расходы на лечение. </w:t>
      </w:r>
    </w:p>
    <w:p w14:paraId="5DFBFB37" w14:textId="77777777" w:rsidR="00C030AE" w:rsidRDefault="00EA12AB" w:rsidP="00EA12AB">
      <w:pPr>
        <w:pStyle w:val="SingleTxtG"/>
      </w:pPr>
      <w:r w:rsidRPr="00EA12AB">
        <w:t>137.</w:t>
      </w:r>
      <w:r w:rsidRPr="00EA12AB">
        <w:tab/>
        <w:t>Мать имеет поддержанное судом право на опеку над несовершеннолетним ребенком, будь то мужского или женского пола</w:t>
      </w:r>
      <w:r w:rsidR="001F36CB">
        <w:rPr>
          <w:rStyle w:val="ab"/>
        </w:rPr>
        <w:endnoteReference w:id="29"/>
      </w:r>
      <w:r w:rsidRPr="00EA12AB">
        <w:t>. Следует отметить, что любые действия в интересах несовершеннолетнего предпринимаются родной или приемной матерью.</w:t>
      </w:r>
    </w:p>
    <w:p w14:paraId="26E1555C" w14:textId="77777777" w:rsidR="00C030AE" w:rsidRDefault="00EA12AB" w:rsidP="00EA12AB">
      <w:pPr>
        <w:pStyle w:val="SingleTxtG"/>
      </w:pPr>
      <w:r w:rsidRPr="00EA12AB">
        <w:t>138.</w:t>
      </w:r>
      <w:r w:rsidRPr="00EA12AB">
        <w:tab/>
        <w:t xml:space="preserve">Ребенок любого пола с нарушением моторных функций, достигший совершеннолетия, может сам возбудить судебный иск или уполномочить на это другое лицо, чтобы заявить о своих неотъемлемых правах. Что касается опекунства, то закон разрешает ребенку с умственными или физическими недостатками, достигшему гражданского совершеннолетия, но нуждающемуся в уходе со стороны женщины, оставаться на попечении женщины при условии представления медицинского заключения. В случае передачи на воспитание суд выносит решение о том, способен ли заявитель заботиться о ребенке-инвалиде или нет. </w:t>
      </w:r>
    </w:p>
    <w:p w14:paraId="2D945EE0" w14:textId="77777777" w:rsidR="00C030AE" w:rsidRDefault="00EA12AB" w:rsidP="00EA12AB">
      <w:pPr>
        <w:pStyle w:val="SingleTxtG"/>
      </w:pPr>
      <w:r w:rsidRPr="00EA12AB">
        <w:t>139.</w:t>
      </w:r>
      <w:r w:rsidRPr="00EA12AB">
        <w:tab/>
        <w:t>По закону ребенок с умственными расстройствами не может распоряжаться собственным имуществом в связи с тем, что с юридической точки зрения он является несовершеннолетним. По достижении 18-летнего возраста эти активы будут заморожены в целях их защиты в соответствии с законами, решениями и циркулярами, изданными Бюро Верховного кади.</w:t>
      </w:r>
      <w:r w:rsidR="00C030AE">
        <w:t xml:space="preserve"> </w:t>
      </w:r>
      <w:r w:rsidRPr="00EA12AB">
        <w:t>Таким образом, судья будет считать любое распоряжение этим имуществом указанным лицом незаконным и юридически недействительным.</w:t>
      </w:r>
      <w:r w:rsidR="00C030AE">
        <w:t xml:space="preserve"> </w:t>
      </w:r>
    </w:p>
    <w:p w14:paraId="3008708C" w14:textId="77777777" w:rsidR="00C030AE" w:rsidRDefault="00EA12AB" w:rsidP="00EA12AB">
      <w:pPr>
        <w:pStyle w:val="SingleTxtG"/>
      </w:pPr>
      <w:r w:rsidRPr="00EA12AB">
        <w:t>140.</w:t>
      </w:r>
      <w:r w:rsidRPr="00EA12AB">
        <w:tab/>
        <w:t xml:space="preserve">Судья назначает юридически уполномоченное доверенное лицо для управления имуществом лица с умственными расстройствами. Постановление о замораживании активов включает категорический запрет на распоряжение имуществом этого лица, что лишает доверенное лицо возможности покупать, продавать, передавать замороженное имущество, распоряжаться им или налагать на него арест за </w:t>
      </w:r>
      <w:r w:rsidRPr="00EA12AB">
        <w:lastRenderedPageBreak/>
        <w:t>исключением случаев, предусмотренных судебным разрешением, выданным Высшим шариатским судом после того, как будут установлены наилучшие интересы владельца замороженного имущества. Для контроля за полномочиями доверенного лица существуют положения, обязывающие его нести ответственность в случае злоупотребления доверием</w:t>
      </w:r>
      <w:r w:rsidR="001F36CB">
        <w:rPr>
          <w:rStyle w:val="ab"/>
        </w:rPr>
        <w:endnoteReference w:id="30"/>
      </w:r>
      <w:r w:rsidRPr="00EA12AB">
        <w:t>. Кроме того, за действиями доверенного лица наблюдает суд первой инстанции, а на решение финансовых вопросов требуется согласие Высшего шариатского суда. Бюро Верховного кади издало циркуляр, разрешающий доверенным лицам получать 25 динаров за управление делами инвалидов, имущество которых заморожено. Доверительный управляющий может иметь право на получение более крупной суммы с разрешения Высшего шариатского суда.</w:t>
      </w:r>
    </w:p>
    <w:p w14:paraId="4ED2750A" w14:textId="77777777" w:rsidR="00C030AE" w:rsidRDefault="00EA12AB" w:rsidP="00EA12AB">
      <w:pPr>
        <w:pStyle w:val="SingleTxtG"/>
      </w:pPr>
      <w:r w:rsidRPr="00EA12AB">
        <w:t>141.</w:t>
      </w:r>
      <w:r w:rsidRPr="00EA12AB">
        <w:tab/>
        <w:t>Замороженные активы депонируются в фонд для детей-сирот и находятся в ведении Благотворительной организации по управлению и распоряжению фондами для детей-сирот от имени соответствующего лица.</w:t>
      </w:r>
      <w:r w:rsidR="00C030AE">
        <w:t xml:space="preserve"> </w:t>
      </w:r>
      <w:r w:rsidRPr="00EA12AB">
        <w:t xml:space="preserve">Следует отметить, что этот Фонд независим от шариатской судебной системы и подотчетен Президенту Государства Палестина. </w:t>
      </w:r>
    </w:p>
    <w:p w14:paraId="7AE0D3BA" w14:textId="77777777" w:rsidR="00C030AE" w:rsidRDefault="00EA12AB" w:rsidP="00EA12AB">
      <w:pPr>
        <w:pStyle w:val="SingleTxtG"/>
      </w:pPr>
      <w:r w:rsidRPr="00EA12AB">
        <w:t>142.</w:t>
      </w:r>
      <w:r w:rsidRPr="00EA12AB">
        <w:tab/>
        <w:t>Дела, связанные с замороженными активами, рассматриваются прокурором по вопросам личного статуса от имени и по поручению Государственного прокурора с учетом того, что инвалид считается уязвимой стороной и нуждается в защите. Решения, вынесенные в таких случаях, могут быть обжалованы в апелляционном суде и Высшем шариатском суде.</w:t>
      </w:r>
    </w:p>
    <w:p w14:paraId="1E277145" w14:textId="77777777" w:rsidR="00C030AE" w:rsidRDefault="00EA12AB" w:rsidP="00EA12AB">
      <w:pPr>
        <w:pStyle w:val="SingleTxtG"/>
      </w:pPr>
      <w:r w:rsidRPr="00EA12AB">
        <w:t>143.</w:t>
      </w:r>
      <w:r w:rsidRPr="00EA12AB">
        <w:tab/>
        <w:t xml:space="preserve">В случаях, когда ответчик имеет умственное расстройство, а требование о финансовой поддержке предъявляется его женой и/или детьми, требуемая сумма будет переведена из его активов опекуном или попечителем. Если он располагает личным состоянием, доверительный управляющий организует выплату из его активов тем, кто возбудил против него дело, в соответствии с законом. Если он беден, то суд будет рассматривать его дело иначе, чем дела лиц, не имеющих умственных расстройств. </w:t>
      </w:r>
    </w:p>
    <w:p w14:paraId="6A3130B7" w14:textId="77777777" w:rsidR="00C030AE" w:rsidRDefault="00EA12AB" w:rsidP="00EA12AB">
      <w:pPr>
        <w:pStyle w:val="SingleTxtG"/>
      </w:pPr>
      <w:r w:rsidRPr="00EA12AB">
        <w:t>144.</w:t>
      </w:r>
      <w:r w:rsidRPr="00EA12AB">
        <w:tab/>
        <w:t>Ничто не мешает лицам с физическими недостатками пользоваться своим правом на наследство и правом на имущество. Лица с умственными расстройствами могут наследовать и завещать имущество, но их активы находятся в ведении Благотворительной организации по управлению и распоряжению фондами для детей</w:t>
      </w:r>
      <w:r w:rsidR="00605ED1">
        <w:noBreakHyphen/>
      </w:r>
      <w:r w:rsidRPr="00EA12AB">
        <w:t>сирот.</w:t>
      </w:r>
    </w:p>
    <w:p w14:paraId="7C26D5B6" w14:textId="77777777" w:rsidR="00C030AE" w:rsidRDefault="00EA12AB" w:rsidP="00EA12AB">
      <w:pPr>
        <w:pStyle w:val="SingleTxtG"/>
      </w:pPr>
      <w:r w:rsidRPr="00EA12AB">
        <w:t>145.</w:t>
      </w:r>
      <w:r w:rsidRPr="00EA12AB">
        <w:tab/>
        <w:t>Прокуратура уделяет первоочередное внимание наилучшим интересам малоимущих групп населения, включая женщин-инвалидов и детей-инвалидов. В</w:t>
      </w:r>
      <w:r w:rsidR="008552D1">
        <w:rPr>
          <w:lang w:val="en-US"/>
        </w:rPr>
        <w:t> </w:t>
      </w:r>
      <w:r w:rsidRPr="00EA12AB">
        <w:t>случае конфликта интересов с их представителями данных лиц представляет Государственный прокурор.</w:t>
      </w:r>
    </w:p>
    <w:p w14:paraId="78E1A345" w14:textId="77777777" w:rsidR="00C030AE" w:rsidRDefault="00EA12AB" w:rsidP="00EA12AB">
      <w:pPr>
        <w:pStyle w:val="SingleTxtG"/>
      </w:pPr>
      <w:r w:rsidRPr="00EA12AB">
        <w:t>146.</w:t>
      </w:r>
      <w:r w:rsidRPr="00EA12AB">
        <w:tab/>
        <w:t xml:space="preserve">Палестинское валютно-финансовое управление издало Инструкцию № 8 </w:t>
      </w:r>
      <w:r w:rsidR="008552D1">
        <w:br/>
      </w:r>
      <w:r w:rsidRPr="00EA12AB">
        <w:t>(2017 год) об адаптации банковских зданий к потребностям инвалидов, с тем чтобы обеспечить их право на доступ к банковским и кредитным услугам и дать им возможность управлять своими банковскими делами наравне с другими гражданами. Инструкция содержит технические требования к зданиям для облегчения доступа инвалидов и организации предоставления банковских продуктов и услуг. Она</w:t>
      </w:r>
      <w:r w:rsidR="00605ED1">
        <w:rPr>
          <w:lang w:val="en-US"/>
        </w:rPr>
        <w:t> </w:t>
      </w:r>
      <w:r w:rsidRPr="00EA12AB">
        <w:t xml:space="preserve">предписывает банкам принимать меры по обеспечению того, чтобы к клиентам </w:t>
      </w:r>
      <w:bookmarkStart w:id="13" w:name="_Hlk39160589"/>
      <w:r w:rsidRPr="00EA12AB">
        <w:t xml:space="preserve">из числа инвалидов </w:t>
      </w:r>
      <w:bookmarkEnd w:id="13"/>
      <w:r w:rsidRPr="00EA12AB">
        <w:t>относились так же, как и к другим лицам, печатая бланки для открытия счетов и кредитных договоров крупным шрифтом и шрифтом Брайля. Банки также обязаны предоставлять помещения для лиц с нарушениями слуха и зрения и помогать клиентам из числа инвалидов заполнять бланки и формы договоров, если они об этом просят</w:t>
      </w:r>
      <w:r w:rsidR="001F36CB">
        <w:rPr>
          <w:rStyle w:val="ab"/>
        </w:rPr>
        <w:endnoteReference w:id="31"/>
      </w:r>
      <w:r w:rsidRPr="00EA12AB">
        <w:t>.</w:t>
      </w:r>
    </w:p>
    <w:p w14:paraId="03418D86" w14:textId="77777777" w:rsidR="00C030AE" w:rsidRDefault="00EA12AB" w:rsidP="00EA12AB">
      <w:pPr>
        <w:pStyle w:val="SingleTxtG"/>
      </w:pPr>
      <w:r w:rsidRPr="00EA12AB">
        <w:t>147.</w:t>
      </w:r>
      <w:r w:rsidRPr="00EA12AB">
        <w:tab/>
        <w:t>В соответствии со статьей 7 Инструкции должен быть подготовлен свод руководящих принципов, разъясняющих порядок оказания банковских услуг инвалидам. Соответствующее обучение должно быть обеспечено для всех сотрудников, и по крайней мере один сотрудник в каждом филиале должен быть обучен языку жестов. Рекламные листовки и брошюры должны быть напечатаны шрифтом Брайля.</w:t>
      </w:r>
    </w:p>
    <w:p w14:paraId="04DF001C" w14:textId="77777777" w:rsidR="00C030AE" w:rsidRDefault="00EA12AB" w:rsidP="00EA12AB">
      <w:pPr>
        <w:pStyle w:val="SingleTxtG"/>
      </w:pPr>
      <w:r w:rsidRPr="00EA12AB">
        <w:lastRenderedPageBreak/>
        <w:t>148.</w:t>
      </w:r>
      <w:r w:rsidRPr="00EA12AB">
        <w:tab/>
        <w:t xml:space="preserve">В соответствии со своей надзорной функцией Палестинское валютно-финансовое управление проводит инспекции для определения степени соблюдения этой Инструкции, применяя в случае несоблюдения систему штрафов. </w:t>
      </w:r>
    </w:p>
    <w:p w14:paraId="7A13EF03" w14:textId="77777777" w:rsidR="00C030AE" w:rsidRDefault="00EA12AB" w:rsidP="00EA12AB">
      <w:pPr>
        <w:pStyle w:val="SingleTxtG"/>
      </w:pPr>
      <w:r w:rsidRPr="00EA12AB">
        <w:t>149.</w:t>
      </w:r>
      <w:r w:rsidRPr="00EA12AB">
        <w:tab/>
        <w:t xml:space="preserve">Государственная прокуратура защищает инвалидов от судебного преследования по делам, касающимся финансовых вопросов. Так, пункт 2 статьи 163 Закона об исполнении наказаний № 23 (2005 год) предусматривает, что наказание в виде лишения свободы не может быть назначено в отношении должников, не достигших 18-летнего возраста, слабоумных или душевнобольных. Лицо может быть привлечено супругом/супругой к ответственности в случаях, связанных с такими денежными выплатами, как алименты или средства для раздельного проживания супругов, в случае внезапно наступившей умственной неполноценности или недееспособности. На личном уровне преследование не может быть возбуждено, если состояние здоровья подсудимого, подтвержденное медицинским заключением, не допускает этого. В соответствии с законом о правоприменении в отношении лица с умственными или физическими недостатками не может быть издано распоряжение о лишении свободы, если на основании заверенного компетентным врачом медицинского заключения будет установлено, что состояние его здоровья не допускает этого. </w:t>
      </w:r>
    </w:p>
    <w:p w14:paraId="69C549CD" w14:textId="77777777" w:rsidR="00C030AE" w:rsidRDefault="00FD53CB" w:rsidP="00C17D30">
      <w:pPr>
        <w:pStyle w:val="H1G"/>
      </w:pPr>
      <w:r>
        <w:tab/>
      </w:r>
      <w:r>
        <w:tab/>
      </w:r>
      <w:r w:rsidR="00EA12AB" w:rsidRPr="00EA12AB">
        <w:t>Статья 13</w:t>
      </w:r>
      <w:r>
        <w:br/>
      </w:r>
      <w:r w:rsidR="00EA12AB" w:rsidRPr="00EA12AB">
        <w:t>Доступ к правосудию</w:t>
      </w:r>
    </w:p>
    <w:p w14:paraId="50AD3AFA" w14:textId="77777777" w:rsidR="00C030AE" w:rsidRDefault="00EA12AB" w:rsidP="00EA12AB">
      <w:pPr>
        <w:pStyle w:val="SingleTxtG"/>
      </w:pPr>
      <w:r w:rsidRPr="00EA12AB">
        <w:t>150.</w:t>
      </w:r>
      <w:r w:rsidRPr="00EA12AB">
        <w:tab/>
        <w:t>Статья 30 Основного закона гласит, что судебное разбирательство является правом, которое защищается и гарантируется для всех. Каждый палестинец имеет право обратиться к своему естественному судье. Процедуры судебного разбирательства должны быть организованы в соответствии с законом, чтобы гарантировать оперативное урегулирование дел.</w:t>
      </w:r>
      <w:r w:rsidR="00C030AE">
        <w:t xml:space="preserve"> </w:t>
      </w:r>
    </w:p>
    <w:p w14:paraId="20BC6C2D" w14:textId="77777777" w:rsidR="00C030AE" w:rsidRDefault="00EA12AB" w:rsidP="00EA12AB">
      <w:pPr>
        <w:pStyle w:val="SingleTxtG"/>
      </w:pPr>
      <w:r w:rsidRPr="00EA12AB">
        <w:t>151.</w:t>
      </w:r>
      <w:r w:rsidRPr="00EA12AB">
        <w:tab/>
        <w:t>Правительство прилагает все усилия для создания приемлемых условий, облегчающих доступ инвалидов к правосудию. Высший судебный совет планирует проектировать и модернизировать здания с учетом потребностей инвалидов. Однако некоторые здания судов остаются непригодными для использования инвалидами. Например, в некоторых старых зданиях отсутствуют лифты, а также не хватает персонала, владеющего языком жестов. Суды продолжают привлекать внешних экспертов для общения с инвалидами.</w:t>
      </w:r>
    </w:p>
    <w:p w14:paraId="778ECEA4" w14:textId="77777777" w:rsidR="00C030AE" w:rsidRDefault="00EA12AB" w:rsidP="00EA12AB">
      <w:pPr>
        <w:pStyle w:val="SingleTxtG"/>
      </w:pPr>
      <w:r w:rsidRPr="00EA12AB">
        <w:t>152.</w:t>
      </w:r>
      <w:r w:rsidRPr="00EA12AB">
        <w:tab/>
        <w:t xml:space="preserve">Что касается рассмотрения дел инвалидов, то в палестинской судебной системе не существует никакой дискриминации, и Высший судебный совет не получал никаких жалоб на то, что инвалиды подвергаются каким-либо злоупотреблениям. Жалоб на обращение судебных органов с инвалидами не поступало. Доступ всех участников судебного разбирательства к информации гарантирован программой базы данных </w:t>
      </w:r>
      <w:r w:rsidR="008E2BCB">
        <w:t>«</w:t>
      </w:r>
      <w:r w:rsidRPr="00EA12AB">
        <w:t>Мизан</w:t>
      </w:r>
      <w:r w:rsidR="008E2BCB">
        <w:t>»</w:t>
      </w:r>
      <w:r w:rsidRPr="00EA12AB">
        <w:t xml:space="preserve"> Высшего судебного совета. Однако в этой программе не проводится никаких различий между истцами с ограниченными возможностями и другими лицами.</w:t>
      </w:r>
    </w:p>
    <w:p w14:paraId="3C9A50AE" w14:textId="77777777" w:rsidR="00C030AE" w:rsidRDefault="00EA12AB" w:rsidP="00EA12AB">
      <w:pPr>
        <w:pStyle w:val="SingleTxtG"/>
      </w:pPr>
      <w:r w:rsidRPr="00EA12AB">
        <w:t>153.</w:t>
      </w:r>
      <w:r w:rsidRPr="00EA12AB">
        <w:tab/>
        <w:t>Высший судебный совет содействует повышению осведомленности судей о надлежащих способах обращения с истцами в соответствии с законом посредством постоянной учебной программы. Совет также стремится к обеспечению того, чтобы судебные учреждения имели в своем штате ряд инвалидов на должностях, соразмерных их способностям. Однако пока эти показатели не достигли уровня, предусмотренного в законе. Совет принимает меры по адаптации рабочих мест.</w:t>
      </w:r>
    </w:p>
    <w:p w14:paraId="0715FAA8" w14:textId="77777777" w:rsidR="00C030AE" w:rsidRDefault="00EA12AB" w:rsidP="00EA12AB">
      <w:pPr>
        <w:pStyle w:val="SingleTxtG"/>
      </w:pPr>
      <w:r w:rsidRPr="00EA12AB">
        <w:t>154.</w:t>
      </w:r>
      <w:r w:rsidRPr="00EA12AB">
        <w:tab/>
        <w:t>Государственная прокуратура предприняла шаги для обеспечения доступа инвалидов к судебным органам. Наиболее важным из них является создание отдела по борьбе с насилием в семье, отвечающего за мониторинг преступлений, совершаемых в семье, в том числе преступлений в отношении инвалидов. Кроме того, было создано подразделение по правам человека для обеспечения того, чтобы уязвимые и маргинализированные группы, включая инвалидов, пользовались стандартами справедливого судебного разбирательства. Около 64</w:t>
      </w:r>
      <w:r w:rsidR="008552D1" w:rsidRPr="008552D1">
        <w:t>%</w:t>
      </w:r>
      <w:r w:rsidRPr="00EA12AB">
        <w:t xml:space="preserve"> зданий, принадлежащих Государственной прокуратуре, были приспособлены для удовлетворения </w:t>
      </w:r>
      <w:r w:rsidRPr="00EA12AB">
        <w:lastRenderedPageBreak/>
        <w:t>потребностей инвалидов и учитывают все формы инвалидности. Установлены пандусы для облегчения доступа в здания судов, а также лифты и туалеты для инвалидов. На телеэкранах в помещениях Прокуратуры разъясняются процедуры подачи жалоб.</w:t>
      </w:r>
    </w:p>
    <w:p w14:paraId="713DB188" w14:textId="77777777" w:rsidR="00C030AE" w:rsidRDefault="00EA12AB" w:rsidP="00EA12AB">
      <w:pPr>
        <w:pStyle w:val="SingleTxtG"/>
      </w:pPr>
      <w:r w:rsidRPr="00EA12AB">
        <w:t>155.</w:t>
      </w:r>
      <w:r w:rsidRPr="00EA12AB">
        <w:tab/>
        <w:t>Процедура, применяемая в полицейских участках для защиты инвалидов от насилия, выглядит следующим образом: когда за помощью обращается потерпевший, будь то сам или в сопровождении представителя Министерства социального развития, либо при передаче из другого органа, полиция принимает незамедлительные меры и делает все необходимое для защиты потерпевшего; вызывается эксперт для оказания помощи в обеспечении надлежащего обращения с потерпевшим-инвалидом, будь то ребенок, молодой человек или пожилой человек любого пола. В 2016 году сотрудники полиции прошли подготовку по работе с инвалидами.</w:t>
      </w:r>
    </w:p>
    <w:p w14:paraId="66D09894" w14:textId="77777777" w:rsidR="00C030AE" w:rsidRDefault="00EA12AB" w:rsidP="00EA12AB">
      <w:pPr>
        <w:pStyle w:val="SingleTxtG"/>
      </w:pPr>
      <w:r w:rsidRPr="00EA12AB">
        <w:t>156.</w:t>
      </w:r>
      <w:r w:rsidRPr="00EA12AB">
        <w:tab/>
      </w:r>
      <w:bookmarkStart w:id="14" w:name="_Hlk39225535"/>
      <w:r w:rsidRPr="00EA12AB">
        <w:t xml:space="preserve">Управление исправительно-реабилитационных центров </w:t>
      </w:r>
      <w:bookmarkEnd w:id="14"/>
      <w:r w:rsidRPr="00EA12AB">
        <w:t xml:space="preserve">разработало всеобъемлющий план организации широкой подготовки по пенитенциарной проблематике для всего персонала, а затем записало некоторых из этих сотрудников на специализированные курсы по вопросам обращения с заключенными-инвалидами. В 2018 году был завершен специальный учебный курс по языку жестов для семи сотрудников </w:t>
      </w:r>
      <w:bookmarkStart w:id="15" w:name="_Hlk39225371"/>
      <w:r w:rsidRPr="00EA12AB">
        <w:t>пенитенциарн</w:t>
      </w:r>
      <w:bookmarkEnd w:id="15"/>
      <w:r w:rsidRPr="00EA12AB">
        <w:t>ых учреждений.</w:t>
      </w:r>
    </w:p>
    <w:p w14:paraId="6B7A4E70" w14:textId="77777777" w:rsidR="00C030AE" w:rsidRDefault="00EA12AB" w:rsidP="00EA12AB">
      <w:pPr>
        <w:pStyle w:val="SingleTxtG"/>
      </w:pPr>
      <w:r w:rsidRPr="00EA12AB">
        <w:t>157.</w:t>
      </w:r>
      <w:r w:rsidRPr="00EA12AB">
        <w:tab/>
        <w:t>Было подготовлено руководство по стандартным оперативным процедурам оказания медицинских услуг в исправительных и реабилитационных центрах, а также специальное учебное пособие по работе с инвалидами.</w:t>
      </w:r>
    </w:p>
    <w:p w14:paraId="4E201560" w14:textId="77777777" w:rsidR="00C030AE" w:rsidRDefault="00EA12AB" w:rsidP="00EA12AB">
      <w:pPr>
        <w:pStyle w:val="SingleTxtG"/>
      </w:pPr>
      <w:r w:rsidRPr="00EA12AB">
        <w:t>158.</w:t>
      </w:r>
      <w:r w:rsidRPr="00EA12AB">
        <w:tab/>
        <w:t xml:space="preserve">В 2017 году и в первой половине 2018 года около 286 сотрудников Управления исправительно-реабилитационных центров прошли подготовку по вопросам прав человека инвалидов. Группа по защите семьи и несовершеннолетних Палестинской гражданской полиции также провела ряд учебных курсов по правам инвалидов. Например, для 16 сотрудников был организован учебный курс, посвященный правовым рамкам, регулирующим работу Группы, особенно в отношении </w:t>
      </w:r>
      <w:r w:rsidR="00605ED1">
        <w:br/>
      </w:r>
      <w:r w:rsidRPr="00EA12AB">
        <w:t>женщин-инвалидов и девочек-инвалидов. Для 19 сотрудников был организован еще один курс по включению вопросов инвалидности в программы подготовки сотрудников полиции; эти вопросы также стали предметом дополнительного курса для 17</w:t>
      </w:r>
      <w:r w:rsidR="008552D1">
        <w:rPr>
          <w:lang w:val="en-US"/>
        </w:rPr>
        <w:t> </w:t>
      </w:r>
      <w:r w:rsidRPr="00EA12AB">
        <w:t>сотрудников.</w:t>
      </w:r>
    </w:p>
    <w:p w14:paraId="3FE0D2ED" w14:textId="77777777" w:rsidR="00C030AE" w:rsidRDefault="00EA12AB" w:rsidP="00EA12AB">
      <w:pPr>
        <w:pStyle w:val="SingleTxtG"/>
      </w:pPr>
      <w:r w:rsidRPr="00EA12AB">
        <w:t>159.</w:t>
      </w:r>
      <w:r w:rsidRPr="00EA12AB">
        <w:tab/>
        <w:t>Полиция по защите семьи сталкивается с рядом препятствий при работе с жертвами насилия из числа инвалидов. Зачастую нет специальных мест для приема пострадавших из-за нехватки помещений или персонала, специализирующегося на проблемах жертв из числа инвалидов. Кроме того, инвалиды могут испытывать трудности с доступом к услугам из-за конфликта интересов с лицами, ухаживающими за ними.</w:t>
      </w:r>
    </w:p>
    <w:p w14:paraId="2F0899C7" w14:textId="77777777" w:rsidR="00C030AE" w:rsidRDefault="00EA12AB" w:rsidP="00EA12AB">
      <w:pPr>
        <w:pStyle w:val="SingleTxtG"/>
      </w:pPr>
      <w:r w:rsidRPr="00EA12AB">
        <w:t>160.</w:t>
      </w:r>
      <w:r w:rsidRPr="00EA12AB">
        <w:tab/>
        <w:t xml:space="preserve">В своем следующем трехлетнем плане и в рамках проекта </w:t>
      </w:r>
      <w:r w:rsidR="008E2BCB">
        <w:t>«</w:t>
      </w:r>
      <w:proofErr w:type="spellStart"/>
      <w:r w:rsidRPr="00EA12AB">
        <w:t>Савасия</w:t>
      </w:r>
      <w:proofErr w:type="spellEnd"/>
      <w:r w:rsidR="008E2BCB">
        <w:t>»</w:t>
      </w:r>
      <w:r w:rsidRPr="00EA12AB">
        <w:t xml:space="preserve"> Группа по защите семьи и несовершеннолетних будет стремиться модернизировать отделения Группы в мухафазах, с тем чтобы они отвечали потребностям инвалидов и других лиц, включая жертв насилия и детей-инвалидов. Следует отметить, что в настоящее время при поддержке ПРООН и Структуры </w:t>
      </w:r>
      <w:r w:rsidR="008E2BCB">
        <w:t>«</w:t>
      </w:r>
      <w:r w:rsidRPr="00EA12AB">
        <w:t>ООН-женщины</w:t>
      </w:r>
      <w:r w:rsidR="008E2BCB">
        <w:t>»</w:t>
      </w:r>
      <w:r w:rsidRPr="00EA12AB">
        <w:t xml:space="preserve"> проводится модернизация пятиэтажного здания, принадлежащего Группе и ее штаб-квартире в Рамалле, с тем чтобы сделать его пригодным для использования всеми, включая инвалидов, а также детей и женщин, ставших жертвами насилия. Группа по защите семьи и несовершеннолетних занимается вопросами насилия во всех его формах, включая насилие в отношении инвалидов. Это универсальный центр, предоставляющий полный комплекс услуг вместе со своими партнерами (Государственной прокуратурой, Министерством социального развития и Службой </w:t>
      </w:r>
      <w:proofErr w:type="spellStart"/>
      <w:r w:rsidRPr="00EA12AB">
        <w:t>медэкспертов</w:t>
      </w:r>
      <w:proofErr w:type="spellEnd"/>
      <w:r w:rsidRPr="00EA12AB">
        <w:t>) и обеспечивающий конфиденциальность и беспрепятственное передвижение.</w:t>
      </w:r>
    </w:p>
    <w:p w14:paraId="78002C4D" w14:textId="77777777" w:rsidR="00C030AE" w:rsidRDefault="00EA12AB" w:rsidP="00EA12AB">
      <w:pPr>
        <w:pStyle w:val="SingleTxtG"/>
      </w:pPr>
      <w:r w:rsidRPr="00EA12AB">
        <w:t>161.</w:t>
      </w:r>
      <w:r w:rsidRPr="00EA12AB">
        <w:tab/>
        <w:t xml:space="preserve">Что касается мер по обеспечению доступности, осуществляемых Бюро Верховного кади шариатского правосудия, то в штаб-квартире Бюро была проведена определенная адаптация наряду с постепенной адаптацией в зданиях шариатских судов в рамках ежегодных работ по модификации. Лицам с нарушениями слуха и речи назначаются сурдопереводчики. Нет никаких препятствий для того, чтобы инвалидов сопровождали родственники. Кроме того, судья или его заместитель могут провести </w:t>
      </w:r>
      <w:r w:rsidRPr="00EA12AB">
        <w:lastRenderedPageBreak/>
        <w:t>заседание по месту жительства инвалида для заслушивания его показаний, если последний не может присутствовать в здании суда.</w:t>
      </w:r>
    </w:p>
    <w:p w14:paraId="39B06AFA" w14:textId="77777777" w:rsidR="00C030AE" w:rsidRDefault="00FD53CB" w:rsidP="00C17D30">
      <w:pPr>
        <w:pStyle w:val="H1G"/>
      </w:pPr>
      <w:r>
        <w:tab/>
      </w:r>
      <w:r>
        <w:tab/>
      </w:r>
      <w:r w:rsidR="00EA12AB" w:rsidRPr="00EA12AB">
        <w:t>Статья 14</w:t>
      </w:r>
      <w:r>
        <w:br/>
      </w:r>
      <w:r w:rsidR="00EA12AB" w:rsidRPr="00EA12AB">
        <w:t>Свобода и личная неприкосновенность</w:t>
      </w:r>
    </w:p>
    <w:p w14:paraId="4004CCF7" w14:textId="77777777" w:rsidR="00C030AE" w:rsidRDefault="00EA12AB" w:rsidP="00EA12AB">
      <w:pPr>
        <w:pStyle w:val="SingleTxtG"/>
      </w:pPr>
      <w:r w:rsidRPr="00EA12AB">
        <w:t>162.</w:t>
      </w:r>
      <w:r w:rsidRPr="00EA12AB">
        <w:tab/>
        <w:t>Статья 11 Основного закона гласит, что личная свобода является гарантированным основополагающим правом, которое не может быть нарушено.</w:t>
      </w:r>
    </w:p>
    <w:p w14:paraId="1337F8E6" w14:textId="77777777" w:rsidR="00C030AE" w:rsidRDefault="00EA12AB" w:rsidP="00EA12AB">
      <w:pPr>
        <w:pStyle w:val="SingleTxtG"/>
      </w:pPr>
      <w:r w:rsidRPr="00EA12AB">
        <w:t>163.</w:t>
      </w:r>
      <w:r w:rsidRPr="00EA12AB">
        <w:tab/>
        <w:t>Согласно палестинскому законодательству, инвалидность не является основанием для лишения свободы, и инвалиды считаются равными перед законом с точки зрения наказания за совершенные преступления с учетом того, что обстоятельства ареста и место содержания под стражей должны соответствовать их потребностям и что, если характер инвалидности препятствует содержанию под стражей, суд должен согласиться на освобождение под залог. Закон гласит, что никто не может быть помещен в исправительно-реабилитационный центр без решения суда. Это положение в равной степени относится и к инвалидам.</w:t>
      </w:r>
      <w:r w:rsidR="00C030AE">
        <w:t xml:space="preserve"> </w:t>
      </w:r>
    </w:p>
    <w:p w14:paraId="655448DF" w14:textId="77777777" w:rsidR="00C030AE" w:rsidRDefault="00EA12AB" w:rsidP="00EA12AB">
      <w:pPr>
        <w:pStyle w:val="SingleTxtG"/>
      </w:pPr>
      <w:r w:rsidRPr="00EA12AB">
        <w:t>164.</w:t>
      </w:r>
      <w:r w:rsidRPr="00EA12AB">
        <w:tab/>
        <w:t>Закон о исправительно-реабилитационных центрах не содержит подробных положений, касающихся заключенных-инвалидов. На практике со всеми заключенными обращаются в соответствии с международными стандартами, уважая их достоинство и удовлетворяя их потребности.</w:t>
      </w:r>
    </w:p>
    <w:p w14:paraId="6D7C917D" w14:textId="77777777" w:rsidR="00C030AE" w:rsidRDefault="00EA12AB" w:rsidP="00EA12AB">
      <w:pPr>
        <w:pStyle w:val="SingleTxtG"/>
      </w:pPr>
      <w:r w:rsidRPr="00EA12AB">
        <w:t>165.</w:t>
      </w:r>
      <w:r w:rsidRPr="00EA12AB">
        <w:tab/>
        <w:t xml:space="preserve">Процесс мониторинга осужденных с </w:t>
      </w:r>
      <w:proofErr w:type="spellStart"/>
      <w:r w:rsidRPr="00EA12AB">
        <w:t>немоторными</w:t>
      </w:r>
      <w:proofErr w:type="spellEnd"/>
      <w:r w:rsidRPr="00EA12AB">
        <w:t xml:space="preserve"> нарушениями </w:t>
      </w:r>
      <w:r w:rsidR="008552D1">
        <w:br/>
      </w:r>
      <w:r w:rsidRPr="00EA12AB">
        <w:t>(т. е. с нарушениями речи, слуха, зрения или умственного развития) ограничивается медицинской помощью, предоставляемой исправительно-реабилитационным центром. Персонал центра отвечает за облегчение повседневных условий жизни и удовлетворение потребностей заключенных-инвалидов в рамках имеющихся ресурсов.</w:t>
      </w:r>
    </w:p>
    <w:p w14:paraId="5EE659A0" w14:textId="77777777" w:rsidR="00C030AE" w:rsidRDefault="00EA12AB" w:rsidP="00EA12AB">
      <w:pPr>
        <w:pStyle w:val="SingleTxtG"/>
      </w:pPr>
      <w:r w:rsidRPr="00EA12AB">
        <w:t>166.</w:t>
      </w:r>
      <w:r w:rsidRPr="00EA12AB">
        <w:tab/>
        <w:t xml:space="preserve">В 2016 году число заключенных-инвалидов составляло 11 человек; </w:t>
      </w:r>
      <w:r w:rsidR="008552D1" w:rsidRPr="008552D1">
        <w:t>8</w:t>
      </w:r>
      <w:r w:rsidRPr="00EA12AB">
        <w:t xml:space="preserve"> из них были освобождены.</w:t>
      </w:r>
      <w:r w:rsidR="00C030AE">
        <w:t xml:space="preserve"> </w:t>
      </w:r>
      <w:r w:rsidRPr="00EA12AB">
        <w:t>Из 16 заключенных-инвалидов в 2017 году 14 были освобождены. На конец июля 2018 года таких заключенных было семеро; пятеро из них были освобождены.</w:t>
      </w:r>
    </w:p>
    <w:p w14:paraId="46093AA6" w14:textId="77777777" w:rsidR="00C030AE" w:rsidRDefault="00EA12AB" w:rsidP="00EA12AB">
      <w:pPr>
        <w:pStyle w:val="SingleTxtG"/>
      </w:pPr>
      <w:r w:rsidRPr="00EA12AB">
        <w:t>167.</w:t>
      </w:r>
      <w:r w:rsidRPr="00EA12AB">
        <w:tab/>
        <w:t>Все права на справедливое судебное разбирательство, которые применимы к обычным заключенным, в равной степени распространяются и на заключенных-инвалидов. Они имеют также следующие дополнительные права.</w:t>
      </w:r>
    </w:p>
    <w:p w14:paraId="6B1BBEE1" w14:textId="77777777" w:rsidR="00C030AE" w:rsidRPr="008552D1" w:rsidRDefault="00EA12AB" w:rsidP="00EA12AB">
      <w:pPr>
        <w:pStyle w:val="SingleTxtG"/>
      </w:pPr>
      <w:r w:rsidRPr="00EA12AB">
        <w:t>168.</w:t>
      </w:r>
      <w:r w:rsidRPr="00EA12AB">
        <w:tab/>
        <w:t xml:space="preserve">При поступлении в пенитенциарное учреждение заключенным с ограниченными возможностями предоставляется возможность заявить о любой инвалидности, от которой они могут страдать, и предоставить информацию о своих потребностях. Они могут сохранить </w:t>
      </w:r>
      <w:proofErr w:type="spellStart"/>
      <w:r w:rsidRPr="00EA12AB">
        <w:t>ассистивные</w:t>
      </w:r>
      <w:proofErr w:type="spellEnd"/>
      <w:r w:rsidRPr="00EA12AB">
        <w:t xml:space="preserve"> устройства, связанные с их инвалидностью</w:t>
      </w:r>
      <w:r w:rsidR="008552D1">
        <w:t>:</w:t>
      </w:r>
    </w:p>
    <w:p w14:paraId="2276B002" w14:textId="77777777" w:rsidR="00C030AE" w:rsidRDefault="008552D1" w:rsidP="003E1AA5">
      <w:pPr>
        <w:pStyle w:val="Bullet1G"/>
      </w:pPr>
      <w:r w:rsidRPr="00EA12AB">
        <w:t>з</w:t>
      </w:r>
      <w:r w:rsidR="00EA12AB" w:rsidRPr="00EA12AB">
        <w:t>доровье заключенных оценивается с учетом их инвалидности, а результаты документируются</w:t>
      </w:r>
      <w:r>
        <w:t>;</w:t>
      </w:r>
      <w:r w:rsidR="00605ED1" w:rsidRPr="00605ED1">
        <w:t xml:space="preserve"> </w:t>
      </w:r>
      <w:r w:rsidR="00EA12AB" w:rsidRPr="00EA12AB">
        <w:t>компетентным медицинским комитетом; они включаются в программу работы, соответствующую их инвалидности; все лечение, медикаменты и медицинские услуги предоставляются заключенным-инвалидам бесплатно</w:t>
      </w:r>
      <w:r>
        <w:t>;</w:t>
      </w:r>
    </w:p>
    <w:p w14:paraId="3E4AF05A" w14:textId="77777777" w:rsidR="00C030AE" w:rsidRDefault="008552D1" w:rsidP="003E1AA5">
      <w:pPr>
        <w:pStyle w:val="Bullet1G"/>
      </w:pPr>
      <w:r w:rsidRPr="00EA12AB">
        <w:t>п</w:t>
      </w:r>
      <w:r w:rsidR="00EA12AB" w:rsidRPr="00EA12AB">
        <w:t>ри поддержке Управления Организации Объединенных Наций по наркотикам и преступности</w:t>
      </w:r>
      <w:r w:rsidR="006D54C3" w:rsidRPr="006D54C3">
        <w:t xml:space="preserve"> </w:t>
      </w:r>
      <w:r w:rsidR="00EA12AB" w:rsidRPr="00EA12AB">
        <w:t>(ЮНОДК) ряд клиник в исправительно-реабилитационных центрах были модернизированы и переоборудованы для удовлетворения медицинских потребностей заключенных-инвалидов.</w:t>
      </w:r>
      <w:r w:rsidR="00C030AE">
        <w:t xml:space="preserve"> </w:t>
      </w:r>
      <w:r w:rsidR="00EA12AB" w:rsidRPr="00EA12AB">
        <w:t xml:space="preserve">Заключенные также обеспечиваются </w:t>
      </w:r>
      <w:proofErr w:type="spellStart"/>
      <w:r w:rsidR="00EA12AB" w:rsidRPr="00EA12AB">
        <w:t>ассистивными</w:t>
      </w:r>
      <w:proofErr w:type="spellEnd"/>
      <w:r w:rsidR="00EA12AB" w:rsidRPr="00EA12AB">
        <w:t xml:space="preserve"> устройствами</w:t>
      </w:r>
      <w:r>
        <w:t>;</w:t>
      </w:r>
    </w:p>
    <w:p w14:paraId="5BF38C4D" w14:textId="77777777" w:rsidR="00C030AE" w:rsidRDefault="008552D1" w:rsidP="003E1AA5">
      <w:pPr>
        <w:pStyle w:val="Bullet1G"/>
      </w:pPr>
      <w:r w:rsidRPr="00EA12AB">
        <w:t>ч</w:t>
      </w:r>
      <w:r w:rsidR="00EA12AB" w:rsidRPr="00EA12AB">
        <w:t>то касается пространственной доступности, то структурная планировка существующих</w:t>
      </w:r>
      <w:r w:rsidR="006D54C3" w:rsidRPr="006D54C3">
        <w:t xml:space="preserve"> </w:t>
      </w:r>
      <w:r w:rsidR="00EA12AB" w:rsidRPr="00EA12AB">
        <w:t xml:space="preserve">исправительных центров представляет собой реальную проблему с точки зрения предоставления более качественных услуг и улучшения условий содержания заключенных-инвалидов. Поскольку эти старые центры не соответствуют международным стандартам, </w:t>
      </w:r>
      <w:r w:rsidR="006D54C3">
        <w:br/>
      </w:r>
      <w:r w:rsidR="00EA12AB" w:rsidRPr="00EA12AB">
        <w:t xml:space="preserve">Управление исправительно-реабилитационных центров в рамках своего плана </w:t>
      </w:r>
      <w:r w:rsidR="00EA12AB" w:rsidRPr="00EA12AB">
        <w:lastRenderedPageBreak/>
        <w:t>на 2017</w:t>
      </w:r>
      <w:r>
        <w:t>–</w:t>
      </w:r>
      <w:r w:rsidR="00EA12AB" w:rsidRPr="00EA12AB">
        <w:t>2019 годы стремилось обеспечить улучшение условий содержания путем строительства современных центров, отвечающих международным стандартам и удовлетворяющих потребности инвалидов</w:t>
      </w:r>
      <w:r w:rsidR="00D54930">
        <w:rPr>
          <w:rStyle w:val="ab"/>
        </w:rPr>
        <w:endnoteReference w:id="32"/>
      </w:r>
      <w:r w:rsidRPr="008552D1">
        <w:t>.</w:t>
      </w:r>
    </w:p>
    <w:p w14:paraId="295A5D7C" w14:textId="77777777" w:rsidR="00C030AE" w:rsidRDefault="00EA12AB" w:rsidP="00EA12AB">
      <w:pPr>
        <w:pStyle w:val="SingleTxtG"/>
      </w:pPr>
      <w:r w:rsidRPr="00EA12AB">
        <w:t>169.</w:t>
      </w:r>
      <w:r w:rsidRPr="00EA12AB">
        <w:tab/>
        <w:t>Существует несоответствие между законодательством, направленным на защиту заключенных-инвалидов, и его осуществлением. Личные права и свободы в Палестине связаны с реальностью израильской оккупации палестинских земель, и поэтому палестинскому правительству зачастую трудно обеспечить права заключенных-инвалидов. В израильских тюрьмах содержится много заключенных-инвалидов, лишенных защиты и гарантий, а также необходимого ухода и реабилитации.</w:t>
      </w:r>
    </w:p>
    <w:p w14:paraId="0AC12D06" w14:textId="77777777" w:rsidR="00C030AE" w:rsidRDefault="00EA12AB" w:rsidP="00EA12AB">
      <w:pPr>
        <w:pStyle w:val="SingleTxtG"/>
      </w:pPr>
      <w:r w:rsidRPr="00EA12AB">
        <w:t>170.</w:t>
      </w:r>
      <w:r w:rsidRPr="00EA12AB">
        <w:tab/>
        <w:t xml:space="preserve">По данным Комиссии по делам задержанных и бывших заключенных, в израильских тюрьмах содержатся </w:t>
      </w:r>
      <w:r w:rsidR="008552D1">
        <w:t>десять</w:t>
      </w:r>
      <w:r w:rsidRPr="00EA12AB">
        <w:t xml:space="preserve"> палестинских заключенных с нарушениями опорно-двигательного аппарата, трое из которых были приговорены к пожизненному заключению; двое из них содержатся под стражей с 2014 и 2015 годов. Некоторые из этих заключенных страдают от частичного паралича, а другие – от нарушений опорно</w:t>
      </w:r>
      <w:r w:rsidR="008552D1">
        <w:noBreakHyphen/>
      </w:r>
      <w:r w:rsidRPr="00EA12AB">
        <w:t>двигательного аппарата. Четверо приобрели физические недостатки и стали инвалидами из-за ранений, нанесенных им израильскими оккупационными силами</w:t>
      </w:r>
      <w:r w:rsidR="00E13B11">
        <w:rPr>
          <w:rStyle w:val="ab"/>
        </w:rPr>
        <w:endnoteReference w:id="33"/>
      </w:r>
      <w:r w:rsidRPr="00EA12AB">
        <w:t>. В 2018 году число заключенных с нарушениями опорно-двигательного аппарата и слуха составляло 45 человек, включая лиц, содержащихся под стражей и приговоренных к пожизненному заключению. Около 25 заключенных страдают от различных видов инвалидности в результате нападений израильских оккупационных сил</w:t>
      </w:r>
      <w:r w:rsidR="005C1086">
        <w:rPr>
          <w:rStyle w:val="ab"/>
        </w:rPr>
        <w:endnoteReference w:id="34"/>
      </w:r>
      <w:r w:rsidRPr="00EA12AB">
        <w:t>. Некоторым заключенным угрожает инвалидность из-за того, что оккупационные силы лишают их возможности пройти необходимое лечение. В таблице 5 приводятся данные о числе заключенных-инвалидов, содержащихся под стражей оккупационными силами, о вынесенных им приговорах и о различных видах инвалидности, от которых они страдают.</w:t>
      </w:r>
      <w:r w:rsidR="00C030AE">
        <w:t xml:space="preserve"> </w:t>
      </w:r>
    </w:p>
    <w:p w14:paraId="2FE903E4" w14:textId="77777777" w:rsidR="00C030AE" w:rsidRDefault="00EA12AB" w:rsidP="00EA12AB">
      <w:pPr>
        <w:pStyle w:val="SingleTxtG"/>
      </w:pPr>
      <w:r w:rsidRPr="00EA12AB">
        <w:t>171.</w:t>
      </w:r>
      <w:r w:rsidRPr="00EA12AB">
        <w:tab/>
        <w:t xml:space="preserve">Комиссия по делам задержанных и бывших задержанных лиц посещает заключенных, в том числе больных и инвалидов, принимая их просьбы и снабжая их необходимыми предметами. Комиссия направляет в Израильскую пенитенциарную службу заявление на получение копии медицинской карты заключенного; в случае одобрения она передается компетентному врачу, который осматривает заключенного. В отношении заключенных-инвалидов, как правило, принимаются последующие меры с целью обеспечения их новыми или заменяющими </w:t>
      </w:r>
      <w:proofErr w:type="spellStart"/>
      <w:r w:rsidRPr="00EA12AB">
        <w:t>ассистивными</w:t>
      </w:r>
      <w:proofErr w:type="spellEnd"/>
      <w:r w:rsidRPr="00EA12AB">
        <w:t xml:space="preserve"> устройствами или инвалидными колясками, по мере необходимости. Расходы покрываются Комиссией по делам задержанных и бывших задержанных лиц и другими оказывающими помощь организациями. Однако эти меры зависят от одобрения израильских оккупационных властей.</w:t>
      </w:r>
    </w:p>
    <w:p w14:paraId="19470AF6" w14:textId="77777777" w:rsidR="00C030AE" w:rsidRDefault="006B4CDF" w:rsidP="00C17D30">
      <w:pPr>
        <w:pStyle w:val="H1G"/>
      </w:pPr>
      <w:r>
        <w:tab/>
      </w:r>
      <w:r>
        <w:tab/>
      </w:r>
      <w:r w:rsidR="00EA12AB" w:rsidRPr="00EA12AB">
        <w:t>Статья 15</w:t>
      </w:r>
      <w:r>
        <w:br/>
      </w:r>
      <w:r w:rsidR="00EA12AB" w:rsidRPr="00EA12AB">
        <w:t xml:space="preserve">Свобода от пыток и жестоких, бесчеловечных или унижающих достоинство видов обращения и наказания </w:t>
      </w:r>
    </w:p>
    <w:p w14:paraId="557C3DA2" w14:textId="77777777" w:rsidR="00C030AE" w:rsidRDefault="00EA12AB" w:rsidP="00EA12AB">
      <w:pPr>
        <w:pStyle w:val="SingleTxtG"/>
      </w:pPr>
      <w:r w:rsidRPr="00EA12AB">
        <w:t>172.</w:t>
      </w:r>
      <w:r w:rsidRPr="00EA12AB">
        <w:tab/>
        <w:t>Статья 13 Основного закона запрещает пытки и требует, чтобы со всеми лицами, лишенными свободы, обращались достойно. Действующее уголовное законодательство Палестины предусматривает наказание за пытки или бесчеловечное обращение с заключенными, направленное на запугивание или принуждение их к даче признательных показаний</w:t>
      </w:r>
      <w:r w:rsidR="005C1086">
        <w:rPr>
          <w:rStyle w:val="ab"/>
        </w:rPr>
        <w:endnoteReference w:id="35"/>
      </w:r>
      <w:r w:rsidRPr="00EA12AB">
        <w:t>.</w:t>
      </w:r>
      <w:r w:rsidR="00C030AE">
        <w:t xml:space="preserve"> </w:t>
      </w:r>
    </w:p>
    <w:p w14:paraId="1A554785" w14:textId="77777777" w:rsidR="00C030AE" w:rsidRDefault="00EA12AB" w:rsidP="00EA12AB">
      <w:pPr>
        <w:pStyle w:val="SingleTxtG"/>
      </w:pPr>
      <w:r w:rsidRPr="00EA12AB">
        <w:t>173.</w:t>
      </w:r>
      <w:r w:rsidRPr="00EA12AB">
        <w:tab/>
        <w:t>Государство Палестина присоединилось к Конвенции против пыток и других жестоких, бесчеловечных или унижающих достоинство видов обращения и наказания и Факультативному протоколу к ней. Ведется работа по созданию национального органа по запрещению пыток, который будет посещать и инспектировать центры содержания под стражей, в том числе специальные центры для инвалидов. Фактически за отчетный период не было зарегистрировано ни одного случая пыток инвалидов.</w:t>
      </w:r>
    </w:p>
    <w:p w14:paraId="54A580B9" w14:textId="77777777" w:rsidR="00C030AE" w:rsidRDefault="00EA12AB" w:rsidP="00EA12AB">
      <w:pPr>
        <w:pStyle w:val="SingleTxtG"/>
      </w:pPr>
      <w:r w:rsidRPr="00EA12AB">
        <w:t>174.</w:t>
      </w:r>
      <w:r w:rsidRPr="00EA12AB">
        <w:tab/>
        <w:t>Дополнительная информация о применении этой статьи приводится ниже.</w:t>
      </w:r>
      <w:r w:rsidR="00C030AE">
        <w:t xml:space="preserve"> </w:t>
      </w:r>
    </w:p>
    <w:p w14:paraId="6C481704" w14:textId="77777777" w:rsidR="00C030AE" w:rsidRDefault="006B4CDF" w:rsidP="00C17D30">
      <w:pPr>
        <w:pStyle w:val="H1G"/>
      </w:pPr>
      <w:r>
        <w:lastRenderedPageBreak/>
        <w:tab/>
      </w:r>
      <w:r>
        <w:tab/>
      </w:r>
      <w:r w:rsidR="00EA12AB" w:rsidRPr="00EA12AB">
        <w:t>Статья 16</w:t>
      </w:r>
      <w:r>
        <w:br/>
      </w:r>
      <w:r w:rsidR="00EA12AB" w:rsidRPr="00EA12AB">
        <w:t>Свобода от эксплуатации, насилия и надругательства</w:t>
      </w:r>
    </w:p>
    <w:p w14:paraId="24A7DE2E" w14:textId="77777777" w:rsidR="00C030AE" w:rsidRDefault="00EA12AB" w:rsidP="00EA12AB">
      <w:pPr>
        <w:pStyle w:val="SingleTxtG"/>
      </w:pPr>
      <w:r w:rsidRPr="00EA12AB">
        <w:t>175.</w:t>
      </w:r>
      <w:r w:rsidRPr="00EA12AB">
        <w:tab/>
        <w:t>Статья 19 Закона о правах инвалидов предусматривает, что государство разрабатывает правила и осуществляет контроль для обеспечения защиты инвалидов от всех форм насилия, эксплуатации и дискриминации. В статье 10 подзаконного акта о применении этого Закона говорится, что в обязанности Министерства социального развития входит координация действий с соответствующими органами в целях разработки положений, гарантирующих защиту инвалидов от всех форм насилия, эксплуатации и дискриминации</w:t>
      </w:r>
      <w:r w:rsidR="005C1086">
        <w:rPr>
          <w:rStyle w:val="ab"/>
        </w:rPr>
        <w:endnoteReference w:id="36"/>
      </w:r>
      <w:r w:rsidRPr="00EA12AB">
        <w:t>.</w:t>
      </w:r>
      <w:r w:rsidR="00C030AE">
        <w:t xml:space="preserve"> </w:t>
      </w:r>
      <w:r w:rsidRPr="00EA12AB">
        <w:t>Новый законопроект будет содержать правовые положения, гарантирующие защиту инвалидов от всех форм насилия и эксплуатации.</w:t>
      </w:r>
    </w:p>
    <w:p w14:paraId="57034993" w14:textId="77777777" w:rsidR="00C030AE" w:rsidRDefault="00EA12AB" w:rsidP="00EA12AB">
      <w:pPr>
        <w:pStyle w:val="SingleTxtG"/>
      </w:pPr>
      <w:r w:rsidRPr="00EA12AB">
        <w:t>176.</w:t>
      </w:r>
      <w:r w:rsidRPr="00EA12AB">
        <w:tab/>
        <w:t>Уголовный кодекс Иордании предусматривает суровое наказание за жестокое обращение с инвалидами, особенно лицами с психическими расстройствами. Статья</w:t>
      </w:r>
      <w:r w:rsidR="006D54C3">
        <w:rPr>
          <w:lang w:val="en-US"/>
        </w:rPr>
        <w:t> </w:t>
      </w:r>
      <w:r w:rsidRPr="00EA12AB">
        <w:t xml:space="preserve">293 гласит, что любое лицо, вступающее в насильственную половую связь с незамужней женщиной, которая не может защитить себя в силу физической слабости, психического расстройства или вследствие использования обмана, приговаривается к принудительным работам. Статья 297 того же Кодекса гласит, что любое лицо, посягающее на честь лица, которое не может защитить себя в силу физической слабости, психического расстройства или вследствие использования обмана, или лицо, которое принуждает кого-либо совершить такое деяние, приговаривается к принудительным работам. </w:t>
      </w:r>
    </w:p>
    <w:p w14:paraId="342A7574" w14:textId="77777777" w:rsidR="00C030AE" w:rsidRDefault="00EA12AB" w:rsidP="00EA12AB">
      <w:pPr>
        <w:pStyle w:val="SingleTxtG"/>
      </w:pPr>
      <w:r w:rsidRPr="00EA12AB">
        <w:t>177.</w:t>
      </w:r>
      <w:r w:rsidRPr="00EA12AB">
        <w:tab/>
        <w:t>Любой инвалид, подвергшийся насилию, будь то ребенок, молодой человек, пожилой человек, женщина или девочка, немедленно получает защиту по прибытии в полицейский участок либо самостоятельно, либо в сопровождении сотрудников Министерства социального развития, или же после подачи заявления. Немедленно предпринимаются действия и принимаются все защитные меры. Если жертвой является ребенок-инвалид, осуществляется оперативное вмешательство для мониторинга ситуации. Первоначально это предполагает посещение ребенка, в связи с чем полиция по защите семьи принимает последующие меры в соответствии с Законом о детях.</w:t>
      </w:r>
    </w:p>
    <w:p w14:paraId="5BE8AFF1" w14:textId="77777777" w:rsidR="00C030AE" w:rsidRDefault="00EA12AB" w:rsidP="00EA12AB">
      <w:pPr>
        <w:pStyle w:val="SingleTxtG"/>
      </w:pPr>
      <w:r w:rsidRPr="00EA12AB">
        <w:t>178.</w:t>
      </w:r>
      <w:r w:rsidRPr="00EA12AB">
        <w:tab/>
        <w:t xml:space="preserve">В 2015 году полиция рассмотрела 42 дела (27 мужчин и 15 женщин). </w:t>
      </w:r>
      <w:r w:rsidR="008552D1">
        <w:br/>
      </w:r>
      <w:r w:rsidRPr="00EA12AB">
        <w:t xml:space="preserve">В </w:t>
      </w:r>
      <w:r w:rsidR="008552D1">
        <w:t>6%</w:t>
      </w:r>
      <w:r w:rsidRPr="00EA12AB">
        <w:t xml:space="preserve"> случаев речь шла о нарушениях.</w:t>
      </w:r>
    </w:p>
    <w:p w14:paraId="08B2915D" w14:textId="77777777" w:rsidR="00EA12AB" w:rsidRPr="00EA12AB" w:rsidRDefault="00EA12AB" w:rsidP="00EA12AB">
      <w:pPr>
        <w:pStyle w:val="SingleTxtG"/>
      </w:pPr>
      <w:r w:rsidRPr="00EA12AB">
        <w:t>179.</w:t>
      </w:r>
      <w:r w:rsidRPr="00EA12AB">
        <w:tab/>
        <w:t>Министерство социального развития располагает на Западном берегу специализированными сотрудниками – консультантами по вопросам интеграции и инвалидности, задача которых заключается в обеспечении защиты, поддержки и вмешательства, необходимых в тех случаях, когда инвалиды подвергаются насилию. Министерство имеет 12 таких консультантов в управлениях всех мухафаз Западного берега.</w:t>
      </w:r>
    </w:p>
    <w:p w14:paraId="457F43F9" w14:textId="77777777" w:rsidR="00C030AE" w:rsidRDefault="00EA12AB" w:rsidP="00EA12AB">
      <w:pPr>
        <w:pStyle w:val="SingleTxtG"/>
      </w:pPr>
      <w:r w:rsidRPr="00EA12AB">
        <w:t>180.</w:t>
      </w:r>
      <w:r w:rsidRPr="00EA12AB">
        <w:tab/>
        <w:t>Министерство социального развития вмешивалось в 13 случаях насилия в 2015</w:t>
      </w:r>
      <w:r w:rsidR="008552D1">
        <w:t> </w:t>
      </w:r>
      <w:r w:rsidRPr="00EA12AB">
        <w:t>году и в 17 случаях – в первой половине 2016 года. В 2015 году было зарегистрировано около 28 случаев интеграции, а в первой половине 2016 года – 26. В</w:t>
      </w:r>
      <w:r w:rsidR="008552D1">
        <w:t> </w:t>
      </w:r>
      <w:r w:rsidRPr="00EA12AB">
        <w:t>таблице 6 приведены примеры дел, представленных в Министерство социального развития в 2015 году и в первой половине 2016 года.</w:t>
      </w:r>
    </w:p>
    <w:p w14:paraId="3E5F8139" w14:textId="77777777" w:rsidR="00C030AE" w:rsidRDefault="00EA12AB" w:rsidP="00EA12AB">
      <w:pPr>
        <w:pStyle w:val="SingleTxtG"/>
      </w:pPr>
      <w:r w:rsidRPr="00EA12AB">
        <w:t>181.</w:t>
      </w:r>
      <w:r w:rsidRPr="00EA12AB">
        <w:tab/>
        <w:t>Для защиты лиц с тяжелыми формами инвалидности от насилия Министерство социального развития предоставляет им убежище, а также обеспечивает их реабилитацию и дневной уход. Жилье для размещения таких лиц приобретается в центрах и обществах, которые применяют стандарты качества, изложенные в Конвенции.</w:t>
      </w:r>
      <w:r w:rsidR="00C030AE">
        <w:t xml:space="preserve"> </w:t>
      </w:r>
      <w:r w:rsidRPr="00EA12AB">
        <w:t xml:space="preserve">В 2015 году во всех мухафазах Западного берега было 27 инвалидов, которым было предоставлено защищенное жилье, а в 2016 году их насчитывалось 286. Министерство социального развития построило в </w:t>
      </w:r>
      <w:proofErr w:type="spellStart"/>
      <w:r w:rsidRPr="00EA12AB">
        <w:t>Наблусе</w:t>
      </w:r>
      <w:proofErr w:type="spellEnd"/>
      <w:r w:rsidRPr="00EA12AB">
        <w:t xml:space="preserve"> новый центр для лиц с тяжелыми формами инвалидности, который откроется в начале 2019 года. Действуя через три центра, Министерство ежегодно предоставляет услуги приблизительно 150</w:t>
      </w:r>
      <w:r w:rsidR="008552D1">
        <w:t> </w:t>
      </w:r>
      <w:r w:rsidRPr="00EA12AB">
        <w:t>инвалидам.</w:t>
      </w:r>
    </w:p>
    <w:p w14:paraId="70ED3268" w14:textId="77777777" w:rsidR="00C030AE" w:rsidRDefault="00EA12AB" w:rsidP="00EA12AB">
      <w:pPr>
        <w:pStyle w:val="SingleTxtG"/>
      </w:pPr>
      <w:r w:rsidRPr="00EA12AB">
        <w:lastRenderedPageBreak/>
        <w:t>182.</w:t>
      </w:r>
      <w:r w:rsidRPr="00EA12AB">
        <w:tab/>
        <w:t>Услуги по дневной реабилитации приобретаются у нескольких организаций. В</w:t>
      </w:r>
      <w:r w:rsidR="008552D1">
        <w:rPr>
          <w:lang w:val="en-US"/>
        </w:rPr>
        <w:t> </w:t>
      </w:r>
      <w:r w:rsidRPr="00EA12AB">
        <w:t xml:space="preserve">2016 году на Западном берегу было приобретено 720 таких услуг по сравнению </w:t>
      </w:r>
      <w:r w:rsidR="00AE2C06">
        <w:br/>
      </w:r>
      <w:r w:rsidRPr="00EA12AB">
        <w:t>с</w:t>
      </w:r>
      <w:r w:rsidR="00AE2C06">
        <w:rPr>
          <w:lang w:val="en-US"/>
        </w:rPr>
        <w:t xml:space="preserve"> </w:t>
      </w:r>
      <w:r w:rsidRPr="00EA12AB">
        <w:t>435 в 2015 году.</w:t>
      </w:r>
    </w:p>
    <w:p w14:paraId="56B3C3A7" w14:textId="77777777" w:rsidR="00C030AE" w:rsidRDefault="00EA12AB" w:rsidP="00EA12AB">
      <w:pPr>
        <w:pStyle w:val="SingleTxtG"/>
      </w:pPr>
      <w:r w:rsidRPr="00EA12AB">
        <w:t>183.</w:t>
      </w:r>
      <w:r w:rsidRPr="00EA12AB">
        <w:tab/>
        <w:t>Если инвалид подвергается насилию в убежище, проводится раннее вмешательство в соответствии с установленным набором процедур. Во-первых, пострадавшему лицу предоставляется защита. Затем формируется следственный комитет для наблюдения за ситуацией. Комитет представляет свои рекомендации в отношении мер, которые должны быть приняты, и, в случае необходимости, наказаний, которые должны быть применены. Те же процедуры применяются, если насилие имеет место в неправительственном учреждении. Официальных данных о случаях оставления инвалидов без ухода и помощи не имеется.</w:t>
      </w:r>
    </w:p>
    <w:p w14:paraId="4965D1E2" w14:textId="77777777" w:rsidR="00C030AE" w:rsidRDefault="00EA12AB" w:rsidP="00EA12AB">
      <w:pPr>
        <w:pStyle w:val="SingleTxtG"/>
      </w:pPr>
      <w:r w:rsidRPr="00EA12AB">
        <w:t>184.</w:t>
      </w:r>
      <w:r w:rsidRPr="00EA12AB">
        <w:tab/>
        <w:t>В 2017 году в убежищах Министерства проживало 25 мальчиков-инвалидов и девочек</w:t>
      </w:r>
      <w:bookmarkStart w:id="16" w:name="_Hlk40709842"/>
      <w:r w:rsidRPr="00EA12AB">
        <w:t>-инвалидов</w:t>
      </w:r>
      <w:bookmarkEnd w:id="16"/>
      <w:r w:rsidRPr="00EA12AB">
        <w:t xml:space="preserve">; мальчики были в возрасте от </w:t>
      </w:r>
      <w:r w:rsidR="00AE2C06" w:rsidRPr="00AE2C06">
        <w:t>6</w:t>
      </w:r>
      <w:r w:rsidRPr="00EA12AB">
        <w:t xml:space="preserve"> до 13 лет, а девочки – </w:t>
      </w:r>
      <w:r w:rsidR="00AE2C06">
        <w:br/>
      </w:r>
      <w:r w:rsidRPr="00EA12AB">
        <w:t xml:space="preserve">от </w:t>
      </w:r>
      <w:r w:rsidR="00AE2C06" w:rsidRPr="00AE2C06">
        <w:t>6</w:t>
      </w:r>
      <w:r w:rsidRPr="00EA12AB">
        <w:t xml:space="preserve"> до 15 лет.</w:t>
      </w:r>
      <w:r w:rsidR="00C030AE">
        <w:t xml:space="preserve"> </w:t>
      </w:r>
      <w:r w:rsidRPr="00EA12AB">
        <w:t>В качестве национального органа по правам человека Независимая комиссия по правам человека отслеживает случаи, когда инвалиды обоих полов подвергались насилию и лишались ухода. Полиция по защите семьи и ряд НПО также осуществляют мониторинг и принимают последующие меры в связи с такими случаями.</w:t>
      </w:r>
    </w:p>
    <w:p w14:paraId="62319A60" w14:textId="77777777" w:rsidR="00C030AE" w:rsidRDefault="00EA12AB" w:rsidP="00EA12AB">
      <w:pPr>
        <w:pStyle w:val="SingleTxtG"/>
      </w:pPr>
      <w:r w:rsidRPr="00EA12AB">
        <w:t>185.</w:t>
      </w:r>
      <w:r w:rsidRPr="00EA12AB">
        <w:tab/>
        <w:t>Злоупотребления в отношении палестинцев, в том числе инвалидов, со стороны израильских оккупационных сил принимают различные формы. Они ежедневно подвергаются насилию и нападениям.</w:t>
      </w:r>
      <w:r w:rsidR="00C030AE">
        <w:t xml:space="preserve"> </w:t>
      </w:r>
      <w:r w:rsidRPr="00EA12AB">
        <w:t>Например, во время нападения на Газу инвалиды потеряли 1</w:t>
      </w:r>
      <w:r w:rsidR="008552D1">
        <w:rPr>
          <w:lang w:val="en-US"/>
        </w:rPr>
        <w:t> </w:t>
      </w:r>
      <w:r w:rsidRPr="00EA12AB">
        <w:t xml:space="preserve">680 </w:t>
      </w:r>
      <w:proofErr w:type="spellStart"/>
      <w:r w:rsidRPr="00EA12AB">
        <w:t>ассистивных</w:t>
      </w:r>
      <w:proofErr w:type="spellEnd"/>
      <w:r w:rsidRPr="00EA12AB">
        <w:t xml:space="preserve"> устройств, а израильские оккупационные силы разрушили девять реабилитационных центров</w:t>
      </w:r>
      <w:r w:rsidR="00640DC7">
        <w:rPr>
          <w:rStyle w:val="ab"/>
        </w:rPr>
        <w:endnoteReference w:id="37"/>
      </w:r>
      <w:r w:rsidRPr="00EA12AB">
        <w:t>.</w:t>
      </w:r>
    </w:p>
    <w:p w14:paraId="23FC3576" w14:textId="77777777" w:rsidR="00C030AE" w:rsidRDefault="00EA12AB" w:rsidP="00EA12AB">
      <w:pPr>
        <w:pStyle w:val="SingleTxtG"/>
      </w:pPr>
      <w:r w:rsidRPr="00EA12AB">
        <w:t>186.</w:t>
      </w:r>
      <w:r w:rsidRPr="00EA12AB">
        <w:tab/>
        <w:t>Существует множество законов, стратегий и программ, направленных на обуздание насилия в отношении инвалидов. Однако их эффективность остается ограниченной, поскольку они часто вступают в противоречие с традиционными взглядами, подкрепленными преобладающей культурой, согласно которым урегулирование семейных отношений является частным делом. Это во многом препятствует попыткам изменить социальные установки. Кроме того, до сих пор не определены общие масштабы насилия в отношении инвалидов. Министерство здравоохранения разработало программу раннего выявления случаев оставления детей без ухода, особенно детей-инвалидов, которые находятся в клиниках и больницах Министерства. Однако Министерство не принимает мер по раннему выявлению практики, нарушающей право инвалидов на жизнь, безопасность и свободу.</w:t>
      </w:r>
    </w:p>
    <w:p w14:paraId="1D9BA884" w14:textId="77777777" w:rsidR="00C030AE" w:rsidRDefault="00EA12AB" w:rsidP="00EA12AB">
      <w:pPr>
        <w:pStyle w:val="SingleTxtG"/>
      </w:pPr>
      <w:r w:rsidRPr="00EA12AB">
        <w:t>187.</w:t>
      </w:r>
      <w:r w:rsidRPr="00EA12AB">
        <w:tab/>
        <w:t>В настоящее время Государство Палестина готовится принять закон о защите семьи от насилия с учетом правовых положений, закрепленных в международных конвенциях, в целях сокращения числа преступлений, связанных с насилием, и случаев насилия в семье. Этот закон обеспечит правовую защиту членов семьи, включая инвалидов, от актов насилия, которым они могут подвергаться в домашнем окружении. Этот закон также обеспечит предоставление жертвами компенсации. Он</w:t>
      </w:r>
      <w:r w:rsidR="001F36CB">
        <w:t> </w:t>
      </w:r>
      <w:r w:rsidRPr="00EA12AB">
        <w:t>будет предусматривать суровые наказания для виновных в случаях, когда жертвой является инвалид. Кроме того, он будет обеспечивать, чтобы дело о бытовом насилии не могло быть прекращено ни при каких обстоятельствах, если преступление было совершено в отношении инвалида, ребенка или пожилого человека. В таких случаях личное право не может быть аннулировано.</w:t>
      </w:r>
    </w:p>
    <w:p w14:paraId="779C8FB7" w14:textId="77777777" w:rsidR="00C030AE" w:rsidRDefault="006B4CDF" w:rsidP="00C17D30">
      <w:pPr>
        <w:pStyle w:val="H1G"/>
      </w:pPr>
      <w:r>
        <w:tab/>
      </w:r>
      <w:r>
        <w:tab/>
      </w:r>
      <w:r w:rsidR="00EA12AB" w:rsidRPr="00EA12AB">
        <w:t>Статья 17</w:t>
      </w:r>
      <w:r>
        <w:br/>
      </w:r>
      <w:r w:rsidR="00EA12AB" w:rsidRPr="00EA12AB">
        <w:t>Защита личной целостности</w:t>
      </w:r>
    </w:p>
    <w:p w14:paraId="4C424F6C" w14:textId="77777777" w:rsidR="00C030AE" w:rsidRDefault="00EA12AB" w:rsidP="00EA12AB">
      <w:pPr>
        <w:pStyle w:val="SingleTxtG"/>
      </w:pPr>
      <w:r w:rsidRPr="00EA12AB">
        <w:t>188.</w:t>
      </w:r>
      <w:r w:rsidRPr="00EA12AB">
        <w:tab/>
        <w:t>В Уголовном кодексе Иордании гарантируется право на личную целостность, а</w:t>
      </w:r>
      <w:r w:rsidR="00AE2C06">
        <w:rPr>
          <w:lang w:val="en-US"/>
        </w:rPr>
        <w:t> </w:t>
      </w:r>
      <w:r w:rsidRPr="00EA12AB">
        <w:t>в статьях 333–335 подтверждается важность защиты целостности всех лиц. Кроме того, в нем предусмотрены суровые наказания за совершение деяния, причиняющего вред или наносящего оскорбление инвалидам.</w:t>
      </w:r>
    </w:p>
    <w:p w14:paraId="26EDCA76" w14:textId="77777777" w:rsidR="00C030AE" w:rsidRDefault="00EA12AB" w:rsidP="00EA12AB">
      <w:pPr>
        <w:pStyle w:val="SingleTxtG"/>
      </w:pPr>
      <w:r w:rsidRPr="00EA12AB">
        <w:t>189.</w:t>
      </w:r>
      <w:r w:rsidRPr="00EA12AB">
        <w:tab/>
        <w:t xml:space="preserve">В статье 60 Закона об общественном здравоохранении подтверждается необходимость получения согласия соответствующего лица, включая инвалида, до </w:t>
      </w:r>
      <w:r w:rsidRPr="00EA12AB">
        <w:lastRenderedPageBreak/>
        <w:t>проведения любой медицинской процедуры в порядке, соответствующем типу и степени инвалидности. В отношении лиц с психическими расстройствами для начала лечения требуется согласие родителя/опекуна или попечителя.</w:t>
      </w:r>
    </w:p>
    <w:p w14:paraId="0B7CDDBF" w14:textId="77777777" w:rsidR="00C030AE" w:rsidRDefault="00EA12AB" w:rsidP="00EA12AB">
      <w:pPr>
        <w:pStyle w:val="SingleTxtG"/>
      </w:pPr>
      <w:r w:rsidRPr="00EA12AB">
        <w:t>190.</w:t>
      </w:r>
      <w:r w:rsidRPr="00EA12AB">
        <w:tab/>
        <w:t>Действующее палестинское законодательство разрешает аборты только в исключительных случаях, предусмотренных в Законе о здравоохранении и Уголовном кодексе, а именно когда это необходимо для защиты личной целостности. Кроме того, Закон о здравоохранении предусматривает тюремное заключение для любого лица, которое производит аборт или помогает женщине произвести аборт с ее согласия или без него. Наказание является более суровым, если аборт приводит к смерти, и в этом случае правонарушитель будет приговорен не менее чем к пяти годам принудительных работ. Закон также обеспечивает защиту всех женщин от принудительной стерилизации.</w:t>
      </w:r>
      <w:r w:rsidR="00C030AE">
        <w:t xml:space="preserve"> </w:t>
      </w:r>
    </w:p>
    <w:p w14:paraId="5053A9CC" w14:textId="77777777" w:rsidR="00C030AE" w:rsidRDefault="00EA12AB" w:rsidP="00EA12AB">
      <w:pPr>
        <w:pStyle w:val="SingleTxtG"/>
      </w:pPr>
      <w:r w:rsidRPr="00EA12AB">
        <w:t>191.</w:t>
      </w:r>
      <w:r w:rsidRPr="00EA12AB">
        <w:tab/>
        <w:t>Что касается принудительной стерилизации женщин и девочек с психическими расстройствами, то Министр здравоохранения, узнав о проведении таких операций, издал в 2011 году постановление, запрещающее проводить гистерэктомию женщинам с психическими расстройствами под угрозой уголовной ответственности.</w:t>
      </w:r>
    </w:p>
    <w:p w14:paraId="34A5E6E7" w14:textId="77777777" w:rsidR="00C030AE" w:rsidRDefault="00EA12AB" w:rsidP="00EA12AB">
      <w:pPr>
        <w:pStyle w:val="SingleTxtG"/>
      </w:pPr>
      <w:r w:rsidRPr="00EA12AB">
        <w:t>192.</w:t>
      </w:r>
      <w:r w:rsidRPr="00EA12AB">
        <w:tab/>
        <w:t>В начале 2014 года, отметив ряд злоупотреблений в отношении женщин и девочек с психическими расстройствами, связанных с операциями гистерэктомии, проводимыми при попустительстве их семей и по настоянию некоторых должностных лиц в качестве условия приема в специальные учреждения, Всеобщий союз инвалидов в партнерстве с женскими организациями начал национальную кампанию по оказанию давления на власти с целью принятия законов, призванных удержать семьи и медицинские учреждения от того, чтобы подвергать девочек таким злоупотреблениям. Действуя в сотрудничестве с Министерством социального развития, Всеобщий союз добился выпуска министерского циркуляра № 5 (2014 год) об охране здоровья девочек-инвалидов и запрете таких нарушений в государственных или других учреждениях под угрозой уголовной ответственности.</w:t>
      </w:r>
    </w:p>
    <w:p w14:paraId="5B98060E" w14:textId="77777777" w:rsidR="00C030AE" w:rsidRDefault="00EA12AB" w:rsidP="00EA12AB">
      <w:pPr>
        <w:pStyle w:val="SingleTxtG"/>
      </w:pPr>
      <w:r w:rsidRPr="00EA12AB">
        <w:t>193.</w:t>
      </w:r>
      <w:r w:rsidRPr="00EA12AB">
        <w:tab/>
        <w:t>Статистические данные по этим операциям отсутствуют, и в 2016 и 2017 годах Министерство социального развития не получало информации о каких-либо случаях. Сотрудники, работающие в убежищах, прошли подготовку по вопросам индивидуальной социальной поддержки и стандартам качества; кроме того, было проведено несколько семинаров совместно со Всеобщим союзом инвалидов.</w:t>
      </w:r>
    </w:p>
    <w:p w14:paraId="722D34A1" w14:textId="77777777" w:rsidR="00C030AE" w:rsidRDefault="006B4CDF" w:rsidP="00C17D30">
      <w:pPr>
        <w:pStyle w:val="H1G"/>
      </w:pPr>
      <w:r>
        <w:tab/>
      </w:r>
      <w:r>
        <w:tab/>
      </w:r>
      <w:r w:rsidR="00EA12AB" w:rsidRPr="00EA12AB">
        <w:t>Статья 18</w:t>
      </w:r>
      <w:r>
        <w:br/>
      </w:r>
      <w:r w:rsidR="00EA12AB" w:rsidRPr="00EA12AB">
        <w:t xml:space="preserve">Свобода передвижения и гражданство </w:t>
      </w:r>
    </w:p>
    <w:p w14:paraId="4B48F3C2" w14:textId="77777777" w:rsidR="00C030AE" w:rsidRDefault="00EA12AB" w:rsidP="00EA12AB">
      <w:pPr>
        <w:pStyle w:val="SingleTxtG"/>
      </w:pPr>
      <w:r w:rsidRPr="00EA12AB">
        <w:t>194.</w:t>
      </w:r>
      <w:r w:rsidRPr="00EA12AB">
        <w:tab/>
        <w:t>В Основном законе говорится, что палестинское гражданство регулируется законом. Однако израильская оккупация палестинской территории представляет собой препятствие и вызов для принятия такого закона.</w:t>
      </w:r>
      <w:r w:rsidR="00C030AE">
        <w:t xml:space="preserve"> </w:t>
      </w:r>
      <w:r w:rsidRPr="00EA12AB">
        <w:t>Палестинское гражданство по</w:t>
      </w:r>
      <w:r w:rsidR="008552D1">
        <w:noBreakHyphen/>
      </w:r>
      <w:r w:rsidRPr="00EA12AB">
        <w:t>прежнему регулируется несколькими различными законодательными актами, наиболее важным из которых является Палестинская национальная хартия. На него также оказали влияние нормы международного права; Закон о гражданском состоянии (1999 год); несколько положений Свода указов о палестинском гражданстве, изданных в период британского мандатного управления (1925 год); Закон № 6 об иорданском гражданстве (1954 год, с поправками), действующий на Западном берегу; и Постановление о палестинском гражданстве (1947 год, с поправками), действующее в секторе Газа. Между тем Израиль, оккупирующая держава, произвольно применяет Закон о постоянном проживании к палестинскому населению Восточного Иерусалима.</w:t>
      </w:r>
    </w:p>
    <w:p w14:paraId="48BC2946" w14:textId="77777777" w:rsidR="00C030AE" w:rsidRDefault="00EA12AB" w:rsidP="00EA12AB">
      <w:pPr>
        <w:pStyle w:val="SingleTxtG"/>
      </w:pPr>
      <w:r w:rsidRPr="00EA12AB">
        <w:t>195.</w:t>
      </w:r>
      <w:r w:rsidRPr="00EA12AB">
        <w:tab/>
        <w:t xml:space="preserve">Закон о детях гласит, что ребенок имеет право быть зарегистрированным в книге записи актов гражданского состояния сразу после рождения без какой-либо дискриминации. Гражданство немедленно предоставляется ребенку на основе равенства в соответствии с положениями указанного Закона. Это относится и к </w:t>
      </w:r>
      <w:r w:rsidR="00A77180">
        <w:br/>
      </w:r>
      <w:r w:rsidRPr="00EA12AB">
        <w:t xml:space="preserve">детям-инвалидам. Кроме того, в статьях 17–19 Закона о гражданском состоянии говорится, что уполномоченное и установленное лицо должно немедленно уведомить Министерство внутренних дел о рождении, представив конкретную информацию о времени, дате и месте рождения, а также о поле, имени и статусе новорожденного, как </w:t>
      </w:r>
      <w:r w:rsidRPr="00EA12AB">
        <w:lastRenderedPageBreak/>
        <w:t>это указано в свидетельстве о рождении живого ребенка, полученном от поставщика медицинских услуг.</w:t>
      </w:r>
    </w:p>
    <w:p w14:paraId="75884D6D" w14:textId="77777777" w:rsidR="00C030AE" w:rsidRDefault="00EA12AB" w:rsidP="00EA12AB">
      <w:pPr>
        <w:pStyle w:val="SingleTxtG"/>
      </w:pPr>
      <w:r w:rsidRPr="00EA12AB">
        <w:t>196.</w:t>
      </w:r>
      <w:r w:rsidRPr="00EA12AB">
        <w:tab/>
        <w:t>Детям беженцев не разрешается ни возвращаться, ни регистрироваться, поскольку Израиль, оккупирующая держава, проводит политику, направленную на то, чтобы лишить беженцев права на возвращение, включая право на въезд на оккупированную палестинскую территорию.</w:t>
      </w:r>
    </w:p>
    <w:p w14:paraId="090F3720" w14:textId="77777777" w:rsidR="00C030AE" w:rsidRDefault="00EA12AB" w:rsidP="00EA12AB">
      <w:pPr>
        <w:pStyle w:val="SingleTxtG"/>
      </w:pPr>
      <w:r w:rsidRPr="00EA12AB">
        <w:t>197.</w:t>
      </w:r>
      <w:r w:rsidRPr="00EA12AB">
        <w:tab/>
        <w:t>Право на гражданство и свободное передвижение из одной страны в другую в большей степени связано с политикой израильской оккупации, чем с политикой Государства Палестина. Израильская оккупация лишает многих палестинских граждан, включая инвалидов, права на получение удостоверений личности и регистрацию в Палестинском регистре населения. Кроме того, ограничена свобода передвижения внутри страны и выезда за рубеж.</w:t>
      </w:r>
    </w:p>
    <w:p w14:paraId="27C28917" w14:textId="77777777" w:rsidR="00C030AE" w:rsidRDefault="006B4CDF" w:rsidP="00C17D30">
      <w:pPr>
        <w:pStyle w:val="H1G"/>
      </w:pPr>
      <w:r>
        <w:tab/>
      </w:r>
      <w:r>
        <w:tab/>
      </w:r>
      <w:r w:rsidR="00EA12AB" w:rsidRPr="00EA12AB">
        <w:t>Статья 19</w:t>
      </w:r>
      <w:r>
        <w:br/>
      </w:r>
      <w:r w:rsidR="00EA12AB" w:rsidRPr="00EA12AB">
        <w:t>Самостоятельный образ жизни и вовлеченность в местное сообщество</w:t>
      </w:r>
    </w:p>
    <w:p w14:paraId="6D11EF40" w14:textId="77777777" w:rsidR="00C030AE" w:rsidRDefault="00EA12AB" w:rsidP="00EA12AB">
      <w:pPr>
        <w:pStyle w:val="SingleTxtG"/>
      </w:pPr>
      <w:r w:rsidRPr="00EA12AB">
        <w:t>198.</w:t>
      </w:r>
      <w:r w:rsidRPr="00EA12AB">
        <w:tab/>
        <w:t>Карточка инвалида определяет корзину услуг, которые инвалид имеет право получать в рамках системы, регулируемой и осуществляемой Министерством социального развития в партнерстве с различными органами власти, государственными министерствами и НПО. Карточка выдается в соответствии с Законом о правах инвалидов и статьей 3 подзаконного акта к нему, и правительство обязано выдать ее и предоставить ряд услуг по медицинской, социальной, профессиональной и образовательной интеграции, реабилитации и поддержке, соразмерных типу и степени инвалидности. Система карточек предназначена для практической институционализации процесса предоставления услуг и распределения функций, а также для определения обязанностей заинтересованных сторон</w:t>
      </w:r>
      <w:r w:rsidR="00640DC7">
        <w:rPr>
          <w:rStyle w:val="ab"/>
        </w:rPr>
        <w:endnoteReference w:id="38"/>
      </w:r>
      <w:r w:rsidRPr="00EA12AB">
        <w:t>.</w:t>
      </w:r>
      <w:r w:rsidR="00C030AE">
        <w:t xml:space="preserve"> </w:t>
      </w:r>
    </w:p>
    <w:p w14:paraId="6414576B" w14:textId="77777777" w:rsidR="00C030AE" w:rsidRDefault="00EA12AB" w:rsidP="00EA12AB">
      <w:pPr>
        <w:pStyle w:val="SingleTxtG"/>
      </w:pPr>
      <w:r w:rsidRPr="00EA12AB">
        <w:t>199.</w:t>
      </w:r>
      <w:r w:rsidRPr="00EA12AB">
        <w:tab/>
        <w:t>Из-за неблагоприятной политической ситуации в Палестине и трудностей, с которыми сталкиваются министерства и организации при общении друг с другом в оккупированной Палестине, карточка инвалида не была введена в секторе Газа со времени принятия программы.</w:t>
      </w:r>
    </w:p>
    <w:p w14:paraId="7B6A96BC" w14:textId="77777777" w:rsidR="00C030AE" w:rsidRDefault="00EA12AB" w:rsidP="00EA12AB">
      <w:pPr>
        <w:pStyle w:val="SingleTxtG"/>
      </w:pPr>
      <w:r w:rsidRPr="00EA12AB">
        <w:t>200.</w:t>
      </w:r>
      <w:r w:rsidRPr="00EA12AB">
        <w:tab/>
        <w:t>На практике предоставление полного комплекса услуг для инвалидов связано с возможностью покрытия расходов. С учетом объема бюджетных средств, выделяемых на обеспечение прав инвалидов, Государство Палестина сталкивается с реальной проблемой. В сотрудничестве с местными органами власти Министерство транспорта и коммуникаций выделяет бесплатные парковочные места для инвалидов при условии предъявления карточки инвалида или письма из Министерства, в котором указывается, что транспортное средство зарегистрировано на имя инвалида.</w:t>
      </w:r>
    </w:p>
    <w:p w14:paraId="43259598" w14:textId="77777777" w:rsidR="00C030AE" w:rsidRDefault="00EA12AB" w:rsidP="00EA12AB">
      <w:pPr>
        <w:pStyle w:val="SingleTxtG"/>
      </w:pPr>
      <w:r w:rsidRPr="00EA12AB">
        <w:t>201.</w:t>
      </w:r>
      <w:r w:rsidRPr="00EA12AB">
        <w:tab/>
        <w:t xml:space="preserve">Для обеспечения инвалидам возможности вести самостоятельный образ жизни Министерство социального развития осуществляет целевые реабилитационные программы, ориентированные, например, на адаптацию жилища и обеспечение </w:t>
      </w:r>
      <w:proofErr w:type="spellStart"/>
      <w:r w:rsidRPr="00EA12AB">
        <w:t>ассистивными</w:t>
      </w:r>
      <w:proofErr w:type="spellEnd"/>
      <w:r w:rsidRPr="00EA12AB">
        <w:t xml:space="preserve"> устройствами.</w:t>
      </w:r>
      <w:r w:rsidR="00C030AE">
        <w:t xml:space="preserve"> </w:t>
      </w:r>
      <w:r w:rsidRPr="00EA12AB">
        <w:t xml:space="preserve">В 2017 году эта программа, осуществляемая под контролем Министерства, получила от правительства финансирование в размере </w:t>
      </w:r>
      <w:r w:rsidR="008552D1">
        <w:br/>
      </w:r>
      <w:r w:rsidRPr="00EA12AB">
        <w:t xml:space="preserve">2,5 млн шекелей на </w:t>
      </w:r>
      <w:proofErr w:type="spellStart"/>
      <w:r w:rsidRPr="00EA12AB">
        <w:t>ассистивные</w:t>
      </w:r>
      <w:proofErr w:type="spellEnd"/>
      <w:r w:rsidRPr="00EA12AB">
        <w:t xml:space="preserve"> устройства. В 2018 году было получено 1</w:t>
      </w:r>
      <w:r w:rsidR="008552D1">
        <w:rPr>
          <w:lang w:val="en-US"/>
        </w:rPr>
        <w:t> </w:t>
      </w:r>
      <w:r w:rsidRPr="00EA12AB">
        <w:t xml:space="preserve">700 заявок на </w:t>
      </w:r>
      <w:proofErr w:type="spellStart"/>
      <w:r w:rsidRPr="00EA12AB">
        <w:t>ассистивные</w:t>
      </w:r>
      <w:proofErr w:type="spellEnd"/>
      <w:r w:rsidRPr="00EA12AB">
        <w:t xml:space="preserve"> устройства. Список желающих был передан благотворительному обществу </w:t>
      </w:r>
      <w:r w:rsidR="008E2BCB">
        <w:t>«</w:t>
      </w:r>
      <w:r w:rsidRPr="00EA12AB">
        <w:t>Аль-</w:t>
      </w:r>
      <w:proofErr w:type="spellStart"/>
      <w:r w:rsidRPr="00EA12AB">
        <w:t>Джалиль</w:t>
      </w:r>
      <w:proofErr w:type="spellEnd"/>
      <w:r w:rsidR="008E2BCB">
        <w:t>»</w:t>
      </w:r>
      <w:r w:rsidRPr="00EA12AB">
        <w:t xml:space="preserve"> и Вифлеемскому арабскому обществу реабилитации; были проведены обследования и поставлены диагнозы, после чего были выделены соответствующие </w:t>
      </w:r>
      <w:proofErr w:type="spellStart"/>
      <w:r w:rsidRPr="00EA12AB">
        <w:t>ассистивные</w:t>
      </w:r>
      <w:proofErr w:type="spellEnd"/>
      <w:r w:rsidRPr="00EA12AB">
        <w:t xml:space="preserve"> устройства; такие устройства получили порядка 325</w:t>
      </w:r>
      <w:r w:rsidR="008552D1">
        <w:rPr>
          <w:lang w:val="en-US"/>
        </w:rPr>
        <w:t> </w:t>
      </w:r>
      <w:r w:rsidRPr="00EA12AB">
        <w:t>человек по всей стране.</w:t>
      </w:r>
    </w:p>
    <w:p w14:paraId="13E8C642" w14:textId="77777777" w:rsidR="00C030AE" w:rsidRDefault="00EA12AB" w:rsidP="00EA12AB">
      <w:pPr>
        <w:pStyle w:val="SingleTxtG"/>
      </w:pPr>
      <w:r w:rsidRPr="00EA12AB">
        <w:t>202.</w:t>
      </w:r>
      <w:r w:rsidRPr="00EA12AB">
        <w:tab/>
        <w:t>В сотрудничестве с Фондом ОАЭ Министерство социального развития выделило сумму в размере 6 517 300 долл. США.</w:t>
      </w:r>
      <w:r w:rsidR="00C030AE">
        <w:t xml:space="preserve"> </w:t>
      </w:r>
      <w:r w:rsidRPr="00EA12AB">
        <w:t>Из этой суммы 2 821 342 долл. США были направлены на осуществление проектов, а оставшиеся 3</w:t>
      </w:r>
      <w:r w:rsidR="00274E6A">
        <w:rPr>
          <w:lang w:val="en-US"/>
        </w:rPr>
        <w:t> </w:t>
      </w:r>
      <w:r w:rsidRPr="00EA12AB">
        <w:t>691</w:t>
      </w:r>
      <w:r w:rsidR="00274E6A">
        <w:rPr>
          <w:lang w:val="en-US"/>
        </w:rPr>
        <w:t> </w:t>
      </w:r>
      <w:r w:rsidRPr="00EA12AB">
        <w:t>958 долл. США были использованы для предоставления инвалидам льготных, беспроцентных займов в размере от 5 000 до 10 000 долл. США.</w:t>
      </w:r>
      <w:r w:rsidR="00C030AE">
        <w:t xml:space="preserve"> </w:t>
      </w:r>
      <w:r w:rsidRPr="00EA12AB">
        <w:t>Кредиты на успешные проекты, отвечающие необходимым требованиям, могут быть возобновлены.</w:t>
      </w:r>
      <w:r w:rsidR="00C030AE">
        <w:t xml:space="preserve"> </w:t>
      </w:r>
    </w:p>
    <w:p w14:paraId="640A83E0" w14:textId="77777777" w:rsidR="00C030AE" w:rsidRDefault="00EA12AB" w:rsidP="00EA12AB">
      <w:pPr>
        <w:pStyle w:val="SingleTxtG"/>
      </w:pPr>
      <w:r w:rsidRPr="00EA12AB">
        <w:lastRenderedPageBreak/>
        <w:t>203.</w:t>
      </w:r>
      <w:r w:rsidRPr="00EA12AB">
        <w:tab/>
        <w:t>Фонд занимается содействием реабилитации инвалидов, способных осуществлять проекты, приносящие доход, с целью обеспечения их социального и экономического благосостояния. Кроме того, он стремится обеспечить участие инвалидов в производстве и развитии в целях их интеграции в общество и изменения сложившихся стереотипов</w:t>
      </w:r>
      <w:r w:rsidR="00573335">
        <w:rPr>
          <w:rStyle w:val="ab"/>
        </w:rPr>
        <w:endnoteReference w:id="39"/>
      </w:r>
      <w:r w:rsidRPr="00EA12AB">
        <w:t>. В период 2008–2018 годов примерно 557 инвалидам были предоставлены кредиты Фонда для запуска проектов, приносящих доход.</w:t>
      </w:r>
    </w:p>
    <w:p w14:paraId="02722788" w14:textId="77777777" w:rsidR="00C030AE" w:rsidRDefault="00EA12AB" w:rsidP="00EA12AB">
      <w:pPr>
        <w:pStyle w:val="SingleTxtG"/>
      </w:pPr>
      <w:r w:rsidRPr="00EA12AB">
        <w:t>204.</w:t>
      </w:r>
      <w:r w:rsidRPr="00EA12AB">
        <w:tab/>
        <w:t>В 2016 году Министр социального развития опубликовал устав Фонда реабилитации инвалидов ОАЭ, в котором определены административная и финансовая организация фонда, указан состав совета директоров и технического комитета и т.</w:t>
      </w:r>
      <w:r w:rsidR="008552D1">
        <w:rPr>
          <w:lang w:val="en-US"/>
        </w:rPr>
        <w:t> </w:t>
      </w:r>
      <w:r w:rsidRPr="00EA12AB">
        <w:t>д. Высший координационный комитет по реабилитации инвалидов (при</w:t>
      </w:r>
      <w:r w:rsidR="008552D1">
        <w:rPr>
          <w:lang w:val="en-US"/>
        </w:rPr>
        <w:t> </w:t>
      </w:r>
      <w:r w:rsidRPr="00EA12AB">
        <w:t>высшем комитете по делам лагерей) осуществляет программу посещений на дому, предоставляя услуги инвалидам в их семьях. Сотрудники стремятся повышать осведомленность семей, консультировать их по вопросам, касающимся инвалидности, определять психологические и социальные потребности членов семьи с инвалидностью, давать им возможность пользоваться максимально возможной степенью независимости и помогать им интегрироваться в общество.</w:t>
      </w:r>
    </w:p>
    <w:p w14:paraId="7063493F" w14:textId="77777777" w:rsidR="00C030AE" w:rsidRDefault="00EA12AB" w:rsidP="00EA12AB">
      <w:pPr>
        <w:pStyle w:val="SingleTxtG"/>
      </w:pPr>
      <w:r w:rsidRPr="00EA12AB">
        <w:t>205.</w:t>
      </w:r>
      <w:r w:rsidRPr="00EA12AB">
        <w:tab/>
        <w:t>Однако эти программы не отвечают заявленной цели обеспечения полной доступности для всех инвалидов. Тем не менее, несмотря на крайнюю ограниченность финансовых возможностей государства, ведется работа по преодолению этих трудностей путем расширения числа программ реабилитации и интеграции, ориентированных на инвалидов, увеличения имеющихся бюджетных ассигнований и обеспечения более широкого доступа к общественным зданиям, объектам и транспорту. Сокращение объема услуг, оказываемых БАПОР беженцам-инвалидам, также создает трудности. Необходимо не только восстановить услуги Агентства, но и расширить поддержку со стороны международного сообщества, с тем чтобы Агентство могло обслуживать всех беженцев.</w:t>
      </w:r>
    </w:p>
    <w:p w14:paraId="2BFDE29D" w14:textId="77777777" w:rsidR="00C030AE" w:rsidRDefault="006B4CDF" w:rsidP="00C17D30">
      <w:pPr>
        <w:pStyle w:val="H1G"/>
      </w:pPr>
      <w:r>
        <w:tab/>
      </w:r>
      <w:r>
        <w:tab/>
      </w:r>
      <w:r w:rsidR="00EA12AB" w:rsidRPr="00EA12AB">
        <w:t>Статья 20</w:t>
      </w:r>
      <w:r>
        <w:br/>
      </w:r>
      <w:r w:rsidR="00EA12AB" w:rsidRPr="00EA12AB">
        <w:t>Индивидуальная мобильность</w:t>
      </w:r>
    </w:p>
    <w:p w14:paraId="45EB5AA8" w14:textId="77777777" w:rsidR="00C030AE" w:rsidRDefault="00EA12AB" w:rsidP="00EA12AB">
      <w:pPr>
        <w:pStyle w:val="SingleTxtG"/>
      </w:pPr>
      <w:r w:rsidRPr="00EA12AB">
        <w:t>206.</w:t>
      </w:r>
      <w:r w:rsidRPr="00EA12AB">
        <w:tab/>
        <w:t>В палестинском законодательстве предусмотрены гарантии индивидуальной мобильности инвалидов.</w:t>
      </w:r>
      <w:r w:rsidR="00C030AE">
        <w:t xml:space="preserve"> </w:t>
      </w:r>
      <w:r w:rsidRPr="00EA12AB">
        <w:t xml:space="preserve">Так, в статье 16 Закона о правах инвалидов говорится, что Министерство транспорта будет стремиться создать </w:t>
      </w:r>
      <w:bookmarkStart w:id="17" w:name="_Hlk40713525"/>
      <w:r w:rsidRPr="00EA12AB">
        <w:t xml:space="preserve">благоприятные условия </w:t>
      </w:r>
      <w:bookmarkEnd w:id="17"/>
      <w:r w:rsidRPr="00EA12AB">
        <w:t>для содействия мобильности инвалидов, включая специальную скидку на проезд в общественном транспорте для них и лиц, ухаживающих за ними. Статья 17 подзаконного акта уточняет это, указывая, что Министерство транспорта в координации с Министерством социальных дел стремится создать благоприятные условия для обеспечения мобильности инвалидов следующим образом: установка знаков, указывающих на инвалидность, на общественных парковках, включая автостоянки и автобусные остановки; предоставление специально оборудованных автобусов для инвалидов на основных маршрутах; распространение информации о дорожном движении среди водителей; и просвещение общественности по вопросам того, как помочь людям с ограниченными возможностями пользоваться общественным транспортом.</w:t>
      </w:r>
      <w:r w:rsidR="00C030AE">
        <w:t xml:space="preserve"> </w:t>
      </w:r>
    </w:p>
    <w:p w14:paraId="7101ACA7" w14:textId="77777777" w:rsidR="00C030AE" w:rsidRDefault="00EA12AB" w:rsidP="00EA12AB">
      <w:pPr>
        <w:pStyle w:val="SingleTxtG"/>
      </w:pPr>
      <w:r w:rsidRPr="00EA12AB">
        <w:t>207.</w:t>
      </w:r>
      <w:r w:rsidRPr="00EA12AB">
        <w:tab/>
        <w:t>Действуя в партнерстве с министерствами транспорта, финансов и здравоохранения, Министерство социального развития предлагает освобождение инвалидов от таможенной пошлины. Сформирован комитет по освобождению от уплаты таможенных пошлин, который собирается раз в две недели для рассмотрения заявлений об освобождении от уплаты и изучения статуса заявителей, обращающихся лично или через доверенных лиц.</w:t>
      </w:r>
      <w:r w:rsidR="00C030AE">
        <w:t xml:space="preserve"> </w:t>
      </w:r>
    </w:p>
    <w:p w14:paraId="684989C3" w14:textId="77777777" w:rsidR="00C030AE" w:rsidRDefault="00EA12AB" w:rsidP="00EA12AB">
      <w:pPr>
        <w:pStyle w:val="SingleTxtG"/>
      </w:pPr>
      <w:r w:rsidRPr="00EA12AB">
        <w:t>208.</w:t>
      </w:r>
      <w:r w:rsidRPr="00EA12AB">
        <w:tab/>
        <w:t>Закон о дорожном движении № 5 (2000 год) и подзаконный акт к нему (с</w:t>
      </w:r>
      <w:r w:rsidR="008552D1">
        <w:rPr>
          <w:lang w:val="en-US"/>
        </w:rPr>
        <w:t> </w:t>
      </w:r>
      <w:r w:rsidRPr="00EA12AB">
        <w:t>поправками) гарантируют право инвалида на получение водительских прав. Кроме того, Закон предусматривает оплату символического лицензионного сбора за пользование транспортным средством</w:t>
      </w:r>
      <w:r w:rsidR="00573335">
        <w:rPr>
          <w:rStyle w:val="ab"/>
        </w:rPr>
        <w:endnoteReference w:id="40"/>
      </w:r>
      <w:r w:rsidRPr="00EA12AB">
        <w:t xml:space="preserve">. Статья 89 Закона посвящена лицензионным сборам за пользование транспортным средством, а в пункте 11 указан лицензионный сбор за частный автомобиль или мотоцикл, зарегистрированный на имя инвалида, в </w:t>
      </w:r>
      <w:r w:rsidRPr="00EA12AB">
        <w:lastRenderedPageBreak/>
        <w:t>размере пяти динаров или эквивалентной суммы в виде законного платежного средства. Эта статья противоречит пункту 2 статьи 6 Закона о правах инвалидов о личных транспортных средствах инвалидов, который предусматривает их освобождение от всех сборов, таможенных пошлин и налогов. Необходимо внести поправки во все законы, с тем чтобы они полностью соответствовали Конвенции.</w:t>
      </w:r>
    </w:p>
    <w:p w14:paraId="6836EADC" w14:textId="77777777" w:rsidR="00C030AE" w:rsidRDefault="00EA12AB" w:rsidP="00EA12AB">
      <w:pPr>
        <w:pStyle w:val="SingleTxtG"/>
      </w:pPr>
      <w:r w:rsidRPr="00EA12AB">
        <w:t>209.</w:t>
      </w:r>
      <w:r w:rsidRPr="00EA12AB">
        <w:tab/>
        <w:t>В соответствии с постановлением Кабинета министров № 24 (2006 год) о подзаконном акте, касающемся освобождения от уплаты таможенных пошлин и налогов с частных автомобилей, используемых инвалидами для личного пользования, в целях содействия реализации права на передвижение автомобиль, принадлежащий инвалиду, освобождается от уплаты таможенной пошлины. Инвалиды освобождаются от уплаты таможенных пошлин на свои транспортные средства в соответствии со статьей 2 вышеупомянутого подзаконного акта при соблюдении следующих условий:</w:t>
      </w:r>
    </w:p>
    <w:p w14:paraId="1DDCDEC7" w14:textId="77777777" w:rsidR="00C030AE" w:rsidRPr="006B4CDF" w:rsidRDefault="006B4CDF" w:rsidP="006B4CDF">
      <w:pPr>
        <w:pStyle w:val="SingleTxtG"/>
      </w:pPr>
      <w:r>
        <w:tab/>
      </w:r>
      <w:r>
        <w:tab/>
      </w:r>
      <w:r w:rsidR="00C030AE" w:rsidRPr="006B4CDF">
        <w:t>a)</w:t>
      </w:r>
      <w:r w:rsidR="00C030AE" w:rsidRPr="006B4CDF">
        <w:tab/>
      </w:r>
      <w:r w:rsidR="00EA12AB" w:rsidRPr="006B4CDF">
        <w:t>наличие официального подтверждения от Министерства транспорта (Инженерно-транспортного управления) в отношении того, что транспортное средство было специально модифицировано;</w:t>
      </w:r>
    </w:p>
    <w:p w14:paraId="3D5B3E80" w14:textId="77777777" w:rsidR="00C030AE" w:rsidRPr="006B4CDF" w:rsidRDefault="006B4CDF" w:rsidP="006B4CDF">
      <w:pPr>
        <w:pStyle w:val="SingleTxtG"/>
      </w:pPr>
      <w:r>
        <w:tab/>
      </w:r>
      <w:r>
        <w:tab/>
      </w:r>
      <w:r w:rsidR="00C030AE" w:rsidRPr="006B4CDF">
        <w:t>b)</w:t>
      </w:r>
      <w:r w:rsidR="00C030AE" w:rsidRPr="006B4CDF">
        <w:tab/>
      </w:r>
      <w:r w:rsidR="00EA12AB" w:rsidRPr="006B4CDF">
        <w:t>данное лицо обладает хорошими рефлексами и функциональными возможностями верхней части тела, а также не имеет ограничений по зрению и умственному развитию;</w:t>
      </w:r>
    </w:p>
    <w:p w14:paraId="707995E7" w14:textId="77777777" w:rsidR="00C030AE" w:rsidRDefault="006B4CDF" w:rsidP="006B4CDF">
      <w:pPr>
        <w:pStyle w:val="SingleTxtG"/>
      </w:pPr>
      <w:r>
        <w:tab/>
      </w:r>
      <w:r>
        <w:tab/>
      </w:r>
      <w:r w:rsidR="00EA12AB" w:rsidRPr="006B4CDF">
        <w:t>c)</w:t>
      </w:r>
      <w:r w:rsidR="00EA12AB" w:rsidRPr="006B4CDF">
        <w:tab/>
        <w:t>данное лицо имеет действительное водительское удостоверение, выданное уполномоченным</w:t>
      </w:r>
      <w:r w:rsidR="00EA12AB" w:rsidRPr="00EA12AB">
        <w:t xml:space="preserve"> на это органом Министерства транспорта и коммуникаций.</w:t>
      </w:r>
      <w:r w:rsidR="00C030AE">
        <w:t xml:space="preserve"> </w:t>
      </w:r>
    </w:p>
    <w:p w14:paraId="0378C438" w14:textId="77777777" w:rsidR="00C030AE" w:rsidRDefault="006B4CDF" w:rsidP="00EA12AB">
      <w:pPr>
        <w:pStyle w:val="SingleTxtG"/>
      </w:pPr>
      <w:r>
        <w:tab/>
      </w:r>
      <w:r>
        <w:tab/>
      </w:r>
      <w:r w:rsidR="00EA12AB" w:rsidRPr="00EA12AB">
        <w:t>Следует отметить, что в отношении транспортных средств, оборудованных для управления не ногами, а руками, делается исключение.</w:t>
      </w:r>
    </w:p>
    <w:p w14:paraId="4B0C5137" w14:textId="77777777" w:rsidR="00C030AE" w:rsidRDefault="00EA12AB" w:rsidP="00EA12AB">
      <w:pPr>
        <w:pStyle w:val="SingleTxtG"/>
      </w:pPr>
      <w:r w:rsidRPr="00EA12AB">
        <w:t>210.</w:t>
      </w:r>
      <w:r w:rsidRPr="00EA12AB">
        <w:tab/>
        <w:t>В этот подзаконный акт были внесены поправки постановлением Кабинета министров № 7 (2010</w:t>
      </w:r>
      <w:r w:rsidR="00E70A89" w:rsidRPr="00E70A89">
        <w:t xml:space="preserve"> </w:t>
      </w:r>
      <w:r w:rsidR="00E70A89">
        <w:t>год</w:t>
      </w:r>
      <w:r w:rsidRPr="00EA12AB">
        <w:t>) о подзаконном акте путем добавления новой статьи, позволяющей родителю/опекуну инвалида первой степени получить освобождение от уплаты таможенной пошлины за частный автомобиль для личного пользования при условии, что от Министерства социальных дел будет получено заключение социального работника по данному лицу. Процесс выдачи заключения включает в себя подачу инвалидом заявления в Министерство социального развития, которое в свою очередь направляет заявление в медицинскую комиссию для получения заключения о состоянии здоровья этого лица. Затем Министерство социального развития направляет заявление с приложенным медицинским заключением в комитет по освобождению от уплаты таможенных пошлин, который принимает соответствующее решение, если все условия соблюдены.</w:t>
      </w:r>
    </w:p>
    <w:p w14:paraId="32947FA7" w14:textId="77777777" w:rsidR="00C030AE" w:rsidRDefault="00EA12AB" w:rsidP="00EA12AB">
      <w:pPr>
        <w:pStyle w:val="SingleTxtG"/>
      </w:pPr>
      <w:r w:rsidRPr="00EA12AB">
        <w:t>211.</w:t>
      </w:r>
      <w:r w:rsidRPr="00EA12AB">
        <w:tab/>
        <w:t>В феврале 2012 года Министерством социального развития и комитетом по освобождению от уплаты таможенных пошлин было подготовлено Руководство по порядку освобождения инвалидов от уплаты таможенных пошлин. Оно было одобрено Премьер-министром и официально принято. Освобождение от уплаты таможенных пошлин предоставляется инвалидам в соответствии с условиями, изложенными в Руководстве.</w:t>
      </w:r>
    </w:p>
    <w:p w14:paraId="05F1E6E3" w14:textId="77777777" w:rsidR="00C030AE" w:rsidRDefault="00EA12AB" w:rsidP="00EA12AB">
      <w:pPr>
        <w:pStyle w:val="SingleTxtG"/>
      </w:pPr>
      <w:r w:rsidRPr="00EA12AB">
        <w:t>212.</w:t>
      </w:r>
      <w:r w:rsidRPr="00EA12AB">
        <w:tab/>
        <w:t xml:space="preserve">Всего за период с 2007 года по конец июля 2018 года было предоставлено </w:t>
      </w:r>
      <w:r w:rsidR="008552D1">
        <w:br/>
      </w:r>
      <w:r w:rsidRPr="00EA12AB">
        <w:t>6</w:t>
      </w:r>
      <w:r w:rsidR="00E70A89">
        <w:t> </w:t>
      </w:r>
      <w:r w:rsidRPr="00EA12AB">
        <w:t>596 таможенных льгот.</w:t>
      </w:r>
      <w:r w:rsidR="00C030AE">
        <w:t xml:space="preserve"> </w:t>
      </w:r>
      <w:r w:rsidRPr="00EA12AB">
        <w:t>В 2017 году освобождение от таможенных пошлин было предоставлено примерно 800 лицам, а до октября 2018 года – 552 лицам.</w:t>
      </w:r>
    </w:p>
    <w:p w14:paraId="2C33554D" w14:textId="77777777" w:rsidR="00C030AE" w:rsidRDefault="00EA12AB" w:rsidP="00EA12AB">
      <w:pPr>
        <w:pStyle w:val="SingleTxtG"/>
      </w:pPr>
      <w:r w:rsidRPr="00EA12AB">
        <w:t>213.</w:t>
      </w:r>
      <w:r w:rsidRPr="00EA12AB">
        <w:tab/>
        <w:t xml:space="preserve">Министерство социального развития сталкивается с рядом проблем, связанных с таможенными льготами, в том числе с продажей льгот лицам, не являющимся инвалидами. Для преодоления таких трудностей необходимо выполнить несколько условий и подписать обязательства со стороны лиц, добивающихся освобождения от уплаты таможенных пошлин. Суды запрещают агентствам получать права на опеку и регламентируют заключение договора купли-продажи автомобиля на имя инвалида. Следует отметить, что именно полиция и таможенные органы несут ответственность за проведение инспекций. Кроме того, заключения медицинских комиссий иногда бывают неясными или неточными. В случае возникновения каких-либо сомнений по поводу заявления или медицинского заключения, инвалид приглашается на собеседование комитетом по освобождению от пошлин под председательством </w:t>
      </w:r>
      <w:r w:rsidRPr="00EA12AB">
        <w:lastRenderedPageBreak/>
        <w:t>Министерства финансов и в составе представителей Министерства социального развития, Министерства здравоохранения, Министерства транспорта и коммуникаций и Всеобщего союза инвалидов. Этим комитетом, который имеет право отменить решение двух других комитетов, проводится тщательная экспертиза.</w:t>
      </w:r>
    </w:p>
    <w:p w14:paraId="485C45B6" w14:textId="77777777" w:rsidR="00C030AE" w:rsidRDefault="00EA12AB" w:rsidP="00EA12AB">
      <w:pPr>
        <w:pStyle w:val="SingleTxtG"/>
      </w:pPr>
      <w:r w:rsidRPr="00EA12AB">
        <w:t>214.</w:t>
      </w:r>
      <w:r w:rsidRPr="00EA12AB">
        <w:tab/>
        <w:t>Дальнейшие усовершенствования режима таможенных льгот включают в себя принятие проекта положения о внесении изменений в действующее положение об освобождении от уплаты таможенных пошлин в соответствии с изменениями в правах инвалидов, в том числе предоставление освобождения от уплаты таможенных пошлин слепым и другим группам, включенным в действующее положение, а также наделение комитета исключительными полномочиями, позволяющими ему предоставлять освобождение по своему усмотрению, даже если обычные критерии неприменимы, например в случае тяжелого психического расстройства. Планируется провести электронное архивирование дел, для чего Министерству социального развития понадобятся специалисты.</w:t>
      </w:r>
    </w:p>
    <w:p w14:paraId="16EB2FAF" w14:textId="77777777" w:rsidR="00C030AE" w:rsidRDefault="00EA12AB" w:rsidP="00EA12AB">
      <w:pPr>
        <w:pStyle w:val="SingleTxtG"/>
      </w:pPr>
      <w:r w:rsidRPr="00EA12AB">
        <w:t>215.</w:t>
      </w:r>
      <w:r w:rsidRPr="00EA12AB">
        <w:tab/>
        <w:t>В сотрудничестве с Министерством транспорта и коммуникаций Министерство социального развития эксплуатировало специально адаптированные автобусы для использования инвалидами на контрольно-пропускном пункте Караме между Палестиной и Иорданией. Работая в координации с частной компанией, Министерство эксплуатировало два таких автобуса. Однако это обслуживание была прекращено в результате мер, принятых Израилем, оккупирующей державой.</w:t>
      </w:r>
    </w:p>
    <w:p w14:paraId="57911AE0" w14:textId="77777777" w:rsidR="00C030AE" w:rsidRDefault="00EA12AB" w:rsidP="00EA12AB">
      <w:pPr>
        <w:pStyle w:val="SingleTxtG"/>
      </w:pPr>
      <w:r w:rsidRPr="00EA12AB">
        <w:t>216.</w:t>
      </w:r>
      <w:r w:rsidRPr="00EA12AB">
        <w:tab/>
        <w:t xml:space="preserve">Министерство транспорта и коммуникаций предлагает дополнительные курсы подготовки водителей для получения водительских прав на управление общественным транспортом. Курсы включают компоненты, касающиеся практических навыков, необходимых для работы с инвалидами и их </w:t>
      </w:r>
      <w:proofErr w:type="spellStart"/>
      <w:r w:rsidRPr="00EA12AB">
        <w:t>ассистивными</w:t>
      </w:r>
      <w:proofErr w:type="spellEnd"/>
      <w:r w:rsidRPr="00EA12AB">
        <w:t xml:space="preserve"> устройствами.</w:t>
      </w:r>
    </w:p>
    <w:p w14:paraId="74C0D618" w14:textId="77777777" w:rsidR="00C030AE" w:rsidRDefault="00EA12AB" w:rsidP="00EA12AB">
      <w:pPr>
        <w:pStyle w:val="SingleTxtG"/>
      </w:pPr>
      <w:r w:rsidRPr="00EA12AB">
        <w:t>217.</w:t>
      </w:r>
      <w:r w:rsidRPr="00EA12AB">
        <w:tab/>
        <w:t>В рамках программы повышения качества автобусного сообщения на Западном берегу Министерство транспорта и коммуникаций стремится обеспечить долгосрочное техническое обслуживание своего автобусного парка и повысить финансовую устойчивость сектора в долгосрочной перспективе путем проведения определенных реформ. Это вписывается в стратегию Министерства, направленную на развитие транспортного сектора и повышение уровня обслуживания, с тем чтобы они соответствовали наиболее эффективным международным принципам и практике.</w:t>
      </w:r>
    </w:p>
    <w:p w14:paraId="24E244F1" w14:textId="77777777" w:rsidR="00C030AE" w:rsidRDefault="00EA12AB" w:rsidP="00EA12AB">
      <w:pPr>
        <w:pStyle w:val="SingleTxtG"/>
      </w:pPr>
      <w:r w:rsidRPr="00EA12AB">
        <w:t>218.</w:t>
      </w:r>
      <w:r w:rsidRPr="00EA12AB">
        <w:tab/>
        <w:t xml:space="preserve">Министерство транспорта и коммуникаций осуществляет правовые положения, изложенные в Законе о транспорте (2000 год), взимая фиксированную плату в размере пяти динаров вместо сниженного лицензионного сбора за транспортное средство, зарегистрированное на имя инвалида. Министерство также осуществляет положения о регистрации и лицензировании транспортных средств на имя инвалида в тех случаях, когда такие правовые положения применимы. В настоящее время Министерство финансов разрабатывает политику освобождения от уплаты таможенных пошлин. </w:t>
      </w:r>
    </w:p>
    <w:p w14:paraId="177B8C86" w14:textId="77777777" w:rsidR="00C030AE" w:rsidRDefault="00EA12AB" w:rsidP="00EA12AB">
      <w:pPr>
        <w:pStyle w:val="SingleTxtG"/>
      </w:pPr>
      <w:r w:rsidRPr="00EA12AB">
        <w:t>219.</w:t>
      </w:r>
      <w:r w:rsidRPr="00EA12AB">
        <w:tab/>
        <w:t xml:space="preserve">Министерство транспорта и коммуникаций принимает следующие меры по применению и использованию </w:t>
      </w:r>
      <w:r w:rsidR="008E2BCB">
        <w:t>«</w:t>
      </w:r>
      <w:r w:rsidRPr="00EA12AB">
        <w:t>умных</w:t>
      </w:r>
      <w:r w:rsidR="008E2BCB">
        <w:t>»</w:t>
      </w:r>
      <w:r w:rsidRPr="00EA12AB">
        <w:t xml:space="preserve"> транспортных систем в транспортном секторе на двух уровнях:</w:t>
      </w:r>
    </w:p>
    <w:p w14:paraId="79CAA247" w14:textId="77777777" w:rsidR="00C030AE" w:rsidRPr="006B4CDF" w:rsidRDefault="00EA12AB" w:rsidP="006B4CDF">
      <w:pPr>
        <w:pStyle w:val="Bullet1G"/>
      </w:pPr>
      <w:r w:rsidRPr="00EA12AB">
        <w:t xml:space="preserve">Кабинет министров создал </w:t>
      </w:r>
      <w:r w:rsidRPr="006B4CDF">
        <w:t xml:space="preserve">группу, поручив ей рассмотреть окончательный проект стратегических рамок для </w:t>
      </w:r>
      <w:r w:rsidR="008E2BCB">
        <w:t>«</w:t>
      </w:r>
      <w:r w:rsidRPr="006B4CDF">
        <w:t>умной</w:t>
      </w:r>
      <w:r w:rsidR="008E2BCB">
        <w:t>»</w:t>
      </w:r>
      <w:r w:rsidRPr="006B4CDF">
        <w:t xml:space="preserve"> транспортной системы, который будет представлен на утверждение Кабинета</w:t>
      </w:r>
      <w:r w:rsidR="00E70A89">
        <w:t>;</w:t>
      </w:r>
    </w:p>
    <w:p w14:paraId="6DC0876F" w14:textId="77777777" w:rsidR="00C030AE" w:rsidRDefault="00E70A89" w:rsidP="006B4CDF">
      <w:pPr>
        <w:pStyle w:val="Bullet1G"/>
      </w:pPr>
      <w:r w:rsidRPr="006B4CDF">
        <w:t>в</w:t>
      </w:r>
      <w:r w:rsidR="00EA12AB" w:rsidRPr="006B4CDF">
        <w:t xml:space="preserve"> свете своего активного участия в финансируемом Европейским союзом проекте </w:t>
      </w:r>
      <w:r w:rsidR="008E2BCB">
        <w:t>«</w:t>
      </w:r>
      <w:proofErr w:type="spellStart"/>
      <w:r w:rsidR="00EA12AB" w:rsidRPr="006B4CDF">
        <w:t>ЕвроМед</w:t>
      </w:r>
      <w:proofErr w:type="spellEnd"/>
      <w:r w:rsidR="008E2BCB">
        <w:t>»</w:t>
      </w:r>
      <w:r w:rsidR="00EA12AB" w:rsidRPr="006B4CDF">
        <w:t xml:space="preserve"> по оказанию поддержки в области транспорта Министерство создало контактный центр по проекту </w:t>
      </w:r>
      <w:r w:rsidR="008E2BCB">
        <w:t>«</w:t>
      </w:r>
      <w:r w:rsidR="00EA12AB" w:rsidRPr="006B4CDF">
        <w:t>умный транспорт</w:t>
      </w:r>
      <w:r w:rsidR="008E2BCB">
        <w:t>»</w:t>
      </w:r>
      <w:r w:rsidR="00EA12AB" w:rsidRPr="006B4CDF">
        <w:t xml:space="preserve"> и представило доклад о положении дел в области </w:t>
      </w:r>
      <w:r w:rsidR="008E2BCB">
        <w:t>«</w:t>
      </w:r>
      <w:r w:rsidR="00EA12AB" w:rsidRPr="006B4CDF">
        <w:t>умного транспорта</w:t>
      </w:r>
      <w:r w:rsidR="008E2BCB">
        <w:t>»</w:t>
      </w:r>
      <w:r w:rsidR="00EA12AB" w:rsidRPr="006B4CDF">
        <w:t xml:space="preserve"> в Палестине, отметив при этом имеющиеся проблемы и потребности</w:t>
      </w:r>
      <w:r w:rsidR="00573335">
        <w:rPr>
          <w:rStyle w:val="ab"/>
        </w:rPr>
        <w:endnoteReference w:id="41"/>
      </w:r>
      <w:r w:rsidR="00EA12AB" w:rsidRPr="006B4CDF">
        <w:t xml:space="preserve">. План реализации этого проекта будет включать меры по использованию </w:t>
      </w:r>
      <w:r w:rsidR="008E2BCB">
        <w:t>«</w:t>
      </w:r>
      <w:r w:rsidR="00EA12AB" w:rsidRPr="006B4CDF">
        <w:t>умных</w:t>
      </w:r>
      <w:r w:rsidR="008E2BCB">
        <w:t>»</w:t>
      </w:r>
      <w:r w:rsidR="00EA12AB" w:rsidRPr="006B4CDF">
        <w:t xml:space="preserve"> транспортных систем, которые</w:t>
      </w:r>
      <w:r w:rsidR="00EA12AB" w:rsidRPr="00EA12AB">
        <w:t xml:space="preserve"> положительно скажутся на транспортном секторе Палестины.</w:t>
      </w:r>
    </w:p>
    <w:p w14:paraId="0E18A118" w14:textId="77777777" w:rsidR="00C030AE" w:rsidRDefault="00EA12AB" w:rsidP="00EA12AB">
      <w:pPr>
        <w:pStyle w:val="SingleTxtG"/>
      </w:pPr>
      <w:r w:rsidRPr="00EA12AB">
        <w:t>220.</w:t>
      </w:r>
      <w:r w:rsidRPr="00EA12AB">
        <w:tab/>
        <w:t xml:space="preserve">В связи с доступом инвалидов к гуманитарной помощи и посредникам Министерством социального развития и соответствующими министерствами были проведены совместные консультации с целью обсуждения наилучших способов </w:t>
      </w:r>
      <w:r w:rsidRPr="00EA12AB">
        <w:lastRenderedPageBreak/>
        <w:t>координации услуг и поощрения социальной справедливости за счет комплексной политики, основанной на карточке инвалида. Обсуждался также вопрос о создании внутреннего комитета в составе представителей всех соответствующих ведомств для разработки сценариев и практических шагов согласно нормам законности и правопорядка.</w:t>
      </w:r>
    </w:p>
    <w:p w14:paraId="61E8BB42" w14:textId="77777777" w:rsidR="00C030AE" w:rsidRDefault="00EA12AB" w:rsidP="00EA12AB">
      <w:pPr>
        <w:pStyle w:val="SingleTxtG"/>
      </w:pPr>
      <w:r w:rsidRPr="00EA12AB">
        <w:t>221.</w:t>
      </w:r>
      <w:r w:rsidRPr="00EA12AB">
        <w:tab/>
        <w:t xml:space="preserve">Проблема предоставления льготных транспортных билетов инвалидам заключается в том, что транспортная система принадлежит частному сектору и управляется им, и, естественно, основная цель оператора состоит в том, чтобы получать прибыль от услуги, которую он </w:t>
      </w:r>
      <w:bookmarkStart w:id="18" w:name="_Hlk39472233"/>
      <w:r w:rsidRPr="00EA12AB">
        <w:t>предоставля</w:t>
      </w:r>
      <w:bookmarkEnd w:id="18"/>
      <w:r w:rsidRPr="00EA12AB">
        <w:t>ет по поручению Министерства. Кроме того, правительство не может просто предлагать билеты со скидкой определенным группам, поскольку транспортные операторы не используют систему продажи билетов, которая бы предоставляла билеты инвалидам, что затрудняет определение Министерством доли оператора и того, каким образом правительство должно покрывать остальную часть расходов. Помимо этого, не налажена достаточно четкая координация между Всеобщим союзом инвалидов и операторами. В настоящее время Министерство работает над внедрением системы карточек для инвалидов и учащихся, которая позволит предлагать билеты по сниженным ценам.</w:t>
      </w:r>
    </w:p>
    <w:p w14:paraId="3864ACE4" w14:textId="77777777" w:rsidR="00C030AE" w:rsidRDefault="00EA12AB" w:rsidP="00EA12AB">
      <w:pPr>
        <w:pStyle w:val="SingleTxtG"/>
      </w:pPr>
      <w:r w:rsidRPr="00EA12AB">
        <w:t>222.</w:t>
      </w:r>
      <w:r w:rsidRPr="00EA12AB">
        <w:tab/>
        <w:t>Примерно 2</w:t>
      </w:r>
      <w:r w:rsidR="008552D1">
        <w:rPr>
          <w:lang w:val="en-US"/>
        </w:rPr>
        <w:t> </w:t>
      </w:r>
      <w:r w:rsidRPr="00EA12AB">
        <w:t>694 транспортных средства зарегистрированы в Министерстве транспорта и коммуникаций как принадлежащие инвалидам, в то время как соответствующие разрешения выданы инвалидам в отношении 2</w:t>
      </w:r>
      <w:r w:rsidR="008552D1">
        <w:rPr>
          <w:lang w:val="en-US"/>
        </w:rPr>
        <w:t> </w:t>
      </w:r>
      <w:r w:rsidRPr="00EA12AB">
        <w:t>555 транспортных средств.</w:t>
      </w:r>
    </w:p>
    <w:p w14:paraId="09497F79" w14:textId="77777777" w:rsidR="00C030AE" w:rsidRDefault="00EA12AB" w:rsidP="00EA12AB">
      <w:pPr>
        <w:pStyle w:val="SingleTxtG"/>
      </w:pPr>
      <w:r w:rsidRPr="00EA12AB">
        <w:t>223.</w:t>
      </w:r>
      <w:r w:rsidRPr="00EA12AB">
        <w:tab/>
        <w:t>Обследование, проведенное Палестинским центральным статистическим бюро в 2011 году, показывает, что 76,4</w:t>
      </w:r>
      <w:r w:rsidR="008552D1" w:rsidRPr="008552D1">
        <w:t>%</w:t>
      </w:r>
      <w:r w:rsidRPr="00EA12AB">
        <w:t xml:space="preserve"> инвалидов (75,5</w:t>
      </w:r>
      <w:r w:rsidR="008552D1" w:rsidRPr="008552D1">
        <w:t>%</w:t>
      </w:r>
      <w:r w:rsidRPr="00EA12AB">
        <w:t xml:space="preserve"> на Западном берегу и </w:t>
      </w:r>
      <w:r w:rsidR="004D39AA">
        <w:br/>
      </w:r>
      <w:r w:rsidRPr="00EA12AB">
        <w:t>78,1</w:t>
      </w:r>
      <w:r w:rsidR="004D39AA" w:rsidRPr="004D39AA">
        <w:t>%</w:t>
      </w:r>
      <w:r w:rsidRPr="00EA12AB">
        <w:t xml:space="preserve"> в секторе Газа) не пользуются общественным транспортом, поскольку в нем отсутствует необходимая инфраструктура для удовлетворения их потребностей. Этот сектор не субсидируется правительством, и расходы на адаптацию общественного транспорта для использования инвалидами являются непомерно высокими. Министерство транспорта и коммуникаций ввело специальную программу общественного транспорта для инвалидов с использованием транспортных средств, отвечающих требуемым техническим спецификациям с точки зрения </w:t>
      </w:r>
      <w:proofErr w:type="spellStart"/>
      <w:r w:rsidRPr="00EA12AB">
        <w:t>ассистивных</w:t>
      </w:r>
      <w:proofErr w:type="spellEnd"/>
      <w:r w:rsidRPr="00EA12AB">
        <w:t xml:space="preserve"> устройств, но только один человек в Вифлееме принял это предложение.</w:t>
      </w:r>
    </w:p>
    <w:p w14:paraId="63ABF3DC" w14:textId="77777777" w:rsidR="00C030AE" w:rsidRDefault="00EA12AB" w:rsidP="00EA12AB">
      <w:pPr>
        <w:pStyle w:val="SingleTxtG"/>
      </w:pPr>
      <w:r w:rsidRPr="00EA12AB">
        <w:t>224.</w:t>
      </w:r>
      <w:r w:rsidRPr="00EA12AB">
        <w:tab/>
        <w:t xml:space="preserve">В том что касается оказания практической помощи инвалидам, Министерство просвещения и высшего образования назначает сопровождающих лиц для учащихся-инвалидов, которые помогают им читать, писать и выполнять другие задачи. Кроме того, палестинское законодательство гарантирует инвалидам право доступа к различным </w:t>
      </w:r>
      <w:proofErr w:type="spellStart"/>
      <w:r w:rsidRPr="00EA12AB">
        <w:t>ассистивным</w:t>
      </w:r>
      <w:proofErr w:type="spellEnd"/>
      <w:r w:rsidRPr="00EA12AB">
        <w:t xml:space="preserve"> средствам и устройствам, обеспечивающим мобильность. Министерство в сотрудничестве с правительственными и неправительственными организациями и организациями гражданского общества, а также за счет периодической помощи из бюджетов по проектам стремится предоставлять </w:t>
      </w:r>
      <w:proofErr w:type="spellStart"/>
      <w:r w:rsidRPr="00EA12AB">
        <w:t>ассистивные</w:t>
      </w:r>
      <w:proofErr w:type="spellEnd"/>
      <w:r w:rsidRPr="00EA12AB">
        <w:t xml:space="preserve"> устройства и приспособления.</w:t>
      </w:r>
    </w:p>
    <w:p w14:paraId="56B733E2" w14:textId="77777777" w:rsidR="00C030AE" w:rsidRDefault="00EA12AB" w:rsidP="00EA12AB">
      <w:pPr>
        <w:pStyle w:val="SingleTxtG"/>
      </w:pPr>
      <w:r w:rsidRPr="00EA12AB">
        <w:t>225.</w:t>
      </w:r>
      <w:r w:rsidRPr="00EA12AB">
        <w:tab/>
        <w:t>В том что касается обеспечения устройствами, приспособлениями и другими технологиями, предназначенными для повышения мобильности инвалидов, Министерство социального развития при поддержке Фонда по спасению детей предоставило в 2015, 2017 и 2018 годах ноутбуки с синтезатором речи 99 учащимся с нарушениями зрения.</w:t>
      </w:r>
    </w:p>
    <w:p w14:paraId="4D4E53B2" w14:textId="77777777" w:rsidR="00C030AE" w:rsidRDefault="00EA12AB" w:rsidP="00EA12AB">
      <w:pPr>
        <w:pStyle w:val="SingleTxtG"/>
      </w:pPr>
      <w:r w:rsidRPr="00EA12AB">
        <w:t>226.</w:t>
      </w:r>
      <w:r w:rsidRPr="00EA12AB">
        <w:tab/>
        <w:t xml:space="preserve">Несколько НПО помогают улучшить мобильность, независимость, подготовку и обучение инвалидов путем предоставления им медицинского оборудования и </w:t>
      </w:r>
      <w:proofErr w:type="spellStart"/>
      <w:r w:rsidRPr="00EA12AB">
        <w:t>ассистивных</w:t>
      </w:r>
      <w:proofErr w:type="spellEnd"/>
      <w:r w:rsidRPr="00EA12AB">
        <w:t xml:space="preserve"> устройств. В таблице 7 показана стоимость основных модификаций при адаптации транспортных средств для использования инвалидами.</w:t>
      </w:r>
    </w:p>
    <w:p w14:paraId="50EDB166" w14:textId="77777777" w:rsidR="00C030AE" w:rsidRDefault="006B4CDF" w:rsidP="00C17D30">
      <w:pPr>
        <w:pStyle w:val="H1G"/>
      </w:pPr>
      <w:r>
        <w:tab/>
      </w:r>
      <w:r>
        <w:tab/>
      </w:r>
      <w:r w:rsidR="00EA12AB" w:rsidRPr="00EA12AB">
        <w:t>Статья 21</w:t>
      </w:r>
      <w:r>
        <w:br/>
      </w:r>
      <w:r w:rsidR="00EA12AB" w:rsidRPr="00EA12AB">
        <w:t>Свобода выражения мнения и убеждений и доступ к информации</w:t>
      </w:r>
    </w:p>
    <w:p w14:paraId="49BB78CF" w14:textId="77777777" w:rsidR="00C030AE" w:rsidRDefault="00EA12AB" w:rsidP="00EA12AB">
      <w:pPr>
        <w:pStyle w:val="SingleTxtG"/>
      </w:pPr>
      <w:r w:rsidRPr="00EA12AB">
        <w:t>227.</w:t>
      </w:r>
      <w:r w:rsidRPr="00EA12AB">
        <w:tab/>
        <w:t xml:space="preserve">Палестинское законодательство гарантирует всем свободу выражения мнения и убеждений. Кроме того, Палестина стремится облегчить доступ инвалидов к </w:t>
      </w:r>
      <w:r w:rsidRPr="00EA12AB">
        <w:lastRenderedPageBreak/>
        <w:t>информации. Закон о правах инвалидов прямо гласит, что государство должно выделять средства для использования языка жестов. Кроме того, в статье 17 этого Закона предусматривается, что Министерство телекоммуникаций должно принимать меры по созданию необходимых условий для того, чтобы инвалиды могли пользоваться телекоммуникационным оборудованием, устройствами и приспособлениями.</w:t>
      </w:r>
    </w:p>
    <w:p w14:paraId="38168679" w14:textId="77777777" w:rsidR="00C030AE" w:rsidRDefault="00EA12AB" w:rsidP="00EA12AB">
      <w:pPr>
        <w:pStyle w:val="SingleTxtG"/>
      </w:pPr>
      <w:r w:rsidRPr="00EA12AB">
        <w:t>228.</w:t>
      </w:r>
      <w:r w:rsidRPr="00EA12AB">
        <w:tab/>
        <w:t>В соответствии со статьей 18 подзаконного акта Министерство телекоммуникаций обязано предоставлять инвалидам средства для пользования Интернетом, модифицированные общественные телефоны и процентную скидку на их телефонные счета, которая должна определяться по согласованию с Министерством социального развития. В соответствии со статьей 15 подзаконного акта Министерство социального развития обязано ввести использование языка жестов в государственных и негосударственных учреждениях в соответствии с планом, разработанным в сотрудничестве с соответствующими государственными органами.</w:t>
      </w:r>
    </w:p>
    <w:p w14:paraId="5331B1AA" w14:textId="77777777" w:rsidR="00C030AE" w:rsidRDefault="00EA12AB" w:rsidP="00EA12AB">
      <w:pPr>
        <w:pStyle w:val="SingleTxtG"/>
      </w:pPr>
      <w:r w:rsidRPr="00EA12AB">
        <w:t>229.</w:t>
      </w:r>
      <w:r w:rsidRPr="00EA12AB">
        <w:tab/>
        <w:t>Кроме того, Всеобщий совет по кадровым вопросам создал должность сурдопереводчика с целью улучшения обслуживания лиц с нарушениями слуха и содействия их интеграции в общество.</w:t>
      </w:r>
    </w:p>
    <w:p w14:paraId="34799B34" w14:textId="77777777" w:rsidR="00C030AE" w:rsidRDefault="00EA12AB" w:rsidP="00EA12AB">
      <w:pPr>
        <w:pStyle w:val="SingleTxtG"/>
      </w:pPr>
      <w:r w:rsidRPr="00EA12AB">
        <w:t>230.</w:t>
      </w:r>
      <w:r w:rsidRPr="00EA12AB">
        <w:tab/>
        <w:t>Министерство информации подготовило план для сектора инвалидности на основе трех стратегических целей: более широкое освещение проблем инвалидности в средствах массовой информации; содействие социальной и институциональной восприимчивости к проблемам инвалидности; и повышение осведомленности инвалидов об их законных правах и предоставляемых им услугах. Для достижения этих целей деятельность была сосредоточена на сотрудничестве и сетевом взаимодействии между организациями инвалидов и средствами массовой информации, и было организовано несколько семинаров по повышению осведомленности. Несмотря на слабое понимание роли Министерства информации со стороны организаций, работающих с инвалидами, Министерство в партнерстве с несколькими организациями инвалидов создало координационную структуру – сеть поддержки сектора СМИ по вопросам инвалидности. Однако эта деятельность была временно приостановлена в связи с внутренними обстоятельствами в соответствующих организациях.</w:t>
      </w:r>
    </w:p>
    <w:p w14:paraId="3843E891" w14:textId="77777777" w:rsidR="00C030AE" w:rsidRDefault="00EA12AB" w:rsidP="00EA12AB">
      <w:pPr>
        <w:pStyle w:val="SingleTxtG"/>
      </w:pPr>
      <w:r w:rsidRPr="00EA12AB">
        <w:t>231.</w:t>
      </w:r>
      <w:r w:rsidRPr="00EA12AB">
        <w:tab/>
        <w:t>Министерство информации стремится освещать вопросы, касающиеся инвалидности, готовит план для этого сектора, проводит мероприятия и семинары для групп инвалидов, а также сотрудничает и координирует свою деятельность с организациями средств массовой информации. Оно также распространило руководство для работников и организаций средств массовой информации о том, как освещать вопросы инвалидности с точки зрения прав человека.</w:t>
      </w:r>
    </w:p>
    <w:p w14:paraId="203DD1E1" w14:textId="77777777" w:rsidR="00C030AE" w:rsidRDefault="00EA12AB" w:rsidP="00EA12AB">
      <w:pPr>
        <w:pStyle w:val="SingleTxtG"/>
      </w:pPr>
      <w:r w:rsidRPr="00EA12AB">
        <w:t>232.</w:t>
      </w:r>
      <w:r w:rsidRPr="00EA12AB">
        <w:tab/>
        <w:t>Наиболее серьезная проблема заключается в отсутствии надлежащей координации между организациями инвалидов по отношению к средствам массовой информации.</w:t>
      </w:r>
    </w:p>
    <w:p w14:paraId="7EA957FC" w14:textId="77777777" w:rsidR="00C030AE" w:rsidRDefault="00EA12AB" w:rsidP="00EA12AB">
      <w:pPr>
        <w:pStyle w:val="SingleTxtG"/>
      </w:pPr>
      <w:r w:rsidRPr="00EA12AB">
        <w:t>233.</w:t>
      </w:r>
      <w:r w:rsidRPr="00EA12AB">
        <w:tab/>
        <w:t xml:space="preserve">В том что касается права на доступ к информации в Государстве Палестина, в стране имеются три основных информационных канала: радио, Интернет и спутниковое телевидение. Лица с нарушениями слуха имеют доступ к информации через Интернет. По сути, они являются наиболее активными пользователями социальных медиа-платформ ввиду ограниченной полезности телевидения из-за отсутствия сурдоперевода и субтитров к зарубежным программам. </w:t>
      </w:r>
    </w:p>
    <w:p w14:paraId="41A1680A" w14:textId="77777777" w:rsidR="00C030AE" w:rsidRDefault="00EA12AB" w:rsidP="00EA12AB">
      <w:pPr>
        <w:pStyle w:val="SingleTxtG"/>
      </w:pPr>
      <w:r w:rsidRPr="00EA12AB">
        <w:t>234.</w:t>
      </w:r>
      <w:r w:rsidRPr="00EA12AB">
        <w:tab/>
        <w:t>В основном инвалиды по зрению имеют доступ к информации по радио, которое является самым популярным средством массовой информации в Палестине. Телевидение менее популярно, и они редко пользуются Интернетом, предпочитая специальные компьютеры для людей с нарушениями зрения. Лица с другими формами инвалидности имеют доступ ко всем средствам массовой информации, и даже самые бедные могут слушать радио, которое, в отличие от Интернета, не требует месячной подписки. Таким образом, все инвалиды имеют доступ по крайней мере к одному средству массовой информации.</w:t>
      </w:r>
    </w:p>
    <w:p w14:paraId="68212D75" w14:textId="77777777" w:rsidR="00C030AE" w:rsidRDefault="00EA12AB" w:rsidP="00EA12AB">
      <w:pPr>
        <w:pStyle w:val="SingleTxtG"/>
      </w:pPr>
      <w:r w:rsidRPr="00EA12AB">
        <w:lastRenderedPageBreak/>
        <w:t>235.</w:t>
      </w:r>
      <w:r w:rsidRPr="00EA12AB">
        <w:tab/>
        <w:t>В стратегии в области телекоммуникаций и информационных технологий (2017–2022</w:t>
      </w:r>
      <w:r w:rsidR="00594A90">
        <w:t> </w:t>
      </w:r>
      <w:r w:rsidRPr="00EA12AB">
        <w:t>годы) предусмотрена ключевая политика: использование информационных технологий для расширения прав и возможностей лиц с особыми потребностями, предусматривающая сотрудничество с соответствующими организациями в целях разработки программ по использованию средств ИКТ в интересах инвалидов, а также программ, направленных на интеграцию инвалидов в рынок труда. Эти мероприятия будут осуществляться в течение всего срока действия стратегии.</w:t>
      </w:r>
    </w:p>
    <w:p w14:paraId="5BD9DBEF" w14:textId="77777777" w:rsidR="00EA12AB" w:rsidRPr="00EA12AB" w:rsidRDefault="00EA12AB" w:rsidP="00EA12AB">
      <w:pPr>
        <w:pStyle w:val="SingleTxtG"/>
      </w:pPr>
      <w:r w:rsidRPr="00EA12AB">
        <w:t>236.</w:t>
      </w:r>
      <w:r w:rsidRPr="00EA12AB">
        <w:tab/>
        <w:t>Правительство оборудовало девять почтовых отделений со специальным входом для лиц с нарушениями опорно-двигательного аппарата и установило лифт в международном обменном пункте в Иерихоне. Были произведены изменения в основном офисе Министерства и его отделениях, с тем чтобы обеспечить доступ для инвалидов. Кроме того, выпуск почтовой марки, посвященной Международному дню инвалидов, повысил моральный дух таких лиц.</w:t>
      </w:r>
      <w:r w:rsidR="00C030AE">
        <w:t xml:space="preserve"> </w:t>
      </w:r>
    </w:p>
    <w:p w14:paraId="4FD75862" w14:textId="77777777" w:rsidR="00C030AE" w:rsidRDefault="00EA12AB" w:rsidP="00EA12AB">
      <w:pPr>
        <w:pStyle w:val="SingleTxtG"/>
      </w:pPr>
      <w:r w:rsidRPr="00EA12AB">
        <w:t>237.</w:t>
      </w:r>
      <w:r w:rsidRPr="00EA12AB">
        <w:tab/>
        <w:t>Палестинские телекоммуникационные компании подготовили специальные программы для инвалидов, включая скидки до 25% в зависимости от степени инвалидности, подтвержденной в заверенном медицинском заключении. Кроме того, во всех телекоммуникационных компаниях были установлены специальные входы для облегчения доступа лиц, испытывающих трудности, в здания компаний и сервисных центров.</w:t>
      </w:r>
    </w:p>
    <w:p w14:paraId="13668B69" w14:textId="77777777" w:rsidR="00C030AE" w:rsidRDefault="00EA12AB" w:rsidP="00EA12AB">
      <w:pPr>
        <w:pStyle w:val="SingleTxtG"/>
      </w:pPr>
      <w:r w:rsidRPr="00EA12AB">
        <w:t>238.</w:t>
      </w:r>
      <w:r w:rsidRPr="00EA12AB">
        <w:tab/>
        <w:t>Главной задачей Палестинского центрального статистического бюро является разработка и совершенствование системы официальной статистики на правовой основе и регулирование процесса сбора и использования данных в статистических целях. Бюро стремится собирать статистическую информацию о местных и внешних социальных классах и группах всеми имеющимися средствами. Инвалиды являются одной из групп, на которую нацелен процесс сбора данных, как непосредственно, так и через представляющие их организации.</w:t>
      </w:r>
    </w:p>
    <w:p w14:paraId="5FFEEC85" w14:textId="77777777" w:rsidR="00C030AE" w:rsidRDefault="00EA12AB" w:rsidP="00EA12AB">
      <w:pPr>
        <w:pStyle w:val="SingleTxtG"/>
      </w:pPr>
      <w:r w:rsidRPr="00EA12AB">
        <w:t>239.</w:t>
      </w:r>
      <w:r w:rsidRPr="00EA12AB">
        <w:tab/>
        <w:t>Бюро публикует информацию различными способами, и его публикации доступны для всех без исключения. Его печатные материалы широко распространяются и охватывают большое число заинтересованных сторон, в том числе инвалидов и представляющих их организаций. В целом степень доступа инвалидов к информации зависит от того, насколько эта информация отвечает их потребностям.</w:t>
      </w:r>
    </w:p>
    <w:p w14:paraId="51C49F0E" w14:textId="77777777" w:rsidR="00C030AE" w:rsidRDefault="006B4CDF" w:rsidP="00C17D30">
      <w:pPr>
        <w:pStyle w:val="H1G"/>
      </w:pPr>
      <w:r>
        <w:tab/>
      </w:r>
      <w:r>
        <w:tab/>
      </w:r>
      <w:r w:rsidR="00EA12AB" w:rsidRPr="00EA12AB">
        <w:t>Статья 22</w:t>
      </w:r>
      <w:r>
        <w:br/>
      </w:r>
      <w:r w:rsidR="00EA12AB" w:rsidRPr="00EA12AB">
        <w:t>Неприкосновенность частной жизни</w:t>
      </w:r>
    </w:p>
    <w:p w14:paraId="7F16B5C6" w14:textId="77777777" w:rsidR="00C030AE" w:rsidRDefault="00EA12AB" w:rsidP="00EA12AB">
      <w:pPr>
        <w:pStyle w:val="SingleTxtG"/>
      </w:pPr>
      <w:r w:rsidRPr="00EA12AB">
        <w:t>240.</w:t>
      </w:r>
      <w:r w:rsidRPr="00EA12AB">
        <w:tab/>
        <w:t>Основной закон гарантирует право человека на неприкосновенность частной жизни, включая право на защиту от нарушения личной свободы под угрозой уголовной ответственности и право на гражданско-правовую компенсацию</w:t>
      </w:r>
      <w:r w:rsidR="00573335">
        <w:rPr>
          <w:rStyle w:val="ab"/>
        </w:rPr>
        <w:endnoteReference w:id="42"/>
      </w:r>
      <w:r w:rsidRPr="00EA12AB">
        <w:t>. В палестинском законодательстве о защите частной жизни не проводится различия между инвалидами и другими лицами, поскольку оно предусматривает неотъемлемые права, общие для всех. Статья 60 Закона об общественном здравоохранении гарантирует это право и для больных лиц.</w:t>
      </w:r>
    </w:p>
    <w:p w14:paraId="25485708" w14:textId="77777777" w:rsidR="00C030AE" w:rsidRDefault="00EA12AB" w:rsidP="00EA12AB">
      <w:pPr>
        <w:pStyle w:val="SingleTxtG"/>
      </w:pPr>
      <w:r w:rsidRPr="00EA12AB">
        <w:t>241.</w:t>
      </w:r>
      <w:r w:rsidRPr="00EA12AB">
        <w:tab/>
        <w:t>Закон о государственной статистике (2000 год), который регулирует работу Центрального статистического бюро, содержит четкое положение о конфиденциальности данных об инвалидах. Закон гласит, что вся информация и данные о лицах, полученные Бюро в статистических целях, являются конфиденциальными и не могут быть раскрыты какому-либо физическому лицу, государственному или частному органу или использованы в целях, отличных от подготовки статистических таблиц. Бюро публикует официальные статистические бюллетени в форме сводных таблиц, которые не содержат индивидуальных или личных данных.</w:t>
      </w:r>
      <w:r w:rsidR="00C030AE">
        <w:t xml:space="preserve"> </w:t>
      </w:r>
      <w:r w:rsidRPr="00EA12AB">
        <w:t>Кроме того, каждый сотрудник и должностное лицо должны подписать обязательство о том, что они не будут разглашать или распространять какую-либо личную информацию или данные.</w:t>
      </w:r>
    </w:p>
    <w:p w14:paraId="633F892C" w14:textId="77777777" w:rsidR="00C030AE" w:rsidRDefault="00EA12AB" w:rsidP="00EA12AB">
      <w:pPr>
        <w:pStyle w:val="SingleTxtG"/>
      </w:pPr>
      <w:r w:rsidRPr="00EA12AB">
        <w:lastRenderedPageBreak/>
        <w:t>242.</w:t>
      </w:r>
      <w:r w:rsidRPr="00EA12AB">
        <w:tab/>
        <w:t>Министерство здравоохранения принимает меры по защите учетной документации инвалидов от незаконного и произвольного вмешательства. Записи хранятся в электронной информационной системе, используемой всеми государственными больницами в некоторых управлениях здравоохранения. В других управлениях ведется работа по компьютеризации карточек пациентов, в том числе инвалидов. Все сотрудники больниц и управлений здравоохранения проходят подготовку по использованию вышеупомянутой электронной информационной системы, гарантирующей защиту частной жизни инвалидов.</w:t>
      </w:r>
    </w:p>
    <w:p w14:paraId="177E50D4" w14:textId="77777777" w:rsidR="00C030AE" w:rsidRDefault="00EA12AB" w:rsidP="00EA12AB">
      <w:pPr>
        <w:pStyle w:val="SingleTxtG"/>
      </w:pPr>
      <w:r w:rsidRPr="00EA12AB">
        <w:t>243.</w:t>
      </w:r>
      <w:r w:rsidRPr="00EA12AB">
        <w:tab/>
        <w:t>Министерство социального развития принимает меры по обеспечению сохранности данных об инвалидах, все из которых хранятся в досье, находящемся в ведении социального работника Министерства. Специальная подготовка по вопросам конфиденциальности не проводится, поскольку обеспечение конфиденциальности воспринимается как само собой разумеющееся.</w:t>
      </w:r>
      <w:r w:rsidR="00C030AE">
        <w:t xml:space="preserve"> </w:t>
      </w:r>
    </w:p>
    <w:p w14:paraId="63EF8172" w14:textId="77777777" w:rsidR="00C030AE" w:rsidRDefault="006B4CDF" w:rsidP="00C17D30">
      <w:pPr>
        <w:pStyle w:val="H1G"/>
      </w:pPr>
      <w:r>
        <w:tab/>
      </w:r>
      <w:r>
        <w:tab/>
      </w:r>
      <w:r w:rsidR="00EA12AB" w:rsidRPr="00EA12AB">
        <w:t>Статья 23</w:t>
      </w:r>
      <w:r>
        <w:br/>
      </w:r>
      <w:r w:rsidR="00EA12AB" w:rsidRPr="00EA12AB">
        <w:t>Уважение дома и семьи</w:t>
      </w:r>
    </w:p>
    <w:p w14:paraId="7645E799" w14:textId="77777777" w:rsidR="00C030AE" w:rsidRDefault="00EA12AB" w:rsidP="00EA12AB">
      <w:pPr>
        <w:pStyle w:val="SingleTxtG"/>
      </w:pPr>
      <w:r w:rsidRPr="00EA12AB">
        <w:t>244.</w:t>
      </w:r>
      <w:r w:rsidRPr="00EA12AB">
        <w:tab/>
        <w:t xml:space="preserve">Закон о личном статусе, Закон </w:t>
      </w:r>
      <w:bookmarkStart w:id="19" w:name="_Hlk39483532"/>
      <w:r w:rsidRPr="00EA12AB">
        <w:t xml:space="preserve">о детях </w:t>
      </w:r>
      <w:bookmarkEnd w:id="19"/>
      <w:r w:rsidRPr="00EA12AB">
        <w:t>и другие законы представляют собой законодательную базу для создания и регулирования институтов брака и семьи. Статья</w:t>
      </w:r>
      <w:r w:rsidR="004D39AA">
        <w:rPr>
          <w:lang w:val="en-US"/>
        </w:rPr>
        <w:t> </w:t>
      </w:r>
      <w:r w:rsidRPr="00EA12AB">
        <w:t>19 Закона о детях предусматривает, что каждый ребенок имеет право жить в прочной семье и что государство должно принимать меры для обеспечения того, чтобы семья выполняла свои обязанности по отношению к детям. Статья 21 того же Закона гласит, что при сохранении возможности вынесения более сурового наказания, предусмотренного каким-либо иным законом, любое лицо, которое пренебрегает ребенком, находящимся на его попечении, будет приговорено к лишению свободы на срок от одного месяца до трех лет.</w:t>
      </w:r>
    </w:p>
    <w:p w14:paraId="72D2DC14" w14:textId="77777777" w:rsidR="00C030AE" w:rsidRDefault="00EA12AB" w:rsidP="00EA12AB">
      <w:pPr>
        <w:pStyle w:val="SingleTxtG"/>
      </w:pPr>
      <w:r w:rsidRPr="00EA12AB">
        <w:t>245.</w:t>
      </w:r>
      <w:r w:rsidRPr="00EA12AB">
        <w:tab/>
        <w:t>Статья 8 Закона Иордании о личном статусе, действующего на Западном берегу, предоставляет шариатскому судье право оформлять бракосочетание лица с ограниченными умственными способностями, если в медицинском заключении компетентного врача будет установлено, что заключение брака отвечает интересам этого лица, заручившись при этом согласием другой стороны, если данное лицо является физически здоровым.</w:t>
      </w:r>
    </w:p>
    <w:p w14:paraId="1E51E314" w14:textId="77777777" w:rsidR="00C030AE" w:rsidRDefault="00EA12AB" w:rsidP="00EA12AB">
      <w:pPr>
        <w:pStyle w:val="SingleTxtG"/>
      </w:pPr>
      <w:r w:rsidRPr="00EA12AB">
        <w:t>246.</w:t>
      </w:r>
      <w:r w:rsidRPr="00EA12AB">
        <w:tab/>
        <w:t>Что касается личной жизни и вступления в брак инвалидов, то обследование 2011 года показало, что 35,7</w:t>
      </w:r>
      <w:r w:rsidR="004D39AA" w:rsidRPr="004D39AA">
        <w:t>%</w:t>
      </w:r>
      <w:r w:rsidRPr="00EA12AB">
        <w:t xml:space="preserve"> инвалидов на Западном берегу и 30,7</w:t>
      </w:r>
      <w:r w:rsidR="006B1234">
        <w:t>%</w:t>
      </w:r>
      <w:r w:rsidRPr="00EA12AB">
        <w:t xml:space="preserve"> в Газе </w:t>
      </w:r>
      <w:r w:rsidR="002479C6">
        <w:br/>
      </w:r>
      <w:r w:rsidRPr="00EA12AB">
        <w:t>никогда не состояли в браке, а 44,5</w:t>
      </w:r>
      <w:r w:rsidR="004D39AA" w:rsidRPr="004D39AA">
        <w:t>%</w:t>
      </w:r>
      <w:r w:rsidRPr="00EA12AB">
        <w:t xml:space="preserve"> инвалидов в Палестине состоят в браке. Около 18,2</w:t>
      </w:r>
      <w:r w:rsidR="004D39AA" w:rsidRPr="004D39AA">
        <w:t>%</w:t>
      </w:r>
      <w:r w:rsidRPr="00EA12AB">
        <w:t xml:space="preserve"> инвалидов (обоих полов) овдовели (15,9</w:t>
      </w:r>
      <w:r w:rsidR="004D39AA" w:rsidRPr="004D39AA">
        <w:t>%</w:t>
      </w:r>
      <w:r w:rsidRPr="00EA12AB">
        <w:t xml:space="preserve"> на Западном берегу и 23,1</w:t>
      </w:r>
      <w:r w:rsidR="004D39AA" w:rsidRPr="004D39AA">
        <w:t>%</w:t>
      </w:r>
      <w:r w:rsidRPr="00EA12AB">
        <w:t xml:space="preserve"> в Газе). Коэффициент разводов среди инвалидов обоих полов составлял 2,4</w:t>
      </w:r>
      <w:r w:rsidR="004D39AA" w:rsidRPr="004D39AA">
        <w:t>%</w:t>
      </w:r>
      <w:r w:rsidRPr="00EA12AB">
        <w:t xml:space="preserve"> по всей Палестине (2,8</w:t>
      </w:r>
      <w:r w:rsidR="004D39AA" w:rsidRPr="004D39AA">
        <w:t>%</w:t>
      </w:r>
      <w:r w:rsidRPr="00EA12AB">
        <w:t xml:space="preserve"> на Западном берегу и 1,6</w:t>
      </w:r>
      <w:r w:rsidR="004D39AA" w:rsidRPr="004D39AA">
        <w:t>%</w:t>
      </w:r>
      <w:r w:rsidRPr="00EA12AB">
        <w:t xml:space="preserve"> в Газе). Следует отметить, что данным опросом были охвачены лица в возрасте 15 лет и старше.</w:t>
      </w:r>
    </w:p>
    <w:p w14:paraId="46813AD3" w14:textId="77777777" w:rsidR="00C030AE" w:rsidRDefault="00EA12AB" w:rsidP="00EA12AB">
      <w:pPr>
        <w:pStyle w:val="SingleTxtG"/>
      </w:pPr>
      <w:r w:rsidRPr="00EA12AB">
        <w:t>247.</w:t>
      </w:r>
      <w:r w:rsidRPr="00EA12AB">
        <w:tab/>
        <w:t>Хотя закон гарантирует, что инвалиды имеют право на создание семьи, что семьи с детьми-инвалидами должны получать поддержку без какой-либо дискриминации и что приемные семьи должны быть доступны для детей, лишенных семейной жизни, на практике все еще существует дискриминация в отношении инвалидов, о чем свидетельствуют социальная стигматизация, которой подвергаются женщины-инвалиды при вступлении в брак, и трудности с поиском приемной семьи для ребенка-инвалида.</w:t>
      </w:r>
    </w:p>
    <w:p w14:paraId="66BA9235" w14:textId="77777777" w:rsidR="00C030AE" w:rsidRDefault="00EA12AB" w:rsidP="00EA12AB">
      <w:pPr>
        <w:pStyle w:val="SingleTxtG"/>
      </w:pPr>
      <w:r w:rsidRPr="00EA12AB">
        <w:t>248.</w:t>
      </w:r>
      <w:r w:rsidRPr="00EA12AB">
        <w:tab/>
        <w:t xml:space="preserve">НПО предоставляют бесплатные или недорогие услуги, позволяющие семье обеспечить надлежащую реабилитацию ребенка-инвалида; они также стремятся повысить осведомленность общества и семьи о том, как вести себя с инвалидами. Несколько правительственных и неправительственных организаций на Западном берегу и в Газе обеспечивают альтернативный дневной уход и размещение детей, включая Центр для лиц с психическими расстройствами </w:t>
      </w:r>
      <w:r w:rsidR="008E2BCB">
        <w:t>«</w:t>
      </w:r>
      <w:r w:rsidRPr="00EA12AB">
        <w:t>Дар-эль-Байда</w:t>
      </w:r>
      <w:r w:rsidR="008E2BCB">
        <w:t>»</w:t>
      </w:r>
      <w:r w:rsidRPr="00EA12AB">
        <w:t xml:space="preserve"> в городе </w:t>
      </w:r>
      <w:proofErr w:type="spellStart"/>
      <w:r w:rsidRPr="00EA12AB">
        <w:t>Сальфит</w:t>
      </w:r>
      <w:proofErr w:type="spellEnd"/>
      <w:r w:rsidRPr="00EA12AB">
        <w:t>, который находится в ведении правительства.</w:t>
      </w:r>
      <w:r w:rsidR="00C030AE">
        <w:t xml:space="preserve">  </w:t>
      </w:r>
    </w:p>
    <w:p w14:paraId="1E87E821" w14:textId="77777777" w:rsidR="00C030AE" w:rsidRDefault="006B4CDF" w:rsidP="00C17D30">
      <w:pPr>
        <w:pStyle w:val="H1G"/>
      </w:pPr>
      <w:r>
        <w:lastRenderedPageBreak/>
        <w:tab/>
      </w:r>
      <w:r>
        <w:tab/>
      </w:r>
      <w:r w:rsidR="00EA12AB" w:rsidRPr="00EA12AB">
        <w:t>Статья 24</w:t>
      </w:r>
      <w:r>
        <w:br/>
      </w:r>
      <w:r w:rsidR="00EA12AB" w:rsidRPr="00EA12AB">
        <w:t>Образование</w:t>
      </w:r>
    </w:p>
    <w:p w14:paraId="5EE0EA8A" w14:textId="77777777" w:rsidR="00EA12AB" w:rsidRPr="00EA12AB" w:rsidRDefault="00EA12AB" w:rsidP="00EA12AB">
      <w:pPr>
        <w:pStyle w:val="SingleTxtG"/>
      </w:pPr>
      <w:r w:rsidRPr="00EA12AB">
        <w:t>249.</w:t>
      </w:r>
      <w:r w:rsidRPr="00EA12AB">
        <w:tab/>
        <w:t>Статья 24 Основного закона гарантирует право на бесплатное обязательное образование для всех граждан, по крайней мере до окончания начальной школы, без дискриминации по признаку пола или инвалидности</w:t>
      </w:r>
      <w:r w:rsidR="00573335">
        <w:rPr>
          <w:rStyle w:val="ab"/>
        </w:rPr>
        <w:endnoteReference w:id="43"/>
      </w:r>
      <w:r w:rsidRPr="00EA12AB">
        <w:t>. Государство обязано осуществлять контроль на всех ступенях образования во всех учебных заведениях и повышать образовательный уровень. Это подтверждается статьей 38 Закона о детях (с</w:t>
      </w:r>
      <w:r w:rsidR="004D39AA">
        <w:rPr>
          <w:lang w:val="en-US"/>
        </w:rPr>
        <w:t> </w:t>
      </w:r>
      <w:r w:rsidRPr="00EA12AB">
        <w:t>поправками), которая требует от государства принятия всех надлежащих и эффективных мер для ликвидации всех форм дискриминации в области образования. В статье 12 Закона о правах инвалидов говорится, что Министерство просвещения и высшего образования обязано обеспечивать право инвалидов на образование наравне с другими</w:t>
      </w:r>
      <w:r w:rsidR="00573335">
        <w:rPr>
          <w:rStyle w:val="ab"/>
        </w:rPr>
        <w:endnoteReference w:id="44"/>
      </w:r>
      <w:r w:rsidRPr="00EA12AB">
        <w:t>.</w:t>
      </w:r>
    </w:p>
    <w:p w14:paraId="7592A4F1" w14:textId="77777777" w:rsidR="00C030AE" w:rsidRDefault="00EA12AB" w:rsidP="00EA12AB">
      <w:pPr>
        <w:pStyle w:val="SingleTxtG"/>
      </w:pPr>
      <w:r w:rsidRPr="00EA12AB">
        <w:t>250.</w:t>
      </w:r>
      <w:r w:rsidRPr="00EA12AB">
        <w:tab/>
        <w:t>Статья 14 Закона о правах инвалидов гласит, что Министерство просвещения и высшего образования должно обеспечить благоприятные условия для инвалидов в школах, колледжах и университетах.</w:t>
      </w:r>
      <w:r w:rsidR="00C030AE">
        <w:t xml:space="preserve"> </w:t>
      </w:r>
    </w:p>
    <w:p w14:paraId="15CEB893" w14:textId="77777777" w:rsidR="00C030AE" w:rsidRDefault="00EA12AB" w:rsidP="00EA12AB">
      <w:pPr>
        <w:pStyle w:val="SingleTxtG"/>
      </w:pPr>
      <w:r w:rsidRPr="00EA12AB">
        <w:t>251.</w:t>
      </w:r>
      <w:r w:rsidRPr="00EA12AB">
        <w:tab/>
        <w:t>В 2017 году в законодательном порядке было принято решение о приведении системы государственного образования в соответствие с международными конвенциями, к которым присоединилось Государство Палестина. В нем предусматривается, что каждый человек имеет право на надлежащий уровень образования, независимо от инвалидности, имеющихся ограничений возможностей здоровья или пола, при условии соблюдения индивидуальных различий и удовлетворения индивидуальных потребностей. Это согласуется с радикальными изменениями, которые необходимы в системе образования, и соответствует признанным международным принципам.</w:t>
      </w:r>
    </w:p>
    <w:p w14:paraId="368B9F2B" w14:textId="77777777" w:rsidR="00C030AE" w:rsidRDefault="00EA12AB" w:rsidP="00EA12AB">
      <w:pPr>
        <w:pStyle w:val="SingleTxtG"/>
      </w:pPr>
      <w:r w:rsidRPr="00EA12AB">
        <w:t>252.</w:t>
      </w:r>
      <w:r w:rsidRPr="00EA12AB">
        <w:tab/>
        <w:t>Министерство просвещения и высшего образования проводит политику интеграции учащихся-инвалидов в государственные школы и гарантирования того, что образование будет бесплатным для всех таких учащихся, которые имеют на это право. Министерство проявляет особый интерес к школам и учреждениям, занимающимся обучением и реабилитацией учащихся с тяжелыми формами инвалидности, и предоставляет в их распоряжение подготовленный персонал Министерства. Политика инклюзивного образования была разработана в октябре 2015</w:t>
      </w:r>
      <w:r w:rsidR="004D39AA">
        <w:rPr>
          <w:lang w:val="en-US"/>
        </w:rPr>
        <w:t> </w:t>
      </w:r>
      <w:r w:rsidRPr="00EA12AB">
        <w:t>года.</w:t>
      </w:r>
    </w:p>
    <w:p w14:paraId="2565FE34" w14:textId="77777777" w:rsidR="00C030AE" w:rsidRDefault="00EA12AB" w:rsidP="00EA12AB">
      <w:pPr>
        <w:pStyle w:val="SingleTxtG"/>
      </w:pPr>
      <w:r w:rsidRPr="00EA12AB">
        <w:t>253.</w:t>
      </w:r>
      <w:r w:rsidRPr="00EA12AB">
        <w:tab/>
        <w:t>В 2014–2015 учебном году в государственную систему школьного образования были включены примерно 7 552 учащихся-инвалида мужского и женского пола, в том числе 5</w:t>
      </w:r>
      <w:r w:rsidR="002479C6">
        <w:t> </w:t>
      </w:r>
      <w:r w:rsidRPr="00EA12AB">
        <w:t>557 учащихся на Западном берегу (2</w:t>
      </w:r>
      <w:r w:rsidR="004D39AA">
        <w:rPr>
          <w:lang w:val="en-US"/>
        </w:rPr>
        <w:t> </w:t>
      </w:r>
      <w:r w:rsidRPr="00EA12AB">
        <w:t>967 мужчин и 2</w:t>
      </w:r>
      <w:r w:rsidR="004D39AA">
        <w:rPr>
          <w:lang w:val="en-US"/>
        </w:rPr>
        <w:t> </w:t>
      </w:r>
      <w:r w:rsidRPr="00EA12AB">
        <w:t xml:space="preserve">590 женщин) и </w:t>
      </w:r>
      <w:r w:rsidR="004D39AA">
        <w:br/>
      </w:r>
      <w:r w:rsidRPr="00EA12AB">
        <w:t>1 995 учащихся в Газе (1</w:t>
      </w:r>
      <w:r w:rsidR="002479C6">
        <w:t> </w:t>
      </w:r>
      <w:r w:rsidRPr="00EA12AB">
        <w:t>031 мужчина и 946 женщин)</w:t>
      </w:r>
      <w:r w:rsidR="00EC601F">
        <w:rPr>
          <w:rStyle w:val="ab"/>
        </w:rPr>
        <w:endnoteReference w:id="45"/>
      </w:r>
      <w:r w:rsidRPr="00EA12AB">
        <w:t>.</w:t>
      </w:r>
      <w:r w:rsidR="00C030AE">
        <w:t xml:space="preserve"> </w:t>
      </w:r>
      <w:r w:rsidRPr="00EA12AB">
        <w:t xml:space="preserve">Следует отметить, что число </w:t>
      </w:r>
      <w:bookmarkStart w:id="20" w:name="_Hlk39570309"/>
      <w:r w:rsidRPr="00EA12AB">
        <w:t>инвалид</w:t>
      </w:r>
      <w:bookmarkEnd w:id="20"/>
      <w:r w:rsidRPr="00EA12AB">
        <w:t>ов в палестинском обществе значительно выше и составляет 2,7</w:t>
      </w:r>
      <w:r w:rsidR="002479C6">
        <w:t xml:space="preserve">% </w:t>
      </w:r>
      <w:r w:rsidRPr="00EA12AB">
        <w:t xml:space="preserve">от общей численности населения на основе применения критерия </w:t>
      </w:r>
      <w:r w:rsidR="008E2BCB">
        <w:t>«</w:t>
      </w:r>
      <w:r w:rsidRPr="00EA12AB">
        <w:t>инвалидности</w:t>
      </w:r>
      <w:r w:rsidR="008E2BCB">
        <w:t>»</w:t>
      </w:r>
      <w:r w:rsidRPr="00EA12AB">
        <w:t xml:space="preserve"> и </w:t>
      </w:r>
      <w:r w:rsidR="004D39AA">
        <w:br/>
      </w:r>
      <w:r w:rsidRPr="00EA12AB">
        <w:t>6,9</w:t>
      </w:r>
      <w:r w:rsidR="004D39AA" w:rsidRPr="004D39AA">
        <w:t>%</w:t>
      </w:r>
      <w:r w:rsidRPr="00EA12AB">
        <w:t xml:space="preserve"> на основе применения критерия </w:t>
      </w:r>
      <w:r w:rsidR="008E2BCB">
        <w:t>«</w:t>
      </w:r>
      <w:r w:rsidRPr="00EA12AB">
        <w:t>ограничения возможностей здоровья</w:t>
      </w:r>
      <w:r w:rsidR="008E2BCB">
        <w:t>»</w:t>
      </w:r>
      <w:r w:rsidRPr="00EA12AB">
        <w:t>. Число инвалидов постоянно растет в связи с эскалацией израильской агрессии и большим числом раненых, а также в силу других, естественных факторов</w:t>
      </w:r>
      <w:r w:rsidR="00EC601F">
        <w:rPr>
          <w:rStyle w:val="ab"/>
        </w:rPr>
        <w:endnoteReference w:id="46"/>
      </w:r>
      <w:r w:rsidRPr="00EA12AB">
        <w:t>.</w:t>
      </w:r>
    </w:p>
    <w:p w14:paraId="54D5D29A" w14:textId="77777777" w:rsidR="00C030AE" w:rsidRDefault="00EA12AB" w:rsidP="00EA12AB">
      <w:pPr>
        <w:pStyle w:val="SingleTxtG"/>
      </w:pPr>
      <w:r w:rsidRPr="00EA12AB">
        <w:t>254.</w:t>
      </w:r>
      <w:r w:rsidRPr="00EA12AB">
        <w:tab/>
        <w:t xml:space="preserve">Статистические данные об отсеве учащихся-инвалидов отсутствуют. </w:t>
      </w:r>
    </w:p>
    <w:p w14:paraId="29FD4340" w14:textId="77777777" w:rsidR="00C030AE" w:rsidRDefault="00EA12AB" w:rsidP="00EA12AB">
      <w:pPr>
        <w:pStyle w:val="SingleTxtG"/>
      </w:pPr>
      <w:r w:rsidRPr="00EA12AB">
        <w:t>255.</w:t>
      </w:r>
      <w:r w:rsidRPr="00EA12AB">
        <w:tab/>
        <w:t>Министерство просвещения и высшего образования ежегодно готовит статистические данные о количестве учащихся-инвалидов в государственных школах, а также в специальных школах и учебных заведениях для инвалидов с целью разработки планов на основе статистических данных. В 2017</w:t>
      </w:r>
      <w:bookmarkStart w:id="21" w:name="_Hlk40799312"/>
      <w:r w:rsidRPr="00EA12AB">
        <w:t>–</w:t>
      </w:r>
      <w:bookmarkEnd w:id="21"/>
      <w:r w:rsidRPr="00EA12AB">
        <w:t>2018 учебном году количество интегрированных учащихся составило 5</w:t>
      </w:r>
      <w:r w:rsidR="002479C6">
        <w:t> </w:t>
      </w:r>
      <w:r w:rsidRPr="00EA12AB">
        <w:t>171 человек (2</w:t>
      </w:r>
      <w:r w:rsidR="002479C6">
        <w:t> </w:t>
      </w:r>
      <w:r w:rsidRPr="00EA12AB">
        <w:t xml:space="preserve">675 мужчин и </w:t>
      </w:r>
      <w:r w:rsidR="004D39AA">
        <w:br/>
      </w:r>
      <w:r w:rsidRPr="00EA12AB">
        <w:t>2</w:t>
      </w:r>
      <w:r w:rsidR="002479C6">
        <w:t> </w:t>
      </w:r>
      <w:r w:rsidRPr="00EA12AB">
        <w:t>496 женщин).</w:t>
      </w:r>
      <w:r w:rsidR="00C030AE">
        <w:t xml:space="preserve"> </w:t>
      </w:r>
      <w:r w:rsidRPr="00EA12AB">
        <w:t>Насчитывалось 100 учащихся с общим нарушением зрения.</w:t>
      </w:r>
      <w:r w:rsidR="00C030AE">
        <w:t xml:space="preserve"> </w:t>
      </w:r>
      <w:r w:rsidRPr="00EA12AB">
        <w:t>Около 150</w:t>
      </w:r>
      <w:r w:rsidR="004D39AA">
        <w:rPr>
          <w:lang w:val="en-US"/>
        </w:rPr>
        <w:t> </w:t>
      </w:r>
      <w:r w:rsidRPr="00EA12AB">
        <w:t>учащихся-инвалидов сдали в том же году экзамены в общеобразовательных средних школах. Число учащихся с тяжелыми формами инвалидности (включая нарушения слуха и психики, аутизм и т. д.) в специальных школах и учреждениях превысило 3 000 человек.</w:t>
      </w:r>
    </w:p>
    <w:p w14:paraId="7409B7E7" w14:textId="77777777" w:rsidR="00C030AE" w:rsidRDefault="00EA12AB" w:rsidP="00EA12AB">
      <w:pPr>
        <w:pStyle w:val="SingleTxtG"/>
      </w:pPr>
      <w:r w:rsidRPr="00EA12AB">
        <w:t>256.</w:t>
      </w:r>
      <w:r w:rsidRPr="00EA12AB">
        <w:tab/>
        <w:t xml:space="preserve">В начале каждого года Министерство просвещения и высшего образования Газы организует прикомандирование группы педагогов для работы в некоторых </w:t>
      </w:r>
      <w:r w:rsidRPr="00EA12AB">
        <w:lastRenderedPageBreak/>
        <w:t>организациях, где они обучают детей с умственными расстройствами и нарушениями слуха</w:t>
      </w:r>
      <w:r w:rsidR="008E0D34">
        <w:rPr>
          <w:rStyle w:val="ab"/>
        </w:rPr>
        <w:endnoteReference w:id="47"/>
      </w:r>
      <w:r w:rsidRPr="00EA12AB">
        <w:t>.</w:t>
      </w:r>
    </w:p>
    <w:p w14:paraId="33E107F6" w14:textId="77777777" w:rsidR="00C030AE" w:rsidRDefault="00EA12AB" w:rsidP="00EA12AB">
      <w:pPr>
        <w:pStyle w:val="SingleTxtG"/>
      </w:pPr>
      <w:r w:rsidRPr="00EA12AB">
        <w:t>257.</w:t>
      </w:r>
      <w:r w:rsidRPr="00EA12AB">
        <w:tab/>
        <w:t>Ежегодно Министерство обновляет инструкции по проведению экзаменов в общеобразовательных средних школах, с тем чтобы они соответствовал</w:t>
      </w:r>
      <w:r w:rsidR="002479C6">
        <w:t>и</w:t>
      </w:r>
      <w:r w:rsidRPr="00EA12AB">
        <w:t xml:space="preserve"> способностям учащихся-инвалидов, которые сдают экзамены, и обеспечивает надлежащие условия для каждого инвалида, предоставляя им равные возможности для сдачи экзаменов. Для</w:t>
      </w:r>
      <w:r w:rsidR="002479C6">
        <w:t xml:space="preserve"> </w:t>
      </w:r>
      <w:r w:rsidRPr="00EA12AB">
        <w:t xml:space="preserve">слепых учащихся предусмотрены помещения и оборудование, позволяющие им выбирать, как они хотят сдавать экзамен – с помощью устройства с функцией </w:t>
      </w:r>
      <w:r w:rsidR="008E2BCB">
        <w:t>«</w:t>
      </w:r>
      <w:proofErr w:type="spellStart"/>
      <w:r w:rsidRPr="00EA12AB">
        <w:t>Токбэк</w:t>
      </w:r>
      <w:proofErr w:type="spellEnd"/>
      <w:r w:rsidR="008E2BCB">
        <w:t>»</w:t>
      </w:r>
      <w:r w:rsidRPr="00EA12AB">
        <w:t xml:space="preserve">, компьютерной программы </w:t>
      </w:r>
      <w:r w:rsidR="008E2BCB">
        <w:t>«</w:t>
      </w:r>
      <w:r w:rsidRPr="00EA12AB">
        <w:t>Скраб</w:t>
      </w:r>
      <w:r w:rsidR="008E2BCB">
        <w:t>»</w:t>
      </w:r>
      <w:r w:rsidRPr="00EA12AB">
        <w:t xml:space="preserve"> или </w:t>
      </w:r>
      <w:proofErr w:type="spellStart"/>
      <w:r w:rsidRPr="00EA12AB">
        <w:t>брайлевского</w:t>
      </w:r>
      <w:proofErr w:type="spellEnd"/>
      <w:r w:rsidRPr="00EA12AB">
        <w:t xml:space="preserve"> дисплея Перкинса. Кроме того, слепые учащиеся могут быть освобождены от экзамена по математике и от любой непогашенной задолженности до тех пор, пока не будет окончательно решен вопрос об использовании таких методов. Министерство также создало условия для учащихся с нарушениями слуха, в том числе путем предоставления услуг сурдопереводчика и освобождения их от некоторых предметов. В 2018 году экзамены в общеобразовательных средних школах сдавали около 150</w:t>
      </w:r>
      <w:r w:rsidR="002479C6">
        <w:t> </w:t>
      </w:r>
      <w:r w:rsidRPr="00EA12AB">
        <w:t>учащихся-инвалидов мужского и женского пола, из которых 70 человек сдали их успешно. Десять из них получили стипендии, поскольку получили оценки выше 90%.</w:t>
      </w:r>
    </w:p>
    <w:p w14:paraId="5AFB49B3" w14:textId="77777777" w:rsidR="00C030AE" w:rsidRDefault="00EA12AB" w:rsidP="00EA12AB">
      <w:pPr>
        <w:pStyle w:val="SingleTxtG"/>
      </w:pPr>
      <w:r w:rsidRPr="00EA12AB">
        <w:t>258.</w:t>
      </w:r>
      <w:r w:rsidRPr="00EA12AB">
        <w:tab/>
        <w:t xml:space="preserve">Министерство работает в рамках имеющихся у него ресурсов, предоставляя </w:t>
      </w:r>
      <w:proofErr w:type="spellStart"/>
      <w:r w:rsidRPr="00EA12AB">
        <w:t>ассистивные</w:t>
      </w:r>
      <w:proofErr w:type="spellEnd"/>
      <w:r w:rsidRPr="00EA12AB">
        <w:t xml:space="preserve"> устройства, такие как </w:t>
      </w:r>
      <w:proofErr w:type="spellStart"/>
      <w:r w:rsidRPr="00EA12AB">
        <w:t>брайлевский</w:t>
      </w:r>
      <w:proofErr w:type="spellEnd"/>
      <w:r w:rsidRPr="00EA12AB">
        <w:t xml:space="preserve"> дисплей Перкинса, ноутбук с функцией </w:t>
      </w:r>
      <w:r w:rsidR="008E2BCB">
        <w:t>«</w:t>
      </w:r>
      <w:proofErr w:type="spellStart"/>
      <w:r w:rsidRPr="00EA12AB">
        <w:t>Токбэк</w:t>
      </w:r>
      <w:proofErr w:type="spellEnd"/>
      <w:r w:rsidR="008E2BCB">
        <w:t>»</w:t>
      </w:r>
      <w:r w:rsidRPr="00EA12AB">
        <w:t xml:space="preserve">, белые трости, специальные учебные материалы и инвалидные коляски. Материалы курса предоставляются бесплатно всем слепым учащимся. </w:t>
      </w:r>
    </w:p>
    <w:p w14:paraId="75472FFD" w14:textId="77777777" w:rsidR="00C030AE" w:rsidRDefault="00EA12AB" w:rsidP="00EA12AB">
      <w:pPr>
        <w:pStyle w:val="SingleTxtG"/>
      </w:pPr>
      <w:r w:rsidRPr="00EA12AB">
        <w:t>259.</w:t>
      </w:r>
      <w:r w:rsidRPr="00EA12AB">
        <w:tab/>
        <w:t>Министерство следит за тем, чтобы учащиеся-инвалиды, сдавшие экзамены в общеобразовательных средних школах, могли поступать в университеты. В</w:t>
      </w:r>
      <w:r w:rsidR="004D39AA">
        <w:rPr>
          <w:lang w:val="en-US"/>
        </w:rPr>
        <w:t> </w:t>
      </w:r>
      <w:r w:rsidRPr="00EA12AB">
        <w:t>большинстве палестинских университетов наблюдается тенденция к приему студентов-инвалидов через специальные комитеты. Точные статистические данные о числе студентов-инвалидов, зачисленных в высшие учебные заведения, отсутствуют.</w:t>
      </w:r>
    </w:p>
    <w:p w14:paraId="4709068E" w14:textId="77777777" w:rsidR="00C030AE" w:rsidRDefault="00EA12AB" w:rsidP="00EA12AB">
      <w:pPr>
        <w:pStyle w:val="SingleTxtG"/>
      </w:pPr>
      <w:r w:rsidRPr="00EA12AB">
        <w:t>260.</w:t>
      </w:r>
      <w:r w:rsidRPr="00EA12AB">
        <w:tab/>
        <w:t xml:space="preserve">Неформальное образование, включая программы ликвидации неграмотности и параллельного обучения, предлагается инвалидам в четырех центрах, где в настоящее время обучаются 20 человек с легкими двигательными, зрительными, слуховыми и психическими отклонениями. Эту услугу предлагают несколько НПО, в том числе школа </w:t>
      </w:r>
      <w:r w:rsidR="008E2BCB">
        <w:t>«</w:t>
      </w:r>
      <w:r w:rsidRPr="00EA12AB">
        <w:t>Аль-</w:t>
      </w:r>
      <w:proofErr w:type="spellStart"/>
      <w:r w:rsidRPr="00EA12AB">
        <w:t>Амаль</w:t>
      </w:r>
      <w:proofErr w:type="spellEnd"/>
      <w:r w:rsidR="008E2BCB">
        <w:t>»</w:t>
      </w:r>
      <w:r w:rsidRPr="00EA12AB">
        <w:t xml:space="preserve"> для взрослых-инвалидов. </w:t>
      </w:r>
    </w:p>
    <w:p w14:paraId="404D42FD" w14:textId="77777777" w:rsidR="00C030AE" w:rsidRDefault="00EA12AB" w:rsidP="00EA12AB">
      <w:pPr>
        <w:pStyle w:val="SingleTxtG"/>
      </w:pPr>
      <w:r w:rsidRPr="00EA12AB">
        <w:t>261.</w:t>
      </w:r>
      <w:r w:rsidRPr="00EA12AB">
        <w:tab/>
        <w:t xml:space="preserve">Что касается равенства в сфере дошкольного воспитания и обучения в детских садах, то Министерство социального развития в соответствии с Национальной стратегией развития и принятия мер в раннем детском возрасте (2017–2022 годы) и в партнерстве с Министерством здравоохранения, Министерством просвещения и высшего образования и БАПОР работает над проектом оценки, основанным на глобальных мерах по развитию детей. При финансовой поддержке ЮНИСЕФ в двух мухафазах на Западном берегу и в одной мухафазе в Газе был осуществлен экспериментальный проект. Проект ориентирован на детей в возрасте от одного месяца до шести лет и предусматривает обучение персонала методам оценки поведения детей с уделением особого внимания пяти областям развития ребенка – двигательной, когнитивной и перцептивной, социальной и аффективной, языковой и коммуникативной, а также способности к самоорганизации/самоуправлению. Была организована подготовка воспитателей и руководящего персонала яслей и воспитателей, врачей и руководящего персонала детских садов, а также сотрудников БАПОР и Детского центра </w:t>
      </w:r>
      <w:r w:rsidR="008E2BCB">
        <w:t>«</w:t>
      </w:r>
      <w:proofErr w:type="spellStart"/>
      <w:r w:rsidRPr="00EA12AB">
        <w:t>Спаффорд</w:t>
      </w:r>
      <w:proofErr w:type="spellEnd"/>
      <w:r w:rsidR="008E2BCB">
        <w:t>»</w:t>
      </w:r>
      <w:r w:rsidRPr="00EA12AB">
        <w:t xml:space="preserve"> в Восточном Иерусалиме</w:t>
      </w:r>
      <w:r w:rsidR="00183626">
        <w:rPr>
          <w:rStyle w:val="ab"/>
        </w:rPr>
        <w:endnoteReference w:id="48"/>
      </w:r>
      <w:r w:rsidRPr="00EA12AB">
        <w:t>.</w:t>
      </w:r>
      <w:r w:rsidR="00C030AE">
        <w:t xml:space="preserve"> </w:t>
      </w:r>
      <w:r w:rsidRPr="00EA12AB">
        <w:t>Кроме того, родителей обучают тому, как помочь детям развить свои способности, создавая для них стимулирующую домашнюю обстановку. Организован ряд курсов, призванных научить родителей удовлетворять потребности в развитии своих детей в возрасте от одного месяца до трех лет. В 2017 году Министерство социального развития разработало систему аккредитации и контроля качества детских садов, охватывающую детей-инвалидов. Кроме того, в основу программы действий в области детских садов были положены показатели развития детей. В настоящее время ведется работа по созданию двух центров на Западном берегу, один из которых будет государственным, а другой – частным, в рамках проекта, направленного на совершенствование государственных мер и создание условий, способствующих удовлетворению потребностей детей.</w:t>
      </w:r>
    </w:p>
    <w:p w14:paraId="6F0FAFBC" w14:textId="77777777" w:rsidR="00C030AE" w:rsidRDefault="00EA12AB" w:rsidP="00EA12AB">
      <w:pPr>
        <w:pStyle w:val="SingleTxtG"/>
      </w:pPr>
      <w:r w:rsidRPr="00EA12AB">
        <w:lastRenderedPageBreak/>
        <w:t>262.</w:t>
      </w:r>
      <w:r w:rsidRPr="00EA12AB">
        <w:tab/>
        <w:t xml:space="preserve">В партнерстве с министерствами и при поддержке ЮНИСЕФ ведется также работа по разработке проекта </w:t>
      </w:r>
      <w:r w:rsidR="008E2BCB">
        <w:t>«</w:t>
      </w:r>
      <w:proofErr w:type="spellStart"/>
      <w:r w:rsidRPr="00EA12AB">
        <w:t>РапидПро</w:t>
      </w:r>
      <w:proofErr w:type="spellEnd"/>
      <w:r w:rsidR="008E2BCB">
        <w:t>»</w:t>
      </w:r>
      <w:r w:rsidRPr="00EA12AB">
        <w:t xml:space="preserve"> – цифровой платформы для общения с семьями оцениваемых детей в целях мониторинга прогресса. Участие семей в проекте является бесплатным.</w:t>
      </w:r>
    </w:p>
    <w:p w14:paraId="47D5B89B" w14:textId="77777777" w:rsidR="00C030AE" w:rsidRDefault="00EA12AB" w:rsidP="00EA12AB">
      <w:pPr>
        <w:pStyle w:val="SingleTxtG"/>
      </w:pPr>
      <w:r w:rsidRPr="00EA12AB">
        <w:t>263.</w:t>
      </w:r>
      <w:r w:rsidRPr="00EA12AB">
        <w:tab/>
        <w:t xml:space="preserve">В соответствии с вышеупомянутой стратегией в настоящее время под эгидой Министерства просвещения и высшего образования функционирует более </w:t>
      </w:r>
      <w:r w:rsidR="004D39AA">
        <w:br/>
      </w:r>
      <w:r w:rsidRPr="00EA12AB">
        <w:t xml:space="preserve">204 государственных детских </w:t>
      </w:r>
      <w:proofErr w:type="gramStart"/>
      <w:r w:rsidRPr="00EA12AB">
        <w:t>садов</w:t>
      </w:r>
      <w:proofErr w:type="gramEnd"/>
      <w:r w:rsidRPr="00EA12AB">
        <w:t>. Министерство организовало учебные курсы для 68 воспитателей детских садов по вопросам интеграции детей-инвалидов.</w:t>
      </w:r>
    </w:p>
    <w:p w14:paraId="6D17EF24" w14:textId="77777777" w:rsidR="00C030AE" w:rsidRDefault="00EA12AB" w:rsidP="00EA12AB">
      <w:pPr>
        <w:pStyle w:val="SingleTxtG"/>
      </w:pPr>
      <w:r w:rsidRPr="00EA12AB">
        <w:t>264.</w:t>
      </w:r>
      <w:r w:rsidRPr="00EA12AB">
        <w:tab/>
        <w:t>Статистические данные о числе учащихся-инвалидов, охваченных профессиональным образованием, отсутствуют.</w:t>
      </w:r>
    </w:p>
    <w:p w14:paraId="4A3E3A4E" w14:textId="77777777" w:rsidR="00C030AE" w:rsidRDefault="00EA12AB" w:rsidP="00EA12AB">
      <w:pPr>
        <w:pStyle w:val="SingleTxtG"/>
      </w:pPr>
      <w:r w:rsidRPr="00EA12AB">
        <w:t>265.</w:t>
      </w:r>
      <w:r w:rsidRPr="00EA12AB">
        <w:tab/>
        <w:t>Министерство образования стремится не только интегрировать способных и квалифицированных учащихся-инвалидов, но и обеспечить, чтобы они могли посещать ближайшую к их дому школу после того, как в здании будут произведены необходимые модификации. Учащиеся с тяжелыми формами инвалидности обучаются в специальных школах. На практике школы могут принимать почти всех учащихся с нарушениями зрения и опорно-двигательного аппарата. В то же время продолжается работа по интеграции учащихся с нарушениями слуха, умеренными и тяжелыми психическими расстройствами и аутизмом. Учащихся с нарушениями зрения и слуха рассаживают в передней части класса, чтобы дать им возможность лучше учиться.</w:t>
      </w:r>
    </w:p>
    <w:p w14:paraId="504F907C" w14:textId="77777777" w:rsidR="00C030AE" w:rsidRDefault="00EA12AB" w:rsidP="00EA12AB">
      <w:pPr>
        <w:pStyle w:val="SingleTxtG"/>
      </w:pPr>
      <w:r w:rsidRPr="00EA12AB">
        <w:t>266.</w:t>
      </w:r>
      <w:r w:rsidRPr="00EA12AB">
        <w:tab/>
        <w:t>Примерно в 30 школах были произведены существенные модификации, с тем чтобы сделать их пригодными для учащихся-инвалидов, в отдаленных школах было открыто 30 ресурсных кабинетов и по крайней мере 10 автобусов были приспособлены для перевозки учащихся, включая учащихся-инвалидов. Для интегрированных учащихся-инвалидов организуются досуговые мероприятия, экскурсии и т. д. в рамках проектов и программ, направленных на обслуживание отдаленных школ.</w:t>
      </w:r>
      <w:r w:rsidR="00C030AE">
        <w:t xml:space="preserve"> </w:t>
      </w:r>
    </w:p>
    <w:p w14:paraId="1766D032" w14:textId="77777777" w:rsidR="00C030AE" w:rsidRDefault="00EA12AB" w:rsidP="00EA12AB">
      <w:pPr>
        <w:pStyle w:val="SingleTxtG"/>
      </w:pPr>
      <w:r w:rsidRPr="00EA12AB">
        <w:t>267.</w:t>
      </w:r>
      <w:r w:rsidRPr="00EA12AB">
        <w:tab/>
        <w:t xml:space="preserve">Министерство просвещения и высшего образования назначает и обучает персонал для распространения и пропаганды методики инклюзивного образования. Кроме того, Министерство осуществляет программу создания ресурсных кабинетов. Ресурсные кабинеты </w:t>
      </w:r>
      <w:bookmarkStart w:id="22" w:name="_Hlk39596024"/>
      <w:r w:rsidRPr="00EA12AB">
        <w:t>–</w:t>
      </w:r>
      <w:bookmarkEnd w:id="22"/>
      <w:r w:rsidRPr="00EA12AB">
        <w:t xml:space="preserve"> это отдельные классные комнаты в обычной школе, оборудованные соответствующими педагогическими пособиями, играми и мебелью и укомплектованные педагогами, подготовленными для работы с детьми с особыми потребностями. Они являются штатными работниками школы, и школа отвечает за назначение и обучение такого персонала. Педагоги работают с учащимися </w:t>
      </w:r>
      <w:r w:rsidR="004D39AA">
        <w:br/>
      </w:r>
      <w:r w:rsidRPr="00EA12AB">
        <w:t>1–4 классов, преподавая арабский язык и математику (т.</w:t>
      </w:r>
      <w:r w:rsidR="004D39AA">
        <w:rPr>
          <w:lang w:val="en-US"/>
        </w:rPr>
        <w:t> </w:t>
      </w:r>
      <w:r w:rsidRPr="00EA12AB">
        <w:t>е. чтение, письмо и арифметику). Целевая группа включает учащихся, испытывающих трудности в процессе обучения, учащихся, медленно усваивающих учебный материал, и учащихся с легкими умственными нарушениями; количество времени, проводимого в ресурсном кабинете, зависит от индивидуальных потребностей. В 2017–2018 учебном году насчитывалось 265 ресурсных кабинетов, обслуживающих 3 443 учащихся мужского и женского пола. Общее число интегрированных учащихся составило 8</w:t>
      </w:r>
      <w:r w:rsidR="004D39AA">
        <w:rPr>
          <w:lang w:val="en-US"/>
        </w:rPr>
        <w:t> </w:t>
      </w:r>
      <w:r w:rsidRPr="00EA12AB">
        <w:t>050 человек, в том числе 5 171 человек на Западном берегу и 2 879 человек в Газе, что соответствует показателю охвата школьным образованием примерно в 0,65</w:t>
      </w:r>
      <w:r w:rsidR="004D39AA" w:rsidRPr="004D39AA">
        <w:t>%</w:t>
      </w:r>
      <w:r w:rsidRPr="00EA12AB">
        <w:t xml:space="preserve"> от общей численности учащихся на Западном берегу (814 439 человек) и 0,90</w:t>
      </w:r>
      <w:r w:rsidR="004D39AA" w:rsidRPr="004D39AA">
        <w:t>%</w:t>
      </w:r>
      <w:r w:rsidRPr="00EA12AB">
        <w:t xml:space="preserve"> от общей численности учащихся в Газе (319 260 человек).</w:t>
      </w:r>
    </w:p>
    <w:p w14:paraId="5E4DDE43" w14:textId="77777777" w:rsidR="00C030AE" w:rsidRDefault="00EA12AB" w:rsidP="00EA12AB">
      <w:pPr>
        <w:pStyle w:val="SingleTxtG"/>
      </w:pPr>
      <w:r w:rsidRPr="00EA12AB">
        <w:t>268.</w:t>
      </w:r>
      <w:r w:rsidRPr="00EA12AB">
        <w:tab/>
        <w:t>Министерство также утвердило проект создания ресурсных центров, который направлен на выявление учащихся-инвалидов и их интеграцию в государственные общеобразовательные школы с использованием ресурсных кабинетов.</w:t>
      </w:r>
      <w:r w:rsidR="00C030AE">
        <w:t xml:space="preserve"> </w:t>
      </w:r>
      <w:r w:rsidRPr="00EA12AB">
        <w:t xml:space="preserve">Центры укомплектованы физиотерапевтами, </w:t>
      </w:r>
      <w:proofErr w:type="spellStart"/>
      <w:r w:rsidRPr="00EA12AB">
        <w:t>эрготерапевтами</w:t>
      </w:r>
      <w:proofErr w:type="spellEnd"/>
      <w:r w:rsidRPr="00EA12AB">
        <w:t>, специалистами по языку и речи, консультантами и педагогами для работы с детьми с особыми потребностями, в обязанности которых входит проведение когнитивной, перцептивной, языковой, речевой, моторной и психосоциальной оценки учащихся-инвалидов в государственных школах, включая оценку жизненных навыков. Они также готовят индивидуальные педагогические, реабилитационные и консультативные планы для учащихся-инвалидов с целью их интеграции в общеобразовательную школьную систему.</w:t>
      </w:r>
    </w:p>
    <w:p w14:paraId="6C5490D8" w14:textId="77777777" w:rsidR="00C030AE" w:rsidRDefault="00EA12AB" w:rsidP="00EA12AB">
      <w:pPr>
        <w:pStyle w:val="SingleTxtG"/>
      </w:pPr>
      <w:r w:rsidRPr="00EA12AB">
        <w:lastRenderedPageBreak/>
        <w:t>269.</w:t>
      </w:r>
      <w:r w:rsidRPr="00EA12AB">
        <w:tab/>
        <w:t>Был подготовлен национальный план инклюзивного образования для лиц с нарушениями зрения, а учащимся с 1 по 12 классы были предоставлены учебники, напечатанные шрифтом Брайля.</w:t>
      </w:r>
      <w:r w:rsidR="00C030AE">
        <w:t xml:space="preserve"> </w:t>
      </w:r>
    </w:p>
    <w:p w14:paraId="0345ACE0" w14:textId="77777777" w:rsidR="00C030AE" w:rsidRDefault="00EA12AB" w:rsidP="00EA12AB">
      <w:pPr>
        <w:pStyle w:val="SingleTxtG"/>
      </w:pPr>
      <w:r w:rsidRPr="00EA12AB">
        <w:t>270.</w:t>
      </w:r>
      <w:r w:rsidRPr="00EA12AB">
        <w:tab/>
        <w:t>Сто процентов школ на Западном берегу и в секторе Газа имеют доступ к электричеству, а 93</w:t>
      </w:r>
      <w:r w:rsidR="004D39AA" w:rsidRPr="004D39AA">
        <w:t xml:space="preserve">% </w:t>
      </w:r>
      <w:r w:rsidRPr="00EA12AB">
        <w:t xml:space="preserve">– к Интернету, хотя этот показатель колеблется в зависимости от органа школьного надзора. Компьютеры имеются примерно в </w:t>
      </w:r>
      <w:r w:rsidR="004D39AA">
        <w:br/>
      </w:r>
      <w:r w:rsidRPr="00EA12AB">
        <w:t>23,2</w:t>
      </w:r>
      <w:r w:rsidR="004D39AA" w:rsidRPr="004D39AA">
        <w:t>%</w:t>
      </w:r>
      <w:r w:rsidRPr="00EA12AB">
        <w:t xml:space="preserve"> школ на Западном берегу и в Газе</w:t>
      </w:r>
      <w:r w:rsidR="00712C37">
        <w:rPr>
          <w:rStyle w:val="ab"/>
        </w:rPr>
        <w:endnoteReference w:id="49"/>
      </w:r>
      <w:r w:rsidRPr="00EA12AB">
        <w:t>.</w:t>
      </w:r>
    </w:p>
    <w:p w14:paraId="2305D156" w14:textId="77777777" w:rsidR="00C030AE" w:rsidRDefault="00EA12AB" w:rsidP="00EA12AB">
      <w:pPr>
        <w:pStyle w:val="SingleTxtG"/>
      </w:pPr>
      <w:r w:rsidRPr="00EA12AB">
        <w:t>271.</w:t>
      </w:r>
      <w:r w:rsidRPr="00EA12AB">
        <w:tab/>
        <w:t>Примерно в 58,2</w:t>
      </w:r>
      <w:r w:rsidR="004D39AA" w:rsidRPr="004D39AA">
        <w:t>%</w:t>
      </w:r>
      <w:r w:rsidRPr="00EA12AB">
        <w:t xml:space="preserve"> школ в Палестине имеются туалеты для инвалидов, </w:t>
      </w:r>
      <w:r w:rsidR="004D39AA">
        <w:br/>
      </w:r>
      <w:r w:rsidRPr="00EA12AB">
        <w:t>а в 51,3</w:t>
      </w:r>
      <w:r w:rsidR="004D39AA" w:rsidRPr="004D39AA">
        <w:t xml:space="preserve">% </w:t>
      </w:r>
      <w:r w:rsidRPr="00EA12AB">
        <w:t>– пандусы для инвалидных колясок. Порядка 99,5</w:t>
      </w:r>
      <w:r w:rsidR="004D39AA" w:rsidRPr="004D39AA">
        <w:t>%</w:t>
      </w:r>
      <w:r w:rsidRPr="00EA12AB">
        <w:t xml:space="preserve"> начальных школ первой ступени, 99,6</w:t>
      </w:r>
      <w:r w:rsidR="004D39AA" w:rsidRPr="004D39AA">
        <w:t>%</w:t>
      </w:r>
      <w:r w:rsidRPr="00EA12AB">
        <w:t xml:space="preserve"> начальных школ второй ступени и 99,8</w:t>
      </w:r>
      <w:r w:rsidR="004D39AA" w:rsidRPr="004D39AA">
        <w:t>%</w:t>
      </w:r>
      <w:r w:rsidRPr="00EA12AB">
        <w:t xml:space="preserve"> средних школ имеют доступ к питьевой воде.</w:t>
      </w:r>
    </w:p>
    <w:p w14:paraId="313CA06B" w14:textId="77777777" w:rsidR="00C030AE" w:rsidRDefault="00EA12AB" w:rsidP="00EA12AB">
      <w:pPr>
        <w:pStyle w:val="SingleTxtG"/>
      </w:pPr>
      <w:r w:rsidRPr="00EA12AB">
        <w:t>272.</w:t>
      </w:r>
      <w:r w:rsidRPr="00EA12AB">
        <w:tab/>
        <w:t>Примерно 99,3</w:t>
      </w:r>
      <w:r w:rsidR="004D39AA" w:rsidRPr="004D39AA">
        <w:t>%</w:t>
      </w:r>
      <w:r w:rsidRPr="00EA12AB">
        <w:t xml:space="preserve"> начальных школ первой ступени и 99,6</w:t>
      </w:r>
      <w:r w:rsidR="004D39AA" w:rsidRPr="004D39AA">
        <w:t>%</w:t>
      </w:r>
      <w:r w:rsidRPr="00EA12AB">
        <w:t xml:space="preserve"> начальных школ второй ступени и средних школ оборудованы санузлами для лиц одного пола. Порядка 99,2</w:t>
      </w:r>
      <w:r w:rsidR="004D39AA" w:rsidRPr="004D39AA">
        <w:t>%</w:t>
      </w:r>
      <w:r w:rsidRPr="00EA12AB">
        <w:t xml:space="preserve"> начальных школ первой ступени, 98</w:t>
      </w:r>
      <w:r w:rsidR="004D39AA" w:rsidRPr="004D39AA">
        <w:t>%</w:t>
      </w:r>
      <w:r w:rsidRPr="00EA12AB">
        <w:t xml:space="preserve"> начальных школ второй ступени и </w:t>
      </w:r>
      <w:r w:rsidR="004D39AA">
        <w:br/>
      </w:r>
      <w:r w:rsidRPr="00EA12AB">
        <w:t>98,5</w:t>
      </w:r>
      <w:r w:rsidR="004D39AA" w:rsidRPr="004D39AA">
        <w:t>%</w:t>
      </w:r>
      <w:r w:rsidRPr="00EA12AB">
        <w:t xml:space="preserve"> средних школ имеют доступ к основным средствам для мытья рук.</w:t>
      </w:r>
    </w:p>
    <w:p w14:paraId="7DE300FC" w14:textId="77777777" w:rsidR="00C030AE" w:rsidRDefault="00EA12AB" w:rsidP="00EA12AB">
      <w:pPr>
        <w:pStyle w:val="SingleTxtG"/>
      </w:pPr>
      <w:r w:rsidRPr="00EA12AB">
        <w:t>273.</w:t>
      </w:r>
      <w:r w:rsidRPr="00EA12AB">
        <w:tab/>
        <w:t>Остающиеся нерешенными проблемы обусловлены тем, что большое количество школьных зданий арендуются и являются ветхими, и арендодателю трудно модифицировать их. Необходимо также изменить указатели, чтобы облегчить интеграцию инвалидов, помогая им преодолевать физические препятствия. Помимо этого, учащиеся, испытывающие проблемы со здоровьем, не могут пользоваться теми же возможностями, что и другие, когда речь заходит о занятиях спортом. По существу, интерес Министерства к спорту для инвалидов остается ограниченным. Кроме того, между Министерством и Высшим советом по делам молодежи и спорта не налажена достаточно четкая координация в вопросах организации спортивных мероприятий, специально предназначенных для учащихся-инвалидов</w:t>
      </w:r>
      <w:r w:rsidR="00712C37">
        <w:rPr>
          <w:rStyle w:val="ab"/>
        </w:rPr>
        <w:endnoteReference w:id="50"/>
      </w:r>
      <w:r w:rsidRPr="00EA12AB">
        <w:t>.</w:t>
      </w:r>
    </w:p>
    <w:p w14:paraId="08A9B4C4" w14:textId="77777777" w:rsidR="00C030AE" w:rsidRDefault="00EA12AB" w:rsidP="00EA12AB">
      <w:pPr>
        <w:pStyle w:val="SingleTxtG"/>
      </w:pPr>
      <w:r w:rsidRPr="00EA12AB">
        <w:t>274.</w:t>
      </w:r>
      <w:r w:rsidRPr="00EA12AB">
        <w:tab/>
        <w:t>Общей целью стратегического плана Министерства просвещения и высшего образования (2014–2019 годы) является создание нацеленной на результаты и ориентированной на учащихся образовательной системы, обеспечивающей высококачественное инклюзивное образование на всех уровнях, соответствующее XXI веку.</w:t>
      </w:r>
      <w:r w:rsidR="00C030AE">
        <w:t xml:space="preserve"> </w:t>
      </w:r>
      <w:r w:rsidRPr="00EA12AB">
        <w:t>Это будет система образования, которая будет бесплатной и будет учитывать индивидуальные потребности всех. Это будет система образования, которая лежит в основе политического, экономического и социального развития Палестины.</w:t>
      </w:r>
    </w:p>
    <w:p w14:paraId="7188885C" w14:textId="77777777" w:rsidR="00C030AE" w:rsidRDefault="00EA12AB" w:rsidP="00EA12AB">
      <w:pPr>
        <w:pStyle w:val="SingleTxtG"/>
      </w:pPr>
      <w:r w:rsidRPr="00EA12AB">
        <w:t>275.</w:t>
      </w:r>
      <w:r w:rsidRPr="00EA12AB">
        <w:tab/>
        <w:t xml:space="preserve">В государственных школах </w:t>
      </w:r>
      <w:bookmarkStart w:id="23" w:name="_Hlk39601252"/>
      <w:r w:rsidRPr="00EA12AB">
        <w:t>учащиеся</w:t>
      </w:r>
      <w:bookmarkEnd w:id="23"/>
      <w:r w:rsidRPr="00EA12AB">
        <w:t>-инвалиды принимают участие во внеклассных мероприятиях, в том числе в художественных конкурсах и творческих занятиях с целью развития их способностей. Не существует специальных программ для показывающих отличные результаты в учебе и одаренных учащихся как группы; те или иные целенаправленные меры возможны лишь на индивидуальной основе.</w:t>
      </w:r>
    </w:p>
    <w:p w14:paraId="1DE4245D" w14:textId="77777777" w:rsidR="00C030AE" w:rsidRDefault="00EA12AB" w:rsidP="00EA12AB">
      <w:pPr>
        <w:pStyle w:val="SingleTxtG"/>
      </w:pPr>
      <w:r w:rsidRPr="00EA12AB">
        <w:t>276.</w:t>
      </w:r>
      <w:r w:rsidRPr="00EA12AB">
        <w:tab/>
        <w:t>В том, что касается поддержки и советов со стороны сверстников, в большинстве школ создан комитет друзей учащихся-инвалидов, которые оказывают помощь и поддержку своим одноклассникам с ограниченными возможностями.</w:t>
      </w:r>
    </w:p>
    <w:p w14:paraId="5453CFD6" w14:textId="77777777" w:rsidR="00C030AE" w:rsidRDefault="00EA12AB" w:rsidP="00EA12AB">
      <w:pPr>
        <w:pStyle w:val="SingleTxtG"/>
      </w:pPr>
      <w:r w:rsidRPr="00EA12AB">
        <w:t>277.</w:t>
      </w:r>
      <w:r w:rsidRPr="00EA12AB">
        <w:tab/>
        <w:t xml:space="preserve">Консультанты по инклюзивному образованию прошли подготовку в области навыков ориентации, содействия мобильности и языка жестов. Кроме того, учащимся с ограниченными двигательными возможностями предоставляются средства передвижения и </w:t>
      </w:r>
      <w:proofErr w:type="spellStart"/>
      <w:r w:rsidRPr="00EA12AB">
        <w:t>ассистивные</w:t>
      </w:r>
      <w:proofErr w:type="spellEnd"/>
      <w:r w:rsidRPr="00EA12AB">
        <w:t xml:space="preserve"> устройства (инвалидные коляски, костыли и т.</w:t>
      </w:r>
      <w:r w:rsidR="004D39AA">
        <w:rPr>
          <w:lang w:val="en-US"/>
        </w:rPr>
        <w:t> </w:t>
      </w:r>
      <w:r w:rsidRPr="00EA12AB">
        <w:t>д.). В</w:t>
      </w:r>
      <w:r w:rsidR="004D39AA">
        <w:rPr>
          <w:lang w:val="en-US"/>
        </w:rPr>
        <w:t> </w:t>
      </w:r>
      <w:r w:rsidRPr="00EA12AB">
        <w:t xml:space="preserve">общей сложности 40 школ были модифицированы, с тем чтобы оборудовать в них наклонные полы и медицинские пункты. Кроме того, в первом семестре </w:t>
      </w:r>
      <w:r w:rsidR="004D39AA">
        <w:br/>
      </w:r>
      <w:r w:rsidRPr="00EA12AB">
        <w:t xml:space="preserve">2015–2016 учебного года было предоставлено 606 </w:t>
      </w:r>
      <w:proofErr w:type="spellStart"/>
      <w:r w:rsidRPr="00EA12AB">
        <w:t>ассистивных</w:t>
      </w:r>
      <w:proofErr w:type="spellEnd"/>
      <w:r w:rsidRPr="00EA12AB">
        <w:t xml:space="preserve"> устройств и приспособлений.</w:t>
      </w:r>
    </w:p>
    <w:p w14:paraId="2E592C98" w14:textId="77777777" w:rsidR="00C030AE" w:rsidRDefault="00EA12AB" w:rsidP="00EA12AB">
      <w:pPr>
        <w:pStyle w:val="SingleTxtG"/>
      </w:pPr>
      <w:r w:rsidRPr="00EA12AB">
        <w:t>278.</w:t>
      </w:r>
      <w:r w:rsidRPr="00EA12AB">
        <w:tab/>
        <w:t xml:space="preserve">В государственных школах была организована подготовка небольшого числа преподавателей, однако именно в школах специального образования проводится большинство мероприятий по реабилитации и обучению учащихся с нарушениями зрения и слуха с использованием языка жестов и шрифта Брайля. Палестине необходимо включить язык жестов и шрифт Брайля в национальную учебную программу и в свои программы подготовки преподавателей. В первом семестре </w:t>
      </w:r>
      <w:r w:rsidR="004D39AA">
        <w:br/>
      </w:r>
      <w:r w:rsidRPr="00EA12AB">
        <w:lastRenderedPageBreak/>
        <w:t>2015–2016 учебного года примерно 224 преподавателя прошли подготовку по вопросам работы со слабовидящими учащимися и учащимися с расстройствами слуха.</w:t>
      </w:r>
    </w:p>
    <w:p w14:paraId="2E10939E" w14:textId="77777777" w:rsidR="00C030AE" w:rsidRDefault="00EA12AB" w:rsidP="00EA12AB">
      <w:pPr>
        <w:pStyle w:val="SingleTxtG"/>
      </w:pPr>
      <w:r w:rsidRPr="00EA12AB">
        <w:t>279.</w:t>
      </w:r>
      <w:r w:rsidRPr="00EA12AB">
        <w:tab/>
        <w:t>На Западном берегу насчитывается 350 групп специального образования. В</w:t>
      </w:r>
      <w:r w:rsidR="004D39AA">
        <w:rPr>
          <w:lang w:val="en-US"/>
        </w:rPr>
        <w:t> </w:t>
      </w:r>
      <w:r w:rsidRPr="00EA12AB">
        <w:t xml:space="preserve">состав групп входят преподаватели, специалисты и администраторы, которые распределяются следующим образом: 17 руководителей специальных учебных заведений, 211 преподавателей ресурсных кабинетов, 10 специалистов ресурсных центров, 53 наставника по инклюзивному образованию, 17 руководящих работников и руководителей специальных учебных заведений и 2 203 сотрудника по инклюзивному образованию в управлениях. Около 38 044 человек работают преподавателями или администраторами в системе государственного образования на Западном </w:t>
      </w:r>
      <w:r w:rsidR="004D39AA">
        <w:br/>
      </w:r>
      <w:r w:rsidRPr="00EA12AB">
        <w:t>берегу; административный персонал системы специального образования составляет 1</w:t>
      </w:r>
      <w:r w:rsidR="004D39AA" w:rsidRPr="004D39AA">
        <w:t>%</w:t>
      </w:r>
      <w:r w:rsidRPr="00EA12AB">
        <w:t xml:space="preserve"> от общего числа, а педагоги-специалисты в области специального образования – </w:t>
      </w:r>
      <w:r w:rsidR="004D39AA">
        <w:br/>
      </w:r>
      <w:r w:rsidRPr="00EA12AB">
        <w:t>8,7</w:t>
      </w:r>
      <w:r w:rsidR="004D39AA" w:rsidRPr="004D39AA">
        <w:t>%</w:t>
      </w:r>
      <w:r w:rsidRPr="00EA12AB">
        <w:t>.</w:t>
      </w:r>
    </w:p>
    <w:p w14:paraId="4CFBEA6A" w14:textId="77777777" w:rsidR="00C030AE" w:rsidRDefault="00EA12AB" w:rsidP="00EA12AB">
      <w:pPr>
        <w:pStyle w:val="SingleTxtG"/>
      </w:pPr>
      <w:r w:rsidRPr="00EA12AB">
        <w:t>280.</w:t>
      </w:r>
      <w:r w:rsidRPr="00EA12AB">
        <w:tab/>
        <w:t xml:space="preserve">В число специальных школ для учащихся-инвалидов в секторе Газа входят школа специального образования </w:t>
      </w:r>
      <w:r w:rsidR="008E2BCB">
        <w:t>«</w:t>
      </w:r>
      <w:proofErr w:type="spellStart"/>
      <w:r w:rsidRPr="00EA12AB">
        <w:t>Санабель</w:t>
      </w:r>
      <w:proofErr w:type="spellEnd"/>
      <w:r w:rsidR="008E2BCB">
        <w:t>»</w:t>
      </w:r>
      <w:r w:rsidRPr="00EA12AB">
        <w:t xml:space="preserve"> (для детей с умственными недостатками), школа </w:t>
      </w:r>
      <w:r w:rsidR="008E2BCB">
        <w:t>«</w:t>
      </w:r>
      <w:r w:rsidRPr="00EA12AB">
        <w:t>Будущее Палестины</w:t>
      </w:r>
      <w:r w:rsidR="008E2BCB">
        <w:t>»</w:t>
      </w:r>
      <w:r w:rsidRPr="00EA12AB">
        <w:t xml:space="preserve"> (для детей с церебральным параличом), школа для глухих </w:t>
      </w:r>
      <w:r w:rsidR="008E2BCB">
        <w:t>«</w:t>
      </w:r>
      <w:r w:rsidRPr="00EA12AB">
        <w:t>Мустафа ар-Рафи</w:t>
      </w:r>
      <w:r w:rsidR="008E2BCB">
        <w:t>»</w:t>
      </w:r>
      <w:r w:rsidRPr="00EA12AB">
        <w:t xml:space="preserve">, центр для слепых </w:t>
      </w:r>
      <w:r w:rsidR="008E2BCB">
        <w:t>«</w:t>
      </w:r>
      <w:r w:rsidRPr="00EA12AB">
        <w:t>Аль-</w:t>
      </w:r>
      <w:proofErr w:type="spellStart"/>
      <w:r w:rsidRPr="00EA12AB">
        <w:t>Нур</w:t>
      </w:r>
      <w:proofErr w:type="spellEnd"/>
      <w:r w:rsidR="008E2BCB">
        <w:t>»</w:t>
      </w:r>
      <w:r w:rsidRPr="00EA12AB">
        <w:t xml:space="preserve">, центр для слепых </w:t>
      </w:r>
      <w:r w:rsidR="008E2BCB">
        <w:t>«</w:t>
      </w:r>
      <w:r w:rsidRPr="00EA12AB">
        <w:t>Аль-</w:t>
      </w:r>
      <w:proofErr w:type="spellStart"/>
      <w:r w:rsidRPr="00EA12AB">
        <w:t>Амаль</w:t>
      </w:r>
      <w:proofErr w:type="spellEnd"/>
      <w:r w:rsidR="008E2BCB">
        <w:t>»</w:t>
      </w:r>
      <w:r w:rsidRPr="00EA12AB">
        <w:t xml:space="preserve"> и школа </w:t>
      </w:r>
      <w:r w:rsidR="008E2BCB">
        <w:t>«</w:t>
      </w:r>
      <w:proofErr w:type="spellStart"/>
      <w:r w:rsidRPr="00EA12AB">
        <w:t>Шамс</w:t>
      </w:r>
      <w:proofErr w:type="spellEnd"/>
      <w:r w:rsidRPr="00EA12AB">
        <w:t xml:space="preserve"> аль-</w:t>
      </w:r>
      <w:proofErr w:type="spellStart"/>
      <w:r w:rsidRPr="00EA12AB">
        <w:t>Амаль</w:t>
      </w:r>
      <w:proofErr w:type="spellEnd"/>
      <w:r w:rsidR="008E2BCB">
        <w:t>»</w:t>
      </w:r>
      <w:r w:rsidRPr="00EA12AB">
        <w:t xml:space="preserve"> (для детей с нарушениями опорно</w:t>
      </w:r>
      <w:r w:rsidR="008728BC">
        <w:noBreakHyphen/>
      </w:r>
      <w:r w:rsidRPr="00EA12AB">
        <w:t xml:space="preserve">двигательного аппарата). </w:t>
      </w:r>
    </w:p>
    <w:p w14:paraId="775CD26D" w14:textId="77777777" w:rsidR="00C030AE" w:rsidRDefault="00EA12AB" w:rsidP="00EA12AB">
      <w:pPr>
        <w:pStyle w:val="SingleTxtG"/>
      </w:pPr>
      <w:r w:rsidRPr="00EA12AB">
        <w:t>281.</w:t>
      </w:r>
      <w:r w:rsidRPr="00EA12AB">
        <w:tab/>
        <w:t>Трудности, с которыми приходится сталкиваться, включают нехватку ресурсных кабинетов для всех классов и во всех школах для оказания поддержки учащимся-инвалидам. Кроме того, школьная администрация, преподавательский состав и учащиеся до сих пор не знают языка жестов и не умеют читать и писать при помощи шрифта Брайля.</w:t>
      </w:r>
    </w:p>
    <w:p w14:paraId="3F018B58" w14:textId="77777777" w:rsidR="00C030AE" w:rsidRDefault="00EA12AB" w:rsidP="00EA12AB">
      <w:pPr>
        <w:pStyle w:val="SingleTxtG"/>
      </w:pPr>
      <w:r w:rsidRPr="00EA12AB">
        <w:t>282.</w:t>
      </w:r>
      <w:r w:rsidRPr="00EA12AB">
        <w:tab/>
        <w:t>Внедрение инклюзивного образования сопряжено с рядом проблем, включая нехватку преподавателей-специалистов для мониторинга и полного удовлетворения потребностей учащихся-инвалидов, из-за недостаточного числа преподавателей, академической специализацией которых является специальное образование, что является основным требованием для того, чтобы иметь возможность обучать лиц с ограниченными возможностями. Кроме того, нехватка финансовых ресурсов привела к зависимости от проектной деятельности. Отмечается также нехватка стандартных диагностических инструментов и персонала, обученного их использованию. Координация и сотрудничество на институциональном уровне между государственными органами и НПО, работающими с инвалидами, в целях содействия раннему выявлению и диагностике, а также определению потребностей в соответствующих устройствах, являются недостаточными.</w:t>
      </w:r>
      <w:r w:rsidR="00C030AE">
        <w:t xml:space="preserve"> </w:t>
      </w:r>
      <w:r w:rsidRPr="00EA12AB">
        <w:t>Необходимо пересмотреть учебную программу и адаптировать ее применительно к задачам инклюзивного образования. Наконец, отсутствует координация и консультации между палестинскими университетами и Министерством социального развития: при</w:t>
      </w:r>
      <w:r w:rsidR="00BC0257">
        <w:rPr>
          <w:lang w:val="en-US"/>
        </w:rPr>
        <w:t> </w:t>
      </w:r>
      <w:r w:rsidRPr="00EA12AB">
        <w:t xml:space="preserve">введении специальности </w:t>
      </w:r>
      <w:r w:rsidR="008E2BCB">
        <w:t>«</w:t>
      </w:r>
      <w:r w:rsidRPr="00EA12AB">
        <w:t>дипломированный педагог в области специального образования</w:t>
      </w:r>
      <w:r w:rsidR="008E2BCB">
        <w:t>»</w:t>
      </w:r>
      <w:r w:rsidRPr="00EA12AB">
        <w:t xml:space="preserve"> университетам необходимо консультироваться с Министерством по вопросам потребностей инвалидов.</w:t>
      </w:r>
    </w:p>
    <w:p w14:paraId="394B909A" w14:textId="77777777" w:rsidR="00C030AE" w:rsidRDefault="00EA12AB" w:rsidP="00EA12AB">
      <w:pPr>
        <w:pStyle w:val="SingleTxtG"/>
      </w:pPr>
      <w:r w:rsidRPr="00EA12AB">
        <w:t>283.</w:t>
      </w:r>
      <w:r w:rsidRPr="00EA12AB">
        <w:tab/>
        <w:t>БАПОР, которое обеспечивает образование для палестинцев, следует инклюзивному подходу, основанному на праве на доступ к образованию и участие в процессе образования, а также на праве всех детей учиться в безопасной и стимулирующей среде без дискриминации. Ресурсы включают набор из 19 учебных пособий, каждое из которых посвящено конкретной области потребностей учащихся, включая грамотность, арифметику, чтение, поведение, здоровье и физическую неполноценность.</w:t>
      </w:r>
    </w:p>
    <w:p w14:paraId="22F7316C" w14:textId="77777777" w:rsidR="00C030AE" w:rsidRDefault="00EA12AB" w:rsidP="00EA12AB">
      <w:pPr>
        <w:pStyle w:val="SingleTxtG"/>
      </w:pPr>
      <w:r w:rsidRPr="00EA12AB">
        <w:t>284.</w:t>
      </w:r>
      <w:r w:rsidRPr="00EA12AB">
        <w:tab/>
        <w:t>В рамках своей программы в интересах инвалидов БАПОР проводит оценку состояния первичного медико-санитарного обслуживания, когда дети начинают ходить в школу. В 2018 году примерно 6,15</w:t>
      </w:r>
      <w:r w:rsidR="005C1086" w:rsidRPr="005C1086">
        <w:t>%</w:t>
      </w:r>
      <w:r w:rsidRPr="00EA12AB">
        <w:t xml:space="preserve"> детей в школах Агентства в секторе Газа и 6,04</w:t>
      </w:r>
      <w:r w:rsidR="005C1086" w:rsidRPr="005C1086">
        <w:t>%</w:t>
      </w:r>
      <w:r w:rsidRPr="00EA12AB">
        <w:t xml:space="preserve"> в школах Западного берега были идентифицированы как имеющие ту или иную форму инвалидности. Однако на программу повлияли упомянутые выше сокращения объема услуг, предоставляемых Агентством.</w:t>
      </w:r>
    </w:p>
    <w:p w14:paraId="002FCF09" w14:textId="77777777" w:rsidR="00C030AE" w:rsidRDefault="00EA12AB" w:rsidP="00EA12AB">
      <w:pPr>
        <w:pStyle w:val="SingleTxtG"/>
      </w:pPr>
      <w:r w:rsidRPr="00EA12AB">
        <w:lastRenderedPageBreak/>
        <w:t>285.</w:t>
      </w:r>
      <w:r w:rsidRPr="00EA12AB">
        <w:tab/>
        <w:t xml:space="preserve">Ряд НПО, включая </w:t>
      </w:r>
      <w:proofErr w:type="spellStart"/>
      <w:r w:rsidRPr="00EA12AB">
        <w:t>Вифлеемское</w:t>
      </w:r>
      <w:proofErr w:type="spellEnd"/>
      <w:r w:rsidRPr="00EA12AB">
        <w:t xml:space="preserve"> арабское общество реабилитации, оказывают помощь Министерству просвещения и высшего образования в осуществлении программы инклюзивного образования и создании ресурсных центров для учащихся с нарушениями зрения. На Западном берегу такие организации, как </w:t>
      </w:r>
      <w:r w:rsidR="008E2BCB">
        <w:t>«</w:t>
      </w:r>
      <w:proofErr w:type="spellStart"/>
      <w:r w:rsidRPr="00EA12AB">
        <w:t>Кадер</w:t>
      </w:r>
      <w:proofErr w:type="spellEnd"/>
      <w:r w:rsidR="008E2BCB">
        <w:t>»</w:t>
      </w:r>
      <w:r w:rsidRPr="00EA12AB">
        <w:t xml:space="preserve">, стремятся содействовать доступу инвалидов к высшему образованию. Кроме того, существует несколько организаций, занимающихся реабилитацией учащихся, медленно усваивающих учебный материал, и лиц с умеренными умственными недостатками с целью их интеграции в государственные или частные школы; к ним относятся ассоциация </w:t>
      </w:r>
      <w:r w:rsidR="008E2BCB">
        <w:t>«</w:t>
      </w:r>
      <w:r w:rsidRPr="00EA12AB">
        <w:t>Аль-</w:t>
      </w:r>
      <w:proofErr w:type="spellStart"/>
      <w:r w:rsidRPr="00EA12AB">
        <w:t>Фаджр</w:t>
      </w:r>
      <w:proofErr w:type="spellEnd"/>
      <w:r w:rsidR="008E2BCB">
        <w:t>»</w:t>
      </w:r>
      <w:r w:rsidRPr="00EA12AB">
        <w:t xml:space="preserve">, школа специального образования </w:t>
      </w:r>
      <w:r w:rsidR="008E2BCB">
        <w:t>«</w:t>
      </w:r>
      <w:proofErr w:type="spellStart"/>
      <w:r w:rsidRPr="00EA12AB">
        <w:t>Санабель</w:t>
      </w:r>
      <w:proofErr w:type="spellEnd"/>
      <w:r w:rsidR="008E2BCB">
        <w:t>»</w:t>
      </w:r>
      <w:r w:rsidRPr="00EA12AB">
        <w:t xml:space="preserve"> и школа для глухих детей </w:t>
      </w:r>
      <w:r w:rsidR="008E2BCB">
        <w:t>«</w:t>
      </w:r>
      <w:r w:rsidRPr="00EA12AB">
        <w:t>Аль-</w:t>
      </w:r>
      <w:proofErr w:type="spellStart"/>
      <w:r w:rsidRPr="00EA12AB">
        <w:t>Амаль</w:t>
      </w:r>
      <w:proofErr w:type="spellEnd"/>
      <w:r w:rsidR="008E2BCB">
        <w:t>»</w:t>
      </w:r>
      <w:r w:rsidRPr="00EA12AB">
        <w:t xml:space="preserve"> в Газе.</w:t>
      </w:r>
    </w:p>
    <w:p w14:paraId="452634BB" w14:textId="77777777" w:rsidR="00C030AE" w:rsidRDefault="006B4CDF" w:rsidP="00C17D30">
      <w:pPr>
        <w:pStyle w:val="H1G"/>
      </w:pPr>
      <w:r>
        <w:tab/>
      </w:r>
      <w:r>
        <w:tab/>
      </w:r>
      <w:r w:rsidR="00EA12AB" w:rsidRPr="00EA12AB">
        <w:t>Статья 25</w:t>
      </w:r>
      <w:r>
        <w:br/>
      </w:r>
      <w:r w:rsidR="00EA12AB" w:rsidRPr="00EA12AB">
        <w:t>Здоровье</w:t>
      </w:r>
    </w:p>
    <w:p w14:paraId="65C1C712" w14:textId="77777777" w:rsidR="00C030AE" w:rsidRDefault="00EA12AB" w:rsidP="00EA12AB">
      <w:pPr>
        <w:pStyle w:val="SingleTxtG"/>
      </w:pPr>
      <w:r w:rsidRPr="00EA12AB">
        <w:t>286.</w:t>
      </w:r>
      <w:r w:rsidRPr="00EA12AB">
        <w:tab/>
        <w:t xml:space="preserve">В статье 12 Закона о правах инвалидов говорится: </w:t>
      </w:r>
      <w:r w:rsidR="008E2BCB">
        <w:t>«</w:t>
      </w:r>
      <w:r w:rsidRPr="00EA12AB">
        <w:t xml:space="preserve">Министерство социального развития отвечает за координацию с заинтересованными сторонами в целях обеспечения благосостояния и реабилитации инвалидов в следующих областях: </w:t>
      </w:r>
      <w:r w:rsidR="004D39AA">
        <w:br/>
      </w:r>
      <w:r w:rsidRPr="00EA12AB">
        <w:t>…2) состояние здоровья: выявлять и устанавливать степень инвалидности</w:t>
      </w:r>
      <w:r w:rsidR="008E2BCB">
        <w:t>»</w:t>
      </w:r>
      <w:r w:rsidR="008728BC" w:rsidRPr="008728BC">
        <w:rPr>
          <w:sz w:val="18"/>
          <w:szCs w:val="18"/>
          <w:vertAlign w:val="superscript"/>
        </w:rPr>
        <w:t>50</w:t>
      </w:r>
      <w:r w:rsidRPr="00EA12AB">
        <w:t>. В той же статье изложены профилактические меры, которые должны приниматься Министерством социального развития и Министерством здравоохранения, а также отмечается важность повышения информированности населения.</w:t>
      </w:r>
      <w:r w:rsidR="00C030AE">
        <w:t xml:space="preserve"> </w:t>
      </w:r>
      <w:r w:rsidRPr="00EA12AB">
        <w:t>Кроме того, Закон об общественном здравоохранении гарантирует женщинам, в том числе женщинам-инвалидам, бесплатное медицинское обслуживание в дородовой и послеродовой периоды</w:t>
      </w:r>
      <w:r w:rsidR="008728BC">
        <w:rPr>
          <w:rStyle w:val="ab"/>
        </w:rPr>
        <w:endnoteReference w:id="51"/>
      </w:r>
      <w:r w:rsidRPr="00EA12AB">
        <w:t>.</w:t>
      </w:r>
    </w:p>
    <w:p w14:paraId="55FEDD4C" w14:textId="77777777" w:rsidR="00C030AE" w:rsidRDefault="00EA12AB" w:rsidP="00EA12AB">
      <w:pPr>
        <w:pStyle w:val="SingleTxtG"/>
      </w:pPr>
      <w:r w:rsidRPr="00EA12AB">
        <w:t>287.</w:t>
      </w:r>
      <w:r w:rsidRPr="00EA12AB">
        <w:tab/>
        <w:t>В том что касается равного доступа к медицинским услугам, Министерство здравоохранения предоставляет инвалидам точно такие же медицинские услуги (профилактические, лечебные и общие услуги по охране здоровья), как и другим лицам в соответствии с Законом об общественном здравоохранении и системой медицинского страхования. Для обеспечения того, чтобы медицинские учреждения, товары и услуги находились в пределах безопасной и легкодоступной досягаемости для инвалидов, особенно в отсталых и сельских районах, Министерство здравоохранения организует их доставку деревенскими или передвижными клиниками.</w:t>
      </w:r>
    </w:p>
    <w:p w14:paraId="2D7C8BB2" w14:textId="77777777" w:rsidR="00C030AE" w:rsidRDefault="00EA12AB" w:rsidP="00EA12AB">
      <w:pPr>
        <w:pStyle w:val="SingleTxtG"/>
      </w:pPr>
      <w:r w:rsidRPr="00EA12AB">
        <w:t>288.</w:t>
      </w:r>
      <w:r w:rsidRPr="00EA12AB">
        <w:tab/>
        <w:t>Медицинские услуги предоставляются бесплатно или по разумной цене всем инвалидам, и уровень обслуживания, которое они получают, соответствует тем же стандартам качества, что и для всех других лиц.</w:t>
      </w:r>
      <w:r w:rsidR="00C030AE">
        <w:t xml:space="preserve"> </w:t>
      </w:r>
      <w:r w:rsidRPr="00EA12AB">
        <w:t>Это включает в себя бесплатные услуги по охране репродуктивного и сексуального здоровья, лечению инфекционных заболеваний и рака. Как правило, для получения медицинской помощи требуется свободное согласие инвалида. Однако закон гласит, что в случае психической неполноценности лечение зависит не от согласия пациента, а от согласия члена семьи, обеспечивающего уход за ним/ней. Хотя Министерство здравоохранения предоставляет полную информацию о СПИДе и заболеваниях, передаваемых половым путем, оно еще не опубликовало ее с использованием шрифта Брайля для лиц с нарушениями зрения.</w:t>
      </w:r>
    </w:p>
    <w:p w14:paraId="1E07F266" w14:textId="77777777" w:rsidR="00C030AE" w:rsidRDefault="00EA12AB" w:rsidP="00EA12AB">
      <w:pPr>
        <w:pStyle w:val="SingleTxtG"/>
      </w:pPr>
      <w:r w:rsidRPr="00EA12AB">
        <w:t>289.</w:t>
      </w:r>
      <w:r w:rsidRPr="00EA12AB">
        <w:tab/>
        <w:t>Медицинское страхование инвалидов осуществляется Министерством социального развития на основе степени нетрудоспособности, определяемой медицинской комиссией Министерства здравоохранения.</w:t>
      </w:r>
      <w:r w:rsidR="00C030AE">
        <w:t xml:space="preserve"> </w:t>
      </w:r>
      <w:r w:rsidRPr="00EA12AB">
        <w:t>Политика Министерства социального развития заключается в том, что инвалид может получить медицинскую страховку, если степень нетрудоспособности составляет 60</w:t>
      </w:r>
      <w:r w:rsidR="004D39AA" w:rsidRPr="004D39AA">
        <w:t>%</w:t>
      </w:r>
      <w:r w:rsidRPr="00EA12AB">
        <w:t xml:space="preserve"> или более</w:t>
      </w:r>
      <w:r w:rsidR="008728BC">
        <w:rPr>
          <w:rStyle w:val="ab"/>
        </w:rPr>
        <w:endnoteReference w:id="52"/>
      </w:r>
      <w:r w:rsidRPr="00EA12AB">
        <w:t>. До</w:t>
      </w:r>
      <w:r w:rsidR="004D39AA">
        <w:rPr>
          <w:lang w:val="en-US"/>
        </w:rPr>
        <w:t> </w:t>
      </w:r>
      <w:r w:rsidRPr="00EA12AB">
        <w:t>настоящего времени не разработано никакой специальной политики в области здравоохранения специально для инвалидов, которые пользуются комплексом услуг, охватываемых действующей системой медицинского страхования. Система страхования Министерства здравоохранения охватывает лиц с умственными и психическими недостатками и является бесплатной. Основные лекарства также предоставляются бесплатно.</w:t>
      </w:r>
    </w:p>
    <w:p w14:paraId="31EAF884" w14:textId="77777777" w:rsidR="00C030AE" w:rsidRDefault="00EA12AB" w:rsidP="00EA12AB">
      <w:pPr>
        <w:pStyle w:val="SingleTxtG"/>
      </w:pPr>
      <w:r w:rsidRPr="00EA12AB">
        <w:lastRenderedPageBreak/>
        <w:t>290.</w:t>
      </w:r>
      <w:r w:rsidRPr="00EA12AB">
        <w:tab/>
      </w:r>
      <w:bookmarkStart w:id="24" w:name="_Hlk39660537"/>
      <w:r w:rsidRPr="00EA12AB">
        <w:t>Всеобщий</w:t>
      </w:r>
      <w:bookmarkEnd w:id="24"/>
      <w:r w:rsidRPr="00EA12AB">
        <w:t xml:space="preserve"> союз инвалидов занимается проблемой медицинского страхования инвалидов в целом, осуществляя контроль за отдельными случаями на уровне отделений и призывая к тому, чтобы страхование не было увязано с требованием в отношении 60-процентной степени нетрудоспособности и основывалось на критериях инвалидности, установленных Конвенцией. Он также призывает к тому, чтобы страхованием были охвачены все медицинские услуги. В октябре 2017 года Всеобщий союз совместно с Министерством социального развития и Министерством здравоохранения и под эгидой Кабинета министров организовал конференцию на тему </w:t>
      </w:r>
      <w:r w:rsidR="008E2BCB">
        <w:t>«</w:t>
      </w:r>
      <w:r w:rsidRPr="00EA12AB">
        <w:t>Инвалидность и здоровье</w:t>
      </w:r>
      <w:r w:rsidR="008E2BCB">
        <w:t>»</w:t>
      </w:r>
      <w:r w:rsidRPr="00EA12AB">
        <w:t xml:space="preserve">. На конференции обсуждался ряд вопросов здравоохранения, в том числе страхование, </w:t>
      </w:r>
      <w:proofErr w:type="spellStart"/>
      <w:r w:rsidRPr="00EA12AB">
        <w:t>ассистивные</w:t>
      </w:r>
      <w:proofErr w:type="spellEnd"/>
      <w:r w:rsidRPr="00EA12AB">
        <w:t xml:space="preserve"> устройства, лекарства и т. д. Было решено, что Всеобщий союз будет и далее отслеживать эти вопросы. Продолжаются совещания с правительством по вопросу о внесении поправок в законы и постановления. В недавнем постановлении Кабинета министров был рассмотрен вопрос об </w:t>
      </w:r>
      <w:proofErr w:type="spellStart"/>
      <w:r w:rsidRPr="00EA12AB">
        <w:t>ассистивных</w:t>
      </w:r>
      <w:proofErr w:type="spellEnd"/>
      <w:r w:rsidRPr="00EA12AB">
        <w:t xml:space="preserve"> устройствах и обсуждена возможность развития медицинского страхования для инвалидов; для изучения этого вопроса был сформирован комитет.</w:t>
      </w:r>
    </w:p>
    <w:p w14:paraId="1E4CA20B" w14:textId="77777777" w:rsidR="00C030AE" w:rsidRDefault="00EA12AB" w:rsidP="00EA12AB">
      <w:pPr>
        <w:pStyle w:val="SingleTxtG"/>
      </w:pPr>
      <w:r w:rsidRPr="00EA12AB">
        <w:t>291.</w:t>
      </w:r>
      <w:r w:rsidRPr="00EA12AB">
        <w:tab/>
        <w:t>В рамках системы карточки инвалида Министерство здравоохранения стремится разрабатывать свои текущие программы с целью улучшения выявления врожденной инвалидности у детей и методов направления больных для диагностики и определения типа и степени инвалидности. Национальный комитет только что завершил работу над первым проектом протокола раннего выявления и профилактики инвалидности.</w:t>
      </w:r>
      <w:r w:rsidR="00C030AE">
        <w:t xml:space="preserve"> </w:t>
      </w:r>
    </w:p>
    <w:p w14:paraId="7CF13B69" w14:textId="77777777" w:rsidR="00C030AE" w:rsidRDefault="00EA12AB" w:rsidP="00EA12AB">
      <w:pPr>
        <w:pStyle w:val="SingleTxtG"/>
      </w:pPr>
      <w:r w:rsidRPr="00EA12AB">
        <w:t>292.</w:t>
      </w:r>
      <w:r w:rsidRPr="00EA12AB">
        <w:tab/>
        <w:t>Министерство здравоохранения совместно с Министерством социального развития планирует определять детей, имеющих право на получение карточки инвалида, на основании медицинской, физической, психологической и социальной диагностики с использованием международной классификации функциональных нарушений. Министерство приступило к разработке базы данных по инвалидам.</w:t>
      </w:r>
    </w:p>
    <w:p w14:paraId="4D812CEB" w14:textId="77777777" w:rsidR="00C030AE" w:rsidRDefault="00EA12AB" w:rsidP="00EA12AB">
      <w:pPr>
        <w:pStyle w:val="SingleTxtG"/>
      </w:pPr>
      <w:r w:rsidRPr="00EA12AB">
        <w:t>293.</w:t>
      </w:r>
      <w:r w:rsidRPr="00EA12AB">
        <w:tab/>
        <w:t>Министерство здравоохранения адаптировало все государственные больницы, с тем чтобы обеспечить доступ для лиц с нарушениями опорно-двигательного аппарата. Оно также частично адаптировало несколько управлений системы здравоохранения в партнерстве с местными и международными организациями в целях облегчения доступа. В настоящее время ведутся работы по адаптации туалетов и лифтов.</w:t>
      </w:r>
    </w:p>
    <w:p w14:paraId="6FA52449" w14:textId="77777777" w:rsidR="00C030AE" w:rsidRDefault="00EA12AB" w:rsidP="00EA12AB">
      <w:pPr>
        <w:pStyle w:val="SingleTxtG"/>
      </w:pPr>
      <w:r w:rsidRPr="00EA12AB">
        <w:t>294.</w:t>
      </w:r>
      <w:r w:rsidRPr="00EA12AB">
        <w:tab/>
        <w:t>Министерство здравоохранения обеспечивает раннее выявление заболеваний, которые могут привести к умственной отсталости, если их не лечить вовремя</w:t>
      </w:r>
      <w:r w:rsidR="0033265B">
        <w:rPr>
          <w:rStyle w:val="ab"/>
        </w:rPr>
        <w:endnoteReference w:id="53"/>
      </w:r>
      <w:r w:rsidRPr="00EA12AB">
        <w:t>. Министерство также обеспечивает бесплатную диагностику, лечение и реабилитацию лиц с психическими и умственными недостатками в психиатрической больнице Западного берега и психиатрической больнице Газы. Если позволяет ситуация, за ними затем следят общинные отделения психического здоровья</w:t>
      </w:r>
      <w:r w:rsidR="0033265B">
        <w:rPr>
          <w:rStyle w:val="ab"/>
        </w:rPr>
        <w:endnoteReference w:id="54"/>
      </w:r>
      <w:r w:rsidRPr="00EA12AB">
        <w:t>.</w:t>
      </w:r>
    </w:p>
    <w:p w14:paraId="2D6DFA75" w14:textId="77777777" w:rsidR="00C030AE" w:rsidRDefault="00EA12AB" w:rsidP="00EA12AB">
      <w:pPr>
        <w:pStyle w:val="SingleTxtG"/>
      </w:pPr>
      <w:r w:rsidRPr="00EA12AB">
        <w:t>295.</w:t>
      </w:r>
      <w:r w:rsidRPr="00EA12AB">
        <w:tab/>
        <w:t>Министерство здравоохранения сталкивается с препятствиями в своей работе, главным образом в связи с политической ситуацией, закрытием границ, перекрытием дорог и отсутствием контактов между Газой и Западным берегом. Иногда наблюдается недостаток сотрудничества со стороны членов семей.</w:t>
      </w:r>
    </w:p>
    <w:p w14:paraId="6F2E30BE" w14:textId="77777777" w:rsidR="00C030AE" w:rsidRDefault="00EA12AB" w:rsidP="00EA12AB">
      <w:pPr>
        <w:pStyle w:val="SingleTxtG"/>
      </w:pPr>
      <w:r w:rsidRPr="00EA12AB">
        <w:t>296.</w:t>
      </w:r>
      <w:r w:rsidRPr="00EA12AB">
        <w:tab/>
        <w:t>Проведенное в 2011 году обследование показало, что основной причиной инвалидности в Палестине являются болезни. Кроме того, некоторые медицинские потребности инвалидов не удовлетворяются должным образом. Так, 18,2</w:t>
      </w:r>
      <w:r w:rsidR="004D39AA" w:rsidRPr="004D39AA">
        <w:t>%</w:t>
      </w:r>
      <w:r w:rsidRPr="00EA12AB">
        <w:t xml:space="preserve"> лиц с нарушениями зрения нуждаются в увеличительных линзах; 46,5</w:t>
      </w:r>
      <w:r w:rsidR="004D39AA" w:rsidRPr="004D39AA">
        <w:t xml:space="preserve">% </w:t>
      </w:r>
      <w:r w:rsidRPr="00EA12AB">
        <w:t>людей с нарушениями слуха нуждаются в слуховых аппаратах, 14,3</w:t>
      </w:r>
      <w:r w:rsidR="004D39AA" w:rsidRPr="004D39AA">
        <w:t xml:space="preserve">% </w:t>
      </w:r>
      <w:r w:rsidRPr="00EA12AB">
        <w:t>– в кохлеарном импланте и 12,5</w:t>
      </w:r>
      <w:r w:rsidR="004D39AA" w:rsidRPr="004D39AA">
        <w:t xml:space="preserve">% </w:t>
      </w:r>
      <w:r w:rsidRPr="00EA12AB">
        <w:t>– в зрительных и сенсорных сигнализаторах; 37,1</w:t>
      </w:r>
      <w:r w:rsidR="004D39AA" w:rsidRPr="004D39AA">
        <w:t>%</w:t>
      </w:r>
      <w:r w:rsidRPr="00EA12AB">
        <w:t xml:space="preserve"> лиц с нарушениями опорно-двигательного аппарата нуждаются в физиотерапии, 24</w:t>
      </w:r>
      <w:r w:rsidR="004D39AA" w:rsidRPr="004D39AA">
        <w:t xml:space="preserve">% </w:t>
      </w:r>
      <w:r w:rsidRPr="00EA12AB">
        <w:t>– в сантехническом оборудовании, 23,5</w:t>
      </w:r>
      <w:r w:rsidR="004D39AA" w:rsidRPr="004D39AA">
        <w:t xml:space="preserve">% </w:t>
      </w:r>
      <w:r w:rsidRPr="00EA12AB">
        <w:t>– в инвалидном кресле и 21</w:t>
      </w:r>
      <w:r w:rsidR="004D39AA" w:rsidRPr="004D39AA">
        <w:t xml:space="preserve">% </w:t>
      </w:r>
      <w:r w:rsidRPr="00EA12AB">
        <w:t>– во вспомогательных средствах для ходьбы; 32,5</w:t>
      </w:r>
      <w:r w:rsidR="004D39AA" w:rsidRPr="004D39AA">
        <w:t>%</w:t>
      </w:r>
      <w:r w:rsidRPr="00EA12AB">
        <w:t xml:space="preserve"> тех, кто страдает от потери памяти и концентрации, нуждаются в медикаментах, а 39,9</w:t>
      </w:r>
      <w:r w:rsidR="004D39AA" w:rsidRPr="004D39AA">
        <w:t>%</w:t>
      </w:r>
      <w:r w:rsidRPr="00EA12AB">
        <w:t xml:space="preserve"> учащихся, медленно усваивающих учебный материал, нуждаются в психологической поддержке; 38,2</w:t>
      </w:r>
      <w:r w:rsidR="004D39AA" w:rsidRPr="004D39AA">
        <w:t>%</w:t>
      </w:r>
      <w:r w:rsidRPr="00EA12AB">
        <w:t xml:space="preserve"> лиц с психическими отклонениями нуждаются в психиатрической помощи, 34,7</w:t>
      </w:r>
      <w:r w:rsidR="004D39AA" w:rsidRPr="004D39AA">
        <w:t xml:space="preserve">% </w:t>
      </w:r>
      <w:r w:rsidRPr="00EA12AB">
        <w:t>– в поддержке и помощи специализированных центров.</w:t>
      </w:r>
      <w:r w:rsidR="00C030AE">
        <w:t xml:space="preserve"> </w:t>
      </w:r>
    </w:p>
    <w:p w14:paraId="5A10EBD9" w14:textId="77777777" w:rsidR="00C030AE" w:rsidRDefault="00EA12AB" w:rsidP="00EA12AB">
      <w:pPr>
        <w:pStyle w:val="SingleTxtG"/>
      </w:pPr>
      <w:r w:rsidRPr="00EA12AB">
        <w:lastRenderedPageBreak/>
        <w:t>297.</w:t>
      </w:r>
      <w:r w:rsidRPr="00EA12AB">
        <w:tab/>
        <w:t>Анализ препятствий, мешающих доступу инвалидов к медицинским услугам, показывает, что трудности существуют на всех уровнях. Более 80</w:t>
      </w:r>
      <w:r w:rsidR="004D39AA" w:rsidRPr="004D39AA">
        <w:t xml:space="preserve">% </w:t>
      </w:r>
      <w:r w:rsidRPr="00EA12AB">
        <w:t>опрошенных в ходе обследования 2011 года не могли позволить себе расходы на лечение, а около 70</w:t>
      </w:r>
      <w:r w:rsidR="004D39AA" w:rsidRPr="004D39AA">
        <w:t>%</w:t>
      </w:r>
      <w:r w:rsidRPr="00EA12AB">
        <w:t xml:space="preserve"> не могли позволить себе расходы на транспорт.</w:t>
      </w:r>
    </w:p>
    <w:p w14:paraId="5634C35D" w14:textId="77777777" w:rsidR="00C030AE" w:rsidRDefault="00EA12AB" w:rsidP="00EA12AB">
      <w:pPr>
        <w:pStyle w:val="SingleTxtG"/>
      </w:pPr>
      <w:r w:rsidRPr="00EA12AB">
        <w:t>298.</w:t>
      </w:r>
      <w:r w:rsidRPr="00EA12AB">
        <w:tab/>
        <w:t>Профилактические меры включают внедрение Министерством здравоохранения системы раннего выявления детей и других граждан в зависимости от возрастной группы и типа инвалидности. Проводятся профилактические и лечебные мероприятия, в том числе лечение фенилкетонурии (ФКУ), а также прививки и добавки витаминов А и D и железа; все эти услуги предоставляются бесплатно детям в возрасте до одного года.</w:t>
      </w:r>
    </w:p>
    <w:p w14:paraId="4137B754" w14:textId="77777777" w:rsidR="00C030AE" w:rsidRDefault="00EA12AB" w:rsidP="00EA12AB">
      <w:pPr>
        <w:pStyle w:val="SingleTxtG"/>
      </w:pPr>
      <w:r w:rsidRPr="00EA12AB">
        <w:t>299.</w:t>
      </w:r>
      <w:r w:rsidRPr="00EA12AB">
        <w:tab/>
        <w:t>В соответствии с программой охраны здоровья в школах Министерство здравоохранения проводит политику бесплатного раннего выявления детей с нарушениями зрения и слуха, учащихся, испытывающих трудности в процессе обучения, и девочек с искривлением позвоночника в возрасте до 12 лет. Министерство также проводит профилактические мероприятия и предоставляет некоторые виды бесплатного лечения школьникам, в том числе инвалидам.</w:t>
      </w:r>
    </w:p>
    <w:p w14:paraId="1180E49D" w14:textId="77777777" w:rsidR="00C030AE" w:rsidRDefault="00EA12AB" w:rsidP="00EA12AB">
      <w:pPr>
        <w:pStyle w:val="SingleTxtG"/>
      </w:pPr>
      <w:r w:rsidRPr="00EA12AB">
        <w:t>300.</w:t>
      </w:r>
      <w:r w:rsidRPr="00EA12AB">
        <w:tab/>
        <w:t xml:space="preserve">Министерство здравоохранения работает в партнерстве с Министерством просвещения и высшего образования в целях поддержки и поощрения адаптации школьных зданий к потребностям учащихся с физическими недостатками. Оно также стремится к интеграции учащихся с легкой и умеренной степенью умственной неполноценности в соответствии с диагнозом и заключениями отделений психического здоровья психиатрической больницы д-ра Мохаммеда Саида </w:t>
      </w:r>
      <w:proofErr w:type="spellStart"/>
      <w:r w:rsidRPr="00EA12AB">
        <w:t>Камаля</w:t>
      </w:r>
      <w:proofErr w:type="spellEnd"/>
      <w:r w:rsidRPr="00EA12AB">
        <w:t>.</w:t>
      </w:r>
    </w:p>
    <w:p w14:paraId="18CF1F5F" w14:textId="77777777" w:rsidR="00C030AE" w:rsidRDefault="00EA12AB" w:rsidP="00EA12AB">
      <w:pPr>
        <w:pStyle w:val="SingleTxtG"/>
      </w:pPr>
      <w:r w:rsidRPr="00EA12AB">
        <w:t>301</w:t>
      </w:r>
      <w:r w:rsidRPr="00EA12AB">
        <w:tab/>
        <w:t>Санузлы имеются во всех государственных больницах и легко доступны. Однако они по-прежнему отсутствуют в большинстве отделений здравоохранения или имеются, но не используются по бюджетным соображениям.</w:t>
      </w:r>
      <w:r w:rsidR="00C030AE">
        <w:t xml:space="preserve"> </w:t>
      </w:r>
    </w:p>
    <w:p w14:paraId="5CF34C29" w14:textId="77777777" w:rsidR="00C030AE" w:rsidRDefault="00EA12AB" w:rsidP="00EA12AB">
      <w:pPr>
        <w:pStyle w:val="SingleTxtG"/>
      </w:pPr>
      <w:r w:rsidRPr="00EA12AB">
        <w:t>302.</w:t>
      </w:r>
      <w:r w:rsidRPr="00EA12AB">
        <w:tab/>
        <w:t xml:space="preserve">До 2018 года БАПОР предоставляло первичные медико-санитарные услуги взрослым и детям в Палестине, а зарегистрированные беженцы, отнесенные медицинскими центрами БАПОР к числу лиц, страдающих постоянными физическими недостатками и/или нарушениями зрения и слуха, имели право на финансовую поддержку со стороны отдела здравоохранения Агентства для покрытия расходов на </w:t>
      </w:r>
      <w:proofErr w:type="spellStart"/>
      <w:r w:rsidRPr="00EA12AB">
        <w:t>ассистивные</w:t>
      </w:r>
      <w:proofErr w:type="spellEnd"/>
      <w:r w:rsidRPr="00EA12AB">
        <w:t xml:space="preserve"> устройства, такие как слуховые аппараты, очки, протезы конечностей, инвалидные коляски и т.</w:t>
      </w:r>
      <w:r w:rsidR="00526E67">
        <w:rPr>
          <w:lang w:val="en-US"/>
        </w:rPr>
        <w:t> </w:t>
      </w:r>
      <w:r w:rsidRPr="00EA12AB">
        <w:t>д. Однако сокращение бюджета Агентства отразилось на услугах, предоставляемых палестинцам с инвалидностью.</w:t>
      </w:r>
    </w:p>
    <w:p w14:paraId="7CBDBA20" w14:textId="77777777" w:rsidR="00C030AE" w:rsidRDefault="00EA12AB" w:rsidP="00EA12AB">
      <w:pPr>
        <w:pStyle w:val="SingleTxtG"/>
      </w:pPr>
      <w:r w:rsidRPr="00EA12AB">
        <w:t>303.</w:t>
      </w:r>
      <w:r w:rsidRPr="00EA12AB">
        <w:tab/>
        <w:t>Министерство здравоохранения сталкивается с многочисленными проблемами и препятствиями, которые ограничивают его возможности по удовлетворению потребностей инвалидов, к которым относится и нехватка финансовых и материальных ресурсов. За исключением средств, выделяемых на раннюю диагностику и профилактические мероприятия, такие как вакцинация, молоко для пациентов с ФКУ и пищевые добавки, Министерство не имеет специального бюджета для инвалидов. Еще одна проблемная область – обучение медицинского персонала методам работы с инвалидами, в частности лицами с нарушениями слуха. В</w:t>
      </w:r>
      <w:r w:rsidR="00526E67">
        <w:rPr>
          <w:lang w:val="en-US"/>
        </w:rPr>
        <w:t> </w:t>
      </w:r>
      <w:r w:rsidRPr="00EA12AB">
        <w:t>Министерстве нет сотрудников, специализирующихся на работе с инвалидами.</w:t>
      </w:r>
    </w:p>
    <w:p w14:paraId="159A59C9" w14:textId="77777777" w:rsidR="00C030AE" w:rsidRDefault="00EA12AB" w:rsidP="00EA12AB">
      <w:pPr>
        <w:pStyle w:val="SingleTxtG"/>
      </w:pPr>
      <w:r w:rsidRPr="00EA12AB">
        <w:t>304.</w:t>
      </w:r>
      <w:r w:rsidRPr="00EA12AB">
        <w:tab/>
        <w:t>Израильская оккупация является одной из главных проблем, стоящих перед Министерством здравоохранения, поскольку оно несет основное бремя по оказанию помощи жертвам израильской агрессии.</w:t>
      </w:r>
      <w:r w:rsidR="00C030AE">
        <w:t xml:space="preserve"> </w:t>
      </w:r>
      <w:r w:rsidRPr="00EA12AB">
        <w:t>Именно эта агрессия в значительной степени способствовала увеличению числа лиц, страдающих физическими недостатками и психическими расстройствами. Это также привело к необходимости выделения дополнительных бюджетных средств для ликвидации последствий войны и агрессии в Газе и на Западном берегу.</w:t>
      </w:r>
    </w:p>
    <w:p w14:paraId="5D7326BF" w14:textId="77777777" w:rsidR="00C030AE" w:rsidRDefault="00EA12AB" w:rsidP="00EA12AB">
      <w:pPr>
        <w:pStyle w:val="SingleTxtG"/>
      </w:pPr>
      <w:r w:rsidRPr="00EA12AB">
        <w:t>305.</w:t>
      </w:r>
      <w:r w:rsidRPr="00EA12AB">
        <w:tab/>
        <w:t xml:space="preserve">Для реализации запланированного улучшения медицинского обслуживания инвалидов в Закон об общественном здравоохранении будут внесены поправки, включая положения, касающиеся конкретно инвалидов и бесплатных медицинских услуг, на которые они имеют право. Кроме того, на национальном уровне будет разработана политика реабилитации инвалидов в целях обеспечения доступа к высококачественным услугам, отвечающим международным стандартам. </w:t>
      </w:r>
      <w:r w:rsidRPr="00EA12AB">
        <w:lastRenderedPageBreak/>
        <w:t>Министерство здравоохранения не предоставляет материалы, написанные шрифтом Брайля или изложенные каким-либо другим способом, для повышения осведомленности инвалидов о СПИДе и гепатите.</w:t>
      </w:r>
      <w:bookmarkStart w:id="25" w:name="_GoBack"/>
      <w:bookmarkEnd w:id="25"/>
    </w:p>
    <w:p w14:paraId="25A2461B" w14:textId="77777777" w:rsidR="00C030AE" w:rsidRDefault="006B4CDF" w:rsidP="00C17D30">
      <w:pPr>
        <w:pStyle w:val="H1G"/>
      </w:pPr>
      <w:r>
        <w:tab/>
      </w:r>
      <w:r>
        <w:tab/>
      </w:r>
      <w:r w:rsidR="00EA12AB" w:rsidRPr="00EA12AB">
        <w:t>Статья 26</w:t>
      </w:r>
      <w:r>
        <w:br/>
      </w:r>
      <w:proofErr w:type="spellStart"/>
      <w:r w:rsidR="00EA12AB" w:rsidRPr="00EA12AB">
        <w:t>Абилитация</w:t>
      </w:r>
      <w:proofErr w:type="spellEnd"/>
      <w:r w:rsidR="00EA12AB" w:rsidRPr="00EA12AB">
        <w:t xml:space="preserve"> и реабилитация</w:t>
      </w:r>
    </w:p>
    <w:p w14:paraId="5D682FAE" w14:textId="6B378A69" w:rsidR="00C030AE" w:rsidRDefault="00EA12AB" w:rsidP="00EA12AB">
      <w:pPr>
        <w:pStyle w:val="SingleTxtG"/>
      </w:pPr>
      <w:r w:rsidRPr="00EA12AB">
        <w:t>306.</w:t>
      </w:r>
      <w:r w:rsidRPr="00EA12AB">
        <w:tab/>
        <w:t xml:space="preserve">В соответствии со статьей 1 Закона о правах инвалидов реабилитация определяется как комплекс услуг, мероприятий, а также социальных, психологических, медицинских, образовательных и профессиональных средств, предназначенных для того, чтобы инвалиды могли жить самостоятельным и достойным образом. Статья 5 </w:t>
      </w:r>
      <w:r w:rsidR="006F707A" w:rsidRPr="006F707A">
        <w:t>(</w:t>
      </w:r>
      <w:r w:rsidRPr="00EA12AB">
        <w:t>1) предусматривает, что государство должно обеспечивать инвалидам реабилитацию в соответствии с типом инвалидности. Взнос инвалида не должен превышать 25</w:t>
      </w:r>
      <w:r w:rsidR="00DC500C" w:rsidRPr="002D2E13">
        <w:t>%</w:t>
      </w:r>
      <w:r w:rsidRPr="00EA12AB">
        <w:t xml:space="preserve"> от общей суммы. Статья 5 </w:t>
      </w:r>
      <w:r w:rsidR="006F707A" w:rsidRPr="00942A01">
        <w:t>(</w:t>
      </w:r>
      <w:r w:rsidRPr="00EA12AB">
        <w:t>2) предусматривает, что инвалид, который участвует в борьбе с оккупацией, освобождается от этого взноса.</w:t>
      </w:r>
    </w:p>
    <w:p w14:paraId="00FA170F" w14:textId="77777777" w:rsidR="00C030AE" w:rsidRDefault="00EA12AB" w:rsidP="00EA12AB">
      <w:pPr>
        <w:pStyle w:val="SingleTxtG"/>
      </w:pPr>
      <w:r w:rsidRPr="00EA12AB">
        <w:t>307.</w:t>
      </w:r>
      <w:r w:rsidRPr="00EA12AB">
        <w:tab/>
        <w:t>Статья 10 Закона о правах инвалидов содержит более подробную информацию:</w:t>
      </w:r>
    </w:p>
    <w:p w14:paraId="15533CB2" w14:textId="77777777" w:rsidR="00EA12AB" w:rsidRPr="00EA12AB" w:rsidRDefault="008E2BCB" w:rsidP="006B4CDF">
      <w:pPr>
        <w:pStyle w:val="SingleTxtG"/>
        <w:ind w:left="1701"/>
      </w:pPr>
      <w:r>
        <w:t>«</w:t>
      </w:r>
      <w:r w:rsidR="00EA12AB" w:rsidRPr="00EA12AB">
        <w:t>4.</w:t>
      </w:r>
      <w:r w:rsidR="00EA12AB" w:rsidRPr="00EA12AB">
        <w:tab/>
        <w:t xml:space="preserve">В том, что касается реабилитации и занятости: </w:t>
      </w:r>
    </w:p>
    <w:p w14:paraId="354C2C84" w14:textId="77777777" w:rsidR="00EA12AB" w:rsidRPr="00EA12AB" w:rsidRDefault="006B4CDF" w:rsidP="00BD0FA8">
      <w:pPr>
        <w:pStyle w:val="SingleTxtG"/>
      </w:pPr>
      <w:r>
        <w:tab/>
      </w:r>
      <w:r>
        <w:tab/>
      </w:r>
      <w:r w:rsidR="00EA12AB" w:rsidRPr="00EA12AB">
        <w:t>a)</w:t>
      </w:r>
      <w:r w:rsidR="00EA12AB" w:rsidRPr="00EA12AB">
        <w:tab/>
        <w:t>заниматься подготовкой квалифицированного технического персонала для работы со всеми типами инвалидности;</w:t>
      </w:r>
    </w:p>
    <w:p w14:paraId="46549D9B" w14:textId="77777777" w:rsidR="00C030AE" w:rsidRDefault="006B4CDF" w:rsidP="00BD0FA8">
      <w:pPr>
        <w:pStyle w:val="SingleTxtG"/>
      </w:pPr>
      <w:r>
        <w:tab/>
      </w:r>
      <w:r>
        <w:tab/>
      </w:r>
      <w:r w:rsidR="00EA12AB" w:rsidRPr="00EA12AB">
        <w:t>b)</w:t>
      </w:r>
      <w:r w:rsidR="00EA12AB" w:rsidRPr="00EA12AB">
        <w:tab/>
        <w:t>обеспечить право на поступление в реабилитационные учреждения и учреждения</w:t>
      </w:r>
      <w:r w:rsidR="00526E67" w:rsidRPr="00526E67">
        <w:t xml:space="preserve"> </w:t>
      </w:r>
      <w:r w:rsidR="00EA12AB" w:rsidRPr="00EA12AB">
        <w:t>профессионального обучения в соответствии с действующими законами и нормативными актами на основе равенства возможностей, а также организовать программу профессиональной подготовки для инвалидов</w:t>
      </w:r>
      <w:r w:rsidR="008E2BCB">
        <w:t>»</w:t>
      </w:r>
      <w:r w:rsidR="00EA12AB" w:rsidRPr="00EA12AB">
        <w:t>.</w:t>
      </w:r>
    </w:p>
    <w:p w14:paraId="372F16BE" w14:textId="77777777" w:rsidR="00C030AE" w:rsidRDefault="00EA12AB" w:rsidP="00EA12AB">
      <w:pPr>
        <w:pStyle w:val="SingleTxtG"/>
      </w:pPr>
      <w:r w:rsidRPr="00EA12AB">
        <w:t>308.</w:t>
      </w:r>
      <w:r w:rsidRPr="00EA12AB">
        <w:tab/>
        <w:t>В статье 4 подзаконного акта о применении этого Закона определены обязанности различных министерств, в частности Министерства социального развития, в отношении реабилитации инвалидов. Если государственные учреждения не в состоянии предоставить адекватную реабилитационную услугу, она должна быть приобретена у соответствующих НПО</w:t>
      </w:r>
      <w:r w:rsidR="00D25A29">
        <w:rPr>
          <w:rStyle w:val="ab"/>
        </w:rPr>
        <w:endnoteReference w:id="55"/>
      </w:r>
      <w:r w:rsidRPr="00EA12AB">
        <w:t>. Кроме того, постановлением Кабинета министров № 50 (2006 год)</w:t>
      </w:r>
      <w:r w:rsidR="00C030AE">
        <w:t xml:space="preserve"> </w:t>
      </w:r>
      <w:r w:rsidRPr="00EA12AB">
        <w:t>был создан фонд по предоставлению кредитов и обеспечению занятости для инвалидов при Министерстве социального развития с целью обеспечения их реабилитации и оказания им помощи в трудоустройстве в качестве владельцев торговых палаток и ларьков.</w:t>
      </w:r>
    </w:p>
    <w:p w14:paraId="24884780" w14:textId="77777777" w:rsidR="00C030AE" w:rsidRDefault="00EA12AB" w:rsidP="00EA12AB">
      <w:pPr>
        <w:pStyle w:val="SingleTxtG"/>
      </w:pPr>
      <w:r w:rsidRPr="00EA12AB">
        <w:t>309.</w:t>
      </w:r>
      <w:r w:rsidRPr="00EA12AB">
        <w:tab/>
        <w:t>В рамках системы медицинского страхования реабилитационные услуги предоставляются инвалидам Министерством здравоохранения. Если само Министерство не в состоянии предоставлять такие услуги напрямую, оно приобретает их в частном секторе. Инвалиды получают специализированные медицинские услуги на тех же условиях и по тем же стандартам качества, что и трудоспособные лица.</w:t>
      </w:r>
    </w:p>
    <w:p w14:paraId="1B2BB020" w14:textId="77777777" w:rsidR="00C030AE" w:rsidRDefault="00EA12AB" w:rsidP="00EA12AB">
      <w:pPr>
        <w:pStyle w:val="SingleTxtG"/>
      </w:pPr>
      <w:r w:rsidRPr="00EA12AB">
        <w:t>310.</w:t>
      </w:r>
      <w:r w:rsidRPr="00EA12AB">
        <w:tab/>
        <w:t>Для обеспечения доступа инвалидов к недорогим и высококачественным реабилитационным услугам соответствующего типа Министерство здравоохранения планирует ввести набор национальных стандартов обслуживания. Оно также разработает механизмы мониторинга и обеспечения применения этих стандартов.</w:t>
      </w:r>
      <w:r w:rsidR="00C030AE">
        <w:t xml:space="preserve"> </w:t>
      </w:r>
      <w:r w:rsidRPr="00EA12AB">
        <w:t>Кроме того, Министерство планирует подготовку персонала и приобретение им квалификации для работы со всеми типами инвалидности.</w:t>
      </w:r>
    </w:p>
    <w:p w14:paraId="76107F0F" w14:textId="77777777" w:rsidR="00C030AE" w:rsidRDefault="00EA12AB" w:rsidP="00EA12AB">
      <w:pPr>
        <w:pStyle w:val="SingleTxtG"/>
      </w:pPr>
      <w:r w:rsidRPr="00EA12AB">
        <w:t>311.</w:t>
      </w:r>
      <w:r w:rsidRPr="00EA12AB">
        <w:tab/>
        <w:t xml:space="preserve">Реабилитация на ранней стадии зависит от своевременной диагностики, проводимой Министерством здравоохранения, и доступности услуг. Услуги, как правило, доступны в городах, а также могут быть легко получены в сельских общинах. </w:t>
      </w:r>
      <w:proofErr w:type="spellStart"/>
      <w:r w:rsidRPr="00EA12AB">
        <w:t>Абилитационно</w:t>
      </w:r>
      <w:proofErr w:type="spellEnd"/>
      <w:r w:rsidRPr="00EA12AB">
        <w:t>-реабилитационные услуги для инвалидов не предоставляются на добровольной основе.</w:t>
      </w:r>
    </w:p>
    <w:p w14:paraId="71E74E91" w14:textId="77777777" w:rsidR="00C030AE" w:rsidRDefault="00EA12AB" w:rsidP="00EA12AB">
      <w:pPr>
        <w:pStyle w:val="SingleTxtG"/>
      </w:pPr>
      <w:r w:rsidRPr="00EA12AB">
        <w:t>312.</w:t>
      </w:r>
      <w:r w:rsidRPr="00EA12AB">
        <w:tab/>
        <w:t xml:space="preserve">Профессиональная реабилитация осуществляется центрами профессиональной подготовки Министерства социального развития в мухафазах </w:t>
      </w:r>
      <w:proofErr w:type="spellStart"/>
      <w:r w:rsidRPr="00EA12AB">
        <w:t>Наблус</w:t>
      </w:r>
      <w:proofErr w:type="spellEnd"/>
      <w:r w:rsidRPr="00EA12AB">
        <w:t xml:space="preserve"> и </w:t>
      </w:r>
      <w:proofErr w:type="spellStart"/>
      <w:r w:rsidRPr="00EA12AB">
        <w:t>Хеврон</w:t>
      </w:r>
      <w:proofErr w:type="spellEnd"/>
      <w:r w:rsidRPr="00EA12AB">
        <w:t>. Персонал, работающий в этих центрах, проходит подготовку по вопросам обращения с инвалидами.</w:t>
      </w:r>
    </w:p>
    <w:p w14:paraId="51BE1513" w14:textId="77777777" w:rsidR="00C030AE" w:rsidRDefault="00EA12AB" w:rsidP="00EA12AB">
      <w:pPr>
        <w:pStyle w:val="SingleTxtG"/>
      </w:pPr>
      <w:r w:rsidRPr="00EA12AB">
        <w:lastRenderedPageBreak/>
        <w:t>313.</w:t>
      </w:r>
      <w:r w:rsidRPr="00EA12AB">
        <w:tab/>
        <w:t>Центры профессиональной подготовки Министерства труда организовали в общей сложности 21 учебную программу, включая проведение 69 курсов в 9 центрах. В Приложении 8 указаны центры профессиональной подготовки при Министерстве труда.</w:t>
      </w:r>
    </w:p>
    <w:p w14:paraId="043B523F" w14:textId="77777777" w:rsidR="00C030AE" w:rsidRDefault="00EA12AB" w:rsidP="00EA12AB">
      <w:pPr>
        <w:pStyle w:val="SingleTxtG"/>
      </w:pPr>
      <w:r w:rsidRPr="00EA12AB">
        <w:t>314.</w:t>
      </w:r>
      <w:r w:rsidRPr="00EA12AB">
        <w:tab/>
        <w:t>В центрах профессиональной подготовки Министерства труда при поддержке Вифлеемского арабского общества реабилитации прошли подготовку в общей сложности 40 инструкторов по вопросам работы с инвалидами. На следующем этапе планируется привлечь тех же 40 инструкторов, которые проходят подготовку по продвинутой программе изучения языка жестов.</w:t>
      </w:r>
    </w:p>
    <w:p w14:paraId="72CEF447" w14:textId="77777777" w:rsidR="00C030AE" w:rsidRDefault="00EA12AB" w:rsidP="00EA12AB">
      <w:pPr>
        <w:pStyle w:val="SingleTxtG"/>
      </w:pPr>
      <w:r w:rsidRPr="00EA12AB">
        <w:t>315.</w:t>
      </w:r>
      <w:r w:rsidRPr="00EA12AB">
        <w:tab/>
        <w:t>Местные комитеты при Высшем координационном комитете общинных реабилитационных центров БАПОР приняли все аспекты концепции реабилитации на базе общин. Программа реабилитации на базе общин сосредоточена на интеграции инвалидов в местное сообщество.</w:t>
      </w:r>
    </w:p>
    <w:p w14:paraId="087E4D3E" w14:textId="77777777" w:rsidR="00C030AE" w:rsidRDefault="00EA12AB" w:rsidP="00EA12AB">
      <w:pPr>
        <w:pStyle w:val="SingleTxtG"/>
      </w:pPr>
      <w:r w:rsidRPr="00EA12AB">
        <w:t>316.</w:t>
      </w:r>
      <w:r w:rsidRPr="00EA12AB">
        <w:tab/>
        <w:t>Местные комитеты полагаются на местную общину в плане применения концепции реабилитации на базе общин</w:t>
      </w:r>
      <w:r w:rsidR="00DC500C">
        <w:rPr>
          <w:rStyle w:val="ab"/>
        </w:rPr>
        <w:endnoteReference w:id="56"/>
      </w:r>
      <w:r w:rsidRPr="00EA12AB">
        <w:t>. В свою очередь, местное сообщество сотрудничает с комитетами и рассчитывает на их поддержку, с тем чтобы обеспечить успех этих программ</w:t>
      </w:r>
      <w:r w:rsidR="00DC500C">
        <w:rPr>
          <w:rStyle w:val="ab"/>
        </w:rPr>
        <w:endnoteReference w:id="57"/>
      </w:r>
      <w:r w:rsidRPr="00EA12AB">
        <w:t xml:space="preserve">. С момента создания комитетов их деятельность была направлена на достижение следующих целей: социальная, техническая и функциональная реабилитация инвалидов во всех сферах жизни; осуществление программ и предоставление услуг, в которых нуждаются инвалиды в повседневной жизни; раннее выявление и диагностика инвалидности; предоставление основных приспособлений и </w:t>
      </w:r>
      <w:proofErr w:type="spellStart"/>
      <w:r w:rsidRPr="00EA12AB">
        <w:t>ассистивных</w:t>
      </w:r>
      <w:proofErr w:type="spellEnd"/>
      <w:r w:rsidRPr="00EA12AB">
        <w:t xml:space="preserve"> устройств для инвалидов; реабилитация инвалидов с последующим их переводом в государственную общеобразовательную школьную систему и интеграцией в нее; и организация курсов профессиональной подготовки, позволяющих инвалидам овладеть навыками, необходимыми для осуществления профессиональной деятельности.</w:t>
      </w:r>
    </w:p>
    <w:p w14:paraId="70660A54" w14:textId="77777777" w:rsidR="00C030AE" w:rsidRDefault="00EA12AB" w:rsidP="00EA12AB">
      <w:pPr>
        <w:pStyle w:val="SingleTxtG"/>
      </w:pPr>
      <w:r w:rsidRPr="00EA12AB">
        <w:t>317.</w:t>
      </w:r>
      <w:r w:rsidRPr="00EA12AB">
        <w:tab/>
        <w:t>На Западном берегу действуют два государственных реабилитационных центра</w:t>
      </w:r>
      <w:r w:rsidR="00EE47F1">
        <w:rPr>
          <w:lang w:val="en-US"/>
        </w:rPr>
        <w:t> </w:t>
      </w:r>
      <w:r w:rsidRPr="00EA12AB">
        <w:t xml:space="preserve">– центр </w:t>
      </w:r>
      <w:r w:rsidR="008E2BCB">
        <w:t>«</w:t>
      </w:r>
      <w:r w:rsidRPr="00EA12AB">
        <w:t>Шейха Фатима</w:t>
      </w:r>
      <w:r w:rsidR="008E2BCB">
        <w:t>»</w:t>
      </w:r>
      <w:r w:rsidRPr="00EA12AB">
        <w:t xml:space="preserve"> в </w:t>
      </w:r>
      <w:proofErr w:type="spellStart"/>
      <w:r w:rsidRPr="00EA12AB">
        <w:t>Хевроне</w:t>
      </w:r>
      <w:proofErr w:type="spellEnd"/>
      <w:r w:rsidRPr="00EA12AB">
        <w:t xml:space="preserve"> и центр </w:t>
      </w:r>
      <w:r w:rsidR="008E2BCB">
        <w:t>«</w:t>
      </w:r>
      <w:r w:rsidRPr="00EA12AB">
        <w:t>Шейха Халифа</w:t>
      </w:r>
      <w:r w:rsidR="008E2BCB">
        <w:t>»</w:t>
      </w:r>
      <w:r w:rsidRPr="00EA12AB">
        <w:t xml:space="preserve"> в </w:t>
      </w:r>
      <w:proofErr w:type="spellStart"/>
      <w:r w:rsidRPr="00EA12AB">
        <w:t>Наблусе</w:t>
      </w:r>
      <w:proofErr w:type="spellEnd"/>
      <w:r w:rsidRPr="00EA12AB">
        <w:t>; в</w:t>
      </w:r>
      <w:r w:rsidR="00BD0FA8">
        <w:rPr>
          <w:lang w:val="en-US"/>
        </w:rPr>
        <w:t> </w:t>
      </w:r>
      <w:r w:rsidRPr="00EA12AB">
        <w:t xml:space="preserve">настоящее время ведется работа по созданию в </w:t>
      </w:r>
      <w:proofErr w:type="spellStart"/>
      <w:r w:rsidRPr="00EA12AB">
        <w:t>Наблусе</w:t>
      </w:r>
      <w:proofErr w:type="spellEnd"/>
      <w:r w:rsidRPr="00EA12AB">
        <w:t xml:space="preserve"> центра для лиц с тяжелыми формами инвалидности.</w:t>
      </w:r>
    </w:p>
    <w:p w14:paraId="15A72B4F" w14:textId="77777777" w:rsidR="00C030AE" w:rsidRDefault="00EA12AB" w:rsidP="00EA12AB">
      <w:pPr>
        <w:pStyle w:val="SingleTxtG"/>
      </w:pPr>
      <w:r w:rsidRPr="00EA12AB">
        <w:t>318.</w:t>
      </w:r>
      <w:r w:rsidRPr="00EA12AB">
        <w:tab/>
        <w:t>Министерство местного самоуправления расширило сотрудничество с общинными реабилитационными организациями во всех регионах, увеличив число реабилитационных работников до 87 человек, заработная плата которых частично выплачивается из бюджетов местных органов власти при Министерстве.</w:t>
      </w:r>
      <w:r w:rsidR="00C030AE">
        <w:t xml:space="preserve"> </w:t>
      </w:r>
    </w:p>
    <w:p w14:paraId="493533AA" w14:textId="77777777" w:rsidR="00C030AE" w:rsidRDefault="00EA12AB" w:rsidP="00EA12AB">
      <w:pPr>
        <w:pStyle w:val="SingleTxtG"/>
      </w:pPr>
      <w:r w:rsidRPr="00EA12AB">
        <w:t>319.</w:t>
      </w:r>
      <w:r w:rsidRPr="00EA12AB">
        <w:tab/>
        <w:t xml:space="preserve">Услуги по профессиональной реабилитации и реабилитации в Палестине предоставляют некоторые НПО. Помимо Палестинского общества Красного Полумесяца к ним относится </w:t>
      </w:r>
      <w:proofErr w:type="spellStart"/>
      <w:r w:rsidRPr="00EA12AB">
        <w:t>Вифлеемское</w:t>
      </w:r>
      <w:proofErr w:type="spellEnd"/>
      <w:r w:rsidRPr="00EA12AB">
        <w:t xml:space="preserve"> арабское общество реабилитации, которое осуществляет программу работы на местах с инвалидами в их домах и местных общинах. Отделение АМХ в Иерусалиме предлагает услуги по профессиональной диагностике и реабилитации. Кроме того, Центр образования для взрослых </w:t>
      </w:r>
      <w:r w:rsidR="00EE47F1">
        <w:br/>
      </w:r>
      <w:r w:rsidR="008E2BCB">
        <w:t>«</w:t>
      </w:r>
      <w:r w:rsidRPr="00EA12AB">
        <w:t>Аль-</w:t>
      </w:r>
      <w:proofErr w:type="spellStart"/>
      <w:r w:rsidRPr="00EA12AB">
        <w:t>Амаль</w:t>
      </w:r>
      <w:proofErr w:type="spellEnd"/>
      <w:r w:rsidR="008E2BCB">
        <w:t>»</w:t>
      </w:r>
      <w:r w:rsidRPr="00EA12AB">
        <w:t xml:space="preserve"> предлагает профессиональную реабилитацию для лиц с нарушениями слуха.</w:t>
      </w:r>
    </w:p>
    <w:p w14:paraId="190BE2EB" w14:textId="77777777" w:rsidR="00C030AE" w:rsidRDefault="006B4CDF" w:rsidP="00C17D30">
      <w:pPr>
        <w:pStyle w:val="H1G"/>
      </w:pPr>
      <w:r>
        <w:tab/>
      </w:r>
      <w:r>
        <w:tab/>
      </w:r>
      <w:r w:rsidR="00EA12AB" w:rsidRPr="00EA12AB">
        <w:t>Статья 27</w:t>
      </w:r>
      <w:r>
        <w:br/>
      </w:r>
      <w:r w:rsidR="00EA12AB" w:rsidRPr="00EA12AB">
        <w:t>Труд и занятость</w:t>
      </w:r>
    </w:p>
    <w:p w14:paraId="780D02E5" w14:textId="77777777" w:rsidR="00C030AE" w:rsidRDefault="00EA12AB" w:rsidP="00EA12AB">
      <w:pPr>
        <w:pStyle w:val="SingleTxtG"/>
      </w:pPr>
      <w:r w:rsidRPr="00EA12AB">
        <w:t>320.</w:t>
      </w:r>
      <w:r w:rsidRPr="00EA12AB">
        <w:tab/>
        <w:t>В статье 25 Основного закона гарантируется право на труд и подтверждается, что государство обязано обеспечивать занятость любого трудоспособного лица. В ней содержится рекомендация выстраивать трудовые отношения таким образом, чтобы гарантировать справедливость для всех, включая предоставление трудящимся медицинских услуг и социального обеспечения.</w:t>
      </w:r>
    </w:p>
    <w:p w14:paraId="26350DDE" w14:textId="77777777" w:rsidR="00C030AE" w:rsidRDefault="00EA12AB" w:rsidP="00EA12AB">
      <w:pPr>
        <w:pStyle w:val="SingleTxtG"/>
      </w:pPr>
      <w:r w:rsidRPr="00EA12AB">
        <w:t>321.</w:t>
      </w:r>
      <w:r w:rsidRPr="00EA12AB">
        <w:tab/>
        <w:t>Статья 10 Закона о правах инвалидов обязывает частные и государственные учреждения обеспечивать, чтобы не менее 5% их работников составляли инвалиды. В</w:t>
      </w:r>
      <w:r w:rsidR="00EE47F1">
        <w:rPr>
          <w:lang w:val="en-US"/>
        </w:rPr>
        <w:t> </w:t>
      </w:r>
      <w:r w:rsidRPr="00EA12AB">
        <w:t xml:space="preserve">Законе о труде № 7 (2000 год) говорится, что трудоустройство является правом всех граждан, способных трудиться, на основе равных возможностей и без какой-либо </w:t>
      </w:r>
      <w:r w:rsidRPr="00EA12AB">
        <w:lastRenderedPageBreak/>
        <w:t>дискриминации. Закон о труде определяет инвалида как любое лицо, страдающее от нарушения некоторых своих физических, сенсорных или умственных способностей в результате болезни или несчастного случая или же врожденного или генетического фактора, что приводит к его неспособности трудиться, продолжать трудиться или продвигаться по службе или уменьшило его/е</w:t>
      </w:r>
      <w:r w:rsidR="008E2BCB">
        <w:t>е</w:t>
      </w:r>
      <w:r w:rsidRPr="00EA12AB">
        <w:t xml:space="preserve"> способность выполнять любую из основных жизненных функций, и нуждающееся в уходе и реабилитации для интеграции или реинтеграции в общество.</w:t>
      </w:r>
    </w:p>
    <w:p w14:paraId="5C61CF18" w14:textId="77777777" w:rsidR="00C030AE" w:rsidRDefault="00EA12AB" w:rsidP="00EA12AB">
      <w:pPr>
        <w:pStyle w:val="SingleTxtG"/>
      </w:pPr>
      <w:r w:rsidRPr="00EA12AB">
        <w:t>322.</w:t>
      </w:r>
      <w:r w:rsidRPr="00EA12AB">
        <w:tab/>
        <w:t xml:space="preserve">Статья 13 Закона о труде обязывает работодателей обеспечивать, чтобы по крайней мере 5% их работников были инвалидами, способными </w:t>
      </w:r>
      <w:bookmarkStart w:id="26" w:name="_Hlk40867773"/>
      <w:r w:rsidRPr="00EA12AB">
        <w:t>трудиться</w:t>
      </w:r>
      <w:bookmarkEnd w:id="26"/>
      <w:r w:rsidRPr="00EA12AB">
        <w:t xml:space="preserve"> на рабочих местах, соразмерных их инвалидности.</w:t>
      </w:r>
      <w:r w:rsidR="00C030AE">
        <w:t xml:space="preserve"> </w:t>
      </w:r>
      <w:r w:rsidRPr="00EA12AB">
        <w:t>Постановление Кабинета министров № 146 (2004 год) о занятости инвалидов в министерствах и государственных учреждениях подтверждает положения статьи 10 Закона.</w:t>
      </w:r>
    </w:p>
    <w:p w14:paraId="2F52B691" w14:textId="77777777" w:rsidR="00C030AE" w:rsidRDefault="00EA12AB" w:rsidP="00EA12AB">
      <w:pPr>
        <w:pStyle w:val="SingleTxtG"/>
      </w:pPr>
      <w:r w:rsidRPr="00EA12AB">
        <w:t>323.</w:t>
      </w:r>
      <w:r w:rsidRPr="00EA12AB">
        <w:tab/>
        <w:t>Несколько статей Закона № 4 (1998 год) о государственной службе касаются инвалидов. Статья 1 гласит:</w:t>
      </w:r>
    </w:p>
    <w:p w14:paraId="1332B344" w14:textId="77777777" w:rsidR="00C030AE" w:rsidRPr="006B4CDF" w:rsidRDefault="006B4CDF" w:rsidP="006B4CDF">
      <w:pPr>
        <w:pStyle w:val="SingleTxtG"/>
      </w:pPr>
      <w:r>
        <w:tab/>
      </w:r>
      <w:r>
        <w:tab/>
      </w:r>
      <w:r w:rsidR="00BD0FA8" w:rsidRPr="00BD0FA8">
        <w:t>«</w:t>
      </w:r>
      <w:r w:rsidR="00C030AE" w:rsidRPr="00EA12AB">
        <w:t>1)</w:t>
      </w:r>
      <w:r w:rsidR="00C030AE" w:rsidRPr="00EA12AB">
        <w:tab/>
      </w:r>
      <w:r w:rsidR="00EA12AB" w:rsidRPr="006B4CDF">
        <w:t>процентная доля рабочих мест, выделяемых освобожденным заключенным и лицам, раненым в</w:t>
      </w:r>
      <w:r w:rsidR="00EE47F1" w:rsidRPr="00EE47F1">
        <w:t xml:space="preserve"> </w:t>
      </w:r>
      <w:r w:rsidR="00EA12AB" w:rsidRPr="006B4CDF">
        <w:t>ходе операций сопротивления, состояние здоровья которых позволяет им трудиться, определяется постановлением Кабинета министров; в постановлении будет устанавливаться состояние здоровья раненых и определяться условия их трудоустройства;</w:t>
      </w:r>
    </w:p>
    <w:p w14:paraId="1B140256" w14:textId="77777777" w:rsidR="00C030AE" w:rsidRDefault="006B4CDF" w:rsidP="006B4CDF">
      <w:pPr>
        <w:pStyle w:val="SingleTxtG"/>
      </w:pPr>
      <w:r>
        <w:tab/>
      </w:r>
      <w:r>
        <w:tab/>
      </w:r>
      <w:r w:rsidR="00C030AE" w:rsidRPr="006B4CDF">
        <w:t>2)</w:t>
      </w:r>
      <w:r w:rsidR="00C030AE" w:rsidRPr="006B4CDF">
        <w:tab/>
      </w:r>
      <w:r w:rsidR="00EA12AB" w:rsidRPr="006B4CDF">
        <w:t>супруга, брат или сестра раненого могут быть наняты вместо данного лица, если</w:t>
      </w:r>
      <w:r w:rsidR="00BD0FA8" w:rsidRPr="00BD0FA8">
        <w:t xml:space="preserve"> </w:t>
      </w:r>
      <w:r w:rsidR="00EA12AB" w:rsidRPr="006B4CDF">
        <w:t>последнее полностью утратило трудоспособность или скончалось, при соблюдении условий найма</w:t>
      </w:r>
      <w:r w:rsidR="00BD0FA8" w:rsidRPr="00BD0FA8">
        <w:t>»</w:t>
      </w:r>
      <w:r w:rsidR="00EA12AB" w:rsidRPr="00EA12AB">
        <w:t>.</w:t>
      </w:r>
      <w:r w:rsidR="00C030AE">
        <w:t xml:space="preserve"> </w:t>
      </w:r>
    </w:p>
    <w:p w14:paraId="69AA4D6B" w14:textId="77777777" w:rsidR="00C030AE" w:rsidRDefault="006B4CDF" w:rsidP="00EA12AB">
      <w:pPr>
        <w:pStyle w:val="SingleTxtG"/>
      </w:pPr>
      <w:r>
        <w:tab/>
      </w:r>
      <w:r>
        <w:tab/>
      </w:r>
      <w:r w:rsidR="00EA12AB" w:rsidRPr="00EA12AB">
        <w:t>В законе указывается, что лица, получившие ранения в результате нападений израильских оккупационных сил, считаются инвалидами; как таковым им выделяется ряд рабочих мест.</w:t>
      </w:r>
    </w:p>
    <w:p w14:paraId="4568FA35" w14:textId="77777777" w:rsidR="00C030AE" w:rsidRDefault="00EA12AB" w:rsidP="00EA12AB">
      <w:pPr>
        <w:pStyle w:val="SingleTxtG"/>
      </w:pPr>
      <w:r w:rsidRPr="00EA12AB">
        <w:t>324.</w:t>
      </w:r>
      <w:r w:rsidRPr="00EA12AB">
        <w:tab/>
        <w:t>Инвалиды имеют доступ к инклюзивной занятости, в рамках которой они трудоустраиваются с учетом своей учебной квалификации и практического опыта. Всеобщий совет по кадровым вопросам стремится назначать инвалидов без дискриминации и предоставляет им возможность прохождения государственной службы на тех же условиях, что и всем остальным лицам, с учетом условий найма. По</w:t>
      </w:r>
      <w:r w:rsidR="00EE47F1">
        <w:rPr>
          <w:lang w:val="en-US"/>
        </w:rPr>
        <w:t> </w:t>
      </w:r>
      <w:r w:rsidRPr="00EA12AB">
        <w:t>всем должностям государственной службы имеется карточка с описанием должностных обязанностей, в которой указываются условия трудоустройства, в том числе учебная квалификация; инвалидность не является проблемой, когда речь идет о конкурсном отборе для работы в системе государственной службы. Вакансии на государственную службу объявляются в средствах массовой информации, а отбор кандидатов осуществляется на основе онлайн-экзамена и устного собеседования. Ничто не препятствует инвалидам подавать заявления на вакантные должности в государственном секторе при условии, что они соответствуют условиям, указанным в объявлении.</w:t>
      </w:r>
    </w:p>
    <w:p w14:paraId="67539227" w14:textId="77777777" w:rsidR="00C030AE" w:rsidRDefault="00EA12AB" w:rsidP="00EA12AB">
      <w:pPr>
        <w:pStyle w:val="SingleTxtG"/>
      </w:pPr>
      <w:r w:rsidRPr="00EA12AB">
        <w:t>325.</w:t>
      </w:r>
      <w:r w:rsidRPr="00EA12AB">
        <w:tab/>
        <w:t>Предыдущий опыт не является обязательным условием для подачи заявлений на должности в государственном секторе, объявления о которых размещаются в средствах массовой информации, будь то для инвалидов или для других лиц. Инвалиды, назначенные на такие должности, приобретают необходимый опыт в процессе работы. Соответствующее подразделение обязано распределять обязанности между сотрудниками на основании должностной инструкции.</w:t>
      </w:r>
    </w:p>
    <w:p w14:paraId="0C1AC647" w14:textId="77777777" w:rsidR="00C030AE" w:rsidRDefault="00EA12AB" w:rsidP="00EA12AB">
      <w:pPr>
        <w:pStyle w:val="SingleTxtG"/>
      </w:pPr>
      <w:r w:rsidRPr="00EA12AB">
        <w:t>326.</w:t>
      </w:r>
      <w:r w:rsidRPr="00EA12AB">
        <w:tab/>
        <w:t>Инвалиды получают такую же заработную плату, как и другие лица, в соответствии со шкалой заработной платы, установленной в Законе о государственной службе. Нанимающее их ведомство должно обеспечить полную адаптацию рабочего места применительно к конкретному типу инвалидности.</w:t>
      </w:r>
    </w:p>
    <w:p w14:paraId="7A3538AD" w14:textId="77777777" w:rsidR="00C030AE" w:rsidRDefault="00EA12AB" w:rsidP="00EA12AB">
      <w:pPr>
        <w:pStyle w:val="SingleTxtG"/>
      </w:pPr>
      <w:r w:rsidRPr="00EA12AB">
        <w:t>327.</w:t>
      </w:r>
      <w:r w:rsidRPr="00EA12AB">
        <w:tab/>
        <w:t>Что касается защиты от насилия и злоупотреблений на рабочем месте, то инвалиды, как и другие лица, защищены от рабства, подневольного состояния и принудительного или обязательного труда. В настоящее время ведется работа по внесению поправок в Закон о гражданской службе с целью включения в него прямого запрета на сексуальные домогательства на рабочем месте по аналогии с Законом о труде.</w:t>
      </w:r>
      <w:r w:rsidR="00C030AE">
        <w:t xml:space="preserve"> </w:t>
      </w:r>
    </w:p>
    <w:p w14:paraId="66CC4F77" w14:textId="77777777" w:rsidR="00C030AE" w:rsidRDefault="00EA12AB" w:rsidP="00EA12AB">
      <w:pPr>
        <w:pStyle w:val="SingleTxtG"/>
      </w:pPr>
      <w:r w:rsidRPr="00EA12AB">
        <w:lastRenderedPageBreak/>
        <w:t>328.</w:t>
      </w:r>
      <w:r w:rsidRPr="00EA12AB">
        <w:tab/>
        <w:t>Инвалидов назначают на самые различные должности в системе государственной службы, включая должности врачей, инженеров, фармацевтов, юристов, менеджеров, бухгалтеров и многие другие. Доля инвалидов на государственной службе растет. В 2014 году этот показатель составлял 5,7</w:t>
      </w:r>
      <w:r w:rsidR="00EE47F1" w:rsidRPr="00EE47F1">
        <w:t>%</w:t>
      </w:r>
      <w:r w:rsidRPr="00EA12AB">
        <w:t xml:space="preserve"> от общей численности персонала, в 2015 году – 6,1</w:t>
      </w:r>
      <w:r w:rsidR="00EE47F1" w:rsidRPr="00EE47F1">
        <w:t>%</w:t>
      </w:r>
      <w:r w:rsidRPr="00EA12AB">
        <w:t xml:space="preserve"> и в 2016 году – 6,4</w:t>
      </w:r>
      <w:r w:rsidR="00EE47F1" w:rsidRPr="00EE47F1">
        <w:t>%</w:t>
      </w:r>
      <w:r w:rsidRPr="00EA12AB">
        <w:t>, а в 2017 году он увеличился до 6,8</w:t>
      </w:r>
      <w:r w:rsidR="00EE47F1" w:rsidRPr="00EE47F1">
        <w:t>%</w:t>
      </w:r>
      <w:r w:rsidRPr="00EA12AB">
        <w:t>. Иногда инвалиды испытывают трудности, пытаясь воспользоваться транспортом, чтобы добраться до работы.</w:t>
      </w:r>
    </w:p>
    <w:p w14:paraId="47116391" w14:textId="77777777" w:rsidR="00C030AE" w:rsidRDefault="00EA12AB" w:rsidP="00EA12AB">
      <w:pPr>
        <w:pStyle w:val="SingleTxtG"/>
      </w:pPr>
      <w:r w:rsidRPr="00EA12AB">
        <w:t>329.</w:t>
      </w:r>
      <w:r w:rsidRPr="00EA12AB">
        <w:tab/>
        <w:t>Всеобщий совет по кадровым вопросам принял специальную стратегию, направленную на превышение показателя в 5</w:t>
      </w:r>
      <w:r w:rsidR="00EE47F1" w:rsidRPr="00EE47F1">
        <w:t>%</w:t>
      </w:r>
      <w:r w:rsidRPr="00EA12AB">
        <w:t>. Это предполагает округление десятичной дроби, оставшейся после подсчета показателя в 5</w:t>
      </w:r>
      <w:r w:rsidR="00EE47F1" w:rsidRPr="00EE47F1">
        <w:t>%</w:t>
      </w:r>
      <w:r w:rsidRPr="00EA12AB">
        <w:t xml:space="preserve"> рабочих мест для инвалидов. Например, допустим, что в отделении системы государственной службы </w:t>
      </w:r>
      <w:bookmarkStart w:id="27" w:name="_Hlk39828630"/>
      <w:r w:rsidRPr="00EA12AB">
        <w:t xml:space="preserve">выделены средства </w:t>
      </w:r>
      <w:bookmarkEnd w:id="27"/>
      <w:r w:rsidRPr="00EA12AB">
        <w:t xml:space="preserve">на </w:t>
      </w:r>
      <w:r w:rsidR="00EE47F1">
        <w:t>десять</w:t>
      </w:r>
      <w:r w:rsidRPr="00EA12AB">
        <w:t xml:space="preserve"> рабочих мест; </w:t>
      </w:r>
      <w:r w:rsidR="00EE47F1">
        <w:t>5%</w:t>
      </w:r>
      <w:r w:rsidRPr="00EA12AB">
        <w:t xml:space="preserve"> от десяти – это 0,5, что округляется до одного, давая отделению еще одно рабочее место для инвалида. Следует указать, что выражение </w:t>
      </w:r>
      <w:r w:rsidR="008E2BCB">
        <w:t>«</w:t>
      </w:r>
      <w:r w:rsidRPr="00EA12AB">
        <w:t>выделенные средства</w:t>
      </w:r>
      <w:r w:rsidR="008E2BCB">
        <w:t>»</w:t>
      </w:r>
      <w:r w:rsidRPr="00EA12AB">
        <w:t xml:space="preserve">, фигурирующее в государственном бюджете, означает </w:t>
      </w:r>
      <w:r w:rsidR="008E2BCB">
        <w:t>«</w:t>
      </w:r>
      <w:r w:rsidRPr="00EA12AB">
        <w:t>финансовые ассигнования на целевую должность</w:t>
      </w:r>
      <w:r w:rsidR="008E2BCB">
        <w:t>»</w:t>
      </w:r>
      <w:r w:rsidRPr="00EA12AB">
        <w:t>.</w:t>
      </w:r>
      <w:r w:rsidR="00C030AE">
        <w:t xml:space="preserve"> </w:t>
      </w:r>
    </w:p>
    <w:p w14:paraId="01259BA1" w14:textId="77777777" w:rsidR="00C030AE" w:rsidRDefault="00EA12AB" w:rsidP="00EA12AB">
      <w:pPr>
        <w:pStyle w:val="SingleTxtG"/>
      </w:pPr>
      <w:r w:rsidRPr="00EA12AB">
        <w:t>330.</w:t>
      </w:r>
      <w:r w:rsidRPr="00EA12AB">
        <w:tab/>
        <w:t>Кроме того, Всеобщий совет по кадровым вопросам выделяет ассигнования отделениям системы государственной службы, которым не были предоставлены рабочие места, что позволяет ему зафиксировать 5-процентную квоту за последние три года с вычетом, сделанным в год, в котором используется данная стратегия, с ретроактивным действием. Большинство государственных органов в Палестине намерены ввести такую квоту.</w:t>
      </w:r>
    </w:p>
    <w:p w14:paraId="1AD01CD3" w14:textId="77777777" w:rsidR="00C030AE" w:rsidRDefault="00EA12AB" w:rsidP="00EA12AB">
      <w:pPr>
        <w:pStyle w:val="SingleTxtG"/>
      </w:pPr>
      <w:r w:rsidRPr="00EA12AB">
        <w:t>331.</w:t>
      </w:r>
      <w:r w:rsidRPr="00EA12AB">
        <w:tab/>
        <w:t>Хотя Закон о государственной службе требует, чтобы работники не страдали физическими и психическими заболеваниями, Всеобщий совет по кадровым вопросам объявил на пресс-конференции в 2012 году о введении предусмотренной законом ежегодной квоты для инвалидов в каждом министерстве и ведомстве, отметив, что инвалидность человека не препятствует выполнению им/ею своих трудовых обязанностей, о чем говорилось выше.</w:t>
      </w:r>
    </w:p>
    <w:p w14:paraId="3CEE7A02" w14:textId="77777777" w:rsidR="00C030AE" w:rsidRDefault="00EA12AB" w:rsidP="00EA12AB">
      <w:pPr>
        <w:pStyle w:val="SingleTxtG"/>
      </w:pPr>
      <w:r w:rsidRPr="00EA12AB">
        <w:t>332.</w:t>
      </w:r>
      <w:r w:rsidRPr="00EA12AB">
        <w:tab/>
        <w:t xml:space="preserve">Стратегический план в сфере труда, стратегические рамки для инвалидов и палестинская программа по обеспечению достойной работы предусматривают предоставление инвалидам возможностей для трудоустройства, профессиональной подготовки, инспекции труда, защиты занятости, организации профсоюзов, программ по заработной плате и социальному обеспечению. Они также предусматривают представленность инвалидов и организаций инвалидов в национальной Группе по обзору законодательства, ее специализированных подкомитетах и Комитете по политике в области труда. В целях поощрения участия инвалидов в трудовой деятельности Министерство труда в рамках текущего пересмотра Закона о труде и Закона о социальном обеспечении представило новое определение понятия </w:t>
      </w:r>
      <w:r w:rsidR="008E2BCB">
        <w:t>«</w:t>
      </w:r>
      <w:r w:rsidRPr="00EA12AB">
        <w:t>инвалидность</w:t>
      </w:r>
      <w:r w:rsidR="008E2BCB">
        <w:t>»</w:t>
      </w:r>
      <w:r w:rsidRPr="00EA12AB">
        <w:t>, призванное учитывать права инвалидов. Министерство поощряет вступление инвалидов в профсоюзы и комитеты трудящихся для защиты их интересов. Министерство также побуждает работодателей частного сектора брать на работу инвалидов и разработало меры, требующие соблюдения такого требования. Однако это право не подлежит защите в уголовном порядке, и в настоящее время не существует никаких мер наказания, которые могли бы быть приняты в отношении работодателя, не соблюдающего это требование.</w:t>
      </w:r>
    </w:p>
    <w:p w14:paraId="23CB7C47" w14:textId="77777777" w:rsidR="00C030AE" w:rsidRDefault="00EA12AB" w:rsidP="00EA12AB">
      <w:pPr>
        <w:pStyle w:val="SingleTxtG"/>
      </w:pPr>
      <w:r w:rsidRPr="00EA12AB">
        <w:t>333.</w:t>
      </w:r>
      <w:r w:rsidRPr="00EA12AB">
        <w:tab/>
        <w:t>По данным инспекций и докладов об охране труда число инвалидов, отслеживаемых на рабочем месте Министерством труда, в 2016 году составило 61</w:t>
      </w:r>
      <w:r w:rsidR="00EE47F1">
        <w:t> </w:t>
      </w:r>
      <w:r w:rsidRPr="00EA12AB">
        <w:t>человек (57 мужчин, 2 женщины и 2 ребенка) и возросло в 2017 году до 168 человек (145 мужчин и 23 женщины); согласно полугодовому отчету о проверке за 2018 год эта цифра составила 75 человек (58 мужчин и 17 женщин)</w:t>
      </w:r>
      <w:r w:rsidR="001E4A9B">
        <w:rPr>
          <w:rStyle w:val="ab"/>
        </w:rPr>
        <w:endnoteReference w:id="58"/>
      </w:r>
      <w:r w:rsidRPr="00EA12AB">
        <w:t xml:space="preserve">. Однако, несмотря на включение инвалидов в стратегию управления по вопросам занятости Министерства труда, в настоящее время не существует никаких специальных программ по их трудоустройству. Стратегия опирается на проекты, осуществляемые организациями гражданского общества и в сотрудничестве с ними; в настоящее время в партнерстве с Палестинским фондом занятости и Банком Палестины осуществляется одна программа. Кроме того, в </w:t>
      </w:r>
      <w:proofErr w:type="spellStart"/>
      <w:r w:rsidRPr="00EA12AB">
        <w:t>Хевроне</w:t>
      </w:r>
      <w:proofErr w:type="spellEnd"/>
      <w:r w:rsidRPr="00EA12AB">
        <w:t xml:space="preserve"> был проведен день трудоустройства инвалидов. Всеобщий союз инвалидов и Всеобщий совет по кадровым вопросам осуществляют мониторинг занятости инвалидов, и результаты свидетельствуют о том, что </w:t>
      </w:r>
      <w:r w:rsidR="00EE47F1">
        <w:br/>
      </w:r>
      <w:r w:rsidRPr="00EA12AB">
        <w:lastRenderedPageBreak/>
        <w:t xml:space="preserve">5-процентная квота до сих пор не достигнута в ряде организаций государственного, неправительственного и частного секторов. </w:t>
      </w:r>
    </w:p>
    <w:p w14:paraId="506B6DFC" w14:textId="77777777" w:rsidR="00C030AE" w:rsidRDefault="00EA12AB" w:rsidP="00EA12AB">
      <w:pPr>
        <w:pStyle w:val="SingleTxtG"/>
      </w:pPr>
      <w:r w:rsidRPr="00EA12AB">
        <w:t>334.</w:t>
      </w:r>
      <w:r w:rsidRPr="00EA12AB">
        <w:tab/>
        <w:t>Несмотря на включение инвалидов в стратегические планы Министерства труда, программы профессиональной подготовки, направленные на содействие занятости, не были адаптированы к потребностям инвалидов: учебные курсы, здания, устройства и оборудование до сих пор не были должным образом модифицированы. Тем не менее Министерство принимает любого заявителя с ограниченными возможностями, который желает записаться на курс и может пройти обучение.</w:t>
      </w:r>
    </w:p>
    <w:p w14:paraId="44672D3F" w14:textId="77777777" w:rsidR="00C030AE" w:rsidRDefault="00EA12AB" w:rsidP="00EA12AB">
      <w:pPr>
        <w:pStyle w:val="SingleTxtG"/>
      </w:pPr>
      <w:r w:rsidRPr="00EA12AB">
        <w:t>335.</w:t>
      </w:r>
      <w:r w:rsidRPr="00EA12AB">
        <w:tab/>
        <w:t xml:space="preserve">Центр </w:t>
      </w:r>
      <w:r w:rsidR="008E2BCB">
        <w:t>«</w:t>
      </w:r>
      <w:r w:rsidRPr="00EA12AB">
        <w:t>Шейх Халифа</w:t>
      </w:r>
      <w:r w:rsidR="008E2BCB">
        <w:t>»</w:t>
      </w:r>
      <w:r w:rsidRPr="00EA12AB">
        <w:t xml:space="preserve"> в </w:t>
      </w:r>
      <w:proofErr w:type="spellStart"/>
      <w:r w:rsidRPr="00EA12AB">
        <w:t>Наблусе</w:t>
      </w:r>
      <w:proofErr w:type="spellEnd"/>
      <w:r w:rsidRPr="00EA12AB">
        <w:t xml:space="preserve">, Центр </w:t>
      </w:r>
      <w:r w:rsidR="008E2BCB">
        <w:t>«</w:t>
      </w:r>
      <w:r w:rsidRPr="00EA12AB">
        <w:t>Шейха Фатима</w:t>
      </w:r>
      <w:r w:rsidR="008E2BCB">
        <w:t>»</w:t>
      </w:r>
      <w:r w:rsidRPr="00EA12AB">
        <w:t xml:space="preserve"> в Бейт-</w:t>
      </w:r>
      <w:proofErr w:type="spellStart"/>
      <w:r w:rsidRPr="00EA12AB">
        <w:t>Уммаре</w:t>
      </w:r>
      <w:proofErr w:type="spellEnd"/>
      <w:r w:rsidRPr="00EA12AB">
        <w:t xml:space="preserve"> (мухафаза </w:t>
      </w:r>
      <w:proofErr w:type="spellStart"/>
      <w:r w:rsidRPr="00EA12AB">
        <w:t>Хеврон</w:t>
      </w:r>
      <w:proofErr w:type="spellEnd"/>
      <w:r w:rsidRPr="00EA12AB">
        <w:t xml:space="preserve">) и Реабилитационный центр </w:t>
      </w:r>
      <w:r w:rsidR="008E2BCB">
        <w:t>«</w:t>
      </w:r>
      <w:proofErr w:type="spellStart"/>
      <w:r w:rsidRPr="00EA12AB">
        <w:t>Аш-Шабиба</w:t>
      </w:r>
      <w:proofErr w:type="spellEnd"/>
      <w:r w:rsidR="008E2BCB">
        <w:t>»</w:t>
      </w:r>
      <w:r w:rsidRPr="00EA12AB">
        <w:t xml:space="preserve"> в </w:t>
      </w:r>
      <w:proofErr w:type="spellStart"/>
      <w:r w:rsidRPr="00EA12AB">
        <w:t>Хальхуле</w:t>
      </w:r>
      <w:proofErr w:type="spellEnd"/>
      <w:r w:rsidRPr="00EA12AB">
        <w:t xml:space="preserve"> обеспечивают реабилитацию примерно 320 инвалидов. Двадцать стажеров из Центра </w:t>
      </w:r>
      <w:r w:rsidR="008E2BCB">
        <w:t>«</w:t>
      </w:r>
      <w:r w:rsidRPr="00EA12AB">
        <w:t>Шейх Халифа</w:t>
      </w:r>
      <w:r w:rsidR="008E2BCB">
        <w:t>»</w:t>
      </w:r>
      <w:r w:rsidRPr="00EA12AB">
        <w:t xml:space="preserve"> нашли работу, а 39 человек воспользовались услугами фонда занятости этого Центра. Была создана секция по дизайну одежды, подготовку в которой к настоящему времени прошли 23 учащихся.</w:t>
      </w:r>
    </w:p>
    <w:p w14:paraId="453F956A" w14:textId="77777777" w:rsidR="00C030AE" w:rsidRDefault="00EA12AB" w:rsidP="00EA12AB">
      <w:pPr>
        <w:pStyle w:val="SingleTxtG"/>
      </w:pPr>
      <w:r w:rsidRPr="00EA12AB">
        <w:t>336.</w:t>
      </w:r>
      <w:r w:rsidRPr="00EA12AB">
        <w:tab/>
        <w:t>Закон о труде содержит положения о гигиене труда и безопасности на рабочем месте. Кроме того, во всех учреждениях должны быть вывешены инструкции по охране труда и утвержденная Министерством таблица штрафов за несоблюдение требований. В законодательном порядке было принято решение о статусе работников частного сектора в соответствии с Законом о социальном обеспечении с целью предоставления им основных обязательных пособий по социальному обеспечению в соответствии с принципами справедливости, устойчивости, транспарентности и эффективности.</w:t>
      </w:r>
    </w:p>
    <w:p w14:paraId="3353E0F2" w14:textId="77777777" w:rsidR="00C030AE" w:rsidRDefault="00EA12AB" w:rsidP="00EA12AB">
      <w:pPr>
        <w:pStyle w:val="SingleTxtG"/>
      </w:pPr>
      <w:r w:rsidRPr="00EA12AB">
        <w:t>337.</w:t>
      </w:r>
      <w:r w:rsidRPr="00EA12AB">
        <w:tab/>
        <w:t xml:space="preserve">Что касается систематических и широко распространенных нарушений права на труд, совершаемых в условиях израильской оккупации в отношении палестинского народа, включая инвалидов, то, согласно данным Палестинского консультативного совета по вопросам развития НПО, израильскими оккупационными силами было разрушено </w:t>
      </w:r>
      <w:r w:rsidR="00EE47F1">
        <w:t>десять</w:t>
      </w:r>
      <w:r w:rsidRPr="00EA12AB">
        <w:t xml:space="preserve"> объектов для инвалидов.</w:t>
      </w:r>
    </w:p>
    <w:p w14:paraId="33E96ACC" w14:textId="77777777" w:rsidR="00C030AE" w:rsidRDefault="006B4CDF" w:rsidP="00C17D30">
      <w:pPr>
        <w:pStyle w:val="H1G"/>
      </w:pPr>
      <w:r>
        <w:tab/>
      </w:r>
      <w:r>
        <w:tab/>
      </w:r>
      <w:r w:rsidR="00EA12AB" w:rsidRPr="00EA12AB">
        <w:t>Статья 28</w:t>
      </w:r>
      <w:r>
        <w:br/>
      </w:r>
      <w:r w:rsidR="00EA12AB" w:rsidRPr="00EA12AB">
        <w:t>Достаточный жизненный уровень и социальная защита</w:t>
      </w:r>
    </w:p>
    <w:p w14:paraId="1CB2E782" w14:textId="77777777" w:rsidR="00C030AE" w:rsidRDefault="00EA12AB" w:rsidP="00EA12AB">
      <w:pPr>
        <w:pStyle w:val="SingleTxtG"/>
      </w:pPr>
      <w:r w:rsidRPr="00EA12AB">
        <w:t>338.</w:t>
      </w:r>
      <w:r w:rsidRPr="00EA12AB">
        <w:tab/>
        <w:t>Статьи 22 и 23 Основного закона предусматривают право на жилище, социальное обеспечение и пособия по инвалидности и старости. Закон о правах инвалидов закрепляет право на достойный уровень жизни, а статья 31 Закона о детях предусматривает право детей-инвалидов на получение социальной помощи наравне с другими детьми.</w:t>
      </w:r>
    </w:p>
    <w:p w14:paraId="16682013" w14:textId="77777777" w:rsidR="00C030AE" w:rsidRDefault="00EA12AB" w:rsidP="00EA12AB">
      <w:pPr>
        <w:pStyle w:val="SingleTxtG"/>
      </w:pPr>
      <w:r w:rsidRPr="00EA12AB">
        <w:t>339.</w:t>
      </w:r>
      <w:r w:rsidRPr="00EA12AB">
        <w:tab/>
        <w:t>Стратегия развития сектора социальной защиты (2014</w:t>
      </w:r>
      <w:r w:rsidR="00EE47F1">
        <w:t>–</w:t>
      </w:r>
      <w:r w:rsidRPr="00EA12AB">
        <w:t>2016 годы) направлена на развитие систем социальной помощи и расширения прав и возможностей неимущих и обездоленных групп населения, регулирование и координацию помощи в денежной и неденежной форме, с тем чтобы бедные семьи могли вырваться из порочного круга нищеты, и содействие обеспечению продовольственной безопасности для неимущих и обездоленных групп населения. Стратегия также направлена на развитие социальных услуг для бедных и обездоленных групп населения, включая инвалидов.</w:t>
      </w:r>
    </w:p>
    <w:p w14:paraId="33A33512" w14:textId="77777777" w:rsidR="00C030AE" w:rsidRDefault="00EA12AB" w:rsidP="00EA12AB">
      <w:pPr>
        <w:pStyle w:val="SingleTxtG"/>
      </w:pPr>
      <w:r w:rsidRPr="00EA12AB">
        <w:t>340.</w:t>
      </w:r>
      <w:r w:rsidRPr="00EA12AB">
        <w:tab/>
        <w:t>Правительство Государства Палестина успешно реформировало и объединило свои различные программы денежной помощи в единую национальную программу с единым подходом к определению целей и расчету пособий и в настоящее время осуществляет эту программу на всей территории Палестины. Это одно из самых значительных достижений сектора социальной защиты. Кроме того, Министерство социального развития создало национальную базу данных по вопросам нищеты и маргинализации</w:t>
      </w:r>
      <w:r w:rsidR="000F55E5">
        <w:rPr>
          <w:rStyle w:val="ab"/>
        </w:rPr>
        <w:endnoteReference w:id="59"/>
      </w:r>
      <w:r w:rsidRPr="00EA12AB">
        <w:t>. Министерство оказывает денежную помощь в рамках программы денежных переводов, финансируемой государственным казначейством, Европейским союзом и Всемирным банком. В рамках этой программы оказывается денежная помощь приблизительно 11 116 детям, которые признаны инвалидами. В таблице 9 приведены данные о детях, признанных инвалидами, которые пользуются этой программой.</w:t>
      </w:r>
      <w:r w:rsidR="00C030AE">
        <w:t xml:space="preserve"> </w:t>
      </w:r>
    </w:p>
    <w:p w14:paraId="1737C7E9" w14:textId="77777777" w:rsidR="00C030AE" w:rsidRDefault="00EA12AB" w:rsidP="00EA12AB">
      <w:pPr>
        <w:pStyle w:val="SingleTxtG"/>
      </w:pPr>
      <w:r w:rsidRPr="00EA12AB">
        <w:lastRenderedPageBreak/>
        <w:t>341.</w:t>
      </w:r>
      <w:r w:rsidRPr="00EA12AB">
        <w:tab/>
        <w:t xml:space="preserve">В рамках системы карточки инвалида, которая регулируется и внедряется Министерством социального развития в партнерстве с различными государственными министерствами, органами власти и НПО, инвалиды имеют право на получение целого ряда услуг. В соответствии с Законом о правах инвалидов и статьей 3 подзаконного акта о применении этого Закона правительство обязано выдавать карточку и предоставлять сопутствующий комплекс медицинских, социальных, профессиональных, образовательных, интеграционных, реабилитационных и вспомогательных услуг, соразмерных типу и степени инвалидности. Система карточки инвалида предназначена для практической институционализации процесса предоставления услуг и распределения функций и обязанностей участвующих сторон. </w:t>
      </w:r>
    </w:p>
    <w:p w14:paraId="51FCFD5A" w14:textId="77777777" w:rsidR="00C030AE" w:rsidRDefault="00EA12AB" w:rsidP="00EA12AB">
      <w:pPr>
        <w:pStyle w:val="SingleTxtG"/>
      </w:pPr>
      <w:r w:rsidRPr="00EA12AB">
        <w:t>342.</w:t>
      </w:r>
      <w:r w:rsidRPr="00EA12AB">
        <w:tab/>
        <w:t>Постановлением Кабинета министров от 2009 года о реализации программы карточки инвалида выделено 238 000 долл. США на осуществление первого этапа путем проведения специализированного обследования в сотрудничестве с Центральным статистическим бюро. Обследование было проведено в 2011 году на выборке в количестве 15 572 палестинских семей. В том же году Кабинет министров принял решение о создании национального комитета по осуществлению программы карточки инвалида, в состав которого вошли 12 правительственных министерств и на который была возложена задача координации усилий и деятельности, связанных с услугами, гарантируемыми в рамках программы карточки инвалида, разработки планов в интересах инвалидов, определения бюджетных средств, необходимых для осуществления программы, и подготовки проекта руководства по процедурам для обеспечения систематического осуществления программных целей, а также уделения приоритетного внимания вопросам инвалидности в планах работы министерств и правительственных учреждений.</w:t>
      </w:r>
    </w:p>
    <w:p w14:paraId="71903903" w14:textId="77777777" w:rsidR="00C030AE" w:rsidRDefault="00EA12AB" w:rsidP="00EA12AB">
      <w:pPr>
        <w:pStyle w:val="SingleTxtG"/>
      </w:pPr>
      <w:r w:rsidRPr="00EA12AB">
        <w:t>343.</w:t>
      </w:r>
      <w:r w:rsidRPr="00EA12AB">
        <w:tab/>
        <w:t xml:space="preserve">После задержки с введением карточки 12 министерствами и с учетом опыта Ливана Министерство социального развития приняло решение осуществить в качестве первого шага программу карточки инвалида только в отношении услуг, предоставляемых самим Министерством и другими основными министерствами, включая Министерство здравоохранения и Министерство просвещения и высшего образования. Другие министерства присоединятся к программе позднее. В рамках программы карточки инвалида при первом запуске системы индивидуальной социальной поддержки были задействованы услуги, предоставляемые вышеуказанными министерствами; они представляют собой часть системы индивидуальной социальной поддержки, программируемой Министерством при финансовой поддержке Фонда по спасению детей. Программа предусматривает выявление, диагностику, оценку и предоставление услуг. </w:t>
      </w:r>
    </w:p>
    <w:p w14:paraId="44E827B1" w14:textId="77777777" w:rsidR="00C030AE" w:rsidRDefault="00EA12AB" w:rsidP="00EA12AB">
      <w:pPr>
        <w:pStyle w:val="SingleTxtG"/>
      </w:pPr>
      <w:r w:rsidRPr="00EA12AB">
        <w:t>344.</w:t>
      </w:r>
      <w:r w:rsidRPr="00EA12AB">
        <w:tab/>
        <w:t xml:space="preserve">Разработка программного обеспечения для выявления и диагностики завершена, ведутся работы над программным обеспечением для оценки. В настоящее время Министерство социального развития реализует план обеспечения </w:t>
      </w:r>
      <w:proofErr w:type="spellStart"/>
      <w:r w:rsidRPr="00EA12AB">
        <w:t>ассистивными</w:t>
      </w:r>
      <w:proofErr w:type="spellEnd"/>
      <w:r w:rsidRPr="00EA12AB">
        <w:t xml:space="preserve"> устройствами при полном государственном финансировании. Данный план обсуждался выше.</w:t>
      </w:r>
    </w:p>
    <w:p w14:paraId="19479808" w14:textId="77777777" w:rsidR="00C030AE" w:rsidRDefault="00EA12AB" w:rsidP="00EA12AB">
      <w:pPr>
        <w:pStyle w:val="SingleTxtG"/>
      </w:pPr>
      <w:r w:rsidRPr="00EA12AB">
        <w:t>345.</w:t>
      </w:r>
      <w:r w:rsidRPr="00EA12AB">
        <w:tab/>
        <w:t>В том что касается нерешенных проблем, в Палестине не произошло никаких ощутимых изменений, соизмеримых с глобальным изменением отношения к инвалидности как к вопросу прав человека. Это находит отражение в низком уровне сотрудничества между министерскими комитетами, осуществляющими программу карточки инвалида, и в ограниченной степени учета вопросов инвалидности в министерских планах и программах. Кроме того, реальную проблему для правительства представляет собой нехватка квалифицированных кадров в государственных учреждениях.</w:t>
      </w:r>
    </w:p>
    <w:p w14:paraId="6AA01F81" w14:textId="77777777" w:rsidR="00C030AE" w:rsidRDefault="00EA12AB" w:rsidP="00EA12AB">
      <w:pPr>
        <w:pStyle w:val="SingleTxtG"/>
        <w:rPr>
          <w:bCs/>
        </w:rPr>
      </w:pPr>
      <w:r w:rsidRPr="00EA12AB">
        <w:t>346.</w:t>
      </w:r>
      <w:r w:rsidRPr="00EA12AB">
        <w:tab/>
        <w:t>В секторе Газа, где не была введена программа карточки инвалида, группы из Главного управления по делам инвалидов, базирующиеся в головном офисе Министерства и его отделениях, тем не менее, добились в 2015 году заметных достижений в осуществлении ежегодного плана, особенно в области консультирования по вопросам образования.</w:t>
      </w:r>
    </w:p>
    <w:p w14:paraId="1BE58556" w14:textId="77777777" w:rsidR="00C030AE" w:rsidRDefault="00EA12AB" w:rsidP="00EA12AB">
      <w:pPr>
        <w:pStyle w:val="SingleTxtG"/>
        <w:rPr>
          <w:bCs/>
        </w:rPr>
      </w:pPr>
      <w:r w:rsidRPr="00EA12AB">
        <w:t>347.</w:t>
      </w:r>
      <w:r w:rsidRPr="00EA12AB">
        <w:tab/>
        <w:t xml:space="preserve">В том что касается денежной помощи бедным семьям, критерии предоставления такой помощи применяются к семье как к ячейке. Семья заполняет форму, </w:t>
      </w:r>
      <w:r w:rsidRPr="00EA12AB">
        <w:lastRenderedPageBreak/>
        <w:t>содержащую ряд вопросов, на которые необходимо ответить; затем во время выездного посещения семьи заполняется контрольный список. На основе этих сведений определяется положение семьи и степень ее соответствия условиям оказания помощи.</w:t>
      </w:r>
    </w:p>
    <w:p w14:paraId="4F38F62E" w14:textId="77777777" w:rsidR="00C030AE" w:rsidRDefault="00EA12AB" w:rsidP="00EA12AB">
      <w:pPr>
        <w:pStyle w:val="SingleTxtG"/>
        <w:rPr>
          <w:bCs/>
        </w:rPr>
      </w:pPr>
      <w:r w:rsidRPr="00EA12AB">
        <w:t>348.</w:t>
      </w:r>
      <w:r w:rsidRPr="00EA12AB">
        <w:tab/>
        <w:t>В бюджете Министерства социального развития на 2019 год будет изменен метод определения права на помощь, с тем чтобы инвалид мог реализовать свое естественное право на получение помощи как индивидуум, а не как член семьи.</w:t>
      </w:r>
    </w:p>
    <w:p w14:paraId="5749168E" w14:textId="77777777" w:rsidR="00C030AE" w:rsidRDefault="00EA12AB" w:rsidP="00EA12AB">
      <w:pPr>
        <w:pStyle w:val="SingleTxtG"/>
        <w:rPr>
          <w:bCs/>
        </w:rPr>
      </w:pPr>
      <w:r w:rsidRPr="00EA12AB">
        <w:t>349.</w:t>
      </w:r>
      <w:r w:rsidRPr="00EA12AB">
        <w:tab/>
        <w:t>Министерство социального развития в сотрудничестве с Палестинским обществом Красного Полумесяца осуществляет программу адаптации жилищ, оказывая финансовую помощь в целях улучшения условий жизни инвалидов в семье, с тем чтобы удовлетворить их потребности и потребности лиц, ухаживающих за ними. Еще одна программа, посвященная развитию моторики у лиц с нарушениями зрения, направлена на освоение ими навыков, позволяющих им жить самостоятельно в домашних условиях. Существует также программа приобретения услуг для инвалидов, в рамках которой в 2017 и 2018 годах были приобретены услуги для 1 675 инвалидов. В таблице 10 приведены примеры приобретения услуг Министерством социального развития в 2018 году.</w:t>
      </w:r>
    </w:p>
    <w:p w14:paraId="29F3293E" w14:textId="77777777" w:rsidR="00C030AE" w:rsidRDefault="00EA12AB" w:rsidP="00EA12AB">
      <w:pPr>
        <w:pStyle w:val="SingleTxtG"/>
      </w:pPr>
      <w:r w:rsidRPr="00EA12AB">
        <w:t>350.</w:t>
      </w:r>
      <w:r w:rsidRPr="00EA12AB">
        <w:tab/>
        <w:t>Что касается качества жизни инвалидов, то проведенное в 2011 году обследование показало, что 34,2</w:t>
      </w:r>
      <w:r w:rsidR="000F55E5" w:rsidRPr="000F55E5">
        <w:t>%</w:t>
      </w:r>
      <w:r w:rsidRPr="00EA12AB">
        <w:t xml:space="preserve"> из них (32,1</w:t>
      </w:r>
      <w:r w:rsidR="000F55E5" w:rsidRPr="000F55E5">
        <w:t>%</w:t>
      </w:r>
      <w:r w:rsidRPr="00EA12AB">
        <w:t xml:space="preserve"> на Западном берегу </w:t>
      </w:r>
      <w:r w:rsidR="000F55E5">
        <w:br/>
      </w:r>
      <w:r w:rsidRPr="00EA12AB">
        <w:t>и 38,4</w:t>
      </w:r>
      <w:r w:rsidR="000F55E5" w:rsidRPr="000F55E5">
        <w:t>%</w:t>
      </w:r>
      <w:r w:rsidRPr="00EA12AB">
        <w:t xml:space="preserve"> в секторе Газа) были полностью лишены возможности заниматься повседневной деятельностью у себя дома из-за естественных и физических препятствий, а 24,6</w:t>
      </w:r>
      <w:r w:rsidR="00EE47F1">
        <w:t>%</w:t>
      </w:r>
      <w:r w:rsidRPr="00EA12AB">
        <w:t xml:space="preserve"> (28,3</w:t>
      </w:r>
      <w:r w:rsidR="00EE47F1">
        <w:t>%</w:t>
      </w:r>
      <w:r w:rsidRPr="00EA12AB">
        <w:t xml:space="preserve"> на Западном берегу и 16,2</w:t>
      </w:r>
      <w:r w:rsidR="000F55E5" w:rsidRPr="000F55E5">
        <w:t>%</w:t>
      </w:r>
      <w:r w:rsidRPr="00EA12AB">
        <w:t xml:space="preserve"> в секторе Газа) остро нуждались в пандусах у себя дома для облегчения передвижения. Следует отметить, что данный опрос был ориентирован на лиц в возрасте 18 лет и старше.</w:t>
      </w:r>
    </w:p>
    <w:p w14:paraId="7081F953" w14:textId="77777777" w:rsidR="00C030AE" w:rsidRDefault="00EA12AB" w:rsidP="00EA12AB">
      <w:pPr>
        <w:pStyle w:val="SingleTxtG"/>
      </w:pPr>
      <w:r w:rsidRPr="00EA12AB">
        <w:t>351.</w:t>
      </w:r>
      <w:r w:rsidRPr="00EA12AB">
        <w:tab/>
        <w:t>Результаты обследования 2011 года свидетельствуют о том, что наибольшие трудности в доступе к государственным услугам испытывают лица с нарушениями опорно-двигательного аппарата, за которыми следуют лица с коммуникативными расстройствами (74,4</w:t>
      </w:r>
      <w:r w:rsidR="00EE47F1">
        <w:t>%</w:t>
      </w:r>
      <w:r w:rsidRPr="00EA12AB">
        <w:t xml:space="preserve"> и 67,2</w:t>
      </w:r>
      <w:r w:rsidR="00EE47F1">
        <w:t>%</w:t>
      </w:r>
      <w:r w:rsidRPr="00EA12AB">
        <w:t xml:space="preserve"> соответственно). Кроме того, 26,9</w:t>
      </w:r>
      <w:r w:rsidR="00EE47F1">
        <w:t>%</w:t>
      </w:r>
      <w:r w:rsidRPr="00EA12AB">
        <w:t xml:space="preserve"> лиц с нарушениями опорно-двигательного аппарата и 25</w:t>
      </w:r>
      <w:r w:rsidR="00EE47F1">
        <w:t>%</w:t>
      </w:r>
      <w:r w:rsidRPr="00EA12AB">
        <w:t xml:space="preserve"> лиц с коммуникативными расстройствами испытывают трудности в плане доступа к банковским услугам.</w:t>
      </w:r>
      <w:r w:rsidR="00C030AE">
        <w:t xml:space="preserve"> </w:t>
      </w:r>
      <w:r w:rsidRPr="00EA12AB">
        <w:t xml:space="preserve"> </w:t>
      </w:r>
    </w:p>
    <w:p w14:paraId="4546E222" w14:textId="77777777" w:rsidR="00C030AE" w:rsidRDefault="00EA12AB" w:rsidP="00EA12AB">
      <w:pPr>
        <w:pStyle w:val="SingleTxtG"/>
        <w:rPr>
          <w:bCs/>
        </w:rPr>
      </w:pPr>
      <w:r w:rsidRPr="00EA12AB">
        <w:t>352.</w:t>
      </w:r>
      <w:r w:rsidRPr="00EA12AB">
        <w:tab/>
        <w:t xml:space="preserve">За указанный период Палестинский консультативный совет по вопросам развития НПО получил 264 жалобы, касающиеся права на достойный уровень жизни. Организация смогла найти положительное решение только в 42 случаях. В остальных 222 случаях, несмотря на получение письменных ответов на жалобы, достичь удовлетворительного решения оказалось невозможным. </w:t>
      </w:r>
    </w:p>
    <w:p w14:paraId="4B5E0B4B" w14:textId="77777777" w:rsidR="00C030AE" w:rsidRDefault="00EA12AB" w:rsidP="00EA12AB">
      <w:pPr>
        <w:pStyle w:val="SingleTxtG"/>
        <w:rPr>
          <w:bCs/>
        </w:rPr>
      </w:pPr>
      <w:r w:rsidRPr="00EA12AB">
        <w:t>353.</w:t>
      </w:r>
      <w:r w:rsidRPr="00EA12AB">
        <w:tab/>
        <w:t>Главная проблема здесь заключается в том, что при расчете уровня бедности в программах социального развития инвалидов не рассматривают в качестве самостоятельного компонента отдельно от остальной части семьи; вместо этого их рассматривают как одну из составляющих при установлении параметров бедности, которые применяются ко всей семье в целом.</w:t>
      </w:r>
    </w:p>
    <w:p w14:paraId="71E40706" w14:textId="77777777" w:rsidR="00C030AE" w:rsidRDefault="00EA12AB" w:rsidP="00EA12AB">
      <w:pPr>
        <w:pStyle w:val="SingleTxtG"/>
      </w:pPr>
      <w:r w:rsidRPr="00EA12AB">
        <w:t>354.</w:t>
      </w:r>
      <w:r w:rsidRPr="00EA12AB">
        <w:tab/>
        <w:t>Программа социальной защиты БАПОР обеспечивает продовольствием семьи, которые не в состоянии удовлетворить свои основные потребности в питании. На</w:t>
      </w:r>
      <w:r w:rsidR="00EE47F1">
        <w:t> </w:t>
      </w:r>
      <w:r w:rsidRPr="00EA12AB">
        <w:t>Западном берегу Агентство в 2014 и 2015 годах раздало продовольственные талоны примерно 45</w:t>
      </w:r>
      <w:r w:rsidR="00953ED1">
        <w:rPr>
          <w:lang w:val="en-US"/>
        </w:rPr>
        <w:t> </w:t>
      </w:r>
      <w:r w:rsidRPr="00EA12AB">
        <w:t>000 человек, из которых примерно 2</w:t>
      </w:r>
      <w:r w:rsidR="00953ED1">
        <w:rPr>
          <w:lang w:val="en-US"/>
        </w:rPr>
        <w:t> </w:t>
      </w:r>
      <w:r w:rsidRPr="00EA12AB">
        <w:t>000 были инвалидами. Однако наряду с другими услугами для палестинских беженцев эта помощь пострадала от сокращения объема международной помощи, предоставляемой Агентству.</w:t>
      </w:r>
    </w:p>
    <w:p w14:paraId="53EE55A8" w14:textId="77777777" w:rsidR="00C030AE" w:rsidRDefault="00EA12AB" w:rsidP="00EA12AB">
      <w:pPr>
        <w:pStyle w:val="SingleTxtG"/>
      </w:pPr>
      <w:r w:rsidRPr="00EA12AB">
        <w:t>355.</w:t>
      </w:r>
      <w:r w:rsidRPr="00EA12AB">
        <w:tab/>
        <w:t>Злоупотребления, совершаемые в условиях израильской оккупации, ставят под угрозу право инвалидов на достойный уровень жизни. Оккупационные силы прибегают к сносу домов палестинцев, в том числе домов инвалидов. Они также проводят политику принудительной эвакуации и бомбардировки домов; так</w:t>
      </w:r>
      <w:r w:rsidR="00953ED1">
        <w:t>,</w:t>
      </w:r>
      <w:r w:rsidRPr="00EA12AB">
        <w:t xml:space="preserve"> в ходе нескольких войн против сектора Газа там был разрушен 351 дом, 58 из которых – полностью и 293 – частично.</w:t>
      </w:r>
      <w:r w:rsidR="00C030AE">
        <w:t xml:space="preserve"> </w:t>
      </w:r>
      <w:r w:rsidRPr="00EA12AB">
        <w:t>В результате войны 2 204 инвалида, проживающие в Газе, были вынуждены покинуть свои дома и искать убежища в одном из 45 центров размещения, созданных в школах</w:t>
      </w:r>
      <w:r w:rsidR="00B7584F">
        <w:rPr>
          <w:rStyle w:val="ab"/>
        </w:rPr>
        <w:endnoteReference w:id="60"/>
      </w:r>
      <w:r w:rsidRPr="00EA12AB">
        <w:t>.</w:t>
      </w:r>
    </w:p>
    <w:p w14:paraId="7958FE32" w14:textId="77777777" w:rsidR="00C030AE" w:rsidRDefault="006B4CDF" w:rsidP="00C17D30">
      <w:pPr>
        <w:pStyle w:val="H1G"/>
      </w:pPr>
      <w:r>
        <w:lastRenderedPageBreak/>
        <w:tab/>
      </w:r>
      <w:r>
        <w:tab/>
      </w:r>
      <w:r w:rsidR="00EA12AB" w:rsidRPr="00EA12AB">
        <w:t>Статья 29</w:t>
      </w:r>
      <w:r>
        <w:br/>
      </w:r>
      <w:r w:rsidR="00EA12AB" w:rsidRPr="00EA12AB">
        <w:t>Участие в политической и общественной жизни</w:t>
      </w:r>
    </w:p>
    <w:p w14:paraId="661CC124" w14:textId="77777777" w:rsidR="00C030AE" w:rsidRDefault="00EA12AB" w:rsidP="00EA12AB">
      <w:pPr>
        <w:pStyle w:val="SingleTxtG"/>
      </w:pPr>
      <w:r w:rsidRPr="00EA12AB">
        <w:t>356.</w:t>
      </w:r>
      <w:r w:rsidRPr="00EA12AB">
        <w:tab/>
        <w:t>Статья 26 Основного закона гарантирует всем палестинцам право на участие в политической жизни без дискриминации</w:t>
      </w:r>
      <w:r w:rsidR="004E51CF">
        <w:rPr>
          <w:rStyle w:val="ab"/>
        </w:rPr>
        <w:endnoteReference w:id="61"/>
      </w:r>
      <w:r w:rsidRPr="00EA12AB">
        <w:t>. Статья 4 Закона о правах инвалидов и статья 8 подзаконного акта о применении этого Закона гарантируют инвалидам право на создание ассоциаций и обществ.</w:t>
      </w:r>
      <w:r w:rsidR="00C030AE">
        <w:t xml:space="preserve"> </w:t>
      </w:r>
    </w:p>
    <w:p w14:paraId="782A8161" w14:textId="77777777" w:rsidR="00C030AE" w:rsidRDefault="00EA12AB" w:rsidP="00EA12AB">
      <w:pPr>
        <w:pStyle w:val="SingleTxtG"/>
      </w:pPr>
      <w:r w:rsidRPr="00EA12AB">
        <w:t>357.</w:t>
      </w:r>
      <w:r w:rsidRPr="00EA12AB">
        <w:tab/>
        <w:t>С момента своего создания в нынешнем виде в 2002 году Центральная избирательная комиссия не оставляет инвалидов без внимания. Так, в соответствии с Законом о всеобщих выборах она оказывает им всю необходимую помощь. Статья 80 Закона № 9 (2005 год) о выборах и статья 86 (4) Законодательного решения № 1 (2007</w:t>
      </w:r>
      <w:r w:rsidR="00EE47F1">
        <w:t> </w:t>
      </w:r>
      <w:r w:rsidRPr="00EA12AB">
        <w:t xml:space="preserve">год) о всеобщих выборах касаются права голоса инвалидов: </w:t>
      </w:r>
      <w:r w:rsidR="008E2BCB">
        <w:t>«</w:t>
      </w:r>
      <w:r w:rsidRPr="00EA12AB">
        <w:t>Если избиратель неграмотен или имеет такую инвалидность, которая мешает ему заполнить избирательный бюллетень самостоятельно, он может обратиться за помощью к другому доверенному лицу при условии согласия избирательной комиссии</w:t>
      </w:r>
      <w:r w:rsidR="008E2BCB">
        <w:t>»</w:t>
      </w:r>
      <w:r w:rsidRPr="00EA12AB">
        <w:t>; глава избирательной комиссии должен проверить избирательный бюллетень и убедиться в том, что пожелание данного лица было выполнено. Эта процедура применялась в ходе президентских выборов 2005 года и выборов в Законодательный совет 2006 года, где руководящие принципы Комиссии обеспечивали соблюдение права избирателя принимать участие в голосовании в условиях полной свободы.</w:t>
      </w:r>
    </w:p>
    <w:p w14:paraId="11B25762" w14:textId="77777777" w:rsidR="00C030AE" w:rsidRDefault="00EA12AB" w:rsidP="00EA12AB">
      <w:pPr>
        <w:pStyle w:val="SingleTxtG"/>
      </w:pPr>
      <w:r w:rsidRPr="00EA12AB">
        <w:t>358.</w:t>
      </w:r>
      <w:r w:rsidRPr="00EA12AB">
        <w:tab/>
        <w:t>В соответствии с положениями статьи 40 Закона № 10 о выборах в местные советы самоуправления (2005 год) Центральная избирательная комиссия установила правила и процедуры для неграмотных и инвалидов, обеспечивающие их право голоса на выборах в местные советы самоуправления в 2017 году и предусматривающие присутствие при них сопровождающего лица для оказания им помощи в голосовании при условии, что сопровождающее лицо является родственником избирателя не ниже второй степени родства.</w:t>
      </w:r>
      <w:r w:rsidR="00C030AE">
        <w:t xml:space="preserve"> </w:t>
      </w:r>
      <w:r w:rsidRPr="00EA12AB">
        <w:t>Избирательный участок отвечает за запись имен, идентификационных номеров и подписей этих избирателей и сопровождающих их лиц на специальном бланке, с тем чтобы не дать возможность сопровождающему лицу оказать помощь нескольким избирателям и ограничить число лиц, ссылающихся на свою неграмотность.</w:t>
      </w:r>
    </w:p>
    <w:p w14:paraId="01CF08DF" w14:textId="77777777" w:rsidR="00C030AE" w:rsidRDefault="00EA12AB" w:rsidP="00EA12AB">
      <w:pPr>
        <w:pStyle w:val="SingleTxtG"/>
      </w:pPr>
      <w:r w:rsidRPr="00EA12AB">
        <w:t>359.</w:t>
      </w:r>
      <w:r w:rsidRPr="00EA12AB">
        <w:tab/>
        <w:t>Статьи 27 и 28 Законодательного решения № 1 (2007 год) о всеобщих выборах определяют право на участие в голосовании и сферу действия этого права. В</w:t>
      </w:r>
      <w:r w:rsidR="000A3940">
        <w:t> </w:t>
      </w:r>
      <w:r w:rsidRPr="00EA12AB">
        <w:t>соответствии со статьей 29 лица, утратившие дееспособность на основании окончательного судебного решения, считаются лишенными права на участие в голосовании.</w:t>
      </w:r>
    </w:p>
    <w:p w14:paraId="7E940450" w14:textId="77777777" w:rsidR="00C030AE" w:rsidRDefault="00EA12AB" w:rsidP="00EA12AB">
      <w:pPr>
        <w:pStyle w:val="SingleTxtG"/>
      </w:pPr>
      <w:r w:rsidRPr="00EA12AB">
        <w:t xml:space="preserve">360. </w:t>
      </w:r>
      <w:r w:rsidRPr="00EA12AB">
        <w:tab/>
        <w:t xml:space="preserve">В соответствии с положениями этого Закона Центральная избирательная комиссия в сотрудничестве со Всеобщим союзом инвалидов на Западном берегу (включая Иерусалим) и в секторе Газа осуществила ряд проектов, направленных на обеспечение всестороннего участия инвалидов в выборах. Она также содействует развитию партнерских отношений с НПО, в том числе с Фондом </w:t>
      </w:r>
      <w:r w:rsidR="008E2BCB">
        <w:t>«</w:t>
      </w:r>
      <w:r w:rsidRPr="00EA12AB">
        <w:t>Звезды надежды</w:t>
      </w:r>
      <w:r w:rsidR="008E2BCB">
        <w:t>»</w:t>
      </w:r>
      <w:r w:rsidRPr="00EA12AB">
        <w:t xml:space="preserve"> для женщин-инвалидов и другими организациями, в целях привлечения их опыта и знаний о потребностях инвалидов. В сотрудничестве с Министерством просвещения и высшего образования и Министерством местного самоуправления и с помощью Ассоциации инженеров оно приняло меры по обеспечению того, чтобы избирательные участки отвечали потребностям инвалидов.</w:t>
      </w:r>
    </w:p>
    <w:p w14:paraId="0F765ED7" w14:textId="77777777" w:rsidR="00C030AE" w:rsidRDefault="00EA12AB" w:rsidP="00EA12AB">
      <w:pPr>
        <w:pStyle w:val="SingleTxtG"/>
      </w:pPr>
      <w:r w:rsidRPr="00EA12AB">
        <w:t>361.</w:t>
      </w:r>
      <w:r w:rsidRPr="00EA12AB">
        <w:tab/>
        <w:t>В целях составления всеобъемлющей картины мероприятий, необходимых для удовлетворения потребностей инвалидов, Комиссия осуществила трехэтапный проект: первый этап предусматривал заключение меморандума о взаимопонимании со Всеобщим союзом инвалидов и поддержание связи с Министерством социального развития и заинтересованными сторонами в целях получения данных и статистики по инвалидности. Было проведено обследование избирательных участков на Западном берегу, в Иерусалиме и Газе, с тем чтобы определить, в какой степени они были адаптированы к потребностям инвалидов, и выявить те из них, которые нуждаются в дальнейшей модификации; обследование показало, что в модификации нуждаются 27</w:t>
      </w:r>
      <w:r w:rsidR="000A3940">
        <w:t> </w:t>
      </w:r>
      <w:r w:rsidRPr="00EA12AB">
        <w:t xml:space="preserve">избирательных участков. Наиболее значимым результатом на данном этапе стало </w:t>
      </w:r>
      <w:r w:rsidRPr="00EA12AB">
        <w:lastRenderedPageBreak/>
        <w:t>получение данных о 71 006 инвалидах, официально зарегистрированных властями, из которых 70</w:t>
      </w:r>
      <w:r w:rsidR="000B6383">
        <w:t>%</w:t>
      </w:r>
      <w:r w:rsidRPr="00EA12AB">
        <w:t xml:space="preserve"> (т.</w:t>
      </w:r>
      <w:r w:rsidR="000A3940">
        <w:t> </w:t>
      </w:r>
      <w:r w:rsidRPr="00EA12AB">
        <w:t xml:space="preserve">е. 50 196 человек) были внесены в избирательные списки </w:t>
      </w:r>
      <w:r w:rsidR="000B6383">
        <w:br/>
      </w:r>
      <w:r w:rsidRPr="00EA12AB">
        <w:t>(30</w:t>
      </w:r>
      <w:r w:rsidR="000A3940">
        <w:t> </w:t>
      </w:r>
      <w:r w:rsidRPr="00EA12AB">
        <w:t>822 человека на Западном берегу и 19 385 человек в Газе).</w:t>
      </w:r>
    </w:p>
    <w:p w14:paraId="4B210631" w14:textId="77777777" w:rsidR="00C030AE" w:rsidRDefault="00EA12AB" w:rsidP="00EA12AB">
      <w:pPr>
        <w:pStyle w:val="SingleTxtG"/>
      </w:pPr>
      <w:r w:rsidRPr="00EA12AB">
        <w:t>362.</w:t>
      </w:r>
      <w:r w:rsidRPr="00EA12AB">
        <w:tab/>
        <w:t>На втором этапе Комиссия провела ряд семинаров для руководителей отделений Всеобщего союза инвалидов и сотрудников Комиссии на Западном берегу, с тем чтобы разъяснить цель проекта и концепцию Комиссии. На третьем этапе была разработана концепция проекта, и в 2015 и 2016 годах Комиссией были проведены мероприятия при финансировании со стороны правительства Норвегии. Эти мероприятия включали в себя подготовку сотрудников Комиссии по вопросам обеспечения необходимых условий для того, чтобы инвалиды могли беспрепятственно участвовать в избирательном процессе. Это было реализовано на практике в ходе местных выборов 2017 года</w:t>
      </w:r>
      <w:r w:rsidR="002B217A">
        <w:rPr>
          <w:rStyle w:val="ab"/>
        </w:rPr>
        <w:endnoteReference w:id="62"/>
      </w:r>
      <w:r w:rsidRPr="00EA12AB">
        <w:t>.</w:t>
      </w:r>
    </w:p>
    <w:p w14:paraId="4CF76675" w14:textId="77777777" w:rsidR="00C030AE" w:rsidRDefault="00EA12AB" w:rsidP="00EA12AB">
      <w:pPr>
        <w:pStyle w:val="SingleTxtG"/>
      </w:pPr>
      <w:r w:rsidRPr="00EA12AB">
        <w:t>363.</w:t>
      </w:r>
      <w:r w:rsidRPr="00EA12AB">
        <w:tab/>
        <w:t>Комиссия адаптировала ряд избирательных участков для удовлетворения потребностей избирателей с нарушениями зрения. Это включало в себя подготовку инструкций по голосованию, написанных шрифтом Брайля, и установку специальных дорожек, позволяющих без посторонней помощи направлять избирателей к кабинам для голосования. Комиссия также подготовила бланк, содержащий фамилии кандидатов, набранные шрифтом Брайля, в том виде, в каком они фигурируют в бюллетене для голосования.</w:t>
      </w:r>
    </w:p>
    <w:p w14:paraId="4A227C7B" w14:textId="77777777" w:rsidR="00C030AE" w:rsidRDefault="00EA12AB" w:rsidP="00EA12AB">
      <w:pPr>
        <w:pStyle w:val="SingleTxtG"/>
      </w:pPr>
      <w:r w:rsidRPr="00EA12AB">
        <w:t>364.</w:t>
      </w:r>
      <w:r w:rsidRPr="00EA12AB">
        <w:tab/>
        <w:t xml:space="preserve">На выборах в местные органы власти в 2017 году проголосовали </w:t>
      </w:r>
      <w:r w:rsidR="000B6383">
        <w:br/>
      </w:r>
      <w:r w:rsidRPr="00EA12AB">
        <w:t>10</w:t>
      </w:r>
      <w:r w:rsidR="000B6383">
        <w:t> </w:t>
      </w:r>
      <w:r w:rsidRPr="00EA12AB">
        <w:t>382 (56</w:t>
      </w:r>
      <w:r w:rsidR="004B7715" w:rsidRPr="004B7715">
        <w:t>%</w:t>
      </w:r>
      <w:r w:rsidRPr="00EA12AB">
        <w:t>) из 18 607 зарегистрированных инвалидов.</w:t>
      </w:r>
    </w:p>
    <w:p w14:paraId="280E5CB1" w14:textId="77777777" w:rsidR="00C030AE" w:rsidRDefault="00EA12AB" w:rsidP="00EA12AB">
      <w:pPr>
        <w:pStyle w:val="SingleTxtG"/>
      </w:pPr>
      <w:r w:rsidRPr="00EA12AB">
        <w:t>365.</w:t>
      </w:r>
      <w:r w:rsidRPr="00EA12AB">
        <w:tab/>
        <w:t>Настоятельно призвав своих партнеров по избирательному процессу согласовать процедуры выборов, Комиссия внесла поправки во все свои процедуры, касающиеся наблюдателей, кандидатов и политических партий. С этой целью она приняла образец, разработанный в партнерстве со Всеобщим союзом инвалидов.</w:t>
      </w:r>
      <w:r w:rsidR="00C030AE">
        <w:t xml:space="preserve"> </w:t>
      </w:r>
      <w:r w:rsidRPr="00EA12AB">
        <w:t xml:space="preserve">Были подготовлены всеобъемлющие планы по обеспечению безопасного и реального участия инвалидов. </w:t>
      </w:r>
    </w:p>
    <w:p w14:paraId="4A06BC41" w14:textId="77777777" w:rsidR="00C030AE" w:rsidRDefault="00EA12AB" w:rsidP="00EA12AB">
      <w:pPr>
        <w:pStyle w:val="SingleTxtG"/>
      </w:pPr>
      <w:r w:rsidRPr="00EA12AB">
        <w:t>366.</w:t>
      </w:r>
      <w:r w:rsidRPr="00EA12AB">
        <w:tab/>
        <w:t>Наиболее серьезной проблемой, с которой сталкивается Комиссия, является ограниченное внимание к проблеме инвалидов во внутреннем избирательном законодательстве. Необходимо установить четкие, обязательные процедуры, которым должны следовать партнеры Комиссии по проведению выборов, особенно в отношении избирательных списков и политических партий. Тем не менее наблюдатели предложили соответствующим организациям принять активное участие в местных выборах 2017 года. Комиссия открыла по меньшей мере один центр в каждом палестинском городе, причем каждый из них полностью приспособлен к потребностям инвалидов, особенно инвалидов по зрению, с тем чтобы они могли свободно и беспрепятственно голосовать.</w:t>
      </w:r>
    </w:p>
    <w:p w14:paraId="7F70EE2A" w14:textId="77777777" w:rsidR="00C030AE" w:rsidRDefault="00EA12AB" w:rsidP="00EA12AB">
      <w:pPr>
        <w:pStyle w:val="SingleTxtG"/>
      </w:pPr>
      <w:r w:rsidRPr="00EA12AB">
        <w:t>367.</w:t>
      </w:r>
      <w:r w:rsidRPr="00EA12AB">
        <w:tab/>
        <w:t>В принципе, ни одному гражданину, независимо от того, является ли он инвалидом или нет, не может быть отказано в праве на участие в голосовании или в праве баллотироваться на выборах, за исключением случаев, когда это делается в соответствии с окончательным судебным решением, вынесенным компетентным судом. Комиссия стремится поощрять семьи инвалидов к участию в семинарах по вопросам выборов в целях повышения осведомленности. Она призывает соответствующие органы делать все необходимое для обеспечения свободного участия инвалидов в выборах. Еще одной проблемой является нехватка ресурсов у Комиссии, и</w:t>
      </w:r>
      <w:r w:rsidR="000B6383">
        <w:t>,</w:t>
      </w:r>
      <w:r w:rsidRPr="00EA12AB">
        <w:t xml:space="preserve"> для того чтобы Комиссия могла продолжать свою работу с партнерами по проведению выборов, ей необходим специальный бюджет. Эта работа была частично начата международными организациями, и теперь ее необходимо довести до конца. Следует отметить, что израильская колониальная оккупационная система создания дорожных заграждений наряду с другими препятствиями и злоупотреблениями затрудняет свободное передвижение инвалидов и доступ к избирательным участкам.</w:t>
      </w:r>
    </w:p>
    <w:p w14:paraId="2A6DB852" w14:textId="77777777" w:rsidR="00C030AE" w:rsidRDefault="00EA12AB" w:rsidP="00EA12AB">
      <w:pPr>
        <w:pStyle w:val="SingleTxtG"/>
      </w:pPr>
      <w:r w:rsidRPr="00EA12AB">
        <w:t>368.</w:t>
      </w:r>
      <w:r w:rsidRPr="00EA12AB">
        <w:tab/>
        <w:t xml:space="preserve">Центральная избирательная комиссия планирует распространить свою деятельность на кандидатов, политические партии и другие учреждения-партнеры, работая параллельно с Комиссией в целях предоставления ресурсов, необходимых для обеспечения надлежащего применения процедур в ходе будущих выборов. Комиссия </w:t>
      </w:r>
      <w:r w:rsidRPr="00EA12AB">
        <w:lastRenderedPageBreak/>
        <w:t>сосредоточит внимание на трех подходах с целью интеграции инвалидов. Опираясь на результаты своей предыдущей работы, она будет продолжать адаптацию и разработку мер в интересах инвалидов в течение четырехлетнего избирательного цикла для применения в ходе будущих выборов. Она будет стремиться финансировать и осуществлять схемы вовлечения инвалидов в избирательный процесс и разрабатывать механизмы в интересах Комиссии и ее партнеров, включая федерации, организации, политические партии и средства массовой информации, в целях пропаганды концепции интеграции инвалидности и вовлечения инвалидов в систему партнерства; Комиссия планирует осуществить комплексный проект на сумму 160 000 долл. США после получения донорского финансирования. Наконец, Комиссия будет работать совместно с организациями-партнерами над адаптацией процедур и мер для обеспечения эффективного участия инвалидов.</w:t>
      </w:r>
    </w:p>
    <w:p w14:paraId="4E44ED64" w14:textId="77777777" w:rsidR="00C030AE" w:rsidRDefault="00EA12AB" w:rsidP="00EA12AB">
      <w:pPr>
        <w:pStyle w:val="SingleTxtG"/>
      </w:pPr>
      <w:r w:rsidRPr="00EA12AB">
        <w:t>369.</w:t>
      </w:r>
      <w:r w:rsidRPr="00EA12AB">
        <w:tab/>
        <w:t>Всеобщий союз инвалидов был создан в 1991 году в качестве некоммерческой низовой правозащитной организации при управлении по делам массовых движений Организации освобождения Палестины; он занимается обеспечением представленности инвалидов и защитой их прав во всех сферах жизни. Союз предоставляет услуги без дискриминации и не связан с какими-либо политическими, религиозными или фракционными группами. Его штаб-квартира находится в Иерусалиме, однако в настоящее время он функционирует на базе временной штаб</w:t>
      </w:r>
      <w:r w:rsidR="007201CA">
        <w:noBreakHyphen/>
      </w:r>
      <w:r w:rsidRPr="00EA12AB">
        <w:t>квартиры в Рамалле с отделениями в каждой из мухафаз.</w:t>
      </w:r>
    </w:p>
    <w:p w14:paraId="4553F9BB" w14:textId="77777777" w:rsidR="00C030AE" w:rsidRDefault="00EA12AB" w:rsidP="00EA12AB">
      <w:pPr>
        <w:pStyle w:val="SingleTxtG"/>
      </w:pPr>
      <w:r w:rsidRPr="00EA12AB">
        <w:t>370.</w:t>
      </w:r>
      <w:r w:rsidRPr="00EA12AB">
        <w:tab/>
        <w:t xml:space="preserve">В том что касается представленности различных групп, в статье 4 устава Союза предусматривается, что он имеет следующую структуру: </w:t>
      </w:r>
    </w:p>
    <w:p w14:paraId="41A0640F" w14:textId="77777777" w:rsidR="00EA12AB" w:rsidRPr="006B4CDF" w:rsidRDefault="006B4CDF" w:rsidP="006B4CDF">
      <w:pPr>
        <w:pStyle w:val="SingleTxtG"/>
      </w:pPr>
      <w:r>
        <w:tab/>
      </w:r>
      <w:r>
        <w:tab/>
      </w:r>
      <w:r w:rsidR="00C030AE" w:rsidRPr="00EA12AB">
        <w:t>1)</w:t>
      </w:r>
      <w:r w:rsidR="00C030AE" w:rsidRPr="00EA12AB">
        <w:tab/>
      </w:r>
      <w:r w:rsidR="00EA12AB" w:rsidRPr="00EA12AB">
        <w:t xml:space="preserve">секторальный </w:t>
      </w:r>
      <w:r w:rsidR="00EA12AB" w:rsidRPr="006B4CDF">
        <w:t>генеральный комитет, состоящий из всех членов отделения, выполняющих свои</w:t>
      </w:r>
      <w:r w:rsidR="000A3940">
        <w:t xml:space="preserve"> </w:t>
      </w:r>
      <w:r w:rsidR="00EA12AB" w:rsidRPr="006B4CDF">
        <w:t>обязательства по уставу;</w:t>
      </w:r>
    </w:p>
    <w:p w14:paraId="412B6738" w14:textId="77777777" w:rsidR="00EA12AB" w:rsidRPr="006B4CDF" w:rsidRDefault="006B4CDF" w:rsidP="006B4CDF">
      <w:pPr>
        <w:pStyle w:val="SingleTxtG"/>
      </w:pPr>
      <w:r>
        <w:tab/>
      </w:r>
      <w:r>
        <w:tab/>
      </w:r>
      <w:r w:rsidR="00C030AE" w:rsidRPr="006B4CDF">
        <w:t>2)</w:t>
      </w:r>
      <w:r w:rsidR="00C030AE" w:rsidRPr="006B4CDF">
        <w:tab/>
      </w:r>
      <w:r w:rsidR="00EA12AB" w:rsidRPr="006B4CDF">
        <w:t>секторальный комитет по вопросам управления, состоящий из семи членов, избираемых на трехлетний</w:t>
      </w:r>
      <w:r w:rsidR="000A3940">
        <w:t xml:space="preserve"> </w:t>
      </w:r>
      <w:r w:rsidR="00EA12AB" w:rsidRPr="006B4CDF">
        <w:t>срок секторальным генеральным комитетом;</w:t>
      </w:r>
    </w:p>
    <w:p w14:paraId="3923AC08" w14:textId="77777777" w:rsidR="00EA12AB" w:rsidRPr="006B4CDF" w:rsidRDefault="006B4CDF" w:rsidP="006B4CDF">
      <w:pPr>
        <w:pStyle w:val="SingleTxtG"/>
      </w:pPr>
      <w:r>
        <w:tab/>
      </w:r>
      <w:r>
        <w:tab/>
      </w:r>
      <w:r w:rsidR="00C030AE" w:rsidRPr="006B4CDF">
        <w:t>3)</w:t>
      </w:r>
      <w:r w:rsidR="00C030AE" w:rsidRPr="006B4CDF">
        <w:tab/>
      </w:r>
      <w:r w:rsidR="00EA12AB" w:rsidRPr="006B4CDF">
        <w:t>высшим органом Союза является Генеральная конференция; она компетентна рассматривать все</w:t>
      </w:r>
      <w:r w:rsidR="000A3940">
        <w:t xml:space="preserve"> </w:t>
      </w:r>
      <w:r w:rsidR="00EA12AB" w:rsidRPr="006B4CDF">
        <w:t>вопросы и принимать все организационные решения, за исключением тех, которые делегированы комитетам;</w:t>
      </w:r>
    </w:p>
    <w:p w14:paraId="288B7CD5" w14:textId="77777777" w:rsidR="00EA12AB" w:rsidRPr="006B4CDF" w:rsidRDefault="006B4CDF" w:rsidP="006B4CDF">
      <w:pPr>
        <w:pStyle w:val="SingleTxtG"/>
      </w:pPr>
      <w:r>
        <w:tab/>
      </w:r>
      <w:r>
        <w:tab/>
      </w:r>
      <w:r w:rsidR="00C030AE" w:rsidRPr="006B4CDF">
        <w:t>4)</w:t>
      </w:r>
      <w:r w:rsidR="00C030AE" w:rsidRPr="006B4CDF">
        <w:tab/>
      </w:r>
      <w:r w:rsidR="00EA12AB" w:rsidRPr="006B4CDF">
        <w:t>Совет директоров, состоящий из 13 членов Генеральной конференции от всех областей, избираемых</w:t>
      </w:r>
      <w:r w:rsidR="000A3940">
        <w:t xml:space="preserve"> </w:t>
      </w:r>
      <w:r w:rsidR="00EA12AB" w:rsidRPr="006B4CDF">
        <w:t>Генеральной конференцией на трехлетний срок;</w:t>
      </w:r>
    </w:p>
    <w:p w14:paraId="0A40CDA0" w14:textId="77777777" w:rsidR="00C030AE" w:rsidRDefault="006B4CDF" w:rsidP="006B4CDF">
      <w:pPr>
        <w:pStyle w:val="SingleTxtG"/>
      </w:pPr>
      <w:r>
        <w:tab/>
      </w:r>
      <w:r>
        <w:tab/>
      </w:r>
      <w:r w:rsidR="00C030AE" w:rsidRPr="006B4CDF">
        <w:t>5)</w:t>
      </w:r>
      <w:r w:rsidR="00C030AE" w:rsidRPr="006B4CDF">
        <w:tab/>
      </w:r>
      <w:r w:rsidR="00EA12AB" w:rsidRPr="006B4CDF">
        <w:t>контрольно-ревизионная</w:t>
      </w:r>
      <w:r w:rsidR="00EA12AB" w:rsidRPr="00EA12AB">
        <w:t xml:space="preserve"> комиссия, избираемая Генеральной конференцией.</w:t>
      </w:r>
    </w:p>
    <w:p w14:paraId="731D2938" w14:textId="77777777" w:rsidR="00C030AE" w:rsidRDefault="006B4CDF" w:rsidP="00EA12AB">
      <w:pPr>
        <w:pStyle w:val="SingleTxtG"/>
      </w:pPr>
      <w:r>
        <w:tab/>
      </w:r>
      <w:r>
        <w:tab/>
      </w:r>
      <w:r w:rsidR="00EA12AB" w:rsidRPr="00EA12AB">
        <w:t>В Союзе также имеется ряд специализированных комитетов (по спорту, по</w:t>
      </w:r>
      <w:r w:rsidR="000B6383">
        <w:t> </w:t>
      </w:r>
      <w:r w:rsidR="00EA12AB" w:rsidRPr="00EA12AB">
        <w:t>социальным вопросам, по делам женщин и</w:t>
      </w:r>
      <w:r w:rsidR="000B6383">
        <w:t> </w:t>
      </w:r>
      <w:r w:rsidR="00EA12AB" w:rsidRPr="00EA12AB">
        <w:t>т.</w:t>
      </w:r>
      <w:r w:rsidR="000B6383">
        <w:t> </w:t>
      </w:r>
      <w:r w:rsidR="00EA12AB" w:rsidRPr="00EA12AB">
        <w:t>д.), работающих параллельно с Советом директоров и секторальными комитетами</w:t>
      </w:r>
      <w:r w:rsidR="004B7715">
        <w:rPr>
          <w:rStyle w:val="ab"/>
        </w:rPr>
        <w:endnoteReference w:id="63"/>
      </w:r>
      <w:r w:rsidR="00EA12AB" w:rsidRPr="00EA12AB">
        <w:t>. Комитеты уделяют первоочередное внимание представленности женщин и лиц с нарушениями опорно</w:t>
      </w:r>
      <w:r w:rsidR="000B6383">
        <w:noBreakHyphen/>
      </w:r>
      <w:r w:rsidR="00EA12AB" w:rsidRPr="00EA12AB">
        <w:t>двигательного аппарата, слуха и зрения.</w:t>
      </w:r>
    </w:p>
    <w:p w14:paraId="40C34F17" w14:textId="77777777" w:rsidR="00C030AE" w:rsidRDefault="00EA12AB" w:rsidP="00EA12AB">
      <w:pPr>
        <w:pStyle w:val="SingleTxtG"/>
      </w:pPr>
      <w:r w:rsidRPr="00EA12AB">
        <w:t>371.</w:t>
      </w:r>
      <w:r w:rsidRPr="00EA12AB">
        <w:tab/>
        <w:t>Работая на добровольной основе, сотрудники Союза осуществляют повседневный мониторинг всех вопросов, касающиеся палестинцев-инвалидов, представляя их интересы и защищая их права. Они наблюдают за работой правительственных министерств, активно и эффективно участвуют в формулировании идей, политики и планов и отслеживают степень их реализации на местах. Союз также участвует в разработке политики и планов НПО в отношении прав инвалидов.</w:t>
      </w:r>
    </w:p>
    <w:p w14:paraId="1FBE080A" w14:textId="77777777" w:rsidR="00C030AE" w:rsidRDefault="00EA12AB" w:rsidP="00EA12AB">
      <w:pPr>
        <w:pStyle w:val="SingleTxtG"/>
      </w:pPr>
      <w:r w:rsidRPr="00EA12AB">
        <w:t>372.</w:t>
      </w:r>
      <w:r w:rsidRPr="00EA12AB">
        <w:tab/>
        <w:t>Союз служит инвалидам от своего имени и от имени правительства. В качестве примеров можно привести предоставление бесплатного медицинского страхования, принятие совместных мер с комитетом по освобождению от уплаты таможенных пошлин и поощрение права на трудоустройство в государственном и частном секторах. Союз также следит за соблюдением законодательства в этой области. Он</w:t>
      </w:r>
      <w:r w:rsidR="002B217A">
        <w:rPr>
          <w:lang w:val="en-US"/>
        </w:rPr>
        <w:t> </w:t>
      </w:r>
      <w:r w:rsidRPr="00EA12AB">
        <w:t>наблюдает за мерами, принимаемыми правительством в интересах инвалидов в целом, а также отслеживает отдельные случаи, требующие принятия незамедлительных действий.</w:t>
      </w:r>
    </w:p>
    <w:p w14:paraId="58472393" w14:textId="77777777" w:rsidR="00C030AE" w:rsidRDefault="00EA12AB" w:rsidP="00EA12AB">
      <w:pPr>
        <w:pStyle w:val="SingleTxtG"/>
      </w:pPr>
      <w:r w:rsidRPr="00EA12AB">
        <w:t>373.</w:t>
      </w:r>
      <w:r w:rsidRPr="00EA12AB">
        <w:tab/>
        <w:t xml:space="preserve">Союз заключил несколько соглашений о поставках </w:t>
      </w:r>
      <w:proofErr w:type="spellStart"/>
      <w:r w:rsidRPr="00EA12AB">
        <w:t>ассистивных</w:t>
      </w:r>
      <w:proofErr w:type="spellEnd"/>
      <w:r w:rsidRPr="00EA12AB">
        <w:t xml:space="preserve"> устройств, запуске проектов по расширению экономических прав и возможностей, проведении </w:t>
      </w:r>
      <w:r w:rsidRPr="00EA12AB">
        <w:lastRenderedPageBreak/>
        <w:t xml:space="preserve">работ по модификации зданий и организации информационно-ознакомительных семинаров. Он также заключил соглашения с рядом предприятий, таких как страховые компании, банки и группа </w:t>
      </w:r>
      <w:r w:rsidR="008E2BCB">
        <w:t>«</w:t>
      </w:r>
      <w:proofErr w:type="spellStart"/>
      <w:r w:rsidRPr="00EA12AB">
        <w:t>Палтел</w:t>
      </w:r>
      <w:proofErr w:type="spellEnd"/>
      <w:r w:rsidR="008E2BCB">
        <w:t>»</w:t>
      </w:r>
      <w:r w:rsidRPr="00EA12AB">
        <w:t>, а также с другими местными и международными учреждениями в целях повышения просвещенности в вопросах прав инвалидов и обеспечения соблюдения их прав на практике.</w:t>
      </w:r>
    </w:p>
    <w:p w14:paraId="3C2CA43B" w14:textId="77777777" w:rsidR="00C030AE" w:rsidRDefault="00EA12AB" w:rsidP="00EA12AB">
      <w:pPr>
        <w:pStyle w:val="SingleTxtG"/>
      </w:pPr>
      <w:r w:rsidRPr="00EA12AB">
        <w:t>374.</w:t>
      </w:r>
      <w:r w:rsidRPr="00EA12AB">
        <w:tab/>
        <w:t>Основными проблемами, с которыми сталкивается Союз, являются отсутствие подробных финансовых и административных инструкций, отсутствие устойчивого финансирования и нехватка необходимых финансовых ресурсов для реализации проектов, что приводит к неспособности привлекать оплачиваемых сотрудников.</w:t>
      </w:r>
    </w:p>
    <w:p w14:paraId="17A53F82" w14:textId="77777777" w:rsidR="00C030AE" w:rsidRDefault="006B4CDF" w:rsidP="00C17D30">
      <w:pPr>
        <w:pStyle w:val="H1G"/>
      </w:pPr>
      <w:r>
        <w:tab/>
      </w:r>
      <w:r>
        <w:tab/>
      </w:r>
      <w:r w:rsidR="00EA12AB" w:rsidRPr="00EA12AB">
        <w:t>Статья 30</w:t>
      </w:r>
      <w:r>
        <w:br/>
      </w:r>
      <w:r w:rsidR="00EA12AB" w:rsidRPr="00EA12AB">
        <w:t>Участие в культурной жизни, проведении досуга и отдыха и</w:t>
      </w:r>
      <w:r w:rsidR="00C17D30">
        <w:rPr>
          <w:lang w:val="en-US"/>
        </w:rPr>
        <w:t> </w:t>
      </w:r>
      <w:r w:rsidR="00EA12AB" w:rsidRPr="00EA12AB">
        <w:t>занятии спортом</w:t>
      </w:r>
    </w:p>
    <w:p w14:paraId="39820A0F" w14:textId="77777777" w:rsidR="00C030AE" w:rsidRDefault="00EA12AB" w:rsidP="00EA12AB">
      <w:pPr>
        <w:pStyle w:val="SingleTxtG"/>
      </w:pPr>
      <w:r w:rsidRPr="00EA12AB">
        <w:t>375.</w:t>
      </w:r>
      <w:r w:rsidRPr="00EA12AB">
        <w:tab/>
        <w:t>Закон о правах инвалидов гарантирует право инвалидов на отдых и спорт, предусматривая адаптацию игровых площадок, спортивных залов, лагерей, клубов и сооружений. Он также поддерживает участие инвалидов в местных и международных спортивных мероприятиях за счет снижения платы за вход в государственные досуговые и культурные центры на 50</w:t>
      </w:r>
      <w:r w:rsidR="000A3940">
        <w:t>%</w:t>
      </w:r>
      <w:r w:rsidRPr="00EA12AB">
        <w:t>. Статья 12 подзаконного акта о применении этого Закона касается культурных прав инвалидов.</w:t>
      </w:r>
    </w:p>
    <w:p w14:paraId="4CC8C541" w14:textId="77777777" w:rsidR="00C030AE" w:rsidRDefault="00EA12AB" w:rsidP="00EA12AB">
      <w:pPr>
        <w:pStyle w:val="SingleTxtG"/>
      </w:pPr>
      <w:r w:rsidRPr="00EA12AB">
        <w:t>376.</w:t>
      </w:r>
      <w:r w:rsidRPr="00EA12AB">
        <w:tab/>
        <w:t xml:space="preserve">Палестина стремится учитывать культурные права инвалидов в своих стратегиях и планах. Так, Стратегический план Министерства культуры </w:t>
      </w:r>
      <w:r w:rsidR="000A3940">
        <w:br/>
      </w:r>
      <w:r w:rsidRPr="00EA12AB">
        <w:t>(2017–2022 годы) содержит комплекс программ и целей, касающихся инвалидов. Кроме того, ежегодный план осуществления включает проекты в области культуры и широкий круг мероприятий для инвалидов, в том числе в таких областях, как живопись, литература, музыка, пение, ремесла, организация летних лагерей, рисование, индивидуальная поддержка и расширение институциональных возможностей.</w:t>
      </w:r>
    </w:p>
    <w:p w14:paraId="4D44265B" w14:textId="77777777" w:rsidR="00C030AE" w:rsidRDefault="00EA12AB" w:rsidP="00EA12AB">
      <w:pPr>
        <w:pStyle w:val="SingleTxtG"/>
      </w:pPr>
      <w:r w:rsidRPr="00EA12AB">
        <w:t>377.</w:t>
      </w:r>
      <w:r w:rsidRPr="00EA12AB">
        <w:tab/>
        <w:t xml:space="preserve">В настоящее время разрабатывается законопроект, касающийся авторского права и смежных прав, включая право лиц с нарушениями зрения пользоваться печатными материалами, написанными шрифтом Брайля или переведенными в </w:t>
      </w:r>
      <w:proofErr w:type="spellStart"/>
      <w:r w:rsidRPr="00EA12AB">
        <w:t>аудиоформат</w:t>
      </w:r>
      <w:proofErr w:type="spellEnd"/>
      <w:r w:rsidRPr="00EA12AB">
        <w:t xml:space="preserve"> в соответствии с положениями </w:t>
      </w:r>
      <w:proofErr w:type="spellStart"/>
      <w:r w:rsidRPr="00EA12AB">
        <w:t>Марракешского</w:t>
      </w:r>
      <w:proofErr w:type="spellEnd"/>
      <w:r w:rsidRPr="00EA12AB">
        <w:t xml:space="preserve"> договора, а также исключения, предусмотренные для образовательных учреждений и библиотек, которые позволяют переводить печатные материалы в шрифт Брайля или в </w:t>
      </w:r>
      <w:proofErr w:type="spellStart"/>
      <w:r w:rsidRPr="00EA12AB">
        <w:t>аудиоформат</w:t>
      </w:r>
      <w:proofErr w:type="spellEnd"/>
      <w:r w:rsidRPr="00EA12AB">
        <w:t xml:space="preserve"> без разрешения автора.</w:t>
      </w:r>
      <w:r w:rsidR="00C030AE">
        <w:t xml:space="preserve"> </w:t>
      </w:r>
    </w:p>
    <w:p w14:paraId="4A803F6F" w14:textId="77777777" w:rsidR="00C030AE" w:rsidRDefault="00EA12AB" w:rsidP="00EA12AB">
      <w:pPr>
        <w:pStyle w:val="SingleTxtG"/>
      </w:pPr>
      <w:r w:rsidRPr="00EA12AB">
        <w:t>378.</w:t>
      </w:r>
      <w:r w:rsidRPr="00EA12AB">
        <w:tab/>
        <w:t>Инвалиды интегрированы во все мероприятия и программы Министерства без каких-либо исключений, дискриминации или различий между тем или иным типом инвалидности. Лица с нарушениями зрения и слуха, с умственной отсталостью, а</w:t>
      </w:r>
      <w:r w:rsidR="005F3F52">
        <w:rPr>
          <w:lang w:val="en-US"/>
        </w:rPr>
        <w:t> </w:t>
      </w:r>
      <w:r w:rsidRPr="00EA12AB">
        <w:t xml:space="preserve">также с синдромом Дауна пользуются равными условиями без какой-либо дискриминации; единственное исключение </w:t>
      </w:r>
      <w:bookmarkStart w:id="28" w:name="_Hlk40004423"/>
      <w:r w:rsidRPr="00EA12AB">
        <w:t>–</w:t>
      </w:r>
      <w:bookmarkEnd w:id="28"/>
      <w:r w:rsidRPr="00EA12AB">
        <w:t xml:space="preserve"> подготовка печатных изданий с использованием шрифта Брайля для слепых. Вопросам, касающимся инвалидов, уделяется большое внимание в планах действий Палестинской вещательной корпорации, что нашло отражение в здании штаб-квартиры, которое было модифицировано для облегчения мобильности инвалидов, комплексном цикле программирования, обеспечивающем их участие в теле- и радиовещательной деятельности, и распределении эфирного времени для освещения вопросов, касающихся инвалидов.</w:t>
      </w:r>
    </w:p>
    <w:p w14:paraId="350E5F04" w14:textId="77777777" w:rsidR="00C030AE" w:rsidRDefault="00EA12AB" w:rsidP="00EA12AB">
      <w:pPr>
        <w:pStyle w:val="SingleTxtG"/>
      </w:pPr>
      <w:r w:rsidRPr="00EA12AB">
        <w:t>379.</w:t>
      </w:r>
      <w:r w:rsidRPr="00EA12AB">
        <w:tab/>
        <w:t xml:space="preserve">Инвалиды имеют доступ ко всем видам культурных материалов. Министерство опубликовало короткие рассказы и романы, написанные шрифтом Брайля, в том числе </w:t>
      </w:r>
      <w:r w:rsidR="008E2BCB">
        <w:t>«</w:t>
      </w:r>
      <w:proofErr w:type="spellStart"/>
      <w:r w:rsidRPr="000A3940">
        <w:t>Хайталья</w:t>
      </w:r>
      <w:proofErr w:type="spellEnd"/>
      <w:r w:rsidR="008E2BCB">
        <w:t>»</w:t>
      </w:r>
      <w:r w:rsidRPr="00EA12AB">
        <w:t xml:space="preserve"> </w:t>
      </w:r>
      <w:proofErr w:type="spellStart"/>
      <w:r w:rsidRPr="00EA12AB">
        <w:t>Джабры</w:t>
      </w:r>
      <w:proofErr w:type="spellEnd"/>
      <w:r w:rsidRPr="00EA12AB">
        <w:t xml:space="preserve"> Ибрагима </w:t>
      </w:r>
      <w:proofErr w:type="spellStart"/>
      <w:r w:rsidRPr="00EA12AB">
        <w:t>Джабры</w:t>
      </w:r>
      <w:proofErr w:type="spellEnd"/>
      <w:r w:rsidRPr="00EA12AB">
        <w:t xml:space="preserve"> и </w:t>
      </w:r>
      <w:r w:rsidR="008E2BCB">
        <w:t>«</w:t>
      </w:r>
      <w:r w:rsidRPr="000A3940">
        <w:t>Маленький фонарик</w:t>
      </w:r>
      <w:r w:rsidR="008E2BCB">
        <w:t>»</w:t>
      </w:r>
      <w:r w:rsidRPr="00EA12AB">
        <w:t xml:space="preserve"> </w:t>
      </w:r>
      <w:proofErr w:type="spellStart"/>
      <w:r w:rsidRPr="00EA12AB">
        <w:t>Гассана</w:t>
      </w:r>
      <w:proofErr w:type="spellEnd"/>
      <w:r w:rsidRPr="00EA12AB">
        <w:t xml:space="preserve"> </w:t>
      </w:r>
      <w:proofErr w:type="spellStart"/>
      <w:r w:rsidRPr="00EA12AB">
        <w:t>Канафани</w:t>
      </w:r>
      <w:proofErr w:type="spellEnd"/>
      <w:r w:rsidRPr="00EA12AB">
        <w:t>. С</w:t>
      </w:r>
      <w:r w:rsidR="000A3940">
        <w:t> </w:t>
      </w:r>
      <w:r w:rsidRPr="00EA12AB">
        <w:t>каждым годом все больше материалов печатается шрифтом Брайля.</w:t>
      </w:r>
    </w:p>
    <w:p w14:paraId="035FE031" w14:textId="77777777" w:rsidR="00C030AE" w:rsidRDefault="00EA12AB" w:rsidP="00EA12AB">
      <w:pPr>
        <w:pStyle w:val="SingleTxtG"/>
      </w:pPr>
      <w:r w:rsidRPr="00EA12AB">
        <w:t>380.</w:t>
      </w:r>
      <w:r w:rsidRPr="00EA12AB">
        <w:tab/>
        <w:t xml:space="preserve">Одной из целей стратегического плана Министерства культуры является сотрудничество с театрами, кинотеатрами и культурными центрами в целях проведения модификаций в зданиях. После установления контактов некоторые учреждения отреагировали положительно и произвели модификации, в то время как </w:t>
      </w:r>
      <w:r w:rsidRPr="00EA12AB">
        <w:lastRenderedPageBreak/>
        <w:t>другие обещали это сделать. Главной проблемой являются скромные размеры финансовой поддержки, оказываемой Министерством в силу ограниченности его бюджета.</w:t>
      </w:r>
    </w:p>
    <w:p w14:paraId="10287313" w14:textId="77777777" w:rsidR="00C030AE" w:rsidRDefault="00EA12AB" w:rsidP="00EA12AB">
      <w:pPr>
        <w:pStyle w:val="SingleTxtG"/>
      </w:pPr>
      <w:r w:rsidRPr="00EA12AB">
        <w:t>381.</w:t>
      </w:r>
      <w:r w:rsidRPr="00EA12AB">
        <w:tab/>
        <w:t xml:space="preserve">Что касается развития творческих ресурсов, то в 2015 году Министерство культуры провело ряд художественных выставок и семинаров по живописи и приняло участие в праздновании Международного дня инвалидов. Оно также организовало рекреационные мероприятия, последнее из которых прошло в благотворительном обществе для глухих </w:t>
      </w:r>
      <w:r w:rsidR="008E2BCB">
        <w:t>«</w:t>
      </w:r>
      <w:proofErr w:type="spellStart"/>
      <w:r w:rsidRPr="00EA12AB">
        <w:t>Какун</w:t>
      </w:r>
      <w:proofErr w:type="spellEnd"/>
      <w:r w:rsidR="008E2BCB">
        <w:t>»</w:t>
      </w:r>
      <w:r w:rsidRPr="00EA12AB">
        <w:t xml:space="preserve">, а также в школах </w:t>
      </w:r>
      <w:r w:rsidR="008E2BCB">
        <w:t>«</w:t>
      </w:r>
      <w:proofErr w:type="spellStart"/>
      <w:r w:rsidRPr="00EA12AB">
        <w:t>Зухайр</w:t>
      </w:r>
      <w:proofErr w:type="spellEnd"/>
      <w:r w:rsidRPr="00EA12AB">
        <w:t xml:space="preserve"> аль-</w:t>
      </w:r>
      <w:proofErr w:type="spellStart"/>
      <w:r w:rsidRPr="00EA12AB">
        <w:t>Мохсен</w:t>
      </w:r>
      <w:proofErr w:type="spellEnd"/>
      <w:r w:rsidR="008E2BCB">
        <w:t>»</w:t>
      </w:r>
      <w:r w:rsidRPr="00EA12AB">
        <w:t xml:space="preserve"> и </w:t>
      </w:r>
      <w:r w:rsidR="008E2BCB">
        <w:t>«</w:t>
      </w:r>
      <w:r w:rsidRPr="00EA12AB">
        <w:t>Махмуд аль</w:t>
      </w:r>
      <w:r w:rsidR="007201CA">
        <w:noBreakHyphen/>
      </w:r>
      <w:proofErr w:type="spellStart"/>
      <w:r w:rsidRPr="00EA12AB">
        <w:t>Хамшари</w:t>
      </w:r>
      <w:proofErr w:type="spellEnd"/>
      <w:r w:rsidR="008E2BCB">
        <w:t>»</w:t>
      </w:r>
      <w:r w:rsidRPr="00EA12AB">
        <w:t>. Эти мероприятия были вновь проведены в 2017 году.</w:t>
      </w:r>
    </w:p>
    <w:p w14:paraId="7AD34703" w14:textId="77777777" w:rsidR="00C030AE" w:rsidRDefault="00EA12AB" w:rsidP="00EA12AB">
      <w:pPr>
        <w:pStyle w:val="SingleTxtG"/>
      </w:pPr>
      <w:r w:rsidRPr="00EA12AB">
        <w:t>382.</w:t>
      </w:r>
      <w:r w:rsidRPr="00EA12AB">
        <w:tab/>
        <w:t>Инвалиды принимали участие в Палестинской международной книжной ярмарке в 2014, 2016 и 2018 годах, проводившейся в помещениях, вход в которые был бесплатным для организаций инвалидов</w:t>
      </w:r>
      <w:r w:rsidR="004167F1">
        <w:rPr>
          <w:rStyle w:val="ab"/>
        </w:rPr>
        <w:endnoteReference w:id="64"/>
      </w:r>
      <w:r w:rsidRPr="00EA12AB">
        <w:t>. В целях поощрения культурных прав инвалидов Министерство культуры снабжает библиотеки для слепых собственными публикациями и материалами, закупленными на девятой и десятой Палестинских международных книжных ярмарках. Девять обществ и школ для инвалидов на Западном берегу р</w:t>
      </w:r>
      <w:r w:rsidR="00327959">
        <w:t>а</w:t>
      </w:r>
      <w:r w:rsidRPr="00EA12AB">
        <w:t>сполагают библиотеками, подходящими для использования лицами с нарушениями зрения; в Газе также имеется ряд библиотек для инвалидов</w:t>
      </w:r>
      <w:r w:rsidR="004167F1">
        <w:rPr>
          <w:rStyle w:val="ab"/>
        </w:rPr>
        <w:endnoteReference w:id="65"/>
      </w:r>
      <w:r w:rsidRPr="00EA12AB">
        <w:t>.</w:t>
      </w:r>
    </w:p>
    <w:p w14:paraId="16583740" w14:textId="77777777" w:rsidR="00C030AE" w:rsidRDefault="00EA12AB" w:rsidP="00EA12AB">
      <w:pPr>
        <w:pStyle w:val="SingleTxtG"/>
      </w:pPr>
      <w:r w:rsidRPr="00EA12AB">
        <w:t>383.</w:t>
      </w:r>
      <w:r w:rsidRPr="00EA12AB">
        <w:tab/>
        <w:t>Стремясь обеспечить рекреационные и культурные права инвалидов, Министерство культуры предлагает льготные билеты в кино и скидку в 50% на входные билеты для инвалидов в культурные и рекреационные центры и на археологические объекты.</w:t>
      </w:r>
    </w:p>
    <w:p w14:paraId="514C6126" w14:textId="77777777" w:rsidR="00C030AE" w:rsidRDefault="00EA12AB" w:rsidP="00EA12AB">
      <w:pPr>
        <w:pStyle w:val="SingleTxtG"/>
      </w:pPr>
      <w:r w:rsidRPr="00EA12AB">
        <w:t>384.</w:t>
      </w:r>
      <w:r w:rsidRPr="00EA12AB">
        <w:tab/>
        <w:t xml:space="preserve">Все спортивные организации предлагают инвалидам 100-процентную скидку. Кроме того, почитаются выдающиеся деятели культуры из числа инвалидов, в том числе </w:t>
      </w:r>
      <w:proofErr w:type="spellStart"/>
      <w:r w:rsidRPr="00EA12AB">
        <w:t>Фатхи</w:t>
      </w:r>
      <w:proofErr w:type="spellEnd"/>
      <w:r w:rsidRPr="00EA12AB">
        <w:t xml:space="preserve"> аль-</w:t>
      </w:r>
      <w:proofErr w:type="spellStart"/>
      <w:r w:rsidRPr="00EA12AB">
        <w:t>Анзави</w:t>
      </w:r>
      <w:proofErr w:type="spellEnd"/>
      <w:r w:rsidRPr="00EA12AB">
        <w:t xml:space="preserve">, один из ведущих деятелей культуры мухафазы </w:t>
      </w:r>
      <w:proofErr w:type="spellStart"/>
      <w:r w:rsidRPr="00EA12AB">
        <w:t>Дженин</w:t>
      </w:r>
      <w:proofErr w:type="spellEnd"/>
      <w:r w:rsidRPr="00EA12AB">
        <w:t xml:space="preserve">. Ассоциация </w:t>
      </w:r>
      <w:r w:rsidR="008E2BCB">
        <w:t>«</w:t>
      </w:r>
      <w:proofErr w:type="spellStart"/>
      <w:r w:rsidRPr="00EA12AB">
        <w:t>Раван</w:t>
      </w:r>
      <w:proofErr w:type="spellEnd"/>
      <w:r w:rsidR="008E2BCB">
        <w:t>»</w:t>
      </w:r>
      <w:r w:rsidRPr="00EA12AB">
        <w:t xml:space="preserve"> получила финансирование для организации летнего лагеря для детей, испытывающих трудности в процессе обучения. Министерство субсидировало музыканта и театрального режиссера Ибрагима </w:t>
      </w:r>
      <w:proofErr w:type="spellStart"/>
      <w:r w:rsidRPr="00EA12AB">
        <w:t>Сархана</w:t>
      </w:r>
      <w:proofErr w:type="spellEnd"/>
      <w:r w:rsidRPr="00EA12AB">
        <w:t xml:space="preserve"> из Газы и </w:t>
      </w:r>
      <w:proofErr w:type="spellStart"/>
      <w:r w:rsidRPr="00EA12AB">
        <w:t>худлжника</w:t>
      </w:r>
      <w:proofErr w:type="spellEnd"/>
      <w:r w:rsidRPr="00EA12AB">
        <w:t xml:space="preserve"> Махмуда </w:t>
      </w:r>
      <w:proofErr w:type="spellStart"/>
      <w:r w:rsidRPr="00EA12AB">
        <w:t>Дагаша</w:t>
      </w:r>
      <w:proofErr w:type="spellEnd"/>
      <w:r w:rsidRPr="00EA12AB">
        <w:t xml:space="preserve"> из </w:t>
      </w:r>
      <w:proofErr w:type="spellStart"/>
      <w:r w:rsidRPr="00EA12AB">
        <w:t>Тулькарма</w:t>
      </w:r>
      <w:proofErr w:type="spellEnd"/>
      <w:r w:rsidRPr="00EA12AB">
        <w:t>, оба из которых являются инвалидами.</w:t>
      </w:r>
      <w:r w:rsidR="00C030AE">
        <w:t xml:space="preserve"> </w:t>
      </w:r>
    </w:p>
    <w:p w14:paraId="7A37D2E8" w14:textId="77777777" w:rsidR="00C030AE" w:rsidRDefault="00EA12AB" w:rsidP="00EA12AB">
      <w:pPr>
        <w:pStyle w:val="SingleTxtG"/>
      </w:pPr>
      <w:r w:rsidRPr="00EA12AB">
        <w:t>385.</w:t>
      </w:r>
      <w:r w:rsidRPr="00EA12AB">
        <w:tab/>
        <w:t xml:space="preserve">Палестинская вещательная корпорация транслирует телевизионные программы, посвященные проблемам инвалидности, с целью привлечь внимание к этим проблемам и показать, что инвалиды являются нормальными членами общества. Была выпущена серия документальных фильмов об инвалидах и показаны работы художников с ограниченными возможностями. Сформирована труппа исполнителей народного танца </w:t>
      </w:r>
      <w:r w:rsidR="008E2BCB">
        <w:t>«</w:t>
      </w:r>
      <w:proofErr w:type="spellStart"/>
      <w:r w:rsidRPr="000A3940">
        <w:t>дабка</w:t>
      </w:r>
      <w:proofErr w:type="spellEnd"/>
      <w:r w:rsidR="008E2BCB">
        <w:t>»</w:t>
      </w:r>
      <w:r w:rsidRPr="00EA12AB">
        <w:t xml:space="preserve">, состоящая из танцоров с нарушениями слуха и речи. Кроме того, на языке жестов был исполнен палестинский национальный гимн </w:t>
      </w:r>
      <w:r w:rsidR="000A3940">
        <w:br/>
      </w:r>
      <w:r w:rsidRPr="00EA12AB">
        <w:t>(</w:t>
      </w:r>
      <w:r w:rsidR="008E2BCB">
        <w:t>«</w:t>
      </w:r>
      <w:r w:rsidRPr="00EA12AB">
        <w:t>Моя родина</w:t>
      </w:r>
      <w:r w:rsidR="008E2BCB">
        <w:t>»</w:t>
      </w:r>
      <w:r w:rsidRPr="00EA12AB">
        <w:t>). Корпорация транслирует новости в прямом эфире на языке жестов.</w:t>
      </w:r>
    </w:p>
    <w:p w14:paraId="4AA301E5" w14:textId="77777777" w:rsidR="00C030AE" w:rsidRDefault="00EA12AB" w:rsidP="00EA12AB">
      <w:pPr>
        <w:pStyle w:val="SingleTxtG"/>
      </w:pPr>
      <w:r w:rsidRPr="00EA12AB">
        <w:t>386.</w:t>
      </w:r>
      <w:r w:rsidRPr="00EA12AB">
        <w:tab/>
        <w:t xml:space="preserve">В 2011 году радиостанция </w:t>
      </w:r>
      <w:r w:rsidR="008E2BCB">
        <w:t>«</w:t>
      </w:r>
      <w:r w:rsidRPr="00EA12AB">
        <w:t>Голос Палестины</w:t>
      </w:r>
      <w:r w:rsidR="008E2BCB">
        <w:t>»</w:t>
      </w:r>
      <w:r w:rsidRPr="00EA12AB">
        <w:t xml:space="preserve"> начала первый сезон передач </w:t>
      </w:r>
      <w:r w:rsidR="008E2BCB">
        <w:t>«</w:t>
      </w:r>
      <w:r w:rsidRPr="00EA12AB">
        <w:t>Луч надежды</w:t>
      </w:r>
      <w:r w:rsidR="008E2BCB">
        <w:t>»</w:t>
      </w:r>
      <w:r w:rsidRPr="00EA12AB">
        <w:t xml:space="preserve">, которые готовит и ведет человек с нарушением зрения. В программе обсуждаются вопросы инвалидности в прямом эфире и транслируются объявления о найме на работу и предоставлении университетских стипендий инвалидам. На эти объявления иногда отвечают. Палестинская вещательная корпорация поднимает вопросы, связанные с инвалидностью, и в других программах, что позволяет инвалидам быть услышанными и рассказывать о своих проблемах. Корпорация подписала соглашение с </w:t>
      </w:r>
      <w:bookmarkStart w:id="29" w:name="_Hlk38881065"/>
      <w:r w:rsidRPr="00EA12AB">
        <w:t xml:space="preserve">Палестинским союзом глухих </w:t>
      </w:r>
      <w:bookmarkEnd w:id="29"/>
      <w:r w:rsidRPr="00EA12AB">
        <w:t>о переводе ежедневных телевизионных новостных бюллетеней на язык жестов для слабослышащих</w:t>
      </w:r>
      <w:r w:rsidR="007201CA">
        <w:rPr>
          <w:rStyle w:val="ab"/>
        </w:rPr>
        <w:endnoteReference w:id="66"/>
      </w:r>
      <w:r w:rsidRPr="00EA12AB">
        <w:t>.</w:t>
      </w:r>
    </w:p>
    <w:p w14:paraId="6A8C9285" w14:textId="77777777" w:rsidR="00C030AE" w:rsidRDefault="00EA12AB" w:rsidP="00EA12AB">
      <w:pPr>
        <w:pStyle w:val="SingleTxtG"/>
      </w:pPr>
      <w:r w:rsidRPr="00EA12AB">
        <w:t>387.</w:t>
      </w:r>
      <w:r w:rsidRPr="00EA12AB">
        <w:tab/>
        <w:t xml:space="preserve">Высший совет по делам молодежи и спорта помог спортивным клубам внести существенные изменения в строительный кодекс, утвержденный Ассоциацией инженеров. В число этих клубов входят Институт </w:t>
      </w:r>
      <w:r w:rsidR="008E2BCB">
        <w:t>«</w:t>
      </w:r>
      <w:r w:rsidRPr="00EA12AB">
        <w:t>Шабаб аль-</w:t>
      </w:r>
      <w:proofErr w:type="spellStart"/>
      <w:r w:rsidRPr="00EA12AB">
        <w:t>Бирех</w:t>
      </w:r>
      <w:proofErr w:type="spellEnd"/>
      <w:r w:rsidR="008E2BCB">
        <w:t>»</w:t>
      </w:r>
      <w:r w:rsidRPr="00EA12AB">
        <w:t xml:space="preserve">, клуб </w:t>
      </w:r>
      <w:r w:rsidR="008E2BCB">
        <w:t>«</w:t>
      </w:r>
      <w:proofErr w:type="spellStart"/>
      <w:r w:rsidRPr="00EA12AB">
        <w:t>Джабаль</w:t>
      </w:r>
      <w:proofErr w:type="spellEnd"/>
      <w:r w:rsidRPr="00EA12AB">
        <w:t xml:space="preserve"> ан-Нар</w:t>
      </w:r>
      <w:r w:rsidR="008E2BCB">
        <w:t>»</w:t>
      </w:r>
      <w:r w:rsidRPr="00EA12AB">
        <w:t xml:space="preserve">, спортивный клуб </w:t>
      </w:r>
      <w:r w:rsidR="008E2BCB">
        <w:t>«</w:t>
      </w:r>
      <w:r w:rsidRPr="00EA12AB">
        <w:t>Бейта</w:t>
      </w:r>
      <w:r w:rsidR="008E2BCB">
        <w:t>»</w:t>
      </w:r>
      <w:r w:rsidRPr="00EA12AB">
        <w:t xml:space="preserve">, клуб </w:t>
      </w:r>
      <w:r w:rsidR="008E2BCB">
        <w:t>«</w:t>
      </w:r>
      <w:r w:rsidRPr="00EA12AB">
        <w:t xml:space="preserve">Бейт </w:t>
      </w:r>
      <w:proofErr w:type="spellStart"/>
      <w:r w:rsidRPr="00EA12AB">
        <w:t>ат-Тифль</w:t>
      </w:r>
      <w:proofErr w:type="spellEnd"/>
      <w:r w:rsidR="008E2BCB">
        <w:t>»</w:t>
      </w:r>
      <w:r w:rsidRPr="00EA12AB">
        <w:t xml:space="preserve">, культурный клуб </w:t>
      </w:r>
      <w:r w:rsidR="000A3940">
        <w:br/>
      </w:r>
      <w:r w:rsidR="008E2BCB">
        <w:t>«</w:t>
      </w:r>
      <w:r w:rsidRPr="00EA12AB">
        <w:t>Аль-</w:t>
      </w:r>
      <w:proofErr w:type="spellStart"/>
      <w:r w:rsidRPr="00EA12AB">
        <w:t>Бирех</w:t>
      </w:r>
      <w:proofErr w:type="spellEnd"/>
      <w:r w:rsidR="008E2BCB">
        <w:t>»</w:t>
      </w:r>
      <w:r w:rsidRPr="00EA12AB">
        <w:t xml:space="preserve"> и </w:t>
      </w:r>
      <w:r w:rsidR="008E2BCB">
        <w:t>«</w:t>
      </w:r>
      <w:proofErr w:type="spellStart"/>
      <w:r w:rsidRPr="00EA12AB">
        <w:t>Сарейет</w:t>
      </w:r>
      <w:proofErr w:type="spellEnd"/>
      <w:r w:rsidRPr="00EA12AB">
        <w:t xml:space="preserve"> Рамалла</w:t>
      </w:r>
      <w:r w:rsidR="008E2BCB">
        <w:t>»</w:t>
      </w:r>
      <w:r w:rsidRPr="00EA12AB">
        <w:t>.</w:t>
      </w:r>
    </w:p>
    <w:p w14:paraId="2DDDDA79" w14:textId="77777777" w:rsidR="00C030AE" w:rsidRDefault="00EA12AB" w:rsidP="00EA12AB">
      <w:pPr>
        <w:pStyle w:val="SingleTxtG"/>
      </w:pPr>
      <w:r w:rsidRPr="00EA12AB">
        <w:t>388.</w:t>
      </w:r>
      <w:r w:rsidRPr="00EA12AB">
        <w:tab/>
        <w:t xml:space="preserve">Кроме того, была оказана поддержка инвалидам, с тем чтобы они имели возможность в соответствии с правилами Международного паралимпийского комитета участвовать в международных мероприятиях, таких как Западно-азиатские игры и все чемпионаты Азии в рамках подготовки к летним Паралимпийским играм 2016 года в Рио-де-Жанейро, Бразилия, зимним Паралимпийским играм 2014 года в </w:t>
      </w:r>
      <w:r w:rsidRPr="00EA12AB">
        <w:lastRenderedPageBreak/>
        <w:t>Южной Корее, Специальным летним играм мира в Соединенных Штатах Америки и Специальным региональным играм в Египте.</w:t>
      </w:r>
    </w:p>
    <w:p w14:paraId="33132BD9" w14:textId="77777777" w:rsidR="00C030AE" w:rsidRDefault="00EA12AB" w:rsidP="00EA12AB">
      <w:pPr>
        <w:pStyle w:val="SingleTxtG"/>
        <w:rPr>
          <w:bCs/>
          <w:iCs/>
        </w:rPr>
      </w:pPr>
      <w:r w:rsidRPr="00EA12AB">
        <w:t>389.</w:t>
      </w:r>
      <w:r w:rsidRPr="00EA12AB">
        <w:tab/>
        <w:t>Инвалиды участвуют во всех мероприятиях, программах и проектах, организуемых Высшим советом по делам молодежи и спорта, который обеспечивает все необходимые для этого объекты и условия.</w:t>
      </w:r>
    </w:p>
    <w:p w14:paraId="01860026" w14:textId="389B55E5" w:rsidR="00C030AE" w:rsidRDefault="00EA12AB" w:rsidP="00EA12AB">
      <w:pPr>
        <w:pStyle w:val="SingleTxtG"/>
      </w:pPr>
      <w:r w:rsidRPr="00EA12AB">
        <w:t>390</w:t>
      </w:r>
      <w:r w:rsidR="00E47E3B" w:rsidRPr="00E47E3B">
        <w:t>.</w:t>
      </w:r>
      <w:r w:rsidRPr="00EA12AB">
        <w:tab/>
        <w:t>Спорт для инвалидов регламентируется компетентными органами, которые оказывают соответствующую поддержку, в том числе помогают инвалидам участвовать в национальных и международных мероприятиях. Они работают в координации с Международным паралимпийским комитетом, руководящим органом по инвалидному спорту, в состав которого входят все спортивные клубы и ассоциации лиц с физическими и сенсорными нарушениями.</w:t>
      </w:r>
    </w:p>
    <w:p w14:paraId="0CC05CE4" w14:textId="77777777" w:rsidR="00C030AE" w:rsidRDefault="00EA12AB" w:rsidP="00EA12AB">
      <w:pPr>
        <w:pStyle w:val="SingleTxtG"/>
      </w:pPr>
      <w:r w:rsidRPr="00EA12AB">
        <w:t>391.</w:t>
      </w:r>
      <w:r w:rsidRPr="00EA12AB">
        <w:tab/>
        <w:t>Лица с психическими отклонениями участвуют в палестинской специальной олимпиаде; более 2 000 спортсменов и спортсменок зарегистрированы для участия в Специальных Олимпийских играх и вспомогательных программах.</w:t>
      </w:r>
    </w:p>
    <w:p w14:paraId="4AB85B50" w14:textId="77777777" w:rsidR="00C030AE" w:rsidRDefault="00EA12AB" w:rsidP="00EA12AB">
      <w:pPr>
        <w:pStyle w:val="SingleTxtG"/>
      </w:pPr>
      <w:r w:rsidRPr="00EA12AB">
        <w:t>392.</w:t>
      </w:r>
      <w:r w:rsidRPr="00EA12AB">
        <w:tab/>
        <w:t>Спортивные клубы для инвалидов получают лицензии. В настоящее время 12</w:t>
      </w:r>
      <w:r w:rsidR="000A3940">
        <w:t> </w:t>
      </w:r>
      <w:r w:rsidRPr="00EA12AB">
        <w:t xml:space="preserve">зарегистрированных клубов для инвалидов действуют на Западном берегу </w:t>
      </w:r>
      <w:r w:rsidR="005F3F52">
        <w:br/>
      </w:r>
      <w:r w:rsidRPr="00EA12AB">
        <w:t>и 10 – в Газе. При оценке работы молодежных клубов и центров одним из важнейших элементов является то, в какой степени они отвечают потребностям и запросам инвалидов, с уделением особого внимания четырем ключевым темам – программам, развитию, людским ресурсам и руководству.</w:t>
      </w:r>
    </w:p>
    <w:p w14:paraId="1D93F228" w14:textId="77777777" w:rsidR="00C030AE" w:rsidRDefault="00EA12AB" w:rsidP="00EA12AB">
      <w:pPr>
        <w:pStyle w:val="SingleTxtG"/>
        <w:rPr>
          <w:bCs/>
          <w:iCs/>
        </w:rPr>
      </w:pPr>
      <w:r w:rsidRPr="00EA12AB">
        <w:t>393.</w:t>
      </w:r>
      <w:r w:rsidRPr="00EA12AB">
        <w:tab/>
        <w:t xml:space="preserve">Высший совет по делам молодежи и спорта подчеркивает необходимость направления инвалидов в летние лагеря для молодежи. За последние годы было организовано более </w:t>
      </w:r>
      <w:proofErr w:type="gramStart"/>
      <w:r w:rsidRPr="00EA12AB">
        <w:t>десяти летних</w:t>
      </w:r>
      <w:proofErr w:type="gramEnd"/>
      <w:r w:rsidRPr="00EA12AB">
        <w:t xml:space="preserve"> лагерей специально для инвалидов, в которых приняли участие более 1 000 человек. В других лагерях число инвалидов, как правило, было ограниченным и включало главным образом тех, кто страдал от нарушений опорно-двигательного аппарата или частичного нарушения слуха.</w:t>
      </w:r>
      <w:r w:rsidR="00C030AE">
        <w:t xml:space="preserve"> </w:t>
      </w:r>
    </w:p>
    <w:p w14:paraId="4FBD9B7B" w14:textId="77777777" w:rsidR="00C030AE" w:rsidRDefault="00EA12AB" w:rsidP="00EA12AB">
      <w:pPr>
        <w:pStyle w:val="SingleTxtG"/>
        <w:rPr>
          <w:bCs/>
          <w:iCs/>
        </w:rPr>
      </w:pPr>
      <w:r w:rsidRPr="00EA12AB">
        <w:t>394.</w:t>
      </w:r>
      <w:r w:rsidRPr="00EA12AB">
        <w:tab/>
        <w:t xml:space="preserve">Инвалиды участвовали во многих региональных и международных чемпионатах. Например, клуб инвалидов </w:t>
      </w:r>
      <w:r w:rsidR="008E2BCB">
        <w:t>«</w:t>
      </w:r>
      <w:r w:rsidRPr="00EA12AB">
        <w:t>Аль-</w:t>
      </w:r>
      <w:proofErr w:type="spellStart"/>
      <w:r w:rsidRPr="00EA12AB">
        <w:t>Мустакбаль</w:t>
      </w:r>
      <w:proofErr w:type="spellEnd"/>
      <w:r w:rsidR="008E2BCB">
        <w:t>»</w:t>
      </w:r>
      <w:r w:rsidRPr="00EA12AB">
        <w:t xml:space="preserve"> принял участие в чемпионате Западной Азии по волейболу сидя и чемпионате Западной Азии по баскетболу на инвалидных колясках. Палестина приняла участие в Специальной летней олимпиаде в Лос-Анджелесе и Специальной зимней олимпиаде в Австрии в 2017 году. Палестинская команда приняла участие в специальных региональных играх, проведенных в Абу-Даби в 2018 году, и в чемпионате по легкой атлетике в Турции.</w:t>
      </w:r>
    </w:p>
    <w:p w14:paraId="3802AB4E" w14:textId="77777777" w:rsidR="00C030AE" w:rsidRDefault="00EA12AB" w:rsidP="00EA12AB">
      <w:pPr>
        <w:pStyle w:val="SingleTxtG"/>
        <w:rPr>
          <w:bCs/>
          <w:iCs/>
        </w:rPr>
      </w:pPr>
      <w:r w:rsidRPr="00EA12AB">
        <w:t>395.</w:t>
      </w:r>
      <w:r w:rsidR="006B4CDF">
        <w:tab/>
      </w:r>
      <w:r w:rsidRPr="00EA12AB">
        <w:t>Палестинская специальная олимпийская команда завоевала многочисленные медали, в том числе в Лос-Анджелесе (шесть золотых, четыре серебряных и шесть</w:t>
      </w:r>
      <w:r w:rsidR="005F3F52">
        <w:rPr>
          <w:lang w:val="en-US"/>
        </w:rPr>
        <w:t> </w:t>
      </w:r>
      <w:r w:rsidRPr="00EA12AB">
        <w:t>бронзовых) и Абу-Даби (девять золотых, шесть серебряных и восемь</w:t>
      </w:r>
      <w:r w:rsidR="005F3F52">
        <w:rPr>
          <w:lang w:val="en-US"/>
        </w:rPr>
        <w:t> </w:t>
      </w:r>
      <w:r w:rsidRPr="00EA12AB">
        <w:t xml:space="preserve">бронзовых). Кроме того, клуб </w:t>
      </w:r>
      <w:r w:rsidR="008E2BCB">
        <w:t>«</w:t>
      </w:r>
      <w:r w:rsidRPr="00EA12AB">
        <w:t>Аль-</w:t>
      </w:r>
      <w:proofErr w:type="spellStart"/>
      <w:r w:rsidRPr="00EA12AB">
        <w:t>Мустакбаль</w:t>
      </w:r>
      <w:proofErr w:type="spellEnd"/>
      <w:r w:rsidR="008E2BCB">
        <w:t>»</w:t>
      </w:r>
      <w:r w:rsidRPr="00EA12AB">
        <w:t xml:space="preserve"> взял серебро и кубок за второе место в соревнованиях по волейболу сидя, а также бронзовую медаль в соревнованиях по баскетболу на колясках.</w:t>
      </w:r>
    </w:p>
    <w:p w14:paraId="59729F35" w14:textId="77777777" w:rsidR="00C030AE" w:rsidRDefault="00EA12AB" w:rsidP="00EA12AB">
      <w:pPr>
        <w:pStyle w:val="SingleTxtG"/>
        <w:rPr>
          <w:bCs/>
          <w:iCs/>
        </w:rPr>
      </w:pPr>
      <w:r w:rsidRPr="00EA12AB">
        <w:t>396.</w:t>
      </w:r>
      <w:r w:rsidRPr="00EA12AB">
        <w:tab/>
        <w:t>Проблемы, стоящие перед Высшим советом по делам молодежи и спорта в отношении прав инвалидов, связаны с проявлениями насилия в условиях израильской оккупации, особенно с неоднократными нападениями на спортивные объекты и молодежные клубы. Существует также проблема высокой стоимости спортивного снаряжения для инвалидов; острой нехватки модифицированного общественного транспорта для инвалидов; отсутствия подготовленных кадров, способных руководить инвалидным спортом и молодежными мероприятиями; скудных финансовых ресурсов спортивных организаций инвалидов; отсутствия модифицированных общественных зданий и помещений; и неосведомленности о правах инвалидов в сфере молодежи и спорта. Все это препятствует осуществлению инвалидами своих прав.</w:t>
      </w:r>
    </w:p>
    <w:p w14:paraId="1D52A639" w14:textId="77777777" w:rsidR="00C030AE" w:rsidRDefault="00EA12AB" w:rsidP="00EA12AB">
      <w:pPr>
        <w:pStyle w:val="SingleTxtG"/>
        <w:rPr>
          <w:bCs/>
          <w:iCs/>
        </w:rPr>
      </w:pPr>
      <w:r w:rsidRPr="00EA12AB">
        <w:t>397.</w:t>
      </w:r>
      <w:r w:rsidRPr="00EA12AB">
        <w:tab/>
        <w:t xml:space="preserve">Перспективные планы Высшего совета по делам молодежи и спорта предусматривают более широкое вовлечение инвалидов в спортивную деятельность с должным учетом их прав. В общей политике, разработанной Советом, признаются права инвалидов, и это находит отражение в программах и мероприятиях, которые он осуществляет. В ходе разработки стратегического плана Совета (2017–2022 годы) был </w:t>
      </w:r>
      <w:r w:rsidRPr="00EA12AB">
        <w:lastRenderedPageBreak/>
        <w:t>проведен ряд семинаров для инвалидов, с тем чтобы обеспечить отражение в этом плане их потребностей и проблем, с которыми они сталкиваются.</w:t>
      </w:r>
    </w:p>
    <w:p w14:paraId="06BF96C0" w14:textId="77777777" w:rsidR="00C030AE" w:rsidRDefault="00EA12AB" w:rsidP="00EA12AB">
      <w:pPr>
        <w:pStyle w:val="SingleTxtG"/>
        <w:rPr>
          <w:bCs/>
          <w:iCs/>
        </w:rPr>
      </w:pPr>
      <w:r w:rsidRPr="00EA12AB">
        <w:t>398.</w:t>
      </w:r>
      <w:r w:rsidRPr="00EA12AB">
        <w:tab/>
        <w:t>НПО, включая Общество Красного Полумесяца, предоставляют инвалидам возможность участвовать в рекреационной, спортивной и культурной жизни на Западном берегу и в Газе.</w:t>
      </w:r>
    </w:p>
    <w:p w14:paraId="7F070682" w14:textId="77777777" w:rsidR="00C030AE" w:rsidRDefault="006B4CDF" w:rsidP="006B4CDF">
      <w:pPr>
        <w:pStyle w:val="H1G"/>
      </w:pPr>
      <w:r w:rsidRPr="008E2BCB">
        <w:tab/>
      </w:r>
      <w:r w:rsidR="00EA12AB" w:rsidRPr="00EA12AB">
        <w:rPr>
          <w:lang w:val="en-GB"/>
        </w:rPr>
        <w:t>D</w:t>
      </w:r>
      <w:r w:rsidR="00EA12AB" w:rsidRPr="00EA12AB">
        <w:t>.</w:t>
      </w:r>
      <w:r w:rsidR="00EA12AB" w:rsidRPr="00EA12AB">
        <w:tab/>
        <w:t>Положение женщин и детей из числа инвалидов</w:t>
      </w:r>
    </w:p>
    <w:p w14:paraId="4B91A35C" w14:textId="77777777" w:rsidR="00C030AE" w:rsidRDefault="006B4CDF" w:rsidP="00C17D30">
      <w:pPr>
        <w:pStyle w:val="H1G"/>
      </w:pPr>
      <w:r>
        <w:tab/>
      </w:r>
      <w:r>
        <w:tab/>
      </w:r>
      <w:r w:rsidR="00EA12AB" w:rsidRPr="00EA12AB">
        <w:t>Статья 6</w:t>
      </w:r>
      <w:r>
        <w:br/>
      </w:r>
      <w:r w:rsidR="00EA12AB" w:rsidRPr="00EA12AB">
        <w:t>Женщины-инвалиды</w:t>
      </w:r>
    </w:p>
    <w:p w14:paraId="2D34DD42" w14:textId="77777777" w:rsidR="00C030AE" w:rsidRDefault="00EA12AB" w:rsidP="00EA12AB">
      <w:pPr>
        <w:pStyle w:val="SingleTxtG"/>
      </w:pPr>
      <w:r w:rsidRPr="00EA12AB">
        <w:t>399.</w:t>
      </w:r>
      <w:r w:rsidRPr="00EA12AB">
        <w:tab/>
        <w:t xml:space="preserve">Палестина присоединилась к Конвенции Организации Объединенных Наций о ликвидации всех форм дискриминации в отношении женщин (1979 год), а ее первый официальный доклад обсуждался Комитетом по ликвидации дискриминации в отношении женщин в июле 2018 года. Основной закон подтверждает равенство всех граждан и объявляет вне закона дискриминацию по признаку пола, инвалидности </w:t>
      </w:r>
      <w:r w:rsidR="00F15A81">
        <w:br/>
      </w:r>
      <w:r w:rsidRPr="00EA12AB">
        <w:t>и т. д.</w:t>
      </w:r>
    </w:p>
    <w:p w14:paraId="601908D6" w14:textId="77777777" w:rsidR="00C030AE" w:rsidRDefault="00EA12AB" w:rsidP="00EA12AB">
      <w:pPr>
        <w:pStyle w:val="SingleTxtG"/>
      </w:pPr>
      <w:r w:rsidRPr="00EA12AB">
        <w:t>400.</w:t>
      </w:r>
      <w:r w:rsidRPr="00EA12AB">
        <w:tab/>
        <w:t>Министерство по делам женщин Палестины стремится институционализировать и актуализировать концепцию гендерной проблематики. Учитывая, что деятельность Министерства носит скорее политический, нежели служебный характер, а его планирование распространяется на все секторы, не существует четких и конкретных мер, ориентированных на женщин-инвалидов, за которые непосредственно отвечает Министерство по делам женщин. За</w:t>
      </w:r>
      <w:r w:rsidR="00F15A81">
        <w:rPr>
          <w:lang w:val="en-US"/>
        </w:rPr>
        <w:t> </w:t>
      </w:r>
      <w:r w:rsidRPr="00EA12AB">
        <w:t>осуществление ряда таких мероприятий отвечают другие министерства, такие как Министерство социального развития.</w:t>
      </w:r>
    </w:p>
    <w:p w14:paraId="3B74EE1B" w14:textId="77777777" w:rsidR="00C030AE" w:rsidRDefault="00EA12AB" w:rsidP="00EA12AB">
      <w:pPr>
        <w:pStyle w:val="SingleTxtG"/>
      </w:pPr>
      <w:r w:rsidRPr="00EA12AB">
        <w:t>401.</w:t>
      </w:r>
      <w:r w:rsidRPr="00EA12AB">
        <w:tab/>
        <w:t xml:space="preserve">За последние два года Министерство по делам женщин подготовило обзорный документ о положении женщин-инвалидов в Палестине, и в сотрудничестве с сотрудниками Министерства были проведены два семинара-практикума в целях повышения осведомленности о проблемах женщин-инвалидов. Кроме того, был проведен семинар с участием координаторов из центров </w:t>
      </w:r>
      <w:r w:rsidR="008E2BCB">
        <w:t>«</w:t>
      </w:r>
      <w:proofErr w:type="spellStart"/>
      <w:r w:rsidRPr="00EA12AB">
        <w:t>Тавасол</w:t>
      </w:r>
      <w:proofErr w:type="spellEnd"/>
      <w:r w:rsidR="008E2BCB">
        <w:t>»</w:t>
      </w:r>
      <w:r w:rsidRPr="00EA12AB">
        <w:t xml:space="preserve"> в целях повышения просвещенности в таких вопросах. Это находит отражение в той роли, которую эти центры играют в мухафазах.</w:t>
      </w:r>
    </w:p>
    <w:p w14:paraId="0FDF5F06" w14:textId="77777777" w:rsidR="00C030AE" w:rsidRDefault="00EA12AB" w:rsidP="00EA12AB">
      <w:pPr>
        <w:pStyle w:val="SingleTxtG"/>
      </w:pPr>
      <w:r w:rsidRPr="00EA12AB">
        <w:t>402.</w:t>
      </w:r>
      <w:r w:rsidRPr="00EA12AB">
        <w:tab/>
        <w:t>Усилилась координация деятельности с организациями инвалидов на Западном берегу, особенно с теми, которые занимаются проблемами женщин-инвалидов. В</w:t>
      </w:r>
      <w:r w:rsidR="00573335">
        <w:rPr>
          <w:lang w:val="en-US"/>
        </w:rPr>
        <w:t> </w:t>
      </w:r>
      <w:r w:rsidRPr="00EA12AB">
        <w:t xml:space="preserve">качестве первого шага на пути к разработке стратегического плана, направленного на решение гендерных проблем и проблем инвалидов, был организован семинар с участием группы таких организаций. Кроме того, ряд организаций инвалидов приняли участие в рабочих совещаниях, посвященных подготовке национального </w:t>
      </w:r>
      <w:proofErr w:type="spellStart"/>
      <w:r w:rsidRPr="00EA12AB">
        <w:t>межсекторального</w:t>
      </w:r>
      <w:proofErr w:type="spellEnd"/>
      <w:r w:rsidRPr="00EA12AB">
        <w:t xml:space="preserve"> стратегического плана Министерства (2017–2022 годы).</w:t>
      </w:r>
    </w:p>
    <w:p w14:paraId="074D1B29" w14:textId="77777777" w:rsidR="00C030AE" w:rsidRDefault="00EA12AB" w:rsidP="00EA12AB">
      <w:pPr>
        <w:pStyle w:val="SingleTxtG"/>
      </w:pPr>
      <w:r w:rsidRPr="00EA12AB">
        <w:t>403.</w:t>
      </w:r>
      <w:r w:rsidRPr="00EA12AB">
        <w:tab/>
      </w:r>
      <w:proofErr w:type="spellStart"/>
      <w:r w:rsidRPr="00EA12AB">
        <w:t>Межсекторальный</w:t>
      </w:r>
      <w:proofErr w:type="spellEnd"/>
      <w:r w:rsidRPr="00EA12AB">
        <w:t xml:space="preserve"> стратегический план </w:t>
      </w:r>
      <w:bookmarkStart w:id="30" w:name="_Hlk40971189"/>
      <w:r w:rsidRPr="00EA12AB">
        <w:t>Министерств</w:t>
      </w:r>
      <w:bookmarkEnd w:id="30"/>
      <w:r w:rsidRPr="00EA12AB">
        <w:t xml:space="preserve">а по делам женщин </w:t>
      </w:r>
      <w:r w:rsidR="00F15A81">
        <w:br/>
      </w:r>
      <w:r w:rsidRPr="00EA12AB">
        <w:t>(2017–2022 годы) ориентирован на женщин-инвалидов и направлен на создание системы приютов, способных более чутко реагировать на прием девочек-инвалидов. Работая в координации с полицией, Министерство стремится включать вопросы женщин-инвалидов в программы подразделений по защите семьи на уровне мероприятий, навыков и услуг.</w:t>
      </w:r>
      <w:r w:rsidR="00C030AE">
        <w:t xml:space="preserve"> </w:t>
      </w:r>
      <w:r w:rsidRPr="00EA12AB">
        <w:t xml:space="preserve">Кроме того, план направлен на создание в органах юстиции процессуальных условий, отвечающей потребностям женщин и детей из числа инвалидов, пострадавших от насилия. Подготовлено руководство по стандартным процедурам принятия к производству дел женщин, подвергшихся избиениям. Разработана политика, учитывающая потребности женщин-инвалидов, которая должна быть принята во внимание при разработке мер по защите женщин от насилия. Совместно со своими партнерами Министерство занимается планированием мер по обеспечению того, чтобы женщины-инвалиды, подвергшиеся избиениям, имели доступ к соответствующим услугам, и чтобы имелись временные альтернативные места размещения, где они могут быть защищены. В настоящее время разрабатывается национальная система рассмотрения жалоб с целью удовлетворения </w:t>
      </w:r>
      <w:r w:rsidRPr="00EA12AB">
        <w:lastRenderedPageBreak/>
        <w:t xml:space="preserve">потребностей, в частности, женщин-инвалидов. Для работников, занимающихся вопросами реабилитации женщин в общинах, были проведены учебные семинары по методам выявления случаев насилия в отношении инвалидов. Кроме того, ведется работа по институционализации защиты женщин-инвалидов, в частности путем изменения форм, функциональных описаний и механизмов </w:t>
      </w:r>
      <w:bookmarkStart w:id="31" w:name="_Hlk40095126"/>
      <w:r w:rsidRPr="00EA12AB">
        <w:t>обращения за помощью</w:t>
      </w:r>
      <w:bookmarkEnd w:id="31"/>
      <w:r w:rsidRPr="00EA12AB">
        <w:t>, а</w:t>
      </w:r>
      <w:r w:rsidR="005F3F52">
        <w:rPr>
          <w:lang w:val="en-US"/>
        </w:rPr>
        <w:t> </w:t>
      </w:r>
      <w:r w:rsidRPr="00EA12AB">
        <w:t>также реформирования органов, отвечающих за оказание медицинских, социальных и юридических услуг.</w:t>
      </w:r>
    </w:p>
    <w:p w14:paraId="3417AD4A" w14:textId="77777777" w:rsidR="00C030AE" w:rsidRDefault="00EA12AB" w:rsidP="00EA12AB">
      <w:pPr>
        <w:pStyle w:val="SingleTxtG"/>
      </w:pPr>
      <w:r w:rsidRPr="00EA12AB">
        <w:t>404.</w:t>
      </w:r>
      <w:r w:rsidRPr="00EA12AB">
        <w:tab/>
        <w:t xml:space="preserve">Женщинам-инвалидам уделяется особое внимание в рамках кампаний, проводимых Министерством по делам женщин, таких как кампания </w:t>
      </w:r>
      <w:r w:rsidR="008E2BCB">
        <w:t>«</w:t>
      </w:r>
      <w:r w:rsidRPr="00EA12AB">
        <w:t>От дома к дому</w:t>
      </w:r>
      <w:r w:rsidR="008E2BCB">
        <w:t>»</w:t>
      </w:r>
      <w:r w:rsidRPr="00EA12AB">
        <w:t>. Кроме того, в системе оказания помощи женщинам, подвергшимся избиениям, особое внимание уделяется женщинам с инвалидностью. Помимо этого, в средствах массовой информации активно проводились семинары по вопросам защиты женщин-инвалидов.</w:t>
      </w:r>
      <w:r w:rsidR="00C030AE">
        <w:t xml:space="preserve">  </w:t>
      </w:r>
    </w:p>
    <w:p w14:paraId="0B5FCEF8" w14:textId="77777777" w:rsidR="00C030AE" w:rsidRDefault="00EA12AB" w:rsidP="00EA12AB">
      <w:pPr>
        <w:pStyle w:val="SingleTxtG"/>
      </w:pPr>
      <w:r w:rsidRPr="00EA12AB">
        <w:t>405.</w:t>
      </w:r>
      <w:r w:rsidRPr="00EA12AB">
        <w:tab/>
        <w:t xml:space="preserve">Национальная стратегия борьбы с насилием в отношении женщин </w:t>
      </w:r>
      <w:r w:rsidR="00F15A81">
        <w:br/>
      </w:r>
      <w:r w:rsidRPr="00EA12AB">
        <w:t>(2011</w:t>
      </w:r>
      <w:r w:rsidR="00F15A81" w:rsidRPr="00F15A81">
        <w:t>–</w:t>
      </w:r>
      <w:r w:rsidRPr="00EA12AB">
        <w:t xml:space="preserve">2019 годы) содержит специальные положения, касающиеся женщин-инвалидов, включая необходимость развития потенциала специалистов, работающих с женщинами-инвалидами, подвергшимися избиениям, и создания безопасных мест, где женщины, ставшие жертвами насилия, могут быть размещены в соответствии с правозащитными стандартами. Кроме того, стратегия направлена на повышение уровня информированности об инвалидности, в частности об умственной неполноценности, в целях понимания и пресечения насилия, направленного против женщин-инвалидов. С момента своего создания в 2007 году и до конца 2017 года центр </w:t>
      </w:r>
      <w:r w:rsidR="008E2BCB">
        <w:t>«</w:t>
      </w:r>
      <w:proofErr w:type="spellStart"/>
      <w:r w:rsidRPr="00EA12AB">
        <w:t>Мехвар</w:t>
      </w:r>
      <w:proofErr w:type="spellEnd"/>
      <w:r w:rsidR="008E2BCB">
        <w:t>»</w:t>
      </w:r>
      <w:r w:rsidRPr="00EA12AB">
        <w:t xml:space="preserve"> по расширению прав и возможностей и защите женщин при Министерстве социального развития принял 13 женщин-инвалидов, подвергшихся избиениям: шесть</w:t>
      </w:r>
      <w:r w:rsidR="005F3F52">
        <w:rPr>
          <w:lang w:val="en-US"/>
        </w:rPr>
        <w:t> </w:t>
      </w:r>
      <w:r w:rsidRPr="00EA12AB">
        <w:t>женщин с нарушениями опорно-двигательного аппарата, четыре женщины с психическими отклонениями, одна – с нарушениями зрения и две – с нарушениями слуха и речи.</w:t>
      </w:r>
    </w:p>
    <w:p w14:paraId="7593C6D3" w14:textId="77777777" w:rsidR="00C030AE" w:rsidRDefault="00EA12AB" w:rsidP="00EA12AB">
      <w:pPr>
        <w:pStyle w:val="SingleTxtG"/>
      </w:pPr>
      <w:r w:rsidRPr="00EA12AB">
        <w:t>406.</w:t>
      </w:r>
      <w:r w:rsidRPr="00EA12AB">
        <w:tab/>
        <w:t>Женщины-инвалиды сталкиваются с рядом препятствий на пути выхода на рынок труда, в том числе с гендерными трудностями, связанными с социальными установками, обычаями и традициями, низкой заработной платой, отсутствием равных возможностей, высоким уровнем безработицы среди женщин и низким уровнем участия женщин.</w:t>
      </w:r>
    </w:p>
    <w:p w14:paraId="413F7879" w14:textId="77777777" w:rsidR="00C030AE" w:rsidRDefault="00EA12AB" w:rsidP="00EA12AB">
      <w:pPr>
        <w:pStyle w:val="SingleTxtG"/>
      </w:pPr>
      <w:r w:rsidRPr="00EA12AB">
        <w:t>407.</w:t>
      </w:r>
      <w:r w:rsidRPr="00EA12AB">
        <w:tab/>
        <w:t>Министерство социального развития и Женский центр правовой помощи и консультирования разработали соглашение о сотрудничестве в области сокращения масштабов гендерного насилия. Соглашение, охватывающее 2015 и 2016 годы, направлено на разработку процедур обращения с женщинами, подвергшимися побоям, в том числе с женщинами-инвалидами. Выполнение соглашения контролировалось Министерством, но по ряду причин этот план не удался.</w:t>
      </w:r>
    </w:p>
    <w:p w14:paraId="3AFDA27C" w14:textId="77777777" w:rsidR="00C030AE" w:rsidRDefault="00EA12AB" w:rsidP="00EA12AB">
      <w:pPr>
        <w:pStyle w:val="SingleTxtG"/>
      </w:pPr>
      <w:r w:rsidRPr="00EA12AB">
        <w:t>408.</w:t>
      </w:r>
      <w:r w:rsidRPr="00EA12AB">
        <w:tab/>
        <w:t xml:space="preserve">Несколько организаций частного сектора принимают активное участие в повышении осведомленности общества в целом о правах женщин-инвалидов и расширении их экономических прав и возможностей. К ним относятся организация </w:t>
      </w:r>
      <w:r w:rsidR="008E2BCB">
        <w:t>«</w:t>
      </w:r>
      <w:r w:rsidRPr="00EA12AB">
        <w:t>Звезды надежды</w:t>
      </w:r>
      <w:r w:rsidR="008E2BCB">
        <w:t>»</w:t>
      </w:r>
      <w:r w:rsidRPr="00EA12AB">
        <w:t xml:space="preserve"> на Западном берегу и школа для глухих </w:t>
      </w:r>
      <w:r w:rsidR="008E2BCB">
        <w:t>«</w:t>
      </w:r>
      <w:r w:rsidRPr="00EA12AB">
        <w:t>Аль-</w:t>
      </w:r>
      <w:proofErr w:type="spellStart"/>
      <w:r w:rsidRPr="00EA12AB">
        <w:t>Амаль</w:t>
      </w:r>
      <w:proofErr w:type="spellEnd"/>
      <w:r w:rsidR="008E2BCB">
        <w:t>»</w:t>
      </w:r>
      <w:r w:rsidRPr="00EA12AB">
        <w:t xml:space="preserve"> в секторе Газа.</w:t>
      </w:r>
      <w:r w:rsidR="00C030AE">
        <w:t xml:space="preserve"> </w:t>
      </w:r>
      <w:r w:rsidRPr="00EA12AB">
        <w:t>Однако Государство Палестина по-прежнему сталкивается с социальными и культурными проблемами в области занятости женщин-инвалидов.</w:t>
      </w:r>
    </w:p>
    <w:p w14:paraId="2F4F316F" w14:textId="77777777" w:rsidR="00C030AE" w:rsidRDefault="006B4CDF" w:rsidP="00C17D30">
      <w:pPr>
        <w:pStyle w:val="H1G"/>
      </w:pPr>
      <w:r>
        <w:tab/>
      </w:r>
      <w:r>
        <w:tab/>
      </w:r>
      <w:r w:rsidR="00EA12AB" w:rsidRPr="00EA12AB">
        <w:t>Статья 7</w:t>
      </w:r>
      <w:r>
        <w:br/>
      </w:r>
      <w:r w:rsidR="00EA12AB" w:rsidRPr="00EA12AB">
        <w:t>Дети-инвалиды</w:t>
      </w:r>
    </w:p>
    <w:p w14:paraId="0C28469F" w14:textId="77777777" w:rsidR="00C030AE" w:rsidRDefault="00EA12AB" w:rsidP="00EA12AB">
      <w:pPr>
        <w:pStyle w:val="SingleTxtG"/>
        <w:rPr>
          <w:bCs/>
        </w:rPr>
      </w:pPr>
      <w:r w:rsidRPr="00EA12AB">
        <w:t>409.</w:t>
      </w:r>
      <w:r w:rsidRPr="00EA12AB">
        <w:tab/>
        <w:t xml:space="preserve">Государство Палестина присоединилось к Конвенции о правах ребенка </w:t>
      </w:r>
      <w:r w:rsidR="00F15A81">
        <w:br/>
      </w:r>
      <w:r w:rsidRPr="00EA12AB">
        <w:t>(1989 год) и представило свой первоначальный доклад Комитету в 2018 году.</w:t>
      </w:r>
    </w:p>
    <w:p w14:paraId="0029E655" w14:textId="77777777" w:rsidR="00C030AE" w:rsidRDefault="00EA12AB" w:rsidP="00EA12AB">
      <w:pPr>
        <w:pStyle w:val="SingleTxtG"/>
      </w:pPr>
      <w:r w:rsidRPr="00EA12AB">
        <w:t>410.</w:t>
      </w:r>
      <w:r w:rsidRPr="00EA12AB">
        <w:tab/>
        <w:t>В Законе о детях (с поправками) уделяется особое внимание детям-инвалидам, и в ряде статей предусмотрены меры, направленные на обеспечение того, чтобы дети</w:t>
      </w:r>
      <w:r w:rsidR="00F15A81">
        <w:noBreakHyphen/>
      </w:r>
      <w:r w:rsidRPr="00EA12AB">
        <w:t>инвалиды пользовались всеми правами, провозглашенными в этом Законе. Статья 8 гласит, что все дети должны пользоваться всеми правами на основе равенства</w:t>
      </w:r>
      <w:r w:rsidR="00060502">
        <w:rPr>
          <w:rStyle w:val="ab"/>
        </w:rPr>
        <w:endnoteReference w:id="67"/>
      </w:r>
      <w:r w:rsidRPr="00EA12AB">
        <w:t xml:space="preserve">. Закон освобождает от платы за пользование протезами, реабилитационными и </w:t>
      </w:r>
      <w:proofErr w:type="spellStart"/>
      <w:r w:rsidRPr="00EA12AB">
        <w:t>ассистивными</w:t>
      </w:r>
      <w:proofErr w:type="spellEnd"/>
      <w:r w:rsidRPr="00EA12AB">
        <w:t xml:space="preserve"> устройствами, а также транспортными </w:t>
      </w:r>
      <w:r w:rsidRPr="00EA12AB">
        <w:lastRenderedPageBreak/>
        <w:t>средствами для детей-инвалидов. В нем также подтверждается право детей-инвалидов на получение образования и профессиональной подготовки в тех же школах и центрах, где обучаются здоровые дети. Для лиц с тяжелой степенью инвалидности должны быть созданы специальные центры.</w:t>
      </w:r>
    </w:p>
    <w:p w14:paraId="6275F091" w14:textId="77777777" w:rsidR="00C030AE" w:rsidRDefault="00EA12AB" w:rsidP="00EA12AB">
      <w:pPr>
        <w:pStyle w:val="SingleTxtG"/>
      </w:pPr>
      <w:r w:rsidRPr="00EA12AB">
        <w:t>411.</w:t>
      </w:r>
      <w:r w:rsidRPr="00EA12AB">
        <w:tab/>
        <w:t>В том что касается дошкольного образования, Кабинет министров издал Постановление № 11 (2011 год) о детских садах, требующее, чтобы детские сады принимали детей с легкой и средней степенью инвалидности, предоставляли им возможность интегрироваться с другими детьми и обеспечивали необходимые условия для этой цели. Постановление также предписывает, чтобы персонал, работающий с детьми-инвалидами или аутистами, проходил соответствующую подготовку. Несколько лицензированных детских садов были приспособлены для детей</w:t>
      </w:r>
      <w:r w:rsidR="00F15A81">
        <w:noBreakHyphen/>
      </w:r>
      <w:r w:rsidRPr="00EA12AB">
        <w:t xml:space="preserve">инвалидов, например детский сад и ясли </w:t>
      </w:r>
      <w:r w:rsidR="008E2BCB">
        <w:t>«</w:t>
      </w:r>
      <w:proofErr w:type="spellStart"/>
      <w:r w:rsidRPr="00EA12AB">
        <w:t>Каритас</w:t>
      </w:r>
      <w:proofErr w:type="spellEnd"/>
      <w:r w:rsidR="008E2BCB">
        <w:t>»</w:t>
      </w:r>
      <w:r w:rsidRPr="00EA12AB">
        <w:t xml:space="preserve"> на Западном берегу. В целях обеспечения достойного уровня жизни для всех детей Закон о детях подтверждает необходимость того, чтобы дети-инвалиды получали социальную помощь.</w:t>
      </w:r>
    </w:p>
    <w:p w14:paraId="619AD287" w14:textId="77777777" w:rsidR="00C030AE" w:rsidRDefault="00EA12AB" w:rsidP="00EA12AB">
      <w:pPr>
        <w:pStyle w:val="SingleTxtG"/>
      </w:pPr>
      <w:r w:rsidRPr="00EA12AB">
        <w:t>412.</w:t>
      </w:r>
      <w:r w:rsidRPr="00EA12AB">
        <w:tab/>
        <w:t>Министерство социального развития отвечает за координацию деятельности с органами, осуществляющими уход за детьми-инвалидами и их реабилитацию. В этом качестве она координирует свою деятельность с Министерством здравоохранения в целях проведения диагностики и оказания основных услуг на дому. Они включают в себя повышение осведомленности семьи о том, как обращаться с детьми-инвалидами, консультирование и предоставление информации об имеющихся услугах и процедуре перевода детей в специальные центры для инвалидов. Услуги также предоставляются вне дома в центрах, находящихся в ведении Министерства социального развития и НПО по контракту с Министерством, для обеспечения ухода за детьми-инвалидами и их реабилитации.</w:t>
      </w:r>
      <w:r w:rsidR="00C030AE">
        <w:t xml:space="preserve"> </w:t>
      </w:r>
    </w:p>
    <w:p w14:paraId="0B8B63D5" w14:textId="77777777" w:rsidR="00C030AE" w:rsidRDefault="00EA12AB" w:rsidP="00EA12AB">
      <w:pPr>
        <w:pStyle w:val="SingleTxtG"/>
      </w:pPr>
      <w:r w:rsidRPr="00EA12AB">
        <w:t>413.</w:t>
      </w:r>
      <w:r w:rsidRPr="00EA12AB">
        <w:tab/>
        <w:t xml:space="preserve">Министерство социального развития принимает меры в случае тяжелой степени инвалидности, предоставляя приют для детей в центре </w:t>
      </w:r>
      <w:r w:rsidR="008E2BCB">
        <w:t>«</w:t>
      </w:r>
      <w:r w:rsidRPr="00EA12AB">
        <w:t>Дар-эль-Байда</w:t>
      </w:r>
      <w:r w:rsidR="008E2BCB">
        <w:t>»</w:t>
      </w:r>
      <w:r w:rsidRPr="00EA12AB">
        <w:t xml:space="preserve"> в </w:t>
      </w:r>
      <w:proofErr w:type="spellStart"/>
      <w:r w:rsidRPr="00EA12AB">
        <w:t>Сальфите</w:t>
      </w:r>
      <w:proofErr w:type="spellEnd"/>
      <w:r w:rsidRPr="00EA12AB">
        <w:t xml:space="preserve">. Оно также приобретает эту услугу у православного приюта и благотворительной организации </w:t>
      </w:r>
      <w:r w:rsidR="008E2BCB">
        <w:t>«</w:t>
      </w:r>
      <w:r w:rsidRPr="00EA12AB">
        <w:t>Аль-</w:t>
      </w:r>
      <w:proofErr w:type="spellStart"/>
      <w:r w:rsidRPr="00EA12AB">
        <w:t>Ихсан</w:t>
      </w:r>
      <w:proofErr w:type="spellEnd"/>
      <w:r w:rsidR="008E2BCB">
        <w:t>»</w:t>
      </w:r>
      <w:r w:rsidRPr="00EA12AB">
        <w:t xml:space="preserve"> на Западном берегу.</w:t>
      </w:r>
    </w:p>
    <w:p w14:paraId="7D818D3C" w14:textId="77777777" w:rsidR="00C030AE" w:rsidRDefault="00EA12AB" w:rsidP="00EA12AB">
      <w:pPr>
        <w:pStyle w:val="SingleTxtG"/>
      </w:pPr>
      <w:r w:rsidRPr="00EA12AB">
        <w:t>414.</w:t>
      </w:r>
      <w:r w:rsidRPr="00EA12AB">
        <w:tab/>
        <w:t xml:space="preserve">Схема закупки услуг по-прежнему не действует в секторе Газа, где НПО работают с детьми-инвалидами и предоставляют им такие услуги, которые они в состоянии оказывать. В их число входит Ассоциация </w:t>
      </w:r>
      <w:r w:rsidR="008E2BCB">
        <w:t>«</w:t>
      </w:r>
      <w:r w:rsidRPr="00EA12AB">
        <w:t>Аль-</w:t>
      </w:r>
      <w:proofErr w:type="spellStart"/>
      <w:r w:rsidRPr="00EA12AB">
        <w:t>Фаджр</w:t>
      </w:r>
      <w:proofErr w:type="spellEnd"/>
      <w:r w:rsidR="008E2BCB">
        <w:t>»</w:t>
      </w:r>
      <w:r w:rsidRPr="00EA12AB">
        <w:t xml:space="preserve"> по вопросам ухода и развития, которая стремится интегрировать в общество детей с незначительными психическими расстройствами, легким аутизмом и нарушениями речи.</w:t>
      </w:r>
    </w:p>
    <w:p w14:paraId="6E14331A" w14:textId="77777777" w:rsidR="00C030AE" w:rsidRDefault="00EA12AB" w:rsidP="00EA12AB">
      <w:pPr>
        <w:pStyle w:val="SingleTxtG"/>
      </w:pPr>
      <w:r w:rsidRPr="00EA12AB">
        <w:t>415.</w:t>
      </w:r>
      <w:r w:rsidRPr="00EA12AB">
        <w:tab/>
        <w:t>Посредством создания сетей и налаживания партнерских отношений между собой палестинские министерства стремятся предоставлять детям-инвалидам услуги, предусмотренные законом, в рамках вышеупомянутой программы выдачи карточки инвалида. Однако в секторе Газа эта программа в целом практически не осуществляется.</w:t>
      </w:r>
    </w:p>
    <w:p w14:paraId="17F95379" w14:textId="77777777" w:rsidR="00C030AE" w:rsidRDefault="00EA12AB" w:rsidP="00EA12AB">
      <w:pPr>
        <w:pStyle w:val="SingleTxtG"/>
      </w:pPr>
      <w:r w:rsidRPr="00EA12AB">
        <w:t>416.</w:t>
      </w:r>
      <w:r w:rsidRPr="00EA12AB">
        <w:tab/>
        <w:t xml:space="preserve">В Законе о детях подчеркивается необходимость учета наилучших интересов ребенка во всех затрагивающих его решениях. В нем подтверждается, что необходимо учитывать умственные, психические, физические и моральные потребности детей, в том числе детей-инвалидов. Это подтверждается статьей 43 принятого в законодательном порядке решения о защите несовершеннолетних, в которой говорится, что несовершеннолетний может быть помещен в социальное учреждение, находящееся в ведении Министерства социального развития или признанное им. Если ребенок имеет инвалидность, его необходимо поместить в подходящий реабилитационный центр. Суд определяет место и срок размещения. Если ребенок становится жертвой насилия, пренебрежения или жестокого обращения, </w:t>
      </w:r>
      <w:r w:rsidR="00D915F6">
        <w:br/>
      </w:r>
      <w:r w:rsidRPr="00EA12AB">
        <w:t>он/она получает поддержку сети защиты детей, возглавляемой Министерством, а</w:t>
      </w:r>
      <w:r w:rsidR="00D915F6">
        <w:rPr>
          <w:lang w:val="en-US"/>
        </w:rPr>
        <w:t> </w:t>
      </w:r>
      <w:r w:rsidRPr="00EA12AB">
        <w:t>также нескольких правительственных организаций и НПО. Эти сети работают в соответствии с национальным перечнем специалистов и сетевых структур, и во всех принимаемых решениях учитываются наилучшие интересы ребенка. Дети-инвалиды пользуются такой же защитой, что и другие дети</w:t>
      </w:r>
      <w:r w:rsidR="00060502">
        <w:rPr>
          <w:rStyle w:val="ab"/>
        </w:rPr>
        <w:endnoteReference w:id="68"/>
      </w:r>
      <w:r w:rsidRPr="00EA12AB">
        <w:t>. Консультанты по вопросам защиты детей проходят подготовку для работы с детьми-инвалидами, подвергшимися насилию.</w:t>
      </w:r>
    </w:p>
    <w:p w14:paraId="53041981" w14:textId="77777777" w:rsidR="00C030AE" w:rsidRDefault="00EA12AB" w:rsidP="00EA12AB">
      <w:pPr>
        <w:pStyle w:val="SingleTxtG"/>
      </w:pPr>
      <w:r w:rsidRPr="00EA12AB">
        <w:lastRenderedPageBreak/>
        <w:t>417.</w:t>
      </w:r>
      <w:r w:rsidRPr="00EA12AB">
        <w:tab/>
        <w:t xml:space="preserve">Министерство социального развития заботится о детях, лишенных семейного окружения, и стремится обеспечить уход за детьми-сиротами и детьми, потерявшими одного или обоих родителей. Оно стремится оказывать моральную и социальную помощь путем выплаты средств на содержание этим детям, семьям сирот и сиротам с инвалидностью. Однако выплаты прекратились, когда источник финансирования иссяк в 2016 году. Министерство ищет альтернативные источники финансирования детей-сирот и стремится к сотрудничеству с другими организациями. Организация </w:t>
      </w:r>
      <w:r w:rsidR="008E2BCB">
        <w:t>«</w:t>
      </w:r>
      <w:proofErr w:type="spellStart"/>
      <w:r w:rsidRPr="00EA12AB">
        <w:t>Ямима</w:t>
      </w:r>
      <w:proofErr w:type="spellEnd"/>
      <w:r w:rsidR="008E2BCB">
        <w:t>»</w:t>
      </w:r>
      <w:r w:rsidRPr="00EA12AB">
        <w:t xml:space="preserve"> обеспечивает бесплатный долгосрочный уход за детьми с психическими отклонениями, оставшимися без родителей.</w:t>
      </w:r>
    </w:p>
    <w:p w14:paraId="5F534DD1" w14:textId="77777777" w:rsidR="00C030AE" w:rsidRDefault="00EA12AB" w:rsidP="00EA12AB">
      <w:pPr>
        <w:pStyle w:val="SingleTxtG"/>
      </w:pPr>
      <w:r w:rsidRPr="00EA12AB">
        <w:t>418.</w:t>
      </w:r>
      <w:r w:rsidRPr="00EA12AB">
        <w:tab/>
        <w:t xml:space="preserve">Министерство здравоохранения предоставляет полный набор услуг по охране психического здоровья детей с психическими и умственными недостатками в рамках Национальной стратегии в области психического здоровья (2015–2019 годы), которая направлена на развитие комплексной общественной системы психического здоровья. В рамках этой Стратегии в </w:t>
      </w:r>
      <w:proofErr w:type="spellStart"/>
      <w:r w:rsidRPr="00EA12AB">
        <w:t>Хевроне</w:t>
      </w:r>
      <w:proofErr w:type="spellEnd"/>
      <w:r w:rsidRPr="00EA12AB">
        <w:t xml:space="preserve"> и </w:t>
      </w:r>
      <w:proofErr w:type="spellStart"/>
      <w:r w:rsidRPr="00EA12AB">
        <w:t>Наблусе</w:t>
      </w:r>
      <w:proofErr w:type="spellEnd"/>
      <w:r w:rsidRPr="00EA12AB">
        <w:t xml:space="preserve"> были созданы два общинных центра психологической помощи детям и подросткам. Кроме того, услуги по охране психического здоровья включены в систему первичной медико-санитарной помощи</w:t>
      </w:r>
      <w:r w:rsidR="005F7B01">
        <w:rPr>
          <w:rStyle w:val="ab"/>
        </w:rPr>
        <w:endnoteReference w:id="69"/>
      </w:r>
      <w:r w:rsidRPr="00EA12AB">
        <w:t>.</w:t>
      </w:r>
    </w:p>
    <w:p w14:paraId="19DD309B" w14:textId="77777777" w:rsidR="00C030AE" w:rsidRDefault="00EA12AB" w:rsidP="00EA12AB">
      <w:pPr>
        <w:pStyle w:val="SingleTxtG"/>
      </w:pPr>
      <w:r w:rsidRPr="00EA12AB">
        <w:t>419.</w:t>
      </w:r>
      <w:r w:rsidRPr="00EA12AB">
        <w:tab/>
        <w:t xml:space="preserve">Министерство здравоохранения обеспечивает физиотерапию в рамках системы медицинского страхования и политики закупок услуг. Однако оно не предоставляет </w:t>
      </w:r>
      <w:proofErr w:type="spellStart"/>
      <w:r w:rsidRPr="00EA12AB">
        <w:t>ассистивных</w:t>
      </w:r>
      <w:proofErr w:type="spellEnd"/>
      <w:r w:rsidRPr="00EA12AB">
        <w:t xml:space="preserve"> устройств или приспособлений для детей с физическими недостатками, которые поставляются Министерством социального развития, как объяснялось выше.</w:t>
      </w:r>
    </w:p>
    <w:p w14:paraId="559E7071" w14:textId="77777777" w:rsidR="00C030AE" w:rsidRDefault="00EA12AB" w:rsidP="00EA12AB">
      <w:pPr>
        <w:pStyle w:val="SingleTxtG"/>
      </w:pPr>
      <w:r w:rsidRPr="00EA12AB">
        <w:t>420.</w:t>
      </w:r>
      <w:r w:rsidRPr="00EA12AB">
        <w:tab/>
        <w:t>Препятствия на пути осуществления прав инвалидов заключаются в нехватке бюджетных средств и подготовленных специалистов для работы с такими лицами и в отсутствии необходимых модификаций в ряде центров Министерства здравоохранения.</w:t>
      </w:r>
    </w:p>
    <w:p w14:paraId="3A4C797D" w14:textId="77777777" w:rsidR="00C030AE" w:rsidRDefault="00EA12AB" w:rsidP="00EA12AB">
      <w:pPr>
        <w:pStyle w:val="SingleTxtG"/>
      </w:pPr>
      <w:r w:rsidRPr="00EA12AB">
        <w:t>421.</w:t>
      </w:r>
      <w:r w:rsidRPr="00EA12AB">
        <w:tab/>
        <w:t>В отношении детей-инвалидов, находящихся в конфликте с законом, применяются те же процедуры расследования, меры защиты и гарантии, что и в отношении других детей, включая медицинское обследование и осмотр психиатром и лечение, подходящие для несовершеннолетнего. Некоторые помещения в зданиях Службы прокуратуры по делам несовершеннолетних отведены для детей-инвалидов. Особое внимание Служба уделяет детям-инвалидам, ставшим жертвами насилия или вступившим в конфликт с законом. Если в рамках дела, находящегося на рассмотрении Службы, ребенок не может лично присутствовать, чтобы дать показания на стадии предварительного следствия по причине инвалидности или болезни, прокурор по делам несовершеннолетних посещает ребенка, с тем чтобы снять с него/нее показания.</w:t>
      </w:r>
    </w:p>
    <w:p w14:paraId="22DD9378" w14:textId="77777777" w:rsidR="00C030AE" w:rsidRDefault="00EA12AB" w:rsidP="00EA12AB">
      <w:pPr>
        <w:pStyle w:val="SingleTxtG"/>
      </w:pPr>
      <w:r w:rsidRPr="00EA12AB">
        <w:t>422.</w:t>
      </w:r>
      <w:r w:rsidRPr="00EA12AB">
        <w:tab/>
        <w:t>Если несовершеннолетний подсудимый в судебном иске имеет проблемы со слухом или речью, Служба прокуратуры по делам несовершеннолетних назначает утвержденного эксперта для перевода заявления, сделанного ребенком, на язык жестов или с помощью других средств. Если эта процедура не будет соблюдена, судопроизводство будет признано недействительным по закону. Эта процедура применяется и к детям-свидетелям, которые присутствуют при даче показаний по делам несовершеннолетних</w:t>
      </w:r>
      <w:r w:rsidR="0027147C">
        <w:rPr>
          <w:rStyle w:val="ab"/>
        </w:rPr>
        <w:endnoteReference w:id="70"/>
      </w:r>
      <w:r w:rsidRPr="00EA12AB">
        <w:t>.</w:t>
      </w:r>
    </w:p>
    <w:p w14:paraId="296F1B04" w14:textId="77777777" w:rsidR="00C030AE" w:rsidRDefault="00EA12AB" w:rsidP="00EA12AB">
      <w:pPr>
        <w:pStyle w:val="SingleTxtG"/>
      </w:pPr>
      <w:r w:rsidRPr="00EA12AB">
        <w:t>423.</w:t>
      </w:r>
      <w:r w:rsidRPr="00EA12AB">
        <w:tab/>
        <w:t>Если прокурор по делам несовершеннолетних установит на стадии предварительного следствия, что, когда несовершеннолетний совершил преступление, в котором он обвиняется, он страдал болезнью, вызывающей нарушение его умственных способностей, он будет считать ребенка неспособным понять преступный характер его действий. В этом случае прокурор по делам несовершеннолетних готовит меморандум о прекращении производства по делу и передает его на утверждение Государственному прокурору. Если прокурор по делам несовершеннолетних установит, что несовершеннолетний страдает тяжелым психическим заболеванием, не позволяющим ему предстать перед судом, он должен обратиться в суд с просьбой о помещении несовершеннолетнего в медицинское учреждение на срок, который будет сочтен необходимым.</w:t>
      </w:r>
    </w:p>
    <w:p w14:paraId="266C39AD" w14:textId="77777777" w:rsidR="00C030AE" w:rsidRDefault="00EA12AB" w:rsidP="00EA12AB">
      <w:pPr>
        <w:pStyle w:val="SingleTxtG"/>
      </w:pPr>
      <w:r w:rsidRPr="00EA12AB">
        <w:t>424.</w:t>
      </w:r>
      <w:r w:rsidRPr="00EA12AB">
        <w:tab/>
        <w:t xml:space="preserve">Прокурор по делам несовершеннолетних регулярно посещает места содержания под стражей детей, в том числе детей-инвалидов. В период с марта 2016 года по октябрь 2018 года не было зарегистрировано ни одного случая жестокого обращения </w:t>
      </w:r>
      <w:r w:rsidRPr="00EA12AB">
        <w:lastRenderedPageBreak/>
        <w:t>с детьми-инвалидами. За тот же период не было зарегистрировано ни одного судебного иска в отношении несовершеннолетних инвалидов.</w:t>
      </w:r>
    </w:p>
    <w:p w14:paraId="20ED77CB" w14:textId="77777777" w:rsidR="00C030AE" w:rsidRDefault="00EA12AB" w:rsidP="00EA12AB">
      <w:pPr>
        <w:pStyle w:val="SingleTxtG"/>
      </w:pPr>
      <w:r w:rsidRPr="00EA12AB">
        <w:t>425.</w:t>
      </w:r>
      <w:r w:rsidRPr="00EA12AB">
        <w:tab/>
        <w:t>В случае возникновения конфликта интересов между ребенком-инвалидом и его законным опекуном Служба прокуратуры по делам несовершеннолетних несет юридическую ответственность за все вопросы, касающиеся ребенка, его защиту и представительство в соответствии с пунктом 2 статьи 6 Уголовно-процессуального кодекса.</w:t>
      </w:r>
      <w:r w:rsidR="00C030AE">
        <w:t xml:space="preserve"> </w:t>
      </w:r>
    </w:p>
    <w:p w14:paraId="51196755" w14:textId="77777777" w:rsidR="00C030AE" w:rsidRDefault="00EA12AB" w:rsidP="00EA12AB">
      <w:pPr>
        <w:pStyle w:val="SingleTxtG"/>
      </w:pPr>
      <w:r w:rsidRPr="00EA12AB">
        <w:t>426.</w:t>
      </w:r>
      <w:r w:rsidRPr="00EA12AB">
        <w:tab/>
        <w:t xml:space="preserve">Что касается права ребенка на выражение своего мнения, то студенческие парламенты, сформированные Министерством просвещения и высшего образования, являются прямым отражением того внимания, которое Палестина уделяет этому праву ребенка. Первый Детский совет в Палестине был сформирован на основе выборов, проведенных с этой целью. Совет представляет детей, отражает их мнения и просит лиц, ответственных за принятие решений, отчитываться о том, в какой мере права ребенка осуществляются в палестинском обществе, а также о степени соблюдения этих прав. Совет, который действует в партнерстве с Международным движением в защиту детей и при поддержке Фонда по спасению детей, фактически стал консультативным советом для Министерства просвещения и высшего образования, Министерства социального развития и мухафаз Вифлеем, </w:t>
      </w:r>
      <w:proofErr w:type="spellStart"/>
      <w:r w:rsidRPr="00EA12AB">
        <w:t>Хеврон</w:t>
      </w:r>
      <w:proofErr w:type="spellEnd"/>
      <w:r w:rsidRPr="00EA12AB">
        <w:t xml:space="preserve"> и Рамалла. В состав Совета входят дети с нарушениями опорно-двигательного аппарата, а дети с нарушениями опорно-двигательного аппарата и зрения привлекались к подготовке доклада об осуществлении Конвенции о правах ребенка.</w:t>
      </w:r>
    </w:p>
    <w:p w14:paraId="569E17BF" w14:textId="77777777" w:rsidR="00C030AE" w:rsidRDefault="00EA12AB" w:rsidP="00EA12AB">
      <w:pPr>
        <w:pStyle w:val="SingleTxtG"/>
      </w:pPr>
      <w:r w:rsidRPr="00EA12AB">
        <w:t>427.</w:t>
      </w:r>
      <w:r w:rsidRPr="00EA12AB">
        <w:tab/>
        <w:t>В 2016 году при поддержке Фонда по спасению детей Независимая комиссия по правам человека приступила к реализации программы рассмотрения жалоб детей, которая предусматривает механизмы, позволяющие самим детям обращаться в Комиссию с жалобами на нарушение их прав. В 2018 году БАПОР обеспечило специальное обучение 540 детей-инвалидов в общинных реабилитационных центрах, а специальные НПО оказали аналогичную услугу 320 таким детям. Однако после принятия решения о сокращении международной поддержки БАПОР Агентство сократило объем услуг, оказываемых им детям-инвалидам.</w:t>
      </w:r>
    </w:p>
    <w:p w14:paraId="0A01DB7F" w14:textId="77777777" w:rsidR="00C030AE" w:rsidRDefault="00EA12AB" w:rsidP="00EA12AB">
      <w:pPr>
        <w:pStyle w:val="SingleTxtG"/>
      </w:pPr>
      <w:r w:rsidRPr="00EA12AB">
        <w:t>428.</w:t>
      </w:r>
      <w:r w:rsidRPr="00EA12AB">
        <w:tab/>
        <w:t>Реабилитационный центр БАПОР для слабовидящих обеспечивает профессиональную подготовку, обучение и рекреационные услуги для детей и взрослых с нарушениями зрения. В период 2014–2015 годов, до принятия решения о сокращении международной поддержки БАПОР в 2018 году, Центр оказывал поддержку учащимся-инвалидам в рамках своей интеграционной программы, которой было охвачено 300 учащихся государственных и частных школ и школ БАПОР.</w:t>
      </w:r>
    </w:p>
    <w:p w14:paraId="044E5A34" w14:textId="77777777" w:rsidR="00C030AE" w:rsidRDefault="006B4CDF" w:rsidP="006B4CDF">
      <w:pPr>
        <w:pStyle w:val="HChG"/>
      </w:pPr>
      <w:r>
        <w:tab/>
      </w:r>
      <w:r w:rsidR="00EA12AB" w:rsidRPr="00EA12AB">
        <w:t>IV.</w:t>
      </w:r>
      <w:r>
        <w:tab/>
      </w:r>
      <w:r w:rsidR="00EA12AB" w:rsidRPr="00EA12AB">
        <w:t>Конкретные обязательства</w:t>
      </w:r>
    </w:p>
    <w:p w14:paraId="4CE71FCF" w14:textId="77777777" w:rsidR="00C030AE" w:rsidRDefault="00BC7E52" w:rsidP="00C17D30">
      <w:pPr>
        <w:pStyle w:val="H1G"/>
      </w:pPr>
      <w:r>
        <w:tab/>
      </w:r>
      <w:r>
        <w:tab/>
      </w:r>
      <w:r w:rsidR="00EA12AB" w:rsidRPr="00EA12AB">
        <w:t>Статья 31</w:t>
      </w:r>
      <w:r>
        <w:br/>
      </w:r>
      <w:r w:rsidR="00EA12AB" w:rsidRPr="00EA12AB">
        <w:t>Статистика и сбор данных</w:t>
      </w:r>
    </w:p>
    <w:p w14:paraId="59BC1466" w14:textId="77777777" w:rsidR="00C030AE" w:rsidRDefault="00EA12AB" w:rsidP="00EA12AB">
      <w:pPr>
        <w:pStyle w:val="SingleTxtG"/>
      </w:pPr>
      <w:r w:rsidRPr="00EA12AB">
        <w:t>429.</w:t>
      </w:r>
      <w:r w:rsidRPr="00EA12AB">
        <w:tab/>
        <w:t>Работа Палестинского центрального статистического бюро регулируется Общим законом о статистике (2000 год)</w:t>
      </w:r>
      <w:r w:rsidR="001342FB">
        <w:rPr>
          <w:rStyle w:val="ab"/>
        </w:rPr>
        <w:endnoteReference w:id="71"/>
      </w:r>
      <w:r w:rsidRPr="00EA12AB">
        <w:t>. В 1996 году Бюро приступило к сбору данных о распространенности инвалидности на национальном уровне на основе обследований семей (которые не были конкретно посвящены инвалидности) и переписей населения, проведенных в 1997 и 2007 годах.</w:t>
      </w:r>
    </w:p>
    <w:p w14:paraId="1F6782D8" w14:textId="77777777" w:rsidR="00C030AE" w:rsidRDefault="00EA12AB" w:rsidP="00EA12AB">
      <w:pPr>
        <w:pStyle w:val="SingleTxtG"/>
      </w:pPr>
      <w:r w:rsidRPr="00EA12AB">
        <w:t>430.</w:t>
      </w:r>
      <w:r w:rsidRPr="00EA12AB">
        <w:tab/>
        <w:t>В 2011 году в партнерстве с Министерством социального развития Бюро провело первое специализированное обследование, имевшее целью мониторинг распространенности инвалидности в разбивке по полу и причинам инвалидности с социальной точки зрения, а также по другим сопутствующим характеристикам, таким как место проживания и возраст, включая данные о применяемых устройствах в зависимости от типа инвалидности; трудности в осуществлении повседневной деятельности; сложившиеся взгляды на инвалидность в обществе; степень социальной интеграции, основанная на способности пользоваться общественным и частным транспортом; и степень адаптации физической среды к потребностям инвалидов.</w:t>
      </w:r>
      <w:r w:rsidR="00C030AE">
        <w:t xml:space="preserve"> </w:t>
      </w:r>
      <w:r w:rsidRPr="00EA12AB">
        <w:lastRenderedPageBreak/>
        <w:t>Результаты переписи населения позволили опубликовать подробные данные об инвалидности. В 2017 году Бюро провело общую перепись населения, жилищного фонда и хозяйств, в результате которой были получены статистические данные о численности инвалидов в Палестине в разбивке по степени инвалидности/ограничения возможностей здоровья. Перепись охватывала как Западный берег, так и сектор Газа.</w:t>
      </w:r>
    </w:p>
    <w:p w14:paraId="6113609F" w14:textId="77777777" w:rsidR="00C030AE" w:rsidRDefault="00EA12AB" w:rsidP="00EA12AB">
      <w:pPr>
        <w:pStyle w:val="SingleTxtG"/>
      </w:pPr>
      <w:r w:rsidRPr="00EA12AB">
        <w:t>431.</w:t>
      </w:r>
      <w:r w:rsidRPr="00EA12AB">
        <w:tab/>
        <w:t>В качестве примера использования исследований для поощрения прав инвалидов можно привести первую стратегическую цель Национальной стратегии развития официальной статистики (2014–2018 годы), которая предусматривает более широкое использование статистических данных в процессе принятия решений.</w:t>
      </w:r>
      <w:r w:rsidR="00C030AE">
        <w:t xml:space="preserve"> </w:t>
      </w:r>
      <w:r w:rsidRPr="00EA12AB">
        <w:t>Соответственно, Министерство социального развития опубликовало стратегические рамки развития и улучшения положения инвалидов на основе данных обследования 2011 года. Меньшая распространенность инвалидности в Палестине по сравнению с уровнями, зарегистрированными во всем мире, объясняется принятой в палестинском обществе концепцией инвалидности и тем, как проводилась перепись населения.</w:t>
      </w:r>
    </w:p>
    <w:p w14:paraId="3F6EB0E4" w14:textId="77777777" w:rsidR="00C030AE" w:rsidRDefault="00EA12AB" w:rsidP="00EA12AB">
      <w:pPr>
        <w:pStyle w:val="SingleTxtG"/>
      </w:pPr>
      <w:r w:rsidRPr="00EA12AB">
        <w:t xml:space="preserve">432. </w:t>
      </w:r>
      <w:r w:rsidRPr="00EA12AB">
        <w:tab/>
        <w:t>Вторая стратегическая цель Национальной стратегии развития официальной статистики предусматривает поощрение партнерства между поставщиками и пользователями национальной статистической системы, вовлечение инвалидов в процесс сбора данных и исследований, облегчение доступа пользователей к статистической информации, предоставляемой поставщиками, и поощрение партнерства и взаимопомощи в целях обеспечения разработки статистической системы, отвечающей потребностям всех пользователей.</w:t>
      </w:r>
    </w:p>
    <w:p w14:paraId="148501B5" w14:textId="77777777" w:rsidR="00C030AE" w:rsidRDefault="00EA12AB" w:rsidP="00EA12AB">
      <w:pPr>
        <w:pStyle w:val="SingleTxtG"/>
      </w:pPr>
      <w:r w:rsidRPr="00EA12AB">
        <w:t>433.</w:t>
      </w:r>
      <w:r w:rsidRPr="00EA12AB">
        <w:tab/>
        <w:t>На этапе планирования и подготовки к проведению обследования 2011 года была сформирована национальная консультативная группа, в состав которой вошло значительное число заинтересованных лиц, большинство из которых сами являются инвалидами и представителями организаций, работающих с инвалидами. Был проведен специализированный семинар, на котором консультативная группа обсудила вопрос об усовершенствовании формы обследования, с тем чтобы помочь удовлетворить потребность в данных и показателях в целях повышения качества услуг.</w:t>
      </w:r>
    </w:p>
    <w:p w14:paraId="4D9F3F4A" w14:textId="77777777" w:rsidR="00C030AE" w:rsidRDefault="00BC7E52" w:rsidP="00C17D30">
      <w:pPr>
        <w:pStyle w:val="H1G"/>
      </w:pPr>
      <w:r>
        <w:tab/>
      </w:r>
      <w:r>
        <w:tab/>
      </w:r>
      <w:r w:rsidR="00EA12AB" w:rsidRPr="00EA12AB">
        <w:t>Статья 32</w:t>
      </w:r>
      <w:r>
        <w:br/>
      </w:r>
      <w:r w:rsidR="00EA12AB" w:rsidRPr="00EA12AB">
        <w:t>Международное сотрудничество</w:t>
      </w:r>
    </w:p>
    <w:p w14:paraId="714BDF1C" w14:textId="77777777" w:rsidR="00C030AE" w:rsidRDefault="00EA12AB" w:rsidP="00EA12AB">
      <w:pPr>
        <w:pStyle w:val="SingleTxtG"/>
      </w:pPr>
      <w:r w:rsidRPr="00EA12AB">
        <w:t>434.</w:t>
      </w:r>
      <w:r w:rsidRPr="00EA12AB">
        <w:tab/>
        <w:t xml:space="preserve">Государство Палестина стремится развивать сотрудничество с региональными и международными органами и организациями, предоставляя сотрудникам возможность участвовать в конференциях и учебных курсах. Палестина получает финансовую и техническую поддержку в таком объеме, который позволяет осуществлять целый ряд программ по повышению осведомленности, реабилитации и интеграции персонала, а также предлагать </w:t>
      </w:r>
      <w:proofErr w:type="spellStart"/>
      <w:r w:rsidRPr="00EA12AB">
        <w:t>ассистивные</w:t>
      </w:r>
      <w:proofErr w:type="spellEnd"/>
      <w:r w:rsidRPr="00EA12AB">
        <w:t xml:space="preserve"> устройства, вспомогательные средства и информационно-технологические системы. В последние годы Палестина получает финансовую и техническую помощь от ряда международных органов и организаций, в том числе в рамках проекта Европейского союза, направленного на укрепление потенциала Министерства социального развития в области планирования, управления и мониторинга социальных услуг и содействия децентрализации путем передачи более широких полномочий работникам на местах. Этот проект осуществляется в мухафазах Иерусалим, </w:t>
      </w:r>
      <w:proofErr w:type="spellStart"/>
      <w:r w:rsidRPr="00EA12AB">
        <w:t>Хеврон</w:t>
      </w:r>
      <w:proofErr w:type="spellEnd"/>
      <w:r w:rsidRPr="00EA12AB">
        <w:t xml:space="preserve"> и </w:t>
      </w:r>
      <w:proofErr w:type="spellStart"/>
      <w:r w:rsidRPr="00EA12AB">
        <w:t>Наблус</w:t>
      </w:r>
      <w:proofErr w:type="spellEnd"/>
      <w:r w:rsidRPr="00EA12AB">
        <w:t>.</w:t>
      </w:r>
    </w:p>
    <w:p w14:paraId="06BB1E3A" w14:textId="77777777" w:rsidR="00C030AE" w:rsidRDefault="00EA12AB" w:rsidP="00EA12AB">
      <w:pPr>
        <w:pStyle w:val="SingleTxtG"/>
      </w:pPr>
      <w:r w:rsidRPr="00EA12AB">
        <w:t>435.</w:t>
      </w:r>
      <w:r w:rsidRPr="00EA12AB">
        <w:tab/>
        <w:t>В соответствии со стратегическим планом Министерства социального развития реализован ряд программ и проектов, предусматривающих сотрудничество с международными организациями, включая:</w:t>
      </w:r>
    </w:p>
    <w:p w14:paraId="53833DA8" w14:textId="77777777" w:rsidR="00EA12AB" w:rsidRPr="00EA12AB" w:rsidRDefault="00EA12AB" w:rsidP="00BC7E52">
      <w:pPr>
        <w:pStyle w:val="Bullet1G"/>
      </w:pPr>
      <w:r w:rsidRPr="00EA12AB">
        <w:t>проекты по развитию потенциала работников на местах, в том числе финансируемые Фондом по спасению детей;</w:t>
      </w:r>
    </w:p>
    <w:p w14:paraId="6CE144C6" w14:textId="77777777" w:rsidR="00EA12AB" w:rsidRPr="00EA12AB" w:rsidRDefault="00EA12AB" w:rsidP="00BC7E52">
      <w:pPr>
        <w:pStyle w:val="Bullet1G"/>
      </w:pPr>
      <w:r w:rsidRPr="00EA12AB">
        <w:t>финансируемый Лигой арабских государств проект по наращиванию потенциала, направленный на повышение осведомленности семей о том, как бороться с аутизмом;</w:t>
      </w:r>
    </w:p>
    <w:p w14:paraId="19184B9B" w14:textId="77777777" w:rsidR="00EA12AB" w:rsidRPr="00EA12AB" w:rsidRDefault="00C030AE" w:rsidP="00BC7E52">
      <w:pPr>
        <w:pStyle w:val="Bullet1G"/>
      </w:pPr>
      <w:r w:rsidRPr="00EA12AB">
        <w:rPr>
          <w:rFonts w:ascii="Symbol" w:hAnsi="Symbol"/>
        </w:rPr>
        <w:lastRenderedPageBreak/>
        <w:tab/>
      </w:r>
      <w:r w:rsidR="00EA12AB" w:rsidRPr="00EA12AB">
        <w:t xml:space="preserve">сетевая система направления к специалистам по реабилитации, разработанная в сотрудничестве с организацией </w:t>
      </w:r>
      <w:r w:rsidR="008E2BCB">
        <w:t>«</w:t>
      </w:r>
      <w:proofErr w:type="spellStart"/>
      <w:r w:rsidR="00EA12AB" w:rsidRPr="00EA12AB">
        <w:t>Хэндикэп</w:t>
      </w:r>
      <w:proofErr w:type="spellEnd"/>
      <w:r w:rsidR="00EA12AB" w:rsidRPr="00EA12AB">
        <w:t xml:space="preserve"> </w:t>
      </w:r>
      <w:proofErr w:type="spellStart"/>
      <w:r w:rsidR="00EA12AB" w:rsidRPr="00EA12AB">
        <w:t>интернэшнл</w:t>
      </w:r>
      <w:proofErr w:type="spellEnd"/>
      <w:r w:rsidR="008E2BCB">
        <w:t>»</w:t>
      </w:r>
      <w:r w:rsidR="00EA12AB" w:rsidRPr="00EA12AB">
        <w:t>;</w:t>
      </w:r>
    </w:p>
    <w:p w14:paraId="54192D88" w14:textId="77777777" w:rsidR="00C030AE" w:rsidRDefault="00C030AE" w:rsidP="00BC7E52">
      <w:pPr>
        <w:pStyle w:val="Bullet1G"/>
      </w:pPr>
      <w:r>
        <w:rPr>
          <w:rFonts w:ascii="Symbol" w:hAnsi="Symbol"/>
        </w:rPr>
        <w:tab/>
      </w:r>
      <w:r w:rsidR="00EA12AB" w:rsidRPr="00EA12AB">
        <w:t>соглашение с ЮНИСЕФ об оказании поддержки в осуществлении проектов в области консультирования и специального образования в секторе Газа.</w:t>
      </w:r>
    </w:p>
    <w:p w14:paraId="64F4AB65" w14:textId="77777777" w:rsidR="00C030AE" w:rsidRDefault="00EA12AB" w:rsidP="00EA12AB">
      <w:pPr>
        <w:pStyle w:val="SingleTxtG"/>
      </w:pPr>
      <w:r w:rsidRPr="00EA12AB">
        <w:t>436.</w:t>
      </w:r>
      <w:r w:rsidRPr="00EA12AB">
        <w:tab/>
        <w:t>Палестинское правительство оказывает техническую и финансовую поддержку благотворительным организациям, созданным с соблюдением требований закона. В</w:t>
      </w:r>
      <w:r w:rsidR="00F15A81">
        <w:rPr>
          <w:lang w:val="en-US"/>
        </w:rPr>
        <w:t> </w:t>
      </w:r>
      <w:r w:rsidRPr="00EA12AB">
        <w:t>период с 2016 года по середину 2018 года правительство субсидировало 151</w:t>
      </w:r>
      <w:r w:rsidR="00F15A81">
        <w:rPr>
          <w:lang w:val="en-US"/>
        </w:rPr>
        <w:t> </w:t>
      </w:r>
      <w:r w:rsidRPr="00EA12AB">
        <w:t>благотворительную организацию за счет закупки услуг на сумму 6 650 000 долл. США (что эквивалентно 19 331 850 шекелям).</w:t>
      </w:r>
    </w:p>
    <w:p w14:paraId="19603E99" w14:textId="77777777" w:rsidR="00C030AE" w:rsidRDefault="00BC7E52" w:rsidP="00C17D30">
      <w:pPr>
        <w:pStyle w:val="H1G"/>
      </w:pPr>
      <w:r>
        <w:tab/>
      </w:r>
      <w:r>
        <w:tab/>
      </w:r>
      <w:r w:rsidR="00EA12AB" w:rsidRPr="00EA12AB">
        <w:t>Статья 33</w:t>
      </w:r>
      <w:r>
        <w:br/>
      </w:r>
      <w:r w:rsidR="00EA12AB" w:rsidRPr="00EA12AB">
        <w:t>Национальное осуществление и мониторинг</w:t>
      </w:r>
    </w:p>
    <w:p w14:paraId="1C4E458E" w14:textId="77777777" w:rsidR="00C030AE" w:rsidRDefault="00BC7E52" w:rsidP="00BC7E52">
      <w:pPr>
        <w:pStyle w:val="H4G"/>
      </w:pPr>
      <w:r>
        <w:tab/>
      </w:r>
      <w:r>
        <w:tab/>
      </w:r>
      <w:r w:rsidR="00EA12AB" w:rsidRPr="00EA12AB">
        <w:t>Высший совет по делам инвалидов</w:t>
      </w:r>
    </w:p>
    <w:p w14:paraId="01CF277D" w14:textId="77777777" w:rsidR="00C030AE" w:rsidRDefault="00EA12AB" w:rsidP="00EA12AB">
      <w:pPr>
        <w:pStyle w:val="SingleTxtG"/>
      </w:pPr>
      <w:r w:rsidRPr="00EA12AB">
        <w:t>437.</w:t>
      </w:r>
      <w:r w:rsidRPr="00EA12AB">
        <w:tab/>
        <w:t>Высший совет по делам инвалидов был сформирован в соответствии с указом Президента № 3 (2004 год).</w:t>
      </w:r>
      <w:r w:rsidR="00C030AE">
        <w:t xml:space="preserve"> </w:t>
      </w:r>
      <w:r w:rsidRPr="00EA12AB">
        <w:t>Функции председателя Совета выполняет Министерство социального развития, а его членами являются ряд государственных органов и НПО. В его задачи входит мониторинг осуществления прав инвалидов и обеспечение доступа ко всему комплексу профилактических, реабилитационных, защитных и социальных услуг. Существует движение за преобразование Совета в автономный орган, с тем чтобы он мог выполнять свои обязанности независимо от Министерства социального развития.</w:t>
      </w:r>
    </w:p>
    <w:p w14:paraId="032AA428" w14:textId="77777777" w:rsidR="00C030AE" w:rsidRDefault="00EA12AB" w:rsidP="00EA12AB">
      <w:pPr>
        <w:pStyle w:val="SingleTxtG"/>
      </w:pPr>
      <w:r w:rsidRPr="00EA12AB">
        <w:t>438.</w:t>
      </w:r>
      <w:r w:rsidRPr="00EA12AB">
        <w:tab/>
        <w:t>Несмотря на наличие конкретного положения, наделяющего его полномочиями по контролю за соблюдением законодательства, гарантирующего права инвалидов, Совет не инициировал никаких действий подобного рода. Был сформирован наблюдательный комитет, но по причинам, связанным с правовым положением Совета, никаких действий им предпринято не было.</w:t>
      </w:r>
    </w:p>
    <w:p w14:paraId="15E8396D" w14:textId="77777777" w:rsidR="00C030AE" w:rsidRDefault="00BC7E52" w:rsidP="00BC7E52">
      <w:pPr>
        <w:pStyle w:val="H4G"/>
      </w:pPr>
      <w:r>
        <w:tab/>
      </w:r>
      <w:r>
        <w:tab/>
      </w:r>
      <w:r w:rsidR="00EA12AB" w:rsidRPr="00EA12AB">
        <w:t>Независимая комиссия по правам человека (Совет по рассмотрению жалоб)</w:t>
      </w:r>
    </w:p>
    <w:p w14:paraId="08EFB921" w14:textId="77777777" w:rsidR="00C030AE" w:rsidRDefault="00EA12AB" w:rsidP="00EA12AB">
      <w:pPr>
        <w:pStyle w:val="SingleTxtG"/>
      </w:pPr>
      <w:r w:rsidRPr="00EA12AB">
        <w:t>439.</w:t>
      </w:r>
      <w:r w:rsidRPr="00EA12AB">
        <w:tab/>
        <w:t>Независимая комиссия по правам человека (Совет по рассмотрению жалоб) была сформирована в соответствии с президентским указом 1993 года и впоследствии подтверждена статьей 31 Основного закона. Комиссия действует в качестве независимого национального органа, который призван защищать и поощрять права человека путем мониторинга и документирования нарушений, рассмотрения жалоб и принятия последующих мер через официальные инстанции. Комиссия применяет правозащитный подход, который включает вопросы, касающиеся прав инвалидов.</w:t>
      </w:r>
    </w:p>
    <w:p w14:paraId="6F9DCB1F" w14:textId="77777777" w:rsidR="00C030AE" w:rsidRDefault="00EA12AB" w:rsidP="00EA12AB">
      <w:pPr>
        <w:pStyle w:val="SingleTxtG"/>
      </w:pPr>
      <w:r w:rsidRPr="00EA12AB">
        <w:t>440.</w:t>
      </w:r>
      <w:r w:rsidRPr="00EA12AB">
        <w:tab/>
        <w:t>Большинство жалоб, получаемых Комиссией в рамках ее системы рассмотрения жалоб, касаются следующего:</w:t>
      </w:r>
    </w:p>
    <w:p w14:paraId="13864B63" w14:textId="77777777" w:rsidR="00EA12AB" w:rsidRPr="00EA12AB" w:rsidRDefault="00BC7E52" w:rsidP="00BC7E52">
      <w:pPr>
        <w:pStyle w:val="SingleTxtG"/>
      </w:pPr>
      <w:r>
        <w:tab/>
      </w:r>
      <w:r>
        <w:tab/>
      </w:r>
      <w:r w:rsidR="00C030AE" w:rsidRPr="00EA12AB">
        <w:t>a)</w:t>
      </w:r>
      <w:r w:rsidR="00C030AE" w:rsidRPr="00EA12AB">
        <w:tab/>
      </w:r>
      <w:r w:rsidR="00EA12AB" w:rsidRPr="00EA12AB">
        <w:t>дискриминация и неравноправие при предоставлении услуг по причине инвалидности;</w:t>
      </w:r>
    </w:p>
    <w:p w14:paraId="2206BE41" w14:textId="77777777" w:rsidR="00EA12AB" w:rsidRPr="00EA12AB" w:rsidRDefault="00BC7E52" w:rsidP="00BC7E52">
      <w:pPr>
        <w:pStyle w:val="SingleTxtG"/>
      </w:pPr>
      <w:r>
        <w:tab/>
      </w:r>
      <w:r>
        <w:tab/>
      </w:r>
      <w:r w:rsidR="00C030AE" w:rsidRPr="00EA12AB">
        <w:t>b)</w:t>
      </w:r>
      <w:r w:rsidR="00C030AE" w:rsidRPr="00EA12AB">
        <w:tab/>
      </w:r>
      <w:r w:rsidR="00EA12AB" w:rsidRPr="00EA12AB">
        <w:t>неспособность министерств, органов власти, обслуживающих организаций и организаций инвалидов</w:t>
      </w:r>
      <w:r w:rsidR="00F15A81" w:rsidRPr="00F15A81">
        <w:t xml:space="preserve"> </w:t>
      </w:r>
      <w:r w:rsidR="00EA12AB" w:rsidRPr="00EA12AB">
        <w:t>оказывать услуги или неспособность обеспечить надлежащий уровень обслуживания инвалидов;</w:t>
      </w:r>
    </w:p>
    <w:p w14:paraId="77BD7A4F" w14:textId="77777777" w:rsidR="00C030AE" w:rsidRPr="008E2BCB" w:rsidRDefault="00BC7E52" w:rsidP="00BC7E52">
      <w:pPr>
        <w:pStyle w:val="SingleTxtG"/>
      </w:pPr>
      <w:r w:rsidRPr="008E2BCB">
        <w:tab/>
      </w:r>
      <w:r w:rsidRPr="008E2BCB">
        <w:tab/>
      </w:r>
      <w:r w:rsidR="00C030AE">
        <w:rPr>
          <w:lang w:val="en-GB"/>
        </w:rPr>
        <w:t>c</w:t>
      </w:r>
      <w:r w:rsidR="00C030AE" w:rsidRPr="008E2BCB">
        <w:t>)</w:t>
      </w:r>
      <w:r w:rsidR="00C030AE" w:rsidRPr="008E2BCB">
        <w:tab/>
      </w:r>
      <w:r w:rsidR="00EA12AB" w:rsidRPr="00EA12AB">
        <w:t>неприемлемые условия труда.</w:t>
      </w:r>
    </w:p>
    <w:p w14:paraId="3B0A1978" w14:textId="77777777" w:rsidR="00C030AE" w:rsidRDefault="00EA12AB" w:rsidP="00EA12AB">
      <w:pPr>
        <w:pStyle w:val="SingleTxtG"/>
      </w:pPr>
      <w:r w:rsidRPr="00EA12AB">
        <w:t>441.</w:t>
      </w:r>
      <w:r w:rsidRPr="00EA12AB">
        <w:tab/>
        <w:t>Для обеспечения всестороннего участия инвалидов в процессе мониторинга и осуществления Независимая комиссия предложила Всеобщему союзу инвалидов оказать содействие в доработке е</w:t>
      </w:r>
      <w:r w:rsidR="008E2BCB">
        <w:t>е</w:t>
      </w:r>
      <w:r w:rsidRPr="00EA12AB">
        <w:t xml:space="preserve"> системы рассмотрения жалоб, с тем чтобы в ней в большей степени учитывались права инвалидов. Кроме того, в сотрудничестве с Вифлеемским арабским обществом реабилитации был разработан бюллетень для мониторинга и документирования нарушений прав инвалидов. В настоящее время готовится учебное пособие по мониторингу и документированию нарушений прав, значительная часть которого будет посвящена мониторингу прав инвалидов, а также видам злоупотреблений и нарушений прав, которым они подвергаются.</w:t>
      </w:r>
    </w:p>
    <w:p w14:paraId="0D7FD24F" w14:textId="77777777" w:rsidR="00C030AE" w:rsidRDefault="00EA12AB" w:rsidP="00EA12AB">
      <w:pPr>
        <w:pStyle w:val="SingleTxtG"/>
      </w:pPr>
      <w:r w:rsidRPr="00EA12AB">
        <w:lastRenderedPageBreak/>
        <w:t>442.</w:t>
      </w:r>
      <w:r w:rsidRPr="00EA12AB">
        <w:tab/>
        <w:t xml:space="preserve">Стратегия сектора социальной защиты (2014–2016 годы) направлена на развитие социальных услуг для уязвимых и обездоленных групп населения путем содействия децентрализованному предоставлению услуг и принятия вариантов действий на местном уровне. Эта политика направлена на поощрение роли организаций гражданского общества и местных предприятий и предприятий </w:t>
      </w:r>
      <w:r w:rsidR="00F15A81">
        <w:br/>
      </w:r>
      <w:r w:rsidRPr="00EA12AB">
        <w:t xml:space="preserve">частного сектора в разработке и предоставлении услуг в целях создания смешанного рынка услуг, который повысит эффективность и обеспечит доступ для целевых групп на основе реальных потребностей. Стратегия сектора социальной защиты </w:t>
      </w:r>
      <w:r w:rsidR="00F15A81">
        <w:br/>
      </w:r>
      <w:r w:rsidRPr="00EA12AB">
        <w:t>(2017–2022 годы) содержит ряд секторальных стратегий, таких как включение в школьную программу предметов, способствующих равенству и справедливости, и обеспечение того, чтобы более качественные социальные и медицинские услуги были доступны для всех, включая инвалидов</w:t>
      </w:r>
      <w:r w:rsidR="004F634F">
        <w:rPr>
          <w:rStyle w:val="ab"/>
        </w:rPr>
        <w:endnoteReference w:id="72"/>
      </w:r>
      <w:r w:rsidRPr="00EA12AB">
        <w:t>.</w:t>
      </w:r>
    </w:p>
    <w:p w14:paraId="7BB3DFA3" w14:textId="77777777" w:rsidR="00C030AE" w:rsidRDefault="00EA12AB" w:rsidP="00EA12AB">
      <w:pPr>
        <w:pStyle w:val="SingleTxtG"/>
      </w:pPr>
      <w:r w:rsidRPr="00EA12AB">
        <w:t>443.</w:t>
      </w:r>
      <w:r w:rsidRPr="00EA12AB">
        <w:tab/>
        <w:t xml:space="preserve">Большое число организаций и ассоциаций гражданского общества, работающих с инвалидами, действуют в партнерстве с государственными органами в нескольких областях, включая повышение осведомленности, реабилитацию и предоставление </w:t>
      </w:r>
      <w:proofErr w:type="spellStart"/>
      <w:r w:rsidRPr="00EA12AB">
        <w:t>ассистивных</w:t>
      </w:r>
      <w:proofErr w:type="spellEnd"/>
      <w:r w:rsidRPr="00EA12AB">
        <w:t xml:space="preserve"> устройств и приспособлений. Кроме того, Министерство социального развития подготовило руководство по аккредитации социальных услуг, которое предназначено для инвалидов и ориентировано на обеспечение качества на основе сравнения нынешнего качественного уровня услуг с прежними стандартами качества. В рамках этой системы услуги могут быть приобретены только в том случае, если они соответствуют стандартам аккредитации, изложенным в руководстве. Поставщики услуг должны отвечать всем предъявляемым требованиям.</w:t>
      </w:r>
    </w:p>
    <w:p w14:paraId="3E97603C" w14:textId="77777777" w:rsidR="00C030AE" w:rsidRDefault="00EA12AB" w:rsidP="00EA12AB">
      <w:pPr>
        <w:pStyle w:val="SingleTxtG"/>
      </w:pPr>
      <w:r w:rsidRPr="00EA12AB">
        <w:t>444.</w:t>
      </w:r>
      <w:r w:rsidRPr="00EA12AB">
        <w:tab/>
        <w:t>По состоянию на конец 2015 года в Министерстве внутренних дел в Газе было зарегистрировано 1</w:t>
      </w:r>
      <w:r w:rsidR="00264C60">
        <w:rPr>
          <w:lang w:val="en-US"/>
        </w:rPr>
        <w:t> </w:t>
      </w:r>
      <w:r w:rsidRPr="00EA12AB">
        <w:t>005 ассоциаций и организаций, в том числе 30, занимающихся вопросами инвалидности</w:t>
      </w:r>
      <w:r w:rsidR="004F634F">
        <w:rPr>
          <w:rStyle w:val="ab"/>
        </w:rPr>
        <w:endnoteReference w:id="73"/>
      </w:r>
      <w:r w:rsidRPr="00EA12AB">
        <w:t>.</w:t>
      </w:r>
      <w:r w:rsidR="00C030AE">
        <w:t xml:space="preserve"> </w:t>
      </w:r>
    </w:p>
    <w:p w14:paraId="5053A68D" w14:textId="77777777" w:rsidR="00C030AE" w:rsidRDefault="00EA12AB" w:rsidP="00EA12AB">
      <w:pPr>
        <w:pStyle w:val="SingleTxtG"/>
        <w:rPr>
          <w:bCs/>
        </w:rPr>
      </w:pPr>
      <w:r w:rsidRPr="00EA12AB">
        <w:t>445.</w:t>
      </w:r>
      <w:r w:rsidRPr="00EA12AB">
        <w:tab/>
        <w:t xml:space="preserve">За осуществлением прав инвалидов следят многочисленные НПО. К ним относятся организация </w:t>
      </w:r>
      <w:r w:rsidR="008E2BCB">
        <w:t>«</w:t>
      </w:r>
      <w:proofErr w:type="spellStart"/>
      <w:r w:rsidRPr="00EA12AB">
        <w:t>Кадер</w:t>
      </w:r>
      <w:proofErr w:type="spellEnd"/>
      <w:r w:rsidR="008E2BCB">
        <w:t>»</w:t>
      </w:r>
      <w:r w:rsidRPr="00EA12AB">
        <w:t xml:space="preserve"> в Вифлееме и Палестинский консультативный совет по вопросам развития НПО, сфера деятельности которого распространяется на всю Палестину. Эти организации занимаются документированием нарушений в отношении инвалидов, совершаемых Израилем, оккупирующей державой.</w:t>
      </w:r>
    </w:p>
    <w:p w14:paraId="34295760" w14:textId="77777777" w:rsidR="00C030AE" w:rsidRDefault="00EA12AB" w:rsidP="00EA12AB">
      <w:pPr>
        <w:pStyle w:val="SingleTxtG"/>
        <w:rPr>
          <w:bCs/>
        </w:rPr>
      </w:pPr>
      <w:r w:rsidRPr="00EA12AB">
        <w:t>446.</w:t>
      </w:r>
      <w:r w:rsidRPr="00EA12AB">
        <w:tab/>
        <w:t xml:space="preserve">Организации гражданского общества приняли участие в разработке вышеупомянутых стратегических рамок для сектора инвалидности. Кроме того, несколько НПО осуществляют программу закупок услуг, в рамках которой Министерство социального развития и Министерство здравоохранения приобретают услуги по размещению и </w:t>
      </w:r>
      <w:proofErr w:type="spellStart"/>
      <w:r w:rsidRPr="00EA12AB">
        <w:t>ассистивные</w:t>
      </w:r>
      <w:proofErr w:type="spellEnd"/>
      <w:r w:rsidRPr="00EA12AB">
        <w:t xml:space="preserve"> устройства для инвалидов.</w:t>
      </w:r>
    </w:p>
    <w:p w14:paraId="3109C3C9" w14:textId="77777777" w:rsidR="00C030AE" w:rsidRDefault="00EA12AB" w:rsidP="00EA12AB">
      <w:pPr>
        <w:pStyle w:val="SingleTxtG"/>
        <w:rPr>
          <w:bCs/>
        </w:rPr>
      </w:pPr>
      <w:r w:rsidRPr="00EA12AB">
        <w:t>447.</w:t>
      </w:r>
      <w:r w:rsidRPr="00EA12AB">
        <w:tab/>
        <w:t>В обзорном докладе по сектору здравоохранения указаны 52</w:t>
      </w:r>
      <w:r w:rsidR="00F15A81">
        <w:rPr>
          <w:lang w:val="en-US"/>
        </w:rPr>
        <w:t> </w:t>
      </w:r>
      <w:r w:rsidRPr="00EA12AB">
        <w:t xml:space="preserve">восстановительных центра на Западном берегу и в секторе Газа. В справочнике БАПОР по организациям, работающим с инвалидами, перечислены 84 организации на Западном берегу и </w:t>
      </w:r>
      <w:r w:rsidR="00264C60" w:rsidRPr="00264C60">
        <w:t>4</w:t>
      </w:r>
      <w:r w:rsidRPr="00EA12AB">
        <w:t xml:space="preserve"> неправительственные реабилитационные больницы на Западном берегу и в Газе. Правительство пользуется экспертными знаниями и специальными навыками НПО и организаций гражданского общества.</w:t>
      </w:r>
    </w:p>
    <w:p w14:paraId="5EA8BB8D" w14:textId="77777777" w:rsidR="00C030AE" w:rsidRDefault="00EA12AB" w:rsidP="00EA12AB">
      <w:pPr>
        <w:pStyle w:val="SingleTxtG"/>
        <w:rPr>
          <w:bCs/>
        </w:rPr>
      </w:pPr>
      <w:r w:rsidRPr="00EA12AB">
        <w:t>448.</w:t>
      </w:r>
      <w:r w:rsidRPr="00EA12AB">
        <w:tab/>
        <w:t>С центрами и ассоциациями по всей стране было подписано порядка 23</w:t>
      </w:r>
      <w:r w:rsidR="00F15A81">
        <w:rPr>
          <w:lang w:val="en-US"/>
        </w:rPr>
        <w:t> </w:t>
      </w:r>
      <w:r w:rsidRPr="00EA12AB">
        <w:t>соглашений о приобретении услуг по уходу за 755 инвалидами, а с инвалидами – четыре соглашения о приобретении услуг, оказываемых на дому. Кроме того, Министерство оказывает помощь в денежной и натуральной форме инвалидам и бенефициарам таких программ Министерства, как программа оказания денежной помощи и проект ДИП.</w:t>
      </w:r>
    </w:p>
    <w:p w14:paraId="0A2FFFA5" w14:textId="77777777" w:rsidR="00C030AE" w:rsidRDefault="00EA12AB" w:rsidP="00EA12AB">
      <w:pPr>
        <w:pStyle w:val="SingleTxtG"/>
        <w:rPr>
          <w:bCs/>
        </w:rPr>
      </w:pPr>
      <w:r w:rsidRPr="00EA12AB">
        <w:t>449.</w:t>
      </w:r>
      <w:r w:rsidRPr="00EA12AB">
        <w:tab/>
        <w:t xml:space="preserve">Было подписано соглашение с Исламской организацией по оказанию чрезвычайной помощи Газе об осуществлении программ психосоциальной поддержки и об оснащении консультационных кабинетов; был подписан меморандум о взаимопонимании по вопросам инклюзивного образования с Палестинским обществом медицинской помощи; было заключено соглашение с Центром психического и физического здоровья в целях осуществления программы </w:t>
      </w:r>
      <w:r w:rsidR="008E2BCB">
        <w:t>«</w:t>
      </w:r>
      <w:r w:rsidRPr="00EA12AB">
        <w:t>Надежда и исцеление</w:t>
      </w:r>
      <w:r w:rsidR="008E2BCB">
        <w:t>»</w:t>
      </w:r>
      <w:r w:rsidRPr="00EA12AB">
        <w:t xml:space="preserve"> для 400 учащихся в восточной части Газы; и было подписано соглашение с Программой по охране психического здоровья населения Газы, предусматривающее подготовку консультантов и оснащение консультационных пунктов.</w:t>
      </w:r>
    </w:p>
    <w:p w14:paraId="6E6F143C" w14:textId="77777777" w:rsidR="00C030AE" w:rsidRPr="00327959" w:rsidRDefault="00327959" w:rsidP="00327959">
      <w:pPr>
        <w:tabs>
          <w:tab w:val="left" w:pos="284"/>
        </w:tabs>
        <w:rPr>
          <w:i/>
          <w:iCs/>
        </w:rPr>
      </w:pPr>
      <w:r w:rsidRPr="003A5C20">
        <w:rPr>
          <w:i/>
          <w:iCs/>
          <w:lang w:val="ru-RU"/>
        </w:rPr>
        <w:lastRenderedPageBreak/>
        <w:tab/>
      </w:r>
      <w:proofErr w:type="spellStart"/>
      <w:r w:rsidR="00EA12AB" w:rsidRPr="00327959">
        <w:rPr>
          <w:i/>
          <w:iCs/>
        </w:rPr>
        <w:t>Примечания</w:t>
      </w:r>
      <w:proofErr w:type="spellEnd"/>
    </w:p>
    <w:sectPr w:rsidR="00C030AE" w:rsidRPr="00327959" w:rsidSect="00EA12AB">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F3AD5A" w14:textId="77777777" w:rsidR="005F758D" w:rsidRPr="00A312BC" w:rsidRDefault="005F758D" w:rsidP="00A312BC"/>
  </w:endnote>
  <w:endnote w:type="continuationSeparator" w:id="0">
    <w:p w14:paraId="47F8F52E" w14:textId="77777777" w:rsidR="005F758D" w:rsidRPr="00A312BC" w:rsidRDefault="005F758D" w:rsidP="00A312BC"/>
  </w:endnote>
  <w:endnote w:id="1">
    <w:p w14:paraId="2F12E7BE" w14:textId="77777777" w:rsidR="005F758D" w:rsidRPr="00264C60" w:rsidRDefault="005F758D" w:rsidP="008179E0">
      <w:pPr>
        <w:pStyle w:val="af"/>
        <w:widowControl w:val="0"/>
        <w:bidi/>
        <w:rPr>
          <w:rFonts w:asciiTheme="minorHAnsi" w:hAnsiTheme="minorHAnsi"/>
          <w:szCs w:val="18"/>
        </w:rPr>
      </w:pPr>
      <w:r>
        <w:tab/>
      </w:r>
      <w:r>
        <w:rPr>
          <w:rStyle w:val="ab"/>
        </w:rPr>
        <w:endnoteRef/>
      </w:r>
      <w:r>
        <w:tab/>
      </w:r>
      <w:r w:rsidRPr="002A047B">
        <w:rPr>
          <w:rFonts w:ascii="Traditional Arabic" w:hAnsi="Traditional Arabic" w:cs="Traditional Arabic"/>
        </w:rPr>
        <w:tab/>
      </w:r>
      <w:r w:rsidRPr="002A047B">
        <w:rPr>
          <w:rFonts w:ascii="Traditional Arabic" w:hAnsi="Traditional Arabic" w:cs="Traditional Arabic"/>
          <w:szCs w:val="18"/>
          <w:rtl/>
        </w:rPr>
        <w:t>الشكل التالي للتوضيح:</w:t>
      </w:r>
    </w:p>
    <w:p w14:paraId="03512E35" w14:textId="77777777" w:rsidR="005F758D" w:rsidRPr="00051B02" w:rsidRDefault="005F758D" w:rsidP="00232EA5">
      <w:pPr>
        <w:spacing w:after="120"/>
      </w:pPr>
      <w:r w:rsidRPr="002034FA">
        <w:rPr>
          <w:rFonts w:ascii="Traditional Arabic" w:eastAsia="AXtManal" w:hAnsi="Traditional Arabic"/>
          <w:noProof/>
          <w:lang w:eastAsia="en-GB"/>
        </w:rPr>
        <w:drawing>
          <wp:inline distT="0" distB="0" distL="0" distR="0" wp14:anchorId="5463B6FB" wp14:editId="106F8DD5">
            <wp:extent cx="5329555" cy="3224530"/>
            <wp:effectExtent l="0" t="0" r="0" b="0"/>
            <wp:docPr id="7" name="Diagram 7"/>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inline>
        </w:drawing>
      </w:r>
    </w:p>
  </w:endnote>
  <w:endnote w:id="2">
    <w:p w14:paraId="5C6653FC" w14:textId="77777777" w:rsidR="005F758D" w:rsidRPr="00051B02" w:rsidRDefault="005F758D" w:rsidP="00051B02">
      <w:pPr>
        <w:pStyle w:val="af"/>
        <w:widowControl w:val="0"/>
        <w:bidi/>
        <w:rPr>
          <w:rFonts w:asciiTheme="minorHAnsi" w:hAnsiTheme="minorHAnsi" w:cs="Traditional Arabic"/>
          <w:szCs w:val="18"/>
        </w:rPr>
      </w:pPr>
      <w:r>
        <w:tab/>
      </w:r>
      <w:r w:rsidRPr="002A047B">
        <w:rPr>
          <w:rStyle w:val="ab"/>
        </w:rPr>
        <w:endnoteRef/>
      </w:r>
      <w:r w:rsidRPr="002325D3">
        <w:rPr>
          <w:rFonts w:ascii="Traditional Arabic" w:hAnsi="Traditional Arabic" w:cs="Traditional Arabic"/>
          <w:szCs w:val="18"/>
        </w:rPr>
        <w:tab/>
      </w:r>
      <w:r w:rsidRPr="002325D3">
        <w:rPr>
          <w:rFonts w:ascii="Traditional Arabic" w:hAnsi="Traditional Arabic" w:cs="Traditional Arabic"/>
          <w:szCs w:val="18"/>
          <w:rtl/>
        </w:rPr>
        <w:t>تنظم المادة (6) من قانون السلطة القضائية الفلسطيني لسنة 2002</w:t>
      </w:r>
      <w:r w:rsidRPr="002325D3">
        <w:rPr>
          <w:rFonts w:ascii="Traditional Arabic" w:hAnsi="Traditional Arabic" w:cs="Traditional Arabic"/>
          <w:b/>
          <w:bCs/>
          <w:szCs w:val="18"/>
          <w:rtl/>
        </w:rPr>
        <w:t xml:space="preserve"> </w:t>
      </w:r>
      <w:r w:rsidRPr="002325D3">
        <w:rPr>
          <w:rFonts w:ascii="Traditional Arabic" w:hAnsi="Traditional Arabic" w:cs="Traditional Arabic"/>
          <w:szCs w:val="18"/>
          <w:rtl/>
        </w:rPr>
        <w:t>تشكيلة المحاكم حيث</w:t>
      </w:r>
      <w:r w:rsidRPr="002325D3">
        <w:rPr>
          <w:rFonts w:ascii="Traditional Arabic" w:eastAsia="AXtManal" w:hAnsi="Traditional Arabic" w:cs="Traditional Arabic"/>
          <w:szCs w:val="18"/>
          <w:rtl/>
        </w:rPr>
        <w:t xml:space="preserve"> تنص على انه: </w:t>
      </w:r>
      <w:bookmarkStart w:id="2" w:name="A14053_6"/>
      <w:r w:rsidRPr="002325D3">
        <w:rPr>
          <w:rFonts w:ascii="Traditional Arabic" w:eastAsia="AXtManal" w:hAnsi="Traditional Arabic" w:cs="Traditional Arabic"/>
          <w:szCs w:val="18"/>
          <w:rtl/>
        </w:rPr>
        <w:t>“تتكون المحاكم الفلسطينية من: أولاً: المحاكم الشرعية والدينية وينظمها القانون. ثانياً: المحكمة الدستورية العليا وينظمها القانون. ثالثاً: المحاكم النظامية وتتكون من: 1-المحكمة العليا وتتكون من: أ-محكمة النقض ب-محكمة العدل العليا. 2-محاكم الاستئناف 3-محاكم البداية. 4-محاكم الصلح. وتنظر كل منها في المسائل التي ترفع إليها طبقاً للقانون</w:t>
      </w:r>
      <w:r w:rsidRPr="002325D3">
        <w:rPr>
          <w:rFonts w:ascii="Traditional Arabic" w:eastAsia="AXtManal" w:hAnsi="Traditional Arabic" w:cs="Traditional Arabic"/>
          <w:szCs w:val="18"/>
        </w:rPr>
        <w:t>.</w:t>
      </w:r>
      <w:r w:rsidRPr="002325D3">
        <w:rPr>
          <w:rFonts w:ascii="Traditional Arabic" w:eastAsia="AXtManal" w:hAnsi="Traditional Arabic" w:cs="Traditional Arabic"/>
          <w:szCs w:val="18"/>
          <w:rtl/>
        </w:rPr>
        <w:t>”</w:t>
      </w:r>
      <w:bookmarkEnd w:id="2"/>
    </w:p>
  </w:endnote>
  <w:endnote w:id="3">
    <w:p w14:paraId="5CB0D53F" w14:textId="77777777" w:rsidR="005F758D" w:rsidRPr="00051B02" w:rsidRDefault="005F758D" w:rsidP="00051B02">
      <w:pPr>
        <w:pStyle w:val="af"/>
        <w:widowControl w:val="0"/>
        <w:bidi/>
        <w:rPr>
          <w:rFonts w:asciiTheme="minorHAnsi" w:hAnsiTheme="minorHAnsi" w:cs="Traditional Arabic"/>
          <w:szCs w:val="18"/>
        </w:rPr>
      </w:pPr>
      <w:r>
        <w:tab/>
      </w:r>
      <w:r w:rsidRPr="002A047B">
        <w:rPr>
          <w:rStyle w:val="ab"/>
        </w:rPr>
        <w:endnoteRef/>
      </w:r>
      <w:r w:rsidRPr="002325D3">
        <w:rPr>
          <w:rFonts w:ascii="Traditional Arabic" w:hAnsi="Traditional Arabic" w:cs="Traditional Arabic"/>
          <w:szCs w:val="18"/>
        </w:rPr>
        <w:tab/>
      </w:r>
      <w:r w:rsidRPr="002325D3">
        <w:rPr>
          <w:rFonts w:ascii="Traditional Arabic" w:hAnsi="Traditional Arabic" w:cs="Traditional Arabic"/>
          <w:szCs w:val="18"/>
          <w:rtl/>
        </w:rPr>
        <w:t>تنص المادة 8 من قانون الطفل الفلسطيني المعدل لعام 2004 على: “تتخذ الدولة الاجراءات والتدابير المناسبة لضمان تمتع الاطفال ذوي الاحتياجات الخاصة بالرعاية اللازمة في المجالات كافة وخاصة التعليم والصحة والتأهيل المهني لتعزيز اعتمادهم على النفس وضمان مشاركتهم الفاعلة في المجتمع.”</w:t>
      </w:r>
    </w:p>
  </w:endnote>
  <w:endnote w:id="4">
    <w:p w14:paraId="06F1B58C" w14:textId="77777777" w:rsidR="005F758D" w:rsidRPr="00051B02" w:rsidRDefault="005F758D" w:rsidP="00051B02">
      <w:pPr>
        <w:pStyle w:val="af"/>
        <w:widowControl w:val="0"/>
        <w:bidi/>
        <w:rPr>
          <w:rFonts w:asciiTheme="minorHAnsi" w:hAnsiTheme="minorHAnsi" w:cs="Traditional Arabic"/>
          <w:szCs w:val="18"/>
        </w:rPr>
      </w:pPr>
      <w:r>
        <w:tab/>
      </w:r>
      <w:r>
        <w:rPr>
          <w:rStyle w:val="ab"/>
        </w:rPr>
        <w:endnoteRef/>
      </w:r>
      <w:r>
        <w:tab/>
      </w:r>
      <w:r w:rsidRPr="002325D3">
        <w:rPr>
          <w:rFonts w:ascii="Traditional Arabic" w:hAnsi="Traditional Arabic" w:cs="Traditional Arabic"/>
          <w:szCs w:val="18"/>
        </w:rPr>
        <w:tab/>
      </w:r>
      <w:r w:rsidRPr="002325D3">
        <w:rPr>
          <w:rFonts w:ascii="Traditional Arabic" w:hAnsi="Traditional Arabic" w:cs="Traditional Arabic"/>
          <w:szCs w:val="18"/>
          <w:rtl/>
        </w:rPr>
        <w:t>هو آخر مسح تم اجراؤه، في المسح المذكور، بلغ</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حجم</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العينة</w:t>
      </w:r>
      <w:r w:rsidRPr="002325D3">
        <w:rPr>
          <w:rFonts w:ascii="Traditional Arabic" w:hAnsi="Traditional Arabic" w:cs="Traditional Arabic"/>
          <w:szCs w:val="18"/>
        </w:rPr>
        <w:t xml:space="preserve"> 15,572 </w:t>
      </w:r>
      <w:r w:rsidRPr="002325D3">
        <w:rPr>
          <w:rFonts w:ascii="Traditional Arabic" w:hAnsi="Traditional Arabic" w:cs="Traditional Arabic"/>
          <w:szCs w:val="18"/>
          <w:rtl/>
        </w:rPr>
        <w:t>أسرة</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في</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كافة انحاء الأرض</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 xml:space="preserve">الفلسطينية؛ منهم </w:t>
      </w:r>
      <w:r w:rsidRPr="002325D3">
        <w:rPr>
          <w:rFonts w:ascii="Traditional Arabic" w:hAnsi="Traditional Arabic" w:cs="Traditional Arabic"/>
          <w:szCs w:val="18"/>
        </w:rPr>
        <w:t>10,422</w:t>
      </w:r>
      <w:r w:rsidRPr="002325D3">
        <w:rPr>
          <w:rFonts w:ascii="Traditional Arabic" w:hAnsi="Traditional Arabic" w:cs="Traditional Arabic"/>
          <w:szCs w:val="18"/>
          <w:rtl/>
        </w:rPr>
        <w:t xml:space="preserve"> أسرة في الضفة الغربية </w:t>
      </w:r>
      <w:r w:rsidRPr="002325D3">
        <w:rPr>
          <w:rFonts w:ascii="Traditional Arabic" w:hAnsi="Traditional Arabic" w:cs="Traditional Arabic"/>
          <w:szCs w:val="18"/>
        </w:rPr>
        <w:t>5,150</w:t>
      </w:r>
      <w:r w:rsidRPr="002325D3">
        <w:rPr>
          <w:rFonts w:ascii="Traditional Arabic" w:hAnsi="Traditional Arabic" w:cs="Traditional Arabic"/>
          <w:szCs w:val="18"/>
          <w:rtl/>
        </w:rPr>
        <w:t xml:space="preserve"> أسرة في قطاع غزة.</w:t>
      </w:r>
    </w:p>
  </w:endnote>
  <w:endnote w:id="5">
    <w:p w14:paraId="01CE5F4E" w14:textId="77777777" w:rsidR="005F758D" w:rsidRDefault="005F758D" w:rsidP="003A5C20">
      <w:pPr>
        <w:pStyle w:val="af"/>
        <w:widowControl w:val="0"/>
        <w:bidi/>
      </w:pPr>
      <w:r>
        <w:tab/>
      </w:r>
      <w:r w:rsidRPr="002A047B">
        <w:rPr>
          <w:rStyle w:val="ab"/>
        </w:rPr>
        <w:endnoteRef/>
      </w:r>
      <w:r w:rsidRPr="002325D3">
        <w:rPr>
          <w:rFonts w:ascii="Traditional Arabic" w:hAnsi="Traditional Arabic" w:cs="Traditional Arabic"/>
          <w:szCs w:val="18"/>
        </w:rPr>
        <w:tab/>
        <w:t xml:space="preserve"> </w:t>
      </w:r>
      <w:r w:rsidRPr="002325D3">
        <w:rPr>
          <w:rFonts w:ascii="Traditional Arabic" w:hAnsi="Traditional Arabic" w:cs="Traditional Arabic"/>
          <w:szCs w:val="18"/>
          <w:rtl/>
        </w:rPr>
        <w:t>“وفقاً لمنظمة</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الصحة</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العالمية</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ومجموعة</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واشنطن</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لإحصاءات</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الإعاقة،</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فقد</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تم</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تطوير</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مفهوم</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وتعريف</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موحد</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لقياس الصعوبات</w:t>
      </w:r>
      <w:r w:rsidRPr="002325D3">
        <w:rPr>
          <w:rFonts w:ascii="Traditional Arabic" w:hAnsi="Traditional Arabic" w:cs="Traditional Arabic"/>
          <w:szCs w:val="18"/>
        </w:rPr>
        <w:t>/</w:t>
      </w:r>
      <w:r w:rsidRPr="002325D3">
        <w:rPr>
          <w:rFonts w:ascii="Traditional Arabic" w:hAnsi="Traditional Arabic" w:cs="Traditional Arabic"/>
          <w:szCs w:val="18"/>
          <w:rtl/>
        </w:rPr>
        <w:t>الإعاقات</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في</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أي</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مجتمع،</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وقد</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اقترحت</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مجموعة</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واشنطن</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لإحصاءات</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الإعاقة</w:t>
      </w:r>
      <w:r w:rsidRPr="002325D3">
        <w:rPr>
          <w:rFonts w:ascii="Traditional Arabic" w:hAnsi="Traditional Arabic" w:cs="Traditional Arabic"/>
          <w:szCs w:val="18"/>
        </w:rPr>
        <w:t xml:space="preserve"> 6 </w:t>
      </w:r>
      <w:r w:rsidRPr="002325D3">
        <w:rPr>
          <w:rFonts w:ascii="Traditional Arabic" w:hAnsi="Traditional Arabic" w:cs="Traditional Arabic"/>
          <w:szCs w:val="18"/>
          <w:rtl/>
        </w:rPr>
        <w:t>أسئلة</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محورية</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لقياس</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انتشار الإعاقة</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ضمن</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استمارة</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التعدادات</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السكانية،</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واشتمل</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كل</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سؤال</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على</w:t>
      </w:r>
      <w:r w:rsidRPr="002325D3">
        <w:rPr>
          <w:rFonts w:ascii="Traditional Arabic" w:hAnsi="Traditional Arabic" w:cs="Traditional Arabic"/>
          <w:szCs w:val="18"/>
        </w:rPr>
        <w:t xml:space="preserve"> 4 </w:t>
      </w:r>
      <w:r w:rsidRPr="002325D3">
        <w:rPr>
          <w:rFonts w:ascii="Traditional Arabic" w:hAnsi="Traditional Arabic" w:cs="Traditional Arabic"/>
          <w:szCs w:val="18"/>
          <w:rtl/>
        </w:rPr>
        <w:t>فئات</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إجابة</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على</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النحو</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الآتي</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لا</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يوجد</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صعوبة، بعض</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الصعوبة،</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صعوبة</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كبيرة،</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ولا</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يستطيع</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مطلقا</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وقد</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خرج</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الاجتماع</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الأخير</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لمجموعة</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واشنطن</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لإحصاءات</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الإعاقة، والذي</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عقد</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في</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شهر</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نوفمبر</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من العام</w:t>
      </w:r>
      <w:r>
        <w:rPr>
          <w:rFonts w:ascii="Traditional Arabic" w:hAnsi="Traditional Arabic" w:cs="Traditional Arabic"/>
          <w:szCs w:val="18"/>
          <w:rtl/>
        </w:rPr>
        <w:t xml:space="preserve"> </w:t>
      </w:r>
      <w:r w:rsidRPr="002325D3">
        <w:rPr>
          <w:rFonts w:ascii="Traditional Arabic" w:hAnsi="Traditional Arabic" w:cs="Traditional Arabic"/>
          <w:szCs w:val="18"/>
        </w:rPr>
        <w:t>2010</w:t>
      </w:r>
      <w:r w:rsidRPr="002325D3">
        <w:rPr>
          <w:rFonts w:ascii="Traditional Arabic" w:hAnsi="Traditional Arabic" w:cs="Traditional Arabic"/>
          <w:szCs w:val="18"/>
          <w:rtl/>
        </w:rPr>
        <w:t>،</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بتوصية</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تقضي</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بدعوة</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الدول</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التي</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تقوم</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بقياس</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انتشار</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الإعاقة</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من</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خلال التعداد</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أو</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المسوح</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الأسرية</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باعتبار</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الفرد</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الذي</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يعاني</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من</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صعوبة</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كبيرة</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أو</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لا</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يستطيع</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مطلقا</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على</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أنه</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فرد</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ذو</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إعاقة</w:t>
      </w:r>
      <w:r w:rsidRPr="002325D3">
        <w:rPr>
          <w:rFonts w:ascii="Traditional Arabic" w:hAnsi="Traditional Arabic" w:cs="Traditional Arabic"/>
          <w:szCs w:val="18"/>
        </w:rPr>
        <w:t>.</w:t>
      </w:r>
      <w:r w:rsidRPr="002325D3">
        <w:rPr>
          <w:rFonts w:ascii="Traditional Arabic" w:hAnsi="Traditional Arabic" w:cs="Traditional Arabic"/>
          <w:szCs w:val="18"/>
          <w:rtl/>
        </w:rPr>
        <w:t xml:space="preserve"> لقد</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تم</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استخدام</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الأسئلة</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المحورية</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الستة التي</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طورتها</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مجموعة</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واشنطن</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لإحصاءات</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الإعاقة</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في</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هذا</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المسح (صعوبة البصر،</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والسمع،</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والتواصل،</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والتذكر</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والتركيز،</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والحركة</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واستخدام</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الأطراف</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العلوية)،</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إضافة</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إلى</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سؤالين</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إضافيين حول</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صعوبة</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التعلم</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والصحة</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النفسية،</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وقد</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اشتمل</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كل</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سؤال</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على</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نفس</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فئات</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الإجابة</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التي</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أوصت</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بها</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مجموعة</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واشنطن</w:t>
      </w:r>
      <w:r w:rsidRPr="002325D3">
        <w:rPr>
          <w:rFonts w:ascii="Traditional Arabic" w:hAnsi="Traditional Arabic" w:cs="Traditional Arabic"/>
          <w:szCs w:val="18"/>
        </w:rPr>
        <w:t>.</w:t>
      </w:r>
      <w:r w:rsidRPr="002325D3">
        <w:rPr>
          <w:rFonts w:ascii="Traditional Arabic" w:hAnsi="Traditional Arabic" w:cs="Traditional Arabic"/>
          <w:szCs w:val="18"/>
          <w:rtl/>
        </w:rPr>
        <w:t>” تقرير الجهاز المركزي للإحصاء الفلسطيني ووزارة التنمية الاجتماعية 2011.</w:t>
      </w:r>
    </w:p>
  </w:endnote>
  <w:endnote w:id="6">
    <w:p w14:paraId="652AE396" w14:textId="77777777" w:rsidR="005F758D" w:rsidRPr="003A5C20" w:rsidRDefault="005F758D" w:rsidP="003A5C20">
      <w:pPr>
        <w:pStyle w:val="af"/>
        <w:widowControl w:val="0"/>
        <w:bidi/>
      </w:pPr>
      <w:r>
        <w:tab/>
      </w:r>
      <w:r w:rsidRPr="002A047B">
        <w:rPr>
          <w:rStyle w:val="ab"/>
        </w:rPr>
        <w:endnoteRef/>
      </w:r>
      <w:r w:rsidRPr="002325D3">
        <w:rPr>
          <w:rFonts w:ascii="Traditional Arabic" w:hAnsi="Traditional Arabic" w:cs="Traditional Arabic"/>
          <w:szCs w:val="18"/>
        </w:rPr>
        <w:tab/>
        <w:t xml:space="preserve"> </w:t>
      </w:r>
      <w:r w:rsidRPr="002325D3">
        <w:rPr>
          <w:rFonts w:ascii="Traditional Arabic" w:hAnsi="Traditional Arabic" w:cs="Traditional Arabic"/>
          <w:szCs w:val="18"/>
          <w:rtl/>
        </w:rPr>
        <w:t xml:space="preserve">كذلك تناول الهدف الثاني من </w:t>
      </w:r>
      <w:r w:rsidRPr="002325D3">
        <w:rPr>
          <w:rFonts w:ascii="Traditional Arabic" w:hAnsi="Traditional Arabic" w:cs="Traditional Arabic"/>
          <w:szCs w:val="18"/>
          <w:rtl/>
          <w:lang w:eastAsia="de-DE"/>
        </w:rPr>
        <w:t>استراتيجية قطاع التنمية الاجتماعية 2017- 2022: ضمان شمول مناهج التعليم العام والتعليم العالي لمواد واهداف تعزز المساواة والعدالة بين الجميع. وايضا ايجاد آليات وثقافة مجتمعية ومؤسساتية تعزز دور المؤسسات والقيادات المحلية وممثلي اصحاب الحقوق في مساءلة اصحاب الواجبات في جميع المجالات. وكذلك، وضع سياسات وتدابير من مؤسسات العدالة تمكن الفئات المهمشة من الوصول للقضاء النظامي والشرعي من خلال بناء نظام المساعدة القانونية. واخيرا توفير وتطوير الخدمات الاجتماعية والصحية والتعليم للفئات المهمشة بما فيها الاشخاص ذوي الاعاقة.</w:t>
      </w:r>
    </w:p>
  </w:endnote>
  <w:endnote w:id="7">
    <w:p w14:paraId="3969F0CC" w14:textId="77777777" w:rsidR="005F758D" w:rsidRPr="003A5C20" w:rsidRDefault="005F758D" w:rsidP="003A5C20">
      <w:pPr>
        <w:pStyle w:val="af"/>
        <w:widowControl w:val="0"/>
        <w:bidi/>
      </w:pPr>
      <w:r>
        <w:tab/>
      </w:r>
      <w:r w:rsidRPr="002A047B">
        <w:rPr>
          <w:rStyle w:val="ab"/>
        </w:rPr>
        <w:endnoteRef/>
      </w:r>
      <w:r w:rsidRPr="002325D3">
        <w:rPr>
          <w:rFonts w:ascii="Traditional Arabic" w:hAnsi="Traditional Arabic" w:cs="Traditional Arabic"/>
          <w:szCs w:val="18"/>
        </w:rPr>
        <w:tab/>
      </w:r>
      <w:r w:rsidRPr="002325D3">
        <w:rPr>
          <w:rFonts w:ascii="Traditional Arabic" w:hAnsi="Traditional Arabic" w:cs="Traditional Arabic"/>
          <w:szCs w:val="18"/>
          <w:rtl/>
        </w:rPr>
        <w:t>يعالج مشكلات نوعية وجودة الخدمات والازدواجية ويحد من العبث بحقوق الأشخاص ذوي الإعاقة، ويرشد ويوجه استثمار الموارد، ويسهل التعاون والتشبيك وطنياً ودولياً، كما يقدم نموذجاً عملياً لمشاركة الأشخاص ذوي الإعاقة بفعالية في إدارة شؤونهم.</w:t>
      </w:r>
      <w:r w:rsidRPr="002325D3">
        <w:rPr>
          <w:rFonts w:ascii="Traditional Arabic" w:hAnsi="Traditional Arabic" w:cs="Traditional Arabic"/>
          <w:szCs w:val="18"/>
        </w:rPr>
        <w:t xml:space="preserve"> </w:t>
      </w:r>
    </w:p>
  </w:endnote>
  <w:endnote w:id="8">
    <w:p w14:paraId="3047A3E4" w14:textId="77777777" w:rsidR="005F758D" w:rsidRPr="003A5C20" w:rsidRDefault="005F758D" w:rsidP="003A5C20">
      <w:pPr>
        <w:pStyle w:val="af"/>
        <w:widowControl w:val="0"/>
        <w:bidi/>
      </w:pPr>
      <w:r>
        <w:tab/>
      </w:r>
      <w:r>
        <w:rPr>
          <w:rStyle w:val="ab"/>
        </w:rPr>
        <w:endnoteRef/>
      </w:r>
      <w:r>
        <w:tab/>
      </w:r>
      <w:r w:rsidRPr="002325D3">
        <w:rPr>
          <w:rFonts w:ascii="Traditional Arabic" w:hAnsi="Traditional Arabic" w:cs="Traditional Arabic"/>
          <w:szCs w:val="18"/>
        </w:rPr>
        <w:tab/>
      </w:r>
      <w:r w:rsidRPr="002325D3">
        <w:rPr>
          <w:rFonts w:ascii="Traditional Arabic" w:eastAsia="Calibri" w:hAnsi="Traditional Arabic" w:cs="Traditional Arabic"/>
          <w:szCs w:val="18"/>
          <w:rtl/>
        </w:rPr>
        <w:t>كما تم تشكيل مكتب المجلس التنفيذي وخمسة لجان هي: التشريعية، التخطيط والسياسات، والرصد والمتابعة وجودة الخدمات بالإضافة الى لجنة المناصرة، كذلك تم إعداد واعتماد نظام داخلي لتنظيم عمل المجلس ومسودة قانون خاص لتكريس شخصية المجلس الاعتبارية المستقلة وتعديل مركزه القانوني، حيث شارك ممثلون عن المجلس في العديد من الفعاليات والندوات وفي عدد من البرامج الإعلامية الرامية للتوعية بقضايا وحقوق الأشخاص ذوي الإعاقة.</w:t>
      </w:r>
    </w:p>
  </w:endnote>
  <w:endnote w:id="9">
    <w:p w14:paraId="47673D3E" w14:textId="77777777" w:rsidR="005F758D" w:rsidRPr="003A5C20" w:rsidRDefault="005F758D" w:rsidP="003A5C20">
      <w:pPr>
        <w:pStyle w:val="af"/>
        <w:widowControl w:val="0"/>
        <w:bidi/>
      </w:pPr>
      <w:r>
        <w:tab/>
      </w:r>
      <w:r w:rsidRPr="002A047B">
        <w:rPr>
          <w:rStyle w:val="ab"/>
        </w:rPr>
        <w:endnoteRef/>
      </w:r>
      <w:r w:rsidRPr="002325D3">
        <w:rPr>
          <w:rFonts w:ascii="Traditional Arabic" w:hAnsi="Traditional Arabic" w:cs="Traditional Arabic"/>
          <w:szCs w:val="18"/>
        </w:rPr>
        <w:tab/>
      </w:r>
      <w:r w:rsidRPr="002325D3">
        <w:rPr>
          <w:rFonts w:ascii="Traditional Arabic" w:eastAsia="Calibri" w:hAnsi="Traditional Arabic" w:cs="Traditional Arabic"/>
          <w:szCs w:val="18"/>
          <w:rtl/>
        </w:rPr>
        <w:t>هناك تباين من وزير الى آخر وفقاً لرؤية كل وزير ومدى قناعته بأهمية المجلس كمظلة وطنية لقطاع الإعاقة، وقد أثر ذلك على دورية وانتظام الاجتماعات وعلى نوعية القرارات الصادرة عن اجتماعات المجلس التي كانت وتيرة انتظامها متأرجحة تبعاً لمستوى اهتمام الوزراء.</w:t>
      </w:r>
    </w:p>
  </w:endnote>
  <w:endnote w:id="10">
    <w:p w14:paraId="5EA53E13" w14:textId="77777777" w:rsidR="005F758D" w:rsidRPr="003A5C20" w:rsidRDefault="005F758D" w:rsidP="00621E85">
      <w:pPr>
        <w:pStyle w:val="af"/>
        <w:widowControl w:val="0"/>
        <w:bidi/>
      </w:pPr>
      <w:r>
        <w:tab/>
      </w:r>
      <w:r w:rsidRPr="002A047B">
        <w:rPr>
          <w:rStyle w:val="ab"/>
        </w:rPr>
        <w:endnoteRef/>
      </w:r>
      <w:r w:rsidRPr="002325D3">
        <w:rPr>
          <w:rFonts w:ascii="Traditional Arabic" w:hAnsi="Traditional Arabic" w:cs="Traditional Arabic"/>
          <w:szCs w:val="18"/>
        </w:rPr>
        <w:tab/>
      </w:r>
      <w:r w:rsidRPr="002325D3">
        <w:rPr>
          <w:rFonts w:ascii="Traditional Arabic" w:eastAsia="Calibri" w:hAnsi="Traditional Arabic" w:cs="Traditional Arabic"/>
          <w:szCs w:val="18"/>
          <w:rtl/>
        </w:rPr>
        <w:t>من ناحية اخرى عدم استقلالية المجلس يجعل قراراته ونشاطاته مرتبطة بموقف الجهة التي يتبع لها، علاوة على أن التبعية المالية وعدم وجود مخصصات مالية ولا طاقم موظفين وتعدد الأشخاص المتدخلين دون مبررات أدى الى حالة من الزعزعة التي أحبطت في الكثير من الأحيان مبادرات عمل وأدت الى تراجع ملموس في وتيرة العمل. بالإضافة الى ذلك فإن تفاوت الصلاحيات ومستوى التفويض الذي يتمتع به كل عضو منتدب من مؤسسته الحكومية أو الأهلية يؤثر سلباً أو ايجاباً فالأعضاء الذين لديهم رؤيا صلاحيات إتخاذ القرار مؤثرون ايجابياً وعلى العكس فمن تتدنى رتبهم الوظيفية ولا يحملون رؤيا ولا حتى توجيهات والذين لديهم اتجاهات سلبية نحو ملف الإعاقة فإنهم يعوقون التقدم ليس بالضرورة عن قصد.</w:t>
      </w:r>
    </w:p>
  </w:endnote>
  <w:endnote w:id="11">
    <w:p w14:paraId="044B54D8" w14:textId="77777777" w:rsidR="005F758D" w:rsidRDefault="005F758D" w:rsidP="00621E85">
      <w:pPr>
        <w:pStyle w:val="af"/>
        <w:widowControl w:val="0"/>
        <w:bidi/>
      </w:pPr>
      <w:r>
        <w:tab/>
      </w:r>
      <w:r w:rsidRPr="002A047B">
        <w:rPr>
          <w:rStyle w:val="ab"/>
        </w:rPr>
        <w:endnoteRef/>
      </w:r>
      <w:r w:rsidRPr="002325D3">
        <w:rPr>
          <w:rFonts w:ascii="Traditional Arabic" w:hAnsi="Traditional Arabic" w:cs="Traditional Arabic"/>
          <w:szCs w:val="18"/>
        </w:rPr>
        <w:tab/>
      </w:r>
      <w:r w:rsidRPr="002325D3">
        <w:rPr>
          <w:rFonts w:ascii="Traditional Arabic" w:hAnsi="Traditional Arabic" w:cs="Traditional Arabic"/>
          <w:szCs w:val="18"/>
          <w:rtl/>
        </w:rPr>
        <w:t>خرج</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الاجتماع</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الأخير</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لمجموعة</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واشنطن</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لإحصاءات</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الإعاقة، والذي</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عقد</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في</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شهر</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تشرين الثاني</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من</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العام</w:t>
      </w:r>
      <w:r w:rsidRPr="002325D3">
        <w:rPr>
          <w:rFonts w:ascii="Traditional Arabic" w:hAnsi="Traditional Arabic" w:cs="Traditional Arabic"/>
          <w:szCs w:val="18"/>
        </w:rPr>
        <w:t xml:space="preserve"> 2010</w:t>
      </w:r>
      <w:r w:rsidRPr="002325D3">
        <w:rPr>
          <w:rFonts w:ascii="Traditional Arabic" w:hAnsi="Traditional Arabic" w:cs="Traditional Arabic"/>
          <w:szCs w:val="18"/>
          <w:rtl/>
        </w:rPr>
        <w:t>،</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بتوصية</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تقضي</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بدعوة</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الدول</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التي</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تقوم</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بقياس</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انتشار</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الإعاقة</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من</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خلال التعداد</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أو</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المسوح</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الأسرية</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باعتبار</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الفرد</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الذي</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يعاني</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من</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صعوبة</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كبيرة</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أو لا يستطيع</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مطلقا</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على</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أنه</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فرد</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ذو</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إعاقة، عن الجهاز المركزي للإحصاء الفلسطيني، مسح الاعاقة 2011.</w:t>
      </w:r>
    </w:p>
  </w:endnote>
  <w:endnote w:id="12">
    <w:p w14:paraId="59029232" w14:textId="77777777" w:rsidR="005F758D" w:rsidRDefault="005F758D" w:rsidP="00B61AD0">
      <w:pPr>
        <w:pStyle w:val="af"/>
        <w:widowControl w:val="0"/>
        <w:bidi/>
      </w:pPr>
      <w:r>
        <w:tab/>
      </w:r>
      <w:r w:rsidRPr="002A047B">
        <w:rPr>
          <w:rStyle w:val="ab"/>
        </w:rPr>
        <w:endnoteRef/>
      </w:r>
      <w:r w:rsidRPr="002325D3">
        <w:rPr>
          <w:rFonts w:ascii="Traditional Arabic" w:hAnsi="Traditional Arabic" w:cs="Traditional Arabic"/>
          <w:szCs w:val="18"/>
        </w:rPr>
        <w:tab/>
      </w:r>
      <w:r w:rsidRPr="002325D3">
        <w:rPr>
          <w:rFonts w:ascii="Traditional Arabic" w:hAnsi="Traditional Arabic" w:cs="Traditional Arabic"/>
          <w:szCs w:val="18"/>
          <w:rtl/>
        </w:rPr>
        <w:t>نصت المادة 15 من اللائحة التنفيذية لعام 2004: “</w:t>
      </w:r>
      <w:r w:rsidRPr="002325D3">
        <w:rPr>
          <w:rFonts w:ascii="Traditional Arabic" w:hAnsi="Traditional Arabic" w:cs="Traditional Arabic"/>
          <w:color w:val="000000"/>
          <w:szCs w:val="18"/>
          <w:rtl/>
        </w:rPr>
        <w:t>تعمل وزارة الشئون الاجتماعية على إدخال لغة الإشارة في المرافق الحكومية والمؤسسات الأهلية وذلك وفق خطة تضعها لتنفيذ ذلك وتشمل على سبيل المثال</w:t>
      </w:r>
      <w:r w:rsidRPr="002325D3">
        <w:rPr>
          <w:rFonts w:ascii="Traditional Arabic" w:hAnsi="Traditional Arabic" w:cs="Traditional Arabic"/>
          <w:color w:val="000000"/>
          <w:szCs w:val="18"/>
        </w:rPr>
        <w:t xml:space="preserve">: 1. </w:t>
      </w:r>
      <w:r w:rsidRPr="002325D3">
        <w:rPr>
          <w:rFonts w:ascii="Traditional Arabic" w:hAnsi="Traditional Arabic" w:cs="Traditional Arabic"/>
          <w:color w:val="000000"/>
          <w:szCs w:val="18"/>
          <w:rtl/>
        </w:rPr>
        <w:t>التعاون مع وزارة التربية والتعليم والمؤسسات الأهلية العاملة في مجال لغة الإشارة بعمل بدورات تدريبية للغة الإشارة في المرافق الحكومية</w:t>
      </w:r>
      <w:r w:rsidRPr="002325D3">
        <w:rPr>
          <w:rFonts w:ascii="Traditional Arabic" w:hAnsi="Traditional Arabic" w:cs="Traditional Arabic"/>
          <w:color w:val="000000"/>
          <w:szCs w:val="18"/>
        </w:rPr>
        <w:t xml:space="preserve">. 2. </w:t>
      </w:r>
      <w:r w:rsidRPr="002325D3">
        <w:rPr>
          <w:rFonts w:ascii="Traditional Arabic" w:hAnsi="Traditional Arabic" w:cs="Traditional Arabic"/>
          <w:color w:val="000000"/>
          <w:szCs w:val="18"/>
          <w:rtl/>
        </w:rPr>
        <w:t>التعاون مع وزارة المواصلات لوضع إشارات خاصة على مركبات السائقين المعوقين سمعيا</w:t>
      </w:r>
      <w:r w:rsidRPr="002325D3">
        <w:rPr>
          <w:rFonts w:ascii="Traditional Arabic" w:hAnsi="Traditional Arabic" w:cs="Traditional Arabic"/>
          <w:color w:val="000000"/>
          <w:szCs w:val="18"/>
        </w:rPr>
        <w:t xml:space="preserve">. 3. </w:t>
      </w:r>
      <w:r w:rsidRPr="002325D3">
        <w:rPr>
          <w:rFonts w:ascii="Traditional Arabic" w:hAnsi="Traditional Arabic" w:cs="Traditional Arabic"/>
          <w:color w:val="000000"/>
          <w:szCs w:val="18"/>
          <w:rtl/>
        </w:rPr>
        <w:t>استخدام لغة الإشارة في التلفزيون</w:t>
      </w:r>
      <w:r w:rsidRPr="002325D3">
        <w:rPr>
          <w:rFonts w:ascii="Traditional Arabic" w:hAnsi="Traditional Arabic" w:cs="Traditional Arabic"/>
          <w:color w:val="000000"/>
          <w:szCs w:val="18"/>
        </w:rPr>
        <w:t xml:space="preserve">. 4. </w:t>
      </w:r>
      <w:r w:rsidRPr="002325D3">
        <w:rPr>
          <w:rFonts w:ascii="Traditional Arabic" w:hAnsi="Traditional Arabic" w:cs="Traditional Arabic"/>
          <w:color w:val="000000"/>
          <w:szCs w:val="18"/>
          <w:rtl/>
        </w:rPr>
        <w:t>توعية الجمهور على أهمية استخدام لغة الإشارة لغة تواصل مع الأشخاص المعوقين سمعيا</w:t>
      </w:r>
      <w:r w:rsidRPr="002325D3">
        <w:rPr>
          <w:rFonts w:ascii="Traditional Arabic" w:hAnsi="Traditional Arabic" w:cs="Traditional Arabic"/>
          <w:color w:val="000000"/>
          <w:szCs w:val="18"/>
        </w:rPr>
        <w:t>.</w:t>
      </w:r>
      <w:r w:rsidRPr="002325D3">
        <w:rPr>
          <w:rFonts w:ascii="Traditional Arabic" w:hAnsi="Traditional Arabic" w:cs="Traditional Arabic"/>
          <w:color w:val="000000"/>
          <w:szCs w:val="18"/>
          <w:rtl/>
        </w:rPr>
        <w:t>”</w:t>
      </w:r>
    </w:p>
  </w:endnote>
  <w:endnote w:id="13">
    <w:p w14:paraId="52AF7D0D" w14:textId="77777777" w:rsidR="005F758D" w:rsidRDefault="005F758D" w:rsidP="00013579">
      <w:pPr>
        <w:pStyle w:val="af"/>
        <w:widowControl w:val="0"/>
        <w:bidi/>
      </w:pPr>
      <w:r>
        <w:tab/>
      </w:r>
      <w:r w:rsidRPr="002A047B">
        <w:rPr>
          <w:rStyle w:val="ab"/>
        </w:rPr>
        <w:endnoteRef/>
      </w:r>
      <w:r w:rsidRPr="002325D3">
        <w:rPr>
          <w:rFonts w:ascii="Traditional Arabic" w:hAnsi="Traditional Arabic" w:cs="Traditional Arabic"/>
          <w:szCs w:val="18"/>
        </w:rPr>
        <w:tab/>
      </w:r>
      <w:r w:rsidRPr="002325D3">
        <w:rPr>
          <w:rFonts w:ascii="Traditional Arabic" w:hAnsi="Traditional Arabic" w:cs="Traditional Arabic"/>
          <w:szCs w:val="18"/>
          <w:rtl/>
        </w:rPr>
        <w:t>نصت المادة 24 من قانون الخدمة المدنية رقم 4 لعام 1998 على: “يشترط فيمن يعين في أي وظيفة أن يكون</w:t>
      </w:r>
      <w:r w:rsidRPr="002325D3">
        <w:rPr>
          <w:rFonts w:ascii="Traditional Arabic" w:hAnsi="Traditional Arabic" w:cs="Traditional Arabic"/>
          <w:szCs w:val="18"/>
        </w:rPr>
        <w:t>:</w:t>
      </w:r>
      <w:r w:rsidRPr="002325D3">
        <w:rPr>
          <w:rFonts w:ascii="Traditional Arabic" w:hAnsi="Traditional Arabic" w:cs="Traditional Arabic"/>
          <w:szCs w:val="18"/>
          <w:rtl/>
        </w:rPr>
        <w:t xml:space="preserve"> 1-فلسطينياً أو عربياً</w:t>
      </w:r>
      <w:r w:rsidRPr="002325D3">
        <w:rPr>
          <w:rFonts w:ascii="Traditional Arabic" w:hAnsi="Traditional Arabic" w:cs="Traditional Arabic"/>
          <w:szCs w:val="18"/>
        </w:rPr>
        <w:t>.</w:t>
      </w:r>
      <w:r w:rsidRPr="002325D3">
        <w:rPr>
          <w:rFonts w:ascii="Traditional Arabic" w:hAnsi="Traditional Arabic" w:cs="Traditional Arabic"/>
          <w:szCs w:val="18"/>
          <w:rtl/>
        </w:rPr>
        <w:t xml:space="preserve"> 2- قد أكمل السنة الثامنة عشرة من عمره ويثبت عمر الموظف بشهادة ميلاده الرسمية وفي الأحوال التي لا يتيسر فيها الحصول على شهادة الميلاد يقدر عمره بقرار تتخذه اللجنة الطبية المختصة ويعتبر قرارها في هذا الشأن نهائياً</w:t>
      </w:r>
      <w:r w:rsidRPr="002325D3">
        <w:rPr>
          <w:rFonts w:ascii="Traditional Arabic" w:hAnsi="Traditional Arabic" w:cs="Traditional Arabic"/>
          <w:szCs w:val="18"/>
        </w:rPr>
        <w:t>.</w:t>
      </w:r>
      <w:r w:rsidRPr="002325D3">
        <w:rPr>
          <w:rFonts w:ascii="Traditional Arabic" w:hAnsi="Traditional Arabic" w:cs="Traditional Arabic"/>
          <w:szCs w:val="18"/>
          <w:rtl/>
        </w:rPr>
        <w:t xml:space="preserve"> 3- خالياً من الأمراض والعاهات البدنية والعقلية التي تمنعه من القيام بأعمال الوظيفة التي سيعين فيها بموجب قرار من المراجع الطبي المختص، على أنه يجوز تعيين الكفيف في عينيه أو فاقد البصر في إحدى عينيه أو ذي الإعاقة الجسدية، إذا لم تكن أي من تلك الإعاقات تمنعه من القيام بأعمال الوظيفة التي سيعين فيها بشهادة المرجع الطبي المختص على أن تتوافر فيه الشروط الأخرى للياقة الصحية</w:t>
      </w:r>
      <w:r w:rsidRPr="002325D3">
        <w:rPr>
          <w:rFonts w:ascii="Traditional Arabic" w:hAnsi="Traditional Arabic" w:cs="Traditional Arabic"/>
          <w:szCs w:val="18"/>
        </w:rPr>
        <w:t>.</w:t>
      </w:r>
      <w:r w:rsidRPr="002325D3">
        <w:rPr>
          <w:rFonts w:ascii="Traditional Arabic" w:hAnsi="Traditional Arabic" w:cs="Traditional Arabic"/>
          <w:szCs w:val="18"/>
          <w:rtl/>
        </w:rPr>
        <w:t xml:space="preserve"> 4-متمتعاً بحقوقه المدنية غير محكوم عليه من محكمة فلسطينية مختصة بجناية أو بجنحة مخلة بالشرف أو الأمانة ما لم يرد إليه اعتباره</w:t>
      </w:r>
      <w:r w:rsidRPr="002325D3">
        <w:rPr>
          <w:rFonts w:ascii="Traditional Arabic" w:hAnsi="Traditional Arabic" w:cs="Traditional Arabic"/>
          <w:szCs w:val="18"/>
        </w:rPr>
        <w:t>.</w:t>
      </w:r>
      <w:r w:rsidRPr="002325D3">
        <w:rPr>
          <w:rFonts w:ascii="Traditional Arabic" w:hAnsi="Traditional Arabic" w:cs="Traditional Arabic"/>
          <w:szCs w:val="18"/>
          <w:rtl/>
        </w:rPr>
        <w:t>”</w:t>
      </w:r>
    </w:p>
  </w:endnote>
  <w:endnote w:id="14">
    <w:p w14:paraId="315D435A" w14:textId="77777777" w:rsidR="005F758D" w:rsidRDefault="005F758D" w:rsidP="00013579">
      <w:pPr>
        <w:pStyle w:val="af"/>
        <w:widowControl w:val="0"/>
        <w:bidi/>
      </w:pPr>
      <w:r>
        <w:tab/>
      </w:r>
      <w:r w:rsidRPr="002A047B">
        <w:rPr>
          <w:rStyle w:val="ab"/>
        </w:rPr>
        <w:endnoteRef/>
      </w:r>
      <w:r w:rsidRPr="002325D3">
        <w:rPr>
          <w:rFonts w:ascii="Traditional Arabic" w:hAnsi="Traditional Arabic" w:cs="Traditional Arabic"/>
          <w:szCs w:val="18"/>
        </w:rPr>
        <w:tab/>
      </w:r>
      <w:r w:rsidRPr="002325D3">
        <w:rPr>
          <w:rFonts w:ascii="Traditional Arabic" w:hAnsi="Traditional Arabic" w:cs="Traditional Arabic"/>
          <w:szCs w:val="18"/>
          <w:rtl/>
          <w:lang w:bidi="ar-LB"/>
        </w:rPr>
        <w:t xml:space="preserve">مرت عملية التخطيط الاستراتيجي بالمراحل التالية: </w:t>
      </w:r>
      <w:r w:rsidRPr="002325D3">
        <w:rPr>
          <w:rFonts w:ascii="Traditional Arabic" w:hAnsi="Traditional Arabic" w:cs="Traditional Arabic"/>
          <w:b/>
          <w:bCs/>
          <w:szCs w:val="18"/>
          <w:rtl/>
          <w:lang w:bidi="ar-LB"/>
        </w:rPr>
        <w:t>المرحلة الأولى</w:t>
      </w:r>
      <w:r w:rsidRPr="002325D3">
        <w:rPr>
          <w:rFonts w:ascii="Traditional Arabic" w:hAnsi="Traditional Arabic" w:cs="Traditional Arabic"/>
          <w:szCs w:val="18"/>
          <w:rtl/>
          <w:lang w:bidi="ar-LB"/>
        </w:rPr>
        <w:t xml:space="preserve">: تشكيل فريق التخطيط الاستراتيجي وعملية التحضير. </w:t>
      </w:r>
      <w:r w:rsidRPr="002325D3">
        <w:rPr>
          <w:rFonts w:ascii="Traditional Arabic" w:hAnsi="Traditional Arabic" w:cs="Traditional Arabic"/>
          <w:b/>
          <w:bCs/>
          <w:szCs w:val="18"/>
          <w:rtl/>
          <w:lang w:bidi="ar-LB"/>
        </w:rPr>
        <w:t>المرحلة الثانية</w:t>
      </w:r>
      <w:r w:rsidRPr="002325D3">
        <w:rPr>
          <w:rFonts w:ascii="Traditional Arabic" w:hAnsi="Traditional Arabic" w:cs="Traditional Arabic"/>
          <w:szCs w:val="18"/>
          <w:rtl/>
          <w:lang w:bidi="ar-LB"/>
        </w:rPr>
        <w:t xml:space="preserve">: العمل الميداني. </w:t>
      </w:r>
      <w:r w:rsidRPr="002325D3">
        <w:rPr>
          <w:rFonts w:ascii="Traditional Arabic" w:hAnsi="Traditional Arabic" w:cs="Traditional Arabic"/>
          <w:b/>
          <w:bCs/>
          <w:szCs w:val="18"/>
          <w:rtl/>
          <w:lang w:bidi="ar-LB"/>
        </w:rPr>
        <w:t>والمرحلة الثالثة</w:t>
      </w:r>
      <w:r w:rsidRPr="002325D3">
        <w:rPr>
          <w:rFonts w:ascii="Traditional Arabic" w:hAnsi="Traditional Arabic" w:cs="Traditional Arabic"/>
          <w:szCs w:val="18"/>
          <w:rtl/>
          <w:lang w:bidi="ar-LB"/>
        </w:rPr>
        <w:t xml:space="preserve">: لقاءات تجميعية على مستوى المناطق. والمرحلة الرابعة: مرحلة التحليل، </w:t>
      </w:r>
      <w:r w:rsidRPr="002325D3">
        <w:rPr>
          <w:rFonts w:ascii="Traditional Arabic" w:hAnsi="Traditional Arabic" w:cs="Traditional Arabic"/>
          <w:b/>
          <w:bCs/>
          <w:szCs w:val="18"/>
          <w:rtl/>
          <w:lang w:bidi="ar-LB"/>
        </w:rPr>
        <w:t>والمرحلة الخامسة</w:t>
      </w:r>
      <w:r w:rsidRPr="002325D3">
        <w:rPr>
          <w:rFonts w:ascii="Traditional Arabic" w:hAnsi="Traditional Arabic" w:cs="Traditional Arabic"/>
          <w:szCs w:val="18"/>
          <w:rtl/>
          <w:lang w:bidi="ar-LB"/>
        </w:rPr>
        <w:t>: عرض نتائج العمل.</w:t>
      </w:r>
    </w:p>
  </w:endnote>
  <w:endnote w:id="15">
    <w:p w14:paraId="61ED8F30" w14:textId="77777777" w:rsidR="005F758D" w:rsidRDefault="005F758D" w:rsidP="00916207">
      <w:pPr>
        <w:pStyle w:val="af"/>
        <w:widowControl w:val="0"/>
        <w:bidi/>
      </w:pPr>
      <w:r>
        <w:tab/>
      </w:r>
      <w:r w:rsidRPr="002A047B">
        <w:rPr>
          <w:rStyle w:val="ab"/>
        </w:rPr>
        <w:endnoteRef/>
      </w:r>
      <w:r w:rsidRPr="002325D3">
        <w:rPr>
          <w:rFonts w:ascii="Traditional Arabic" w:hAnsi="Traditional Arabic" w:cs="Traditional Arabic"/>
          <w:szCs w:val="18"/>
        </w:rPr>
        <w:tab/>
      </w:r>
      <w:r w:rsidRPr="002325D3">
        <w:rPr>
          <w:rFonts w:ascii="Traditional Arabic" w:hAnsi="Traditional Arabic" w:cs="Traditional Arabic"/>
          <w:szCs w:val="18"/>
          <w:rtl/>
        </w:rPr>
        <w:t>ويوفر هذا الإطار الاستراتيجي، أداة لقيادة العمل الوطني في قطاع الإعاقة ضمن رؤية موحدة للعمل المشترك في إطار النموذج الحقوقي التنموي، ويغطي هذا الإطار الاستراتيجي خمسة موضوعات إستراتيجية مبنية على اتجاهات التدخل من خلال السياسات المرتبطة بها، وبرامج للتدخل آنية ومستقبلية، إضافة إلى بناء قدرات المؤسسات العاملة في هذا القطاع.</w:t>
      </w:r>
    </w:p>
  </w:endnote>
  <w:endnote w:id="16">
    <w:p w14:paraId="719B06D1" w14:textId="77777777" w:rsidR="005F758D" w:rsidRDefault="005F758D" w:rsidP="00916207">
      <w:pPr>
        <w:pStyle w:val="af"/>
        <w:widowControl w:val="0"/>
        <w:bidi/>
      </w:pPr>
      <w:r>
        <w:tab/>
      </w:r>
      <w:r w:rsidRPr="002A047B">
        <w:rPr>
          <w:rStyle w:val="ab"/>
        </w:rPr>
        <w:endnoteRef/>
      </w:r>
      <w:r w:rsidRPr="002325D3">
        <w:rPr>
          <w:rFonts w:ascii="Traditional Arabic" w:hAnsi="Traditional Arabic" w:cs="Traditional Arabic"/>
          <w:szCs w:val="18"/>
        </w:rPr>
        <w:tab/>
      </w:r>
      <w:r w:rsidRPr="002325D3">
        <w:rPr>
          <w:rFonts w:ascii="Traditional Arabic" w:hAnsi="Traditional Arabic" w:cs="Traditional Arabic"/>
          <w:szCs w:val="18"/>
          <w:rtl/>
        </w:rPr>
        <w:t xml:space="preserve">فيما يتعلق بهيكلية المجلس الاعلى للأشخاص ذوي الإعاقة؛ يتكون من الرئيس، وزير التنمية الاجتماعية. </w:t>
      </w:r>
      <w:r w:rsidRPr="002325D3">
        <w:rPr>
          <w:rFonts w:ascii="Traditional Arabic" w:hAnsi="Traditional Arabic" w:cs="Traditional Arabic"/>
          <w:szCs w:val="18"/>
          <w:rtl/>
          <w:lang w:bidi="ar-JO"/>
        </w:rPr>
        <w:t>وا</w:t>
      </w:r>
      <w:r w:rsidRPr="002325D3">
        <w:rPr>
          <w:rFonts w:ascii="Traditional Arabic" w:hAnsi="Traditional Arabic" w:cs="Traditional Arabic"/>
          <w:szCs w:val="18"/>
          <w:rtl/>
        </w:rPr>
        <w:t>لأعضاء المكونة من: مؤسسات حكومية ووزارات التنمية الاجتماعية، الصحة، التربية والتعليم، العمل، المواصلات، الاتصالات وتكنولوجيا المعلومات، الحكم المحلي.</w:t>
      </w:r>
      <w:r>
        <w:rPr>
          <w:rFonts w:ascii="Traditional Arabic" w:hAnsi="Traditional Arabic" w:cs="Traditional Arabic"/>
          <w:szCs w:val="18"/>
          <w:rtl/>
        </w:rPr>
        <w:t xml:space="preserve"> </w:t>
      </w:r>
      <w:r w:rsidRPr="002325D3">
        <w:rPr>
          <w:rFonts w:ascii="Traditional Arabic" w:hAnsi="Traditional Arabic" w:cs="Traditional Arabic"/>
          <w:szCs w:val="18"/>
          <w:rtl/>
        </w:rPr>
        <w:t>إضافة إلى مؤسسات أهلية: الإتحاد الفلسطيني العام للأشخاص ذوي الإعاقة، جمعية بيت لحم العربية للتأهيل، الهلال الأحمر الفلسطيني، جمعية الشبان المسيحية-القدس، جمعية أصدقاء المريض/ مركز خليل أبو ريا للتأهيل، مؤسسة الجريح الفلسطيني، جمعية الأميرة بسمة.</w:t>
      </w:r>
      <w:r>
        <w:rPr>
          <w:rFonts w:ascii="Traditional Arabic" w:hAnsi="Traditional Arabic" w:cs="Traditional Arabic"/>
          <w:szCs w:val="18"/>
          <w:rtl/>
          <w:lang w:bidi="ar-JO"/>
        </w:rPr>
        <w:t xml:space="preserve"> </w:t>
      </w:r>
      <w:r w:rsidRPr="002325D3">
        <w:rPr>
          <w:rFonts w:ascii="Traditional Arabic" w:hAnsi="Traditional Arabic" w:cs="Traditional Arabic"/>
          <w:szCs w:val="18"/>
          <w:rtl/>
          <w:lang w:bidi="ar-JO"/>
        </w:rPr>
        <w:t xml:space="preserve">إضافة الى </w:t>
      </w:r>
      <w:r w:rsidRPr="002325D3">
        <w:rPr>
          <w:rFonts w:ascii="Traditional Arabic" w:hAnsi="Traditional Arabic" w:cs="Traditional Arabic"/>
          <w:szCs w:val="18"/>
          <w:rtl/>
        </w:rPr>
        <w:t xml:space="preserve">عضوية فردية/ خبراء: </w:t>
      </w:r>
      <w:r w:rsidRPr="002325D3">
        <w:rPr>
          <w:rFonts w:ascii="Traditional Arabic" w:hAnsi="Traditional Arabic" w:cs="Traditional Arabic"/>
          <w:szCs w:val="18"/>
          <w:rtl/>
          <w:lang w:bidi="ar-JO"/>
        </w:rPr>
        <w:t>من ال</w:t>
      </w:r>
      <w:r w:rsidRPr="002325D3">
        <w:rPr>
          <w:rFonts w:ascii="Traditional Arabic" w:hAnsi="Traditional Arabic" w:cs="Traditional Arabic"/>
          <w:szCs w:val="18"/>
          <w:rtl/>
        </w:rPr>
        <w:t>قطاع الخاص مركز التجارة الفلسطيني. أما أنواع العضوية فهي:</w:t>
      </w:r>
      <w:r w:rsidRPr="002325D3">
        <w:rPr>
          <w:rFonts w:ascii="Traditional Arabic" w:hAnsi="Traditional Arabic" w:cs="Traditional Arabic"/>
          <w:szCs w:val="18"/>
          <w:rtl/>
          <w:lang w:bidi="ar-JO"/>
        </w:rPr>
        <w:t xml:space="preserve"> </w:t>
      </w:r>
      <w:r w:rsidRPr="002325D3">
        <w:rPr>
          <w:rFonts w:ascii="Traditional Arabic" w:hAnsi="Traditional Arabic" w:cs="Traditional Arabic"/>
          <w:szCs w:val="18"/>
          <w:rtl/>
        </w:rPr>
        <w:t>أعضاء عاديين / تشمل جميع المؤسسات المبينة أعلاه، وأعضاء مراقبون: وتشمل، الهيئة المستقلة لحقوق الإنسان، إتحاد اللجان المحلية للتأهيل، جمعية نجوم الأمل، جمعية أصوات.</w:t>
      </w:r>
    </w:p>
  </w:endnote>
  <w:endnote w:id="17">
    <w:p w14:paraId="63616CB8" w14:textId="77777777" w:rsidR="005F758D" w:rsidRDefault="005F758D" w:rsidP="00916207">
      <w:pPr>
        <w:pStyle w:val="af"/>
        <w:widowControl w:val="0"/>
        <w:bidi/>
      </w:pPr>
      <w:r>
        <w:tab/>
      </w:r>
      <w:r w:rsidRPr="002A047B">
        <w:rPr>
          <w:rStyle w:val="ab"/>
        </w:rPr>
        <w:endnoteRef/>
      </w:r>
      <w:r w:rsidRPr="002325D3">
        <w:rPr>
          <w:rFonts w:ascii="Traditional Arabic" w:hAnsi="Traditional Arabic" w:cs="Traditional Arabic"/>
          <w:szCs w:val="18"/>
        </w:rPr>
        <w:tab/>
      </w:r>
      <w:r w:rsidRPr="002325D3">
        <w:rPr>
          <w:rFonts w:ascii="Traditional Arabic" w:hAnsi="Traditional Arabic" w:cs="Traditional Arabic"/>
          <w:noProof/>
          <w:szCs w:val="18"/>
          <w:rtl/>
        </w:rPr>
        <w:t>قيمة المنحة المالية المخصصة لهذا المشروع حسب الإتفاقية المبرمة: 6.513.300 دولار. أما مجموع المبالغ المحولة من المانح : 2.821.342 دولار</w:t>
      </w:r>
      <w:r w:rsidRPr="002325D3">
        <w:rPr>
          <w:rFonts w:ascii="Traditional Arabic" w:hAnsi="Traditional Arabic" w:cs="Traditional Arabic"/>
          <w:b/>
          <w:bCs/>
          <w:noProof/>
          <w:szCs w:val="18"/>
          <w:rtl/>
        </w:rPr>
        <w:t>، و</w:t>
      </w:r>
      <w:r w:rsidRPr="002325D3">
        <w:rPr>
          <w:rFonts w:ascii="Traditional Arabic" w:hAnsi="Traditional Arabic" w:cs="Traditional Arabic"/>
          <w:noProof/>
          <w:szCs w:val="18"/>
          <w:rtl/>
        </w:rPr>
        <w:t>المبلغ المتبقي للتحويل من المانح : 3.691.958 دولار</w:t>
      </w:r>
      <w:r w:rsidRPr="002325D3">
        <w:rPr>
          <w:rFonts w:ascii="Traditional Arabic" w:hAnsi="Traditional Arabic" w:cs="Traditional Arabic"/>
          <w:b/>
          <w:bCs/>
          <w:noProof/>
          <w:szCs w:val="18"/>
          <w:rtl/>
        </w:rPr>
        <w:t xml:space="preserve">. اما </w:t>
      </w:r>
      <w:r w:rsidRPr="002325D3">
        <w:rPr>
          <w:rFonts w:ascii="Traditional Arabic" w:hAnsi="Traditional Arabic" w:cs="Traditional Arabic"/>
          <w:noProof/>
          <w:szCs w:val="18"/>
          <w:rtl/>
        </w:rPr>
        <w:t>الرصيد البنكي المتوفر بتاريخ 31/1/2017: 1.069.064 دولار</w:t>
      </w:r>
      <w:r w:rsidRPr="002325D3">
        <w:rPr>
          <w:rFonts w:ascii="Traditional Arabic" w:hAnsi="Traditional Arabic" w:cs="Traditional Arabic"/>
          <w:b/>
          <w:bCs/>
          <w:noProof/>
          <w:szCs w:val="18"/>
          <w:rtl/>
        </w:rPr>
        <w:t xml:space="preserve">. </w:t>
      </w:r>
      <w:r w:rsidRPr="002325D3">
        <w:rPr>
          <w:rFonts w:ascii="Traditional Arabic" w:hAnsi="Traditional Arabic" w:cs="Traditional Arabic"/>
          <w:noProof/>
          <w:szCs w:val="18"/>
          <w:rtl/>
        </w:rPr>
        <w:t>وقد بلغ مجموع المشاريع : منح 533 مشروع؛ مشاريع فاشلة : 199 مشروع، ومشاريع ناجحة : 218 مشروع، ومشاريع متعثرة : 100 مشروع، ومشاريع توفي أصحابها : 16 مشروع. أما مجموع التسديد حتى تاريخ 31/1/2017 ( 566.803) دولار.</w:t>
      </w:r>
    </w:p>
  </w:endnote>
  <w:endnote w:id="18">
    <w:p w14:paraId="2B94C528" w14:textId="77777777" w:rsidR="005F758D" w:rsidRPr="002325D3" w:rsidRDefault="005F758D" w:rsidP="00916207">
      <w:pPr>
        <w:pStyle w:val="af"/>
        <w:widowControl w:val="0"/>
        <w:tabs>
          <w:tab w:val="clear" w:pos="1021"/>
          <w:tab w:val="right" w:pos="1020"/>
        </w:tabs>
        <w:bidi/>
        <w:rPr>
          <w:rFonts w:ascii="Traditional Arabic" w:eastAsia="Calibri" w:hAnsi="Traditional Arabic" w:cs="Traditional Arabic"/>
          <w:szCs w:val="18"/>
        </w:rPr>
      </w:pPr>
      <w:r>
        <w:tab/>
      </w:r>
      <w:r w:rsidRPr="002A047B">
        <w:rPr>
          <w:rStyle w:val="ab"/>
        </w:rPr>
        <w:endnoteRef/>
      </w:r>
      <w:r w:rsidRPr="002325D3">
        <w:rPr>
          <w:rFonts w:ascii="Traditional Arabic" w:hAnsi="Traditional Arabic" w:cs="Traditional Arabic"/>
          <w:szCs w:val="18"/>
        </w:rPr>
        <w:tab/>
      </w:r>
      <w:r w:rsidRPr="002325D3">
        <w:rPr>
          <w:rFonts w:ascii="Traditional Arabic" w:hAnsi="Traditional Arabic" w:cs="Traditional Arabic"/>
          <w:noProof/>
          <w:szCs w:val="18"/>
          <w:rtl/>
        </w:rPr>
        <w:t>آليات</w:t>
      </w:r>
      <w:r w:rsidRPr="002325D3">
        <w:rPr>
          <w:rFonts w:ascii="Traditional Arabic" w:eastAsia="Calibri" w:hAnsi="Traditional Arabic" w:cs="Traditional Arabic"/>
          <w:szCs w:val="18"/>
          <w:rtl/>
        </w:rPr>
        <w:t xml:space="preserve"> منح القروض بعد استقبال الطلبات هي:</w:t>
      </w:r>
    </w:p>
    <w:p w14:paraId="055C621B" w14:textId="77777777" w:rsidR="005F758D" w:rsidRPr="002325D3" w:rsidRDefault="005F758D" w:rsidP="00916207">
      <w:pPr>
        <w:pStyle w:val="af"/>
        <w:widowControl w:val="0"/>
        <w:tabs>
          <w:tab w:val="clear" w:pos="1021"/>
          <w:tab w:val="right" w:pos="1020"/>
          <w:tab w:val="right" w:pos="1275"/>
        </w:tabs>
        <w:bidi/>
        <w:ind w:left="2154"/>
        <w:rPr>
          <w:rFonts w:ascii="Traditional Arabic" w:hAnsi="Traditional Arabic" w:cs="Traditional Arabic"/>
          <w:szCs w:val="18"/>
          <w:rtl/>
        </w:rPr>
      </w:pPr>
      <w:r w:rsidRPr="002325D3">
        <w:rPr>
          <w:rFonts w:ascii="Traditional Arabic" w:hAnsi="Traditional Arabic" w:cs="Traditional Arabic"/>
          <w:szCs w:val="18"/>
          <w:rtl/>
        </w:rPr>
        <w:t>1</w:t>
      </w:r>
      <w:r w:rsidRPr="002325D3">
        <w:rPr>
          <w:rFonts w:ascii="Traditional Arabic" w:hAnsi="Traditional Arabic" w:cs="Traditional Arabic"/>
          <w:szCs w:val="18"/>
        </w:rPr>
        <w:t>-</w:t>
      </w:r>
      <w:r w:rsidRPr="002325D3">
        <w:rPr>
          <w:rFonts w:ascii="Traditional Arabic" w:hAnsi="Traditional Arabic" w:cs="Traditional Arabic"/>
          <w:szCs w:val="18"/>
        </w:rPr>
        <w:tab/>
      </w:r>
      <w:r w:rsidRPr="002325D3">
        <w:rPr>
          <w:rFonts w:ascii="Traditional Arabic" w:hAnsi="Traditional Arabic" w:cs="Traditional Arabic"/>
          <w:szCs w:val="18"/>
          <w:rtl/>
        </w:rPr>
        <w:t>يتم زيارة المستفيدين من البرنامج لتقييم مواقعهم واستدادهم لتنفيذ المشاريع</w:t>
      </w:r>
      <w:r w:rsidRPr="002325D3">
        <w:rPr>
          <w:rFonts w:ascii="Traditional Arabic" w:hAnsi="Traditional Arabic" w:cs="Traditional Arabic"/>
          <w:szCs w:val="18"/>
        </w:rPr>
        <w:t>.</w:t>
      </w:r>
    </w:p>
    <w:p w14:paraId="442C5FBA" w14:textId="77777777" w:rsidR="005F758D" w:rsidRPr="002325D3" w:rsidRDefault="005F758D" w:rsidP="00916207">
      <w:pPr>
        <w:pStyle w:val="af"/>
        <w:widowControl w:val="0"/>
        <w:tabs>
          <w:tab w:val="clear" w:pos="1021"/>
          <w:tab w:val="right" w:pos="1020"/>
          <w:tab w:val="right" w:pos="1275"/>
        </w:tabs>
        <w:bidi/>
        <w:ind w:left="2154"/>
        <w:rPr>
          <w:rFonts w:ascii="Traditional Arabic" w:hAnsi="Traditional Arabic" w:cs="Traditional Arabic"/>
          <w:szCs w:val="18"/>
          <w:rtl/>
        </w:rPr>
      </w:pPr>
      <w:r w:rsidRPr="002325D3">
        <w:rPr>
          <w:rFonts w:ascii="Traditional Arabic" w:hAnsi="Traditional Arabic" w:cs="Traditional Arabic"/>
          <w:szCs w:val="18"/>
          <w:rtl/>
        </w:rPr>
        <w:t>2</w:t>
      </w:r>
      <w:r w:rsidRPr="002325D3">
        <w:rPr>
          <w:rFonts w:ascii="Traditional Arabic" w:hAnsi="Traditional Arabic" w:cs="Traditional Arabic"/>
          <w:szCs w:val="18"/>
        </w:rPr>
        <w:t>-</w:t>
      </w:r>
      <w:r w:rsidRPr="002325D3">
        <w:rPr>
          <w:rFonts w:ascii="Traditional Arabic" w:hAnsi="Traditional Arabic" w:cs="Traditional Arabic"/>
          <w:szCs w:val="18"/>
        </w:rPr>
        <w:tab/>
      </w:r>
      <w:r w:rsidRPr="002325D3">
        <w:rPr>
          <w:rFonts w:ascii="Traditional Arabic" w:hAnsi="Traditional Arabic" w:cs="Traditional Arabic"/>
          <w:szCs w:val="18"/>
          <w:rtl/>
        </w:rPr>
        <w:t>ترفع الطلبات الجاهزة الى اللجنة الفنية للصندوق من أجل مناقشتها وأخذ التوصيات الللازمة بشأنها</w:t>
      </w:r>
      <w:r w:rsidRPr="002325D3">
        <w:rPr>
          <w:rFonts w:ascii="Traditional Arabic" w:hAnsi="Traditional Arabic" w:cs="Traditional Arabic"/>
          <w:szCs w:val="18"/>
        </w:rPr>
        <w:t>.</w:t>
      </w:r>
    </w:p>
    <w:p w14:paraId="75614C11" w14:textId="77777777" w:rsidR="005F758D" w:rsidRPr="002325D3" w:rsidRDefault="005F758D" w:rsidP="00916207">
      <w:pPr>
        <w:pStyle w:val="af"/>
        <w:widowControl w:val="0"/>
        <w:tabs>
          <w:tab w:val="clear" w:pos="1021"/>
          <w:tab w:val="right" w:pos="1020"/>
          <w:tab w:val="right" w:pos="1275"/>
        </w:tabs>
        <w:bidi/>
        <w:ind w:left="2154"/>
        <w:rPr>
          <w:rFonts w:ascii="Traditional Arabic" w:hAnsi="Traditional Arabic" w:cs="Traditional Arabic"/>
          <w:szCs w:val="18"/>
          <w:rtl/>
        </w:rPr>
      </w:pPr>
      <w:r w:rsidRPr="002325D3">
        <w:rPr>
          <w:rFonts w:ascii="Traditional Arabic" w:hAnsi="Traditional Arabic" w:cs="Traditional Arabic"/>
          <w:szCs w:val="18"/>
          <w:rtl/>
        </w:rPr>
        <w:t>3</w:t>
      </w:r>
      <w:r w:rsidRPr="002325D3">
        <w:rPr>
          <w:rFonts w:ascii="Traditional Arabic" w:hAnsi="Traditional Arabic" w:cs="Traditional Arabic"/>
          <w:szCs w:val="18"/>
        </w:rPr>
        <w:t>-</w:t>
      </w:r>
      <w:r w:rsidRPr="002325D3">
        <w:rPr>
          <w:rFonts w:ascii="Traditional Arabic" w:hAnsi="Traditional Arabic" w:cs="Traditional Arabic"/>
          <w:szCs w:val="18"/>
        </w:rPr>
        <w:tab/>
      </w:r>
      <w:r w:rsidRPr="002325D3">
        <w:rPr>
          <w:rFonts w:ascii="Traditional Arabic" w:hAnsi="Traditional Arabic" w:cs="Traditional Arabic"/>
          <w:szCs w:val="18"/>
          <w:rtl/>
        </w:rPr>
        <w:t>ترفع الطيبات المنسبة من اللجنة الفنية الى مجلس الإدارة من أجل اعتماد الصرف</w:t>
      </w:r>
      <w:r w:rsidRPr="002325D3">
        <w:rPr>
          <w:rFonts w:ascii="Traditional Arabic" w:hAnsi="Traditional Arabic" w:cs="Traditional Arabic"/>
          <w:szCs w:val="18"/>
        </w:rPr>
        <w:t>.</w:t>
      </w:r>
    </w:p>
    <w:p w14:paraId="30B01ECA" w14:textId="77777777" w:rsidR="005F758D" w:rsidRPr="002325D3" w:rsidRDefault="005F758D" w:rsidP="00916207">
      <w:pPr>
        <w:pStyle w:val="af"/>
        <w:widowControl w:val="0"/>
        <w:tabs>
          <w:tab w:val="clear" w:pos="1021"/>
          <w:tab w:val="right" w:pos="1020"/>
          <w:tab w:val="right" w:pos="1275"/>
        </w:tabs>
        <w:bidi/>
        <w:ind w:left="2154"/>
        <w:rPr>
          <w:rFonts w:ascii="Traditional Arabic" w:hAnsi="Traditional Arabic" w:cs="Traditional Arabic"/>
          <w:szCs w:val="18"/>
          <w:rtl/>
        </w:rPr>
      </w:pPr>
      <w:r w:rsidRPr="002325D3">
        <w:rPr>
          <w:rFonts w:ascii="Traditional Arabic" w:hAnsi="Traditional Arabic" w:cs="Traditional Arabic"/>
          <w:szCs w:val="18"/>
          <w:rtl/>
        </w:rPr>
        <w:t>4</w:t>
      </w:r>
      <w:r w:rsidRPr="002325D3">
        <w:rPr>
          <w:rFonts w:ascii="Traditional Arabic" w:hAnsi="Traditional Arabic" w:cs="Traditional Arabic"/>
          <w:szCs w:val="18"/>
        </w:rPr>
        <w:t>-</w:t>
      </w:r>
      <w:r w:rsidRPr="002325D3">
        <w:rPr>
          <w:rFonts w:ascii="Traditional Arabic" w:hAnsi="Traditional Arabic" w:cs="Traditional Arabic"/>
          <w:szCs w:val="18"/>
        </w:rPr>
        <w:tab/>
      </w:r>
      <w:r w:rsidRPr="002325D3">
        <w:rPr>
          <w:rFonts w:ascii="Traditional Arabic" w:hAnsi="Traditional Arabic" w:cs="Traditional Arabic"/>
          <w:szCs w:val="18"/>
          <w:rtl/>
        </w:rPr>
        <w:t>بعد اعتماد مجلس</w:t>
      </w:r>
      <w:r>
        <w:rPr>
          <w:rFonts w:ascii="Traditional Arabic" w:hAnsi="Traditional Arabic" w:cs="Traditional Arabic"/>
          <w:szCs w:val="18"/>
          <w:rtl/>
        </w:rPr>
        <w:t xml:space="preserve"> </w:t>
      </w:r>
      <w:r w:rsidRPr="002325D3">
        <w:rPr>
          <w:rFonts w:ascii="Traditional Arabic" w:hAnsi="Traditional Arabic" w:cs="Traditional Arabic"/>
          <w:szCs w:val="18"/>
          <w:rtl/>
        </w:rPr>
        <w:t>الإدارة للصرف يتم مراسلة الأخ معالي الوزير رئيس مجلس الإدارة لصرف الدفعة الأولة 25% من قيمة القرض</w:t>
      </w:r>
      <w:r w:rsidRPr="002325D3">
        <w:rPr>
          <w:rFonts w:ascii="Traditional Arabic" w:hAnsi="Traditional Arabic" w:cs="Traditional Arabic"/>
          <w:szCs w:val="18"/>
        </w:rPr>
        <w:t>.</w:t>
      </w:r>
    </w:p>
    <w:p w14:paraId="6F99F389" w14:textId="77777777" w:rsidR="005F758D" w:rsidRPr="002325D3" w:rsidRDefault="005F758D" w:rsidP="00916207">
      <w:pPr>
        <w:pStyle w:val="af"/>
        <w:widowControl w:val="0"/>
        <w:tabs>
          <w:tab w:val="clear" w:pos="1021"/>
          <w:tab w:val="right" w:pos="1020"/>
          <w:tab w:val="right" w:pos="1275"/>
        </w:tabs>
        <w:bidi/>
        <w:ind w:left="2154"/>
        <w:rPr>
          <w:rFonts w:ascii="Traditional Arabic" w:hAnsi="Traditional Arabic" w:cs="Traditional Arabic"/>
          <w:szCs w:val="18"/>
          <w:rtl/>
        </w:rPr>
      </w:pPr>
      <w:r w:rsidRPr="002325D3">
        <w:rPr>
          <w:rFonts w:ascii="Traditional Arabic" w:hAnsi="Traditional Arabic" w:cs="Traditional Arabic"/>
          <w:szCs w:val="18"/>
          <w:rtl/>
        </w:rPr>
        <w:t>5</w:t>
      </w:r>
      <w:r w:rsidRPr="002325D3">
        <w:rPr>
          <w:rFonts w:ascii="Traditional Arabic" w:hAnsi="Traditional Arabic" w:cs="Traditional Arabic"/>
          <w:szCs w:val="18"/>
        </w:rPr>
        <w:t>-</w:t>
      </w:r>
      <w:r w:rsidRPr="002325D3">
        <w:rPr>
          <w:rFonts w:ascii="Traditional Arabic" w:hAnsi="Traditional Arabic" w:cs="Traditional Arabic"/>
          <w:szCs w:val="18"/>
        </w:rPr>
        <w:tab/>
      </w:r>
      <w:r w:rsidRPr="002325D3">
        <w:rPr>
          <w:rFonts w:ascii="Traditional Arabic" w:hAnsi="Traditional Arabic" w:cs="Traditional Arabic"/>
          <w:szCs w:val="18"/>
          <w:rtl/>
        </w:rPr>
        <w:t>زيارة المستفيدين من الصندوق من أجل متابعة التنفيذ على أرض الواقع</w:t>
      </w:r>
      <w:r w:rsidRPr="002325D3">
        <w:rPr>
          <w:rFonts w:ascii="Traditional Arabic" w:hAnsi="Traditional Arabic" w:cs="Traditional Arabic"/>
          <w:szCs w:val="18"/>
        </w:rPr>
        <w:t>.</w:t>
      </w:r>
    </w:p>
    <w:p w14:paraId="0020CBE7" w14:textId="77777777" w:rsidR="005F758D" w:rsidRPr="002325D3" w:rsidRDefault="005F758D" w:rsidP="00916207">
      <w:pPr>
        <w:pStyle w:val="af"/>
        <w:widowControl w:val="0"/>
        <w:tabs>
          <w:tab w:val="clear" w:pos="1021"/>
          <w:tab w:val="right" w:pos="1020"/>
          <w:tab w:val="right" w:pos="1275"/>
        </w:tabs>
        <w:bidi/>
        <w:ind w:left="2154"/>
        <w:rPr>
          <w:rFonts w:ascii="Traditional Arabic" w:hAnsi="Traditional Arabic" w:cs="Traditional Arabic"/>
          <w:szCs w:val="18"/>
          <w:rtl/>
        </w:rPr>
      </w:pPr>
      <w:r w:rsidRPr="002325D3">
        <w:rPr>
          <w:rFonts w:ascii="Traditional Arabic" w:hAnsi="Traditional Arabic" w:cs="Traditional Arabic"/>
          <w:szCs w:val="18"/>
          <w:rtl/>
        </w:rPr>
        <w:t>6</w:t>
      </w:r>
      <w:r w:rsidRPr="002325D3">
        <w:rPr>
          <w:rFonts w:ascii="Traditional Arabic" w:hAnsi="Traditional Arabic" w:cs="Traditional Arabic"/>
          <w:szCs w:val="18"/>
        </w:rPr>
        <w:t>-</w:t>
      </w:r>
      <w:r w:rsidRPr="002325D3">
        <w:rPr>
          <w:rFonts w:ascii="Traditional Arabic" w:hAnsi="Traditional Arabic" w:cs="Traditional Arabic"/>
          <w:szCs w:val="18"/>
        </w:rPr>
        <w:tab/>
      </w:r>
      <w:r w:rsidRPr="002325D3">
        <w:rPr>
          <w:rFonts w:ascii="Traditional Arabic" w:hAnsi="Traditional Arabic" w:cs="Traditional Arabic"/>
          <w:szCs w:val="18"/>
          <w:rtl/>
        </w:rPr>
        <w:t>احضار الفواتير الضريبية اللازمة من قبل المستفيدين بالبضاعة المشتراة او اتفاقيات البيع حسب طبيعة المشروع</w:t>
      </w:r>
      <w:r w:rsidRPr="002325D3">
        <w:rPr>
          <w:rFonts w:ascii="Traditional Arabic" w:hAnsi="Traditional Arabic" w:cs="Traditional Arabic"/>
          <w:szCs w:val="18"/>
        </w:rPr>
        <w:t>.</w:t>
      </w:r>
    </w:p>
    <w:p w14:paraId="053B1D96" w14:textId="77777777" w:rsidR="005F758D" w:rsidRDefault="005F758D" w:rsidP="00233B67">
      <w:pPr>
        <w:pStyle w:val="af"/>
        <w:widowControl w:val="0"/>
        <w:tabs>
          <w:tab w:val="right" w:pos="1275"/>
        </w:tabs>
        <w:bidi/>
        <w:ind w:left="2154"/>
      </w:pPr>
      <w:r w:rsidRPr="002325D3">
        <w:rPr>
          <w:rFonts w:ascii="Traditional Arabic" w:hAnsi="Traditional Arabic" w:cs="Traditional Arabic"/>
          <w:szCs w:val="18"/>
          <w:rtl/>
        </w:rPr>
        <w:t>7-</w:t>
      </w:r>
      <w:r w:rsidRPr="002325D3">
        <w:rPr>
          <w:rFonts w:ascii="Traditional Arabic" w:hAnsi="Traditional Arabic" w:cs="Traditional Arabic"/>
          <w:szCs w:val="18"/>
          <w:rtl/>
        </w:rPr>
        <w:tab/>
        <w:t>يتم مراسلة الأخ معالي الوزير رئيس مجلس الإدارة من أجل صرف الدفعة الثانية بقيمة 75% من باقي القرض.</w:t>
      </w:r>
    </w:p>
  </w:endnote>
  <w:endnote w:id="19">
    <w:p w14:paraId="47EAAD9A" w14:textId="77777777" w:rsidR="005F758D" w:rsidRDefault="005F758D" w:rsidP="00233B67">
      <w:pPr>
        <w:pStyle w:val="af"/>
        <w:widowControl w:val="0"/>
        <w:bidi/>
      </w:pPr>
      <w:r>
        <w:tab/>
      </w:r>
      <w:r>
        <w:rPr>
          <w:rStyle w:val="ab"/>
        </w:rPr>
        <w:endnoteRef/>
      </w:r>
      <w:r>
        <w:tab/>
      </w:r>
      <w:r w:rsidRPr="002325D3">
        <w:rPr>
          <w:rFonts w:ascii="Traditional Arabic" w:hAnsi="Traditional Arabic" w:cs="Traditional Arabic"/>
          <w:szCs w:val="18"/>
        </w:rPr>
        <w:tab/>
      </w:r>
      <w:r w:rsidRPr="002325D3">
        <w:rPr>
          <w:rFonts w:ascii="Traditional Arabic" w:hAnsi="Traditional Arabic" w:cs="Traditional Arabic"/>
          <w:noProof/>
          <w:szCs w:val="18"/>
          <w:rtl/>
        </w:rPr>
        <w:t>تتمثل</w:t>
      </w:r>
      <w:r w:rsidRPr="002325D3">
        <w:rPr>
          <w:rFonts w:ascii="Traditional Arabic" w:hAnsi="Traditional Arabic" w:cs="Traditional Arabic"/>
          <w:b/>
          <w:bCs/>
          <w:noProof/>
          <w:szCs w:val="18"/>
          <w:rtl/>
        </w:rPr>
        <w:t xml:space="preserve"> </w:t>
      </w:r>
      <w:r w:rsidRPr="002325D3">
        <w:rPr>
          <w:rFonts w:ascii="Traditional Arabic" w:hAnsi="Traditional Arabic" w:cs="Traditional Arabic"/>
          <w:noProof/>
          <w:szCs w:val="18"/>
          <w:rtl/>
        </w:rPr>
        <w:t>المعيقات والتحديات في الحاجة الى تفويض دائرة الشؤون القانونية في وزارة التنمية الاجتماعية من اجل الزام المستفيدين بالتسديد بالإضافة الى الحاجة لتوفير سيارة خاصة بالمشروع من أجل القيام بزيارات الميدانية، والتأخر في وصول الدفعات من المانحين في الوقت المحدد، وعدم تنفيذ السياسة القانونية اتجاه المستنكفين عن الدفع. أما التوجهات المستقبلية، بالاضافةلما ورد في التقرير، سيتم</w:t>
      </w:r>
      <w:r w:rsidRPr="002325D3">
        <w:rPr>
          <w:rFonts w:ascii="Traditional Arabic" w:hAnsi="Traditional Arabic" w:cs="Traditional Arabic"/>
          <w:szCs w:val="18"/>
          <w:rtl/>
        </w:rPr>
        <w:t xml:space="preserve"> العمل على تفويض الشؤون القانونية في وزارة التنمية بإلزام المستفيدين بالتسديد، والعمل كذلك على توفير سيارة خاصة بالمشروع من أجل المتابعة والتقييم.</w:t>
      </w:r>
    </w:p>
  </w:endnote>
  <w:endnote w:id="20">
    <w:p w14:paraId="1112D84F" w14:textId="77777777" w:rsidR="005F758D" w:rsidRDefault="005F758D" w:rsidP="00233B67">
      <w:pPr>
        <w:pStyle w:val="af"/>
        <w:widowControl w:val="0"/>
        <w:bidi/>
      </w:pPr>
      <w:r>
        <w:tab/>
      </w:r>
      <w:r w:rsidRPr="002A047B">
        <w:rPr>
          <w:rStyle w:val="ab"/>
        </w:rPr>
        <w:endnoteRef/>
      </w:r>
      <w:r w:rsidRPr="002325D3">
        <w:rPr>
          <w:rFonts w:ascii="Traditional Arabic" w:hAnsi="Traditional Arabic" w:cs="Traditional Arabic"/>
          <w:szCs w:val="18"/>
        </w:rPr>
        <w:tab/>
      </w:r>
      <w:r w:rsidRPr="002325D3">
        <w:rPr>
          <w:rFonts w:ascii="Traditional Arabic" w:hAnsi="Traditional Arabic" w:cs="Traditional Arabic"/>
          <w:noProof/>
          <w:szCs w:val="18"/>
          <w:rtl/>
        </w:rPr>
        <w:t>نصت المادة 3 من قانون الطفل الفلسطيني المعدل:</w:t>
      </w:r>
      <w:r w:rsidRPr="002325D3">
        <w:rPr>
          <w:rFonts w:ascii="Traditional Arabic" w:eastAsia="Calibri" w:hAnsi="Traditional Arabic" w:cs="Traditional Arabic"/>
          <w:szCs w:val="18"/>
          <w:rtl/>
        </w:rPr>
        <w:t>” 1. يتمتع</w:t>
      </w:r>
      <w:r w:rsidRPr="002325D3">
        <w:rPr>
          <w:rFonts w:ascii="Traditional Arabic" w:eastAsia="Calibri" w:hAnsi="Traditional Arabic" w:cs="Traditional Arabic"/>
          <w:szCs w:val="18"/>
        </w:rPr>
        <w:t xml:space="preserve"> </w:t>
      </w:r>
      <w:r w:rsidRPr="002325D3">
        <w:rPr>
          <w:rFonts w:ascii="Traditional Arabic" w:eastAsia="Calibri" w:hAnsi="Traditional Arabic" w:cs="Traditional Arabic"/>
          <w:szCs w:val="18"/>
          <w:rtl/>
        </w:rPr>
        <w:t>كل</w:t>
      </w:r>
      <w:r w:rsidRPr="002325D3">
        <w:rPr>
          <w:rFonts w:ascii="Traditional Arabic" w:eastAsia="Calibri" w:hAnsi="Traditional Arabic" w:cs="Traditional Arabic"/>
          <w:szCs w:val="18"/>
        </w:rPr>
        <w:t xml:space="preserve"> </w:t>
      </w:r>
      <w:r w:rsidRPr="002325D3">
        <w:rPr>
          <w:rFonts w:ascii="Traditional Arabic" w:eastAsia="Calibri" w:hAnsi="Traditional Arabic" w:cs="Traditional Arabic"/>
          <w:szCs w:val="18"/>
          <w:rtl/>
        </w:rPr>
        <w:t>طفل</w:t>
      </w:r>
      <w:r w:rsidRPr="002325D3">
        <w:rPr>
          <w:rFonts w:ascii="Traditional Arabic" w:eastAsia="Calibri" w:hAnsi="Traditional Arabic" w:cs="Traditional Arabic"/>
          <w:szCs w:val="18"/>
        </w:rPr>
        <w:t xml:space="preserve"> </w:t>
      </w:r>
      <w:r w:rsidRPr="002325D3">
        <w:rPr>
          <w:rFonts w:ascii="Traditional Arabic" w:eastAsia="Calibri" w:hAnsi="Traditional Arabic" w:cs="Traditional Arabic"/>
          <w:szCs w:val="18"/>
          <w:rtl/>
        </w:rPr>
        <w:t>بكافة</w:t>
      </w:r>
      <w:r w:rsidRPr="002325D3">
        <w:rPr>
          <w:rFonts w:ascii="Traditional Arabic" w:eastAsia="Calibri" w:hAnsi="Traditional Arabic" w:cs="Traditional Arabic"/>
          <w:szCs w:val="18"/>
        </w:rPr>
        <w:t xml:space="preserve"> </w:t>
      </w:r>
      <w:r w:rsidRPr="002325D3">
        <w:rPr>
          <w:rFonts w:ascii="Traditional Arabic" w:eastAsia="Calibri" w:hAnsi="Traditional Arabic" w:cs="Traditional Arabic"/>
          <w:szCs w:val="18"/>
          <w:rtl/>
        </w:rPr>
        <w:t>الحقوق</w:t>
      </w:r>
      <w:r w:rsidRPr="002325D3">
        <w:rPr>
          <w:rFonts w:ascii="Traditional Arabic" w:eastAsia="Calibri" w:hAnsi="Traditional Arabic" w:cs="Traditional Arabic"/>
          <w:szCs w:val="18"/>
        </w:rPr>
        <w:t xml:space="preserve"> </w:t>
      </w:r>
      <w:r w:rsidRPr="002325D3">
        <w:rPr>
          <w:rFonts w:ascii="Traditional Arabic" w:eastAsia="Calibri" w:hAnsi="Traditional Arabic" w:cs="Traditional Arabic"/>
          <w:szCs w:val="18"/>
          <w:rtl/>
        </w:rPr>
        <w:t>الواردة</w:t>
      </w:r>
      <w:r w:rsidRPr="002325D3">
        <w:rPr>
          <w:rFonts w:ascii="Traditional Arabic" w:eastAsia="Calibri" w:hAnsi="Traditional Arabic" w:cs="Traditional Arabic"/>
          <w:szCs w:val="18"/>
        </w:rPr>
        <w:t xml:space="preserve"> </w:t>
      </w:r>
      <w:r w:rsidRPr="002325D3">
        <w:rPr>
          <w:rFonts w:ascii="Traditional Arabic" w:eastAsia="Calibri" w:hAnsi="Traditional Arabic" w:cs="Traditional Arabic"/>
          <w:szCs w:val="18"/>
          <w:rtl/>
        </w:rPr>
        <w:t>في</w:t>
      </w:r>
      <w:r w:rsidRPr="002325D3">
        <w:rPr>
          <w:rFonts w:ascii="Traditional Arabic" w:eastAsia="Calibri" w:hAnsi="Traditional Arabic" w:cs="Traditional Arabic"/>
          <w:szCs w:val="18"/>
        </w:rPr>
        <w:t xml:space="preserve"> </w:t>
      </w:r>
      <w:r w:rsidRPr="002325D3">
        <w:rPr>
          <w:rFonts w:ascii="Traditional Arabic" w:eastAsia="Calibri" w:hAnsi="Traditional Arabic" w:cs="Traditional Arabic"/>
          <w:szCs w:val="18"/>
          <w:rtl/>
        </w:rPr>
        <w:t>هذا</w:t>
      </w:r>
      <w:r w:rsidRPr="002325D3">
        <w:rPr>
          <w:rFonts w:ascii="Traditional Arabic" w:eastAsia="Calibri" w:hAnsi="Traditional Arabic" w:cs="Traditional Arabic"/>
          <w:szCs w:val="18"/>
        </w:rPr>
        <w:t xml:space="preserve"> </w:t>
      </w:r>
      <w:r w:rsidRPr="002325D3">
        <w:rPr>
          <w:rFonts w:ascii="Traditional Arabic" w:eastAsia="Calibri" w:hAnsi="Traditional Arabic" w:cs="Traditional Arabic"/>
          <w:szCs w:val="18"/>
          <w:rtl/>
        </w:rPr>
        <w:t>القانون</w:t>
      </w:r>
      <w:r w:rsidRPr="002325D3">
        <w:rPr>
          <w:rFonts w:ascii="Traditional Arabic" w:eastAsia="Calibri" w:hAnsi="Traditional Arabic" w:cs="Traditional Arabic"/>
          <w:szCs w:val="18"/>
        </w:rPr>
        <w:t xml:space="preserve"> </w:t>
      </w:r>
      <w:r w:rsidRPr="002325D3">
        <w:rPr>
          <w:rFonts w:ascii="Traditional Arabic" w:eastAsia="Calibri" w:hAnsi="Traditional Arabic" w:cs="Traditional Arabic"/>
          <w:szCs w:val="18"/>
          <w:rtl/>
        </w:rPr>
        <w:t>دون</w:t>
      </w:r>
      <w:r w:rsidRPr="002325D3">
        <w:rPr>
          <w:rFonts w:ascii="Traditional Arabic" w:eastAsia="Calibri" w:hAnsi="Traditional Arabic" w:cs="Traditional Arabic"/>
          <w:szCs w:val="18"/>
        </w:rPr>
        <w:t xml:space="preserve"> </w:t>
      </w:r>
      <w:r w:rsidRPr="002325D3">
        <w:rPr>
          <w:rFonts w:ascii="Traditional Arabic" w:eastAsia="Calibri" w:hAnsi="Traditional Arabic" w:cs="Traditional Arabic"/>
          <w:szCs w:val="18"/>
          <w:rtl/>
        </w:rPr>
        <w:t>تمييز</w:t>
      </w:r>
      <w:r w:rsidRPr="002325D3">
        <w:rPr>
          <w:rFonts w:ascii="Traditional Arabic" w:eastAsia="Calibri" w:hAnsi="Traditional Arabic" w:cs="Traditional Arabic"/>
          <w:szCs w:val="18"/>
        </w:rPr>
        <w:t xml:space="preserve"> </w:t>
      </w:r>
      <w:r w:rsidRPr="002325D3">
        <w:rPr>
          <w:rFonts w:ascii="Traditional Arabic" w:eastAsia="Calibri" w:hAnsi="Traditional Arabic" w:cs="Traditional Arabic"/>
          <w:szCs w:val="18"/>
          <w:rtl/>
        </w:rPr>
        <w:t>بسبب</w:t>
      </w:r>
      <w:r w:rsidRPr="002325D3">
        <w:rPr>
          <w:rFonts w:ascii="Traditional Arabic" w:eastAsia="Calibri" w:hAnsi="Traditional Arabic" w:cs="Traditional Arabic"/>
          <w:szCs w:val="18"/>
        </w:rPr>
        <w:t xml:space="preserve"> </w:t>
      </w:r>
      <w:r w:rsidRPr="002325D3">
        <w:rPr>
          <w:rFonts w:ascii="Traditional Arabic" w:eastAsia="Calibri" w:hAnsi="Traditional Arabic" w:cs="Traditional Arabic"/>
          <w:szCs w:val="18"/>
          <w:rtl/>
        </w:rPr>
        <w:t>جنسه</w:t>
      </w:r>
      <w:r w:rsidRPr="002325D3">
        <w:rPr>
          <w:rFonts w:ascii="Traditional Arabic" w:eastAsia="Calibri" w:hAnsi="Traditional Arabic" w:cs="Traditional Arabic"/>
          <w:szCs w:val="18"/>
        </w:rPr>
        <w:t xml:space="preserve"> </w:t>
      </w:r>
      <w:r w:rsidRPr="002325D3">
        <w:rPr>
          <w:rFonts w:ascii="Traditional Arabic" w:eastAsia="Calibri" w:hAnsi="Traditional Arabic" w:cs="Traditional Arabic"/>
          <w:szCs w:val="18"/>
          <w:rtl/>
        </w:rPr>
        <w:t>أو</w:t>
      </w:r>
      <w:r w:rsidRPr="002325D3">
        <w:rPr>
          <w:rFonts w:ascii="Traditional Arabic" w:eastAsia="Calibri" w:hAnsi="Traditional Arabic" w:cs="Traditional Arabic"/>
          <w:szCs w:val="18"/>
        </w:rPr>
        <w:t xml:space="preserve"> </w:t>
      </w:r>
      <w:r w:rsidRPr="002325D3">
        <w:rPr>
          <w:rFonts w:ascii="Traditional Arabic" w:eastAsia="Calibri" w:hAnsi="Traditional Arabic" w:cs="Traditional Arabic"/>
          <w:szCs w:val="18"/>
          <w:rtl/>
        </w:rPr>
        <w:t>لونه</w:t>
      </w:r>
      <w:r w:rsidRPr="002325D3">
        <w:rPr>
          <w:rFonts w:ascii="Traditional Arabic" w:eastAsia="Calibri" w:hAnsi="Traditional Arabic" w:cs="Traditional Arabic"/>
          <w:szCs w:val="18"/>
        </w:rPr>
        <w:t xml:space="preserve"> </w:t>
      </w:r>
      <w:r w:rsidRPr="002325D3">
        <w:rPr>
          <w:rFonts w:ascii="Traditional Arabic" w:eastAsia="Calibri" w:hAnsi="Traditional Arabic" w:cs="Traditional Arabic"/>
          <w:szCs w:val="18"/>
          <w:rtl/>
        </w:rPr>
        <w:t>أو</w:t>
      </w:r>
      <w:r w:rsidRPr="002325D3">
        <w:rPr>
          <w:rFonts w:ascii="Traditional Arabic" w:eastAsia="Calibri" w:hAnsi="Traditional Arabic" w:cs="Traditional Arabic"/>
          <w:szCs w:val="18"/>
        </w:rPr>
        <w:t xml:space="preserve"> </w:t>
      </w:r>
      <w:r w:rsidRPr="002325D3">
        <w:rPr>
          <w:rFonts w:ascii="Traditional Arabic" w:eastAsia="Calibri" w:hAnsi="Traditional Arabic" w:cs="Traditional Arabic"/>
          <w:szCs w:val="18"/>
          <w:rtl/>
        </w:rPr>
        <w:t>جنسيته</w:t>
      </w:r>
      <w:r w:rsidRPr="002325D3">
        <w:rPr>
          <w:rFonts w:ascii="Traditional Arabic" w:eastAsia="Calibri" w:hAnsi="Traditional Arabic" w:cs="Traditional Arabic"/>
          <w:szCs w:val="18"/>
        </w:rPr>
        <w:t xml:space="preserve"> </w:t>
      </w:r>
      <w:r w:rsidRPr="002325D3">
        <w:rPr>
          <w:rFonts w:ascii="Traditional Arabic" w:eastAsia="Calibri" w:hAnsi="Traditional Arabic" w:cs="Traditional Arabic"/>
          <w:szCs w:val="18"/>
          <w:rtl/>
        </w:rPr>
        <w:t>أو</w:t>
      </w:r>
      <w:r w:rsidRPr="002325D3">
        <w:rPr>
          <w:rFonts w:ascii="Traditional Arabic" w:eastAsia="Calibri" w:hAnsi="Traditional Arabic" w:cs="Traditional Arabic"/>
          <w:szCs w:val="18"/>
        </w:rPr>
        <w:t xml:space="preserve"> </w:t>
      </w:r>
      <w:r w:rsidRPr="002325D3">
        <w:rPr>
          <w:rFonts w:ascii="Traditional Arabic" w:eastAsia="Calibri" w:hAnsi="Traditional Arabic" w:cs="Traditional Arabic"/>
          <w:szCs w:val="18"/>
          <w:rtl/>
        </w:rPr>
        <w:t>دينه</w:t>
      </w:r>
      <w:r w:rsidRPr="002325D3">
        <w:rPr>
          <w:rFonts w:ascii="Traditional Arabic" w:eastAsia="Calibri" w:hAnsi="Traditional Arabic" w:cs="Traditional Arabic"/>
          <w:szCs w:val="18"/>
        </w:rPr>
        <w:t xml:space="preserve"> </w:t>
      </w:r>
      <w:r w:rsidRPr="002325D3">
        <w:rPr>
          <w:rFonts w:ascii="Traditional Arabic" w:eastAsia="Calibri" w:hAnsi="Traditional Arabic" w:cs="Traditional Arabic"/>
          <w:szCs w:val="18"/>
          <w:rtl/>
        </w:rPr>
        <w:t>أو لغته</w:t>
      </w:r>
      <w:r w:rsidRPr="002325D3">
        <w:rPr>
          <w:rFonts w:ascii="Traditional Arabic" w:eastAsia="Calibri" w:hAnsi="Traditional Arabic" w:cs="Traditional Arabic"/>
          <w:szCs w:val="18"/>
        </w:rPr>
        <w:t xml:space="preserve"> </w:t>
      </w:r>
      <w:r w:rsidRPr="002325D3">
        <w:rPr>
          <w:rFonts w:ascii="Traditional Arabic" w:eastAsia="Calibri" w:hAnsi="Traditional Arabic" w:cs="Traditional Arabic"/>
          <w:szCs w:val="18"/>
          <w:rtl/>
        </w:rPr>
        <w:t>أو</w:t>
      </w:r>
      <w:r w:rsidRPr="002325D3">
        <w:rPr>
          <w:rFonts w:ascii="Traditional Arabic" w:eastAsia="Calibri" w:hAnsi="Traditional Arabic" w:cs="Traditional Arabic"/>
          <w:szCs w:val="18"/>
        </w:rPr>
        <w:t xml:space="preserve"> </w:t>
      </w:r>
      <w:r w:rsidRPr="002325D3">
        <w:rPr>
          <w:rFonts w:ascii="Traditional Arabic" w:eastAsia="Calibri" w:hAnsi="Traditional Arabic" w:cs="Traditional Arabic"/>
          <w:szCs w:val="18"/>
          <w:rtl/>
        </w:rPr>
        <w:t>أصله</w:t>
      </w:r>
      <w:r w:rsidRPr="002325D3">
        <w:rPr>
          <w:rFonts w:ascii="Traditional Arabic" w:eastAsia="Calibri" w:hAnsi="Traditional Arabic" w:cs="Traditional Arabic"/>
          <w:szCs w:val="18"/>
        </w:rPr>
        <w:t xml:space="preserve"> </w:t>
      </w:r>
      <w:r w:rsidRPr="002325D3">
        <w:rPr>
          <w:rFonts w:ascii="Traditional Arabic" w:eastAsia="Calibri" w:hAnsi="Traditional Arabic" w:cs="Traditional Arabic"/>
          <w:szCs w:val="18"/>
          <w:rtl/>
        </w:rPr>
        <w:t>القومي</w:t>
      </w:r>
      <w:r w:rsidRPr="002325D3">
        <w:rPr>
          <w:rFonts w:ascii="Traditional Arabic" w:eastAsia="Calibri" w:hAnsi="Traditional Arabic" w:cs="Traditional Arabic"/>
          <w:szCs w:val="18"/>
        </w:rPr>
        <w:t xml:space="preserve"> </w:t>
      </w:r>
      <w:r w:rsidRPr="002325D3">
        <w:rPr>
          <w:rFonts w:ascii="Traditional Arabic" w:eastAsia="Calibri" w:hAnsi="Traditional Arabic" w:cs="Traditional Arabic"/>
          <w:szCs w:val="18"/>
          <w:rtl/>
        </w:rPr>
        <w:t>أو</w:t>
      </w:r>
      <w:r w:rsidRPr="002325D3">
        <w:rPr>
          <w:rFonts w:ascii="Traditional Arabic" w:eastAsia="Calibri" w:hAnsi="Traditional Arabic" w:cs="Traditional Arabic"/>
          <w:szCs w:val="18"/>
        </w:rPr>
        <w:t xml:space="preserve"> </w:t>
      </w:r>
      <w:r w:rsidRPr="002325D3">
        <w:rPr>
          <w:rFonts w:ascii="Traditional Arabic" w:eastAsia="Calibri" w:hAnsi="Traditional Arabic" w:cs="Traditional Arabic"/>
          <w:szCs w:val="18"/>
          <w:rtl/>
        </w:rPr>
        <w:t>الديني</w:t>
      </w:r>
      <w:r w:rsidRPr="002325D3">
        <w:rPr>
          <w:rFonts w:ascii="Traditional Arabic" w:eastAsia="Calibri" w:hAnsi="Traditional Arabic" w:cs="Traditional Arabic"/>
          <w:szCs w:val="18"/>
        </w:rPr>
        <w:t xml:space="preserve"> </w:t>
      </w:r>
      <w:r w:rsidRPr="002325D3">
        <w:rPr>
          <w:rFonts w:ascii="Traditional Arabic" w:eastAsia="Calibri" w:hAnsi="Traditional Arabic" w:cs="Traditional Arabic"/>
          <w:szCs w:val="18"/>
          <w:rtl/>
        </w:rPr>
        <w:t>أو</w:t>
      </w:r>
      <w:r w:rsidRPr="002325D3">
        <w:rPr>
          <w:rFonts w:ascii="Traditional Arabic" w:eastAsia="Calibri" w:hAnsi="Traditional Arabic" w:cs="Traditional Arabic"/>
          <w:szCs w:val="18"/>
        </w:rPr>
        <w:t xml:space="preserve"> </w:t>
      </w:r>
      <w:r w:rsidRPr="002325D3">
        <w:rPr>
          <w:rFonts w:ascii="Traditional Arabic" w:eastAsia="Calibri" w:hAnsi="Traditional Arabic" w:cs="Traditional Arabic"/>
          <w:szCs w:val="18"/>
          <w:rtl/>
        </w:rPr>
        <w:t>الاجتماعي</w:t>
      </w:r>
      <w:r w:rsidRPr="002325D3">
        <w:rPr>
          <w:rFonts w:ascii="Traditional Arabic" w:eastAsia="Calibri" w:hAnsi="Traditional Arabic" w:cs="Traditional Arabic"/>
          <w:szCs w:val="18"/>
        </w:rPr>
        <w:t xml:space="preserve"> </w:t>
      </w:r>
      <w:r w:rsidRPr="002325D3">
        <w:rPr>
          <w:rFonts w:ascii="Traditional Arabic" w:eastAsia="Calibri" w:hAnsi="Traditional Arabic" w:cs="Traditional Arabic"/>
          <w:szCs w:val="18"/>
          <w:rtl/>
        </w:rPr>
        <w:t>أو</w:t>
      </w:r>
      <w:r w:rsidRPr="002325D3">
        <w:rPr>
          <w:rFonts w:ascii="Traditional Arabic" w:eastAsia="Calibri" w:hAnsi="Traditional Arabic" w:cs="Traditional Arabic"/>
          <w:szCs w:val="18"/>
        </w:rPr>
        <w:t xml:space="preserve"> </w:t>
      </w:r>
      <w:r w:rsidRPr="002325D3">
        <w:rPr>
          <w:rFonts w:ascii="Traditional Arabic" w:eastAsia="Calibri" w:hAnsi="Traditional Arabic" w:cs="Traditional Arabic"/>
          <w:szCs w:val="18"/>
          <w:rtl/>
        </w:rPr>
        <w:t>ثروته</w:t>
      </w:r>
      <w:r w:rsidRPr="002325D3">
        <w:rPr>
          <w:rFonts w:ascii="Traditional Arabic" w:eastAsia="Calibri" w:hAnsi="Traditional Arabic" w:cs="Traditional Arabic"/>
          <w:szCs w:val="18"/>
        </w:rPr>
        <w:t xml:space="preserve"> </w:t>
      </w:r>
      <w:r w:rsidRPr="002325D3">
        <w:rPr>
          <w:rFonts w:ascii="Traditional Arabic" w:eastAsia="Calibri" w:hAnsi="Traditional Arabic" w:cs="Traditional Arabic"/>
          <w:szCs w:val="18"/>
          <w:rtl/>
        </w:rPr>
        <w:t>أو</w:t>
      </w:r>
      <w:r w:rsidRPr="002325D3">
        <w:rPr>
          <w:rFonts w:ascii="Traditional Arabic" w:eastAsia="Calibri" w:hAnsi="Traditional Arabic" w:cs="Traditional Arabic"/>
          <w:szCs w:val="18"/>
        </w:rPr>
        <w:t xml:space="preserve"> </w:t>
      </w:r>
      <w:r w:rsidRPr="002325D3">
        <w:rPr>
          <w:rFonts w:ascii="Traditional Arabic" w:eastAsia="Calibri" w:hAnsi="Traditional Arabic" w:cs="Traditional Arabic"/>
          <w:szCs w:val="18"/>
          <w:rtl/>
        </w:rPr>
        <w:t>إعاقته</w:t>
      </w:r>
      <w:r w:rsidRPr="002325D3">
        <w:rPr>
          <w:rFonts w:ascii="Traditional Arabic" w:eastAsia="Calibri" w:hAnsi="Traditional Arabic" w:cs="Traditional Arabic"/>
          <w:szCs w:val="18"/>
        </w:rPr>
        <w:t xml:space="preserve"> </w:t>
      </w:r>
      <w:r w:rsidRPr="002325D3">
        <w:rPr>
          <w:rFonts w:ascii="Traditional Arabic" w:eastAsia="Calibri" w:hAnsi="Traditional Arabic" w:cs="Traditional Arabic"/>
          <w:szCs w:val="18"/>
          <w:rtl/>
        </w:rPr>
        <w:t>أو</w:t>
      </w:r>
      <w:r w:rsidRPr="002325D3">
        <w:rPr>
          <w:rFonts w:ascii="Traditional Arabic" w:eastAsia="Calibri" w:hAnsi="Traditional Arabic" w:cs="Traditional Arabic"/>
          <w:szCs w:val="18"/>
        </w:rPr>
        <w:t xml:space="preserve"> </w:t>
      </w:r>
      <w:r w:rsidRPr="002325D3">
        <w:rPr>
          <w:rFonts w:ascii="Traditional Arabic" w:eastAsia="Calibri" w:hAnsi="Traditional Arabic" w:cs="Traditional Arabic"/>
          <w:szCs w:val="18"/>
          <w:rtl/>
        </w:rPr>
        <w:t>مولده</w:t>
      </w:r>
      <w:r w:rsidRPr="002325D3">
        <w:rPr>
          <w:rFonts w:ascii="Traditional Arabic" w:eastAsia="Calibri" w:hAnsi="Traditional Arabic" w:cs="Traditional Arabic"/>
          <w:szCs w:val="18"/>
        </w:rPr>
        <w:t xml:space="preserve"> </w:t>
      </w:r>
      <w:r w:rsidRPr="002325D3">
        <w:rPr>
          <w:rFonts w:ascii="Traditional Arabic" w:eastAsia="Calibri" w:hAnsi="Traditional Arabic" w:cs="Traditional Arabic"/>
          <w:szCs w:val="18"/>
          <w:rtl/>
        </w:rPr>
        <w:t>أو</w:t>
      </w:r>
      <w:r w:rsidRPr="002325D3">
        <w:rPr>
          <w:rFonts w:ascii="Traditional Arabic" w:eastAsia="Calibri" w:hAnsi="Traditional Arabic" w:cs="Traditional Arabic"/>
          <w:szCs w:val="18"/>
        </w:rPr>
        <w:t xml:space="preserve"> </w:t>
      </w:r>
      <w:r w:rsidRPr="002325D3">
        <w:rPr>
          <w:rFonts w:ascii="Traditional Arabic" w:eastAsia="Calibri" w:hAnsi="Traditional Arabic" w:cs="Traditional Arabic"/>
          <w:szCs w:val="18"/>
          <w:rtl/>
        </w:rPr>
        <w:t>والديه،</w:t>
      </w:r>
      <w:r w:rsidRPr="002325D3">
        <w:rPr>
          <w:rFonts w:ascii="Traditional Arabic" w:eastAsia="Calibri" w:hAnsi="Traditional Arabic" w:cs="Traditional Arabic"/>
          <w:szCs w:val="18"/>
        </w:rPr>
        <w:t xml:space="preserve"> </w:t>
      </w:r>
      <w:r w:rsidRPr="002325D3">
        <w:rPr>
          <w:rFonts w:ascii="Traditional Arabic" w:eastAsia="Calibri" w:hAnsi="Traditional Arabic" w:cs="Traditional Arabic"/>
          <w:szCs w:val="18"/>
          <w:rtl/>
        </w:rPr>
        <w:t>أو</w:t>
      </w:r>
      <w:r w:rsidRPr="002325D3">
        <w:rPr>
          <w:rFonts w:ascii="Traditional Arabic" w:eastAsia="Calibri" w:hAnsi="Traditional Arabic" w:cs="Traditional Arabic"/>
          <w:szCs w:val="18"/>
        </w:rPr>
        <w:t xml:space="preserve"> </w:t>
      </w:r>
      <w:r w:rsidRPr="002325D3">
        <w:rPr>
          <w:rFonts w:ascii="Traditional Arabic" w:eastAsia="Calibri" w:hAnsi="Traditional Arabic" w:cs="Traditional Arabic"/>
          <w:szCs w:val="18"/>
          <w:rtl/>
        </w:rPr>
        <w:t>أي</w:t>
      </w:r>
      <w:r w:rsidRPr="002325D3">
        <w:rPr>
          <w:rFonts w:ascii="Traditional Arabic" w:eastAsia="Calibri" w:hAnsi="Traditional Arabic" w:cs="Traditional Arabic"/>
          <w:szCs w:val="18"/>
        </w:rPr>
        <w:t xml:space="preserve"> </w:t>
      </w:r>
      <w:r w:rsidRPr="002325D3">
        <w:rPr>
          <w:rFonts w:ascii="Traditional Arabic" w:eastAsia="Calibri" w:hAnsi="Traditional Arabic" w:cs="Traditional Arabic"/>
          <w:szCs w:val="18"/>
          <w:rtl/>
        </w:rPr>
        <w:t>نوع</w:t>
      </w:r>
      <w:r w:rsidRPr="002325D3">
        <w:rPr>
          <w:rFonts w:ascii="Traditional Arabic" w:eastAsia="Calibri" w:hAnsi="Traditional Arabic" w:cs="Traditional Arabic"/>
          <w:szCs w:val="18"/>
        </w:rPr>
        <w:t xml:space="preserve"> </w:t>
      </w:r>
      <w:r w:rsidRPr="002325D3">
        <w:rPr>
          <w:rFonts w:ascii="Traditional Arabic" w:eastAsia="Calibri" w:hAnsi="Traditional Arabic" w:cs="Traditional Arabic"/>
          <w:szCs w:val="18"/>
          <w:rtl/>
        </w:rPr>
        <w:t>آخر</w:t>
      </w:r>
      <w:r w:rsidRPr="002325D3">
        <w:rPr>
          <w:rFonts w:ascii="Traditional Arabic" w:eastAsia="Calibri" w:hAnsi="Traditional Arabic" w:cs="Traditional Arabic"/>
          <w:szCs w:val="18"/>
        </w:rPr>
        <w:t xml:space="preserve"> </w:t>
      </w:r>
      <w:r w:rsidRPr="002325D3">
        <w:rPr>
          <w:rFonts w:ascii="Traditional Arabic" w:eastAsia="Calibri" w:hAnsi="Traditional Arabic" w:cs="Traditional Arabic"/>
          <w:szCs w:val="18"/>
          <w:rtl/>
        </w:rPr>
        <w:t>من</w:t>
      </w:r>
      <w:r w:rsidRPr="002325D3">
        <w:rPr>
          <w:rFonts w:ascii="Traditional Arabic" w:eastAsia="Calibri" w:hAnsi="Traditional Arabic" w:cs="Traditional Arabic"/>
          <w:szCs w:val="18"/>
        </w:rPr>
        <w:t xml:space="preserve"> </w:t>
      </w:r>
      <w:r w:rsidRPr="002325D3">
        <w:rPr>
          <w:rFonts w:ascii="Traditional Arabic" w:eastAsia="Calibri" w:hAnsi="Traditional Arabic" w:cs="Traditional Arabic"/>
          <w:szCs w:val="18"/>
          <w:rtl/>
        </w:rPr>
        <w:t>أنواع التمييز.2.</w:t>
      </w:r>
      <w:r>
        <w:rPr>
          <w:rFonts w:ascii="Traditional Arabic" w:eastAsia="Calibri" w:hAnsi="Traditional Arabic" w:cs="Traditional Arabic"/>
          <w:szCs w:val="18"/>
          <w:rtl/>
        </w:rPr>
        <w:t xml:space="preserve"> </w:t>
      </w:r>
      <w:r w:rsidRPr="002325D3">
        <w:rPr>
          <w:rFonts w:ascii="Traditional Arabic" w:eastAsia="Calibri" w:hAnsi="Traditional Arabic" w:cs="Traditional Arabic"/>
          <w:szCs w:val="18"/>
          <w:rtl/>
        </w:rPr>
        <w:t>تتخذ</w:t>
      </w:r>
      <w:r w:rsidRPr="002325D3">
        <w:rPr>
          <w:rFonts w:ascii="Traditional Arabic" w:eastAsia="Calibri" w:hAnsi="Traditional Arabic" w:cs="Traditional Arabic"/>
          <w:szCs w:val="18"/>
        </w:rPr>
        <w:t xml:space="preserve"> </w:t>
      </w:r>
      <w:r w:rsidRPr="002325D3">
        <w:rPr>
          <w:rFonts w:ascii="Traditional Arabic" w:eastAsia="Calibri" w:hAnsi="Traditional Arabic" w:cs="Traditional Arabic"/>
          <w:szCs w:val="18"/>
          <w:rtl/>
        </w:rPr>
        <w:t>الدولة</w:t>
      </w:r>
      <w:r w:rsidRPr="002325D3">
        <w:rPr>
          <w:rFonts w:ascii="Traditional Arabic" w:eastAsia="Calibri" w:hAnsi="Traditional Arabic" w:cs="Traditional Arabic"/>
          <w:szCs w:val="18"/>
        </w:rPr>
        <w:t xml:space="preserve"> </w:t>
      </w:r>
      <w:r w:rsidRPr="002325D3">
        <w:rPr>
          <w:rFonts w:ascii="Traditional Arabic" w:eastAsia="Calibri" w:hAnsi="Traditional Arabic" w:cs="Traditional Arabic"/>
          <w:szCs w:val="18"/>
          <w:rtl/>
        </w:rPr>
        <w:t>كافة</w:t>
      </w:r>
      <w:r w:rsidRPr="002325D3">
        <w:rPr>
          <w:rFonts w:ascii="Traditional Arabic" w:eastAsia="Calibri" w:hAnsi="Traditional Arabic" w:cs="Traditional Arabic"/>
          <w:szCs w:val="18"/>
        </w:rPr>
        <w:t xml:space="preserve"> </w:t>
      </w:r>
      <w:r w:rsidRPr="002325D3">
        <w:rPr>
          <w:rFonts w:ascii="Traditional Arabic" w:eastAsia="Calibri" w:hAnsi="Traditional Arabic" w:cs="Traditional Arabic"/>
          <w:szCs w:val="18"/>
          <w:rtl/>
        </w:rPr>
        <w:t>التدابير</w:t>
      </w:r>
      <w:r w:rsidRPr="002325D3">
        <w:rPr>
          <w:rFonts w:ascii="Traditional Arabic" w:eastAsia="Calibri" w:hAnsi="Traditional Arabic" w:cs="Traditional Arabic"/>
          <w:szCs w:val="18"/>
        </w:rPr>
        <w:t xml:space="preserve"> </w:t>
      </w:r>
      <w:r w:rsidRPr="002325D3">
        <w:rPr>
          <w:rFonts w:ascii="Traditional Arabic" w:eastAsia="Calibri" w:hAnsi="Traditional Arabic" w:cs="Traditional Arabic"/>
          <w:szCs w:val="18"/>
          <w:rtl/>
        </w:rPr>
        <w:t>المناسبة</w:t>
      </w:r>
      <w:r w:rsidRPr="002325D3">
        <w:rPr>
          <w:rFonts w:ascii="Traditional Arabic" w:eastAsia="Calibri" w:hAnsi="Traditional Arabic" w:cs="Traditional Arabic"/>
          <w:szCs w:val="18"/>
        </w:rPr>
        <w:t xml:space="preserve"> </w:t>
      </w:r>
      <w:r w:rsidRPr="002325D3">
        <w:rPr>
          <w:rFonts w:ascii="Traditional Arabic" w:eastAsia="Calibri" w:hAnsi="Traditional Arabic" w:cs="Traditional Arabic"/>
          <w:szCs w:val="18"/>
          <w:rtl/>
        </w:rPr>
        <w:t>لحماية</w:t>
      </w:r>
      <w:r w:rsidRPr="002325D3">
        <w:rPr>
          <w:rFonts w:ascii="Traditional Arabic" w:eastAsia="Calibri" w:hAnsi="Traditional Arabic" w:cs="Traditional Arabic"/>
          <w:szCs w:val="18"/>
        </w:rPr>
        <w:t xml:space="preserve"> </w:t>
      </w:r>
      <w:r w:rsidRPr="002325D3">
        <w:rPr>
          <w:rFonts w:ascii="Traditional Arabic" w:eastAsia="Calibri" w:hAnsi="Traditional Arabic" w:cs="Traditional Arabic"/>
          <w:szCs w:val="18"/>
          <w:rtl/>
        </w:rPr>
        <w:t>الأطفال</w:t>
      </w:r>
      <w:r w:rsidRPr="002325D3">
        <w:rPr>
          <w:rFonts w:ascii="Traditional Arabic" w:eastAsia="Calibri" w:hAnsi="Traditional Arabic" w:cs="Traditional Arabic"/>
          <w:szCs w:val="18"/>
        </w:rPr>
        <w:t xml:space="preserve"> </w:t>
      </w:r>
      <w:r w:rsidRPr="002325D3">
        <w:rPr>
          <w:rFonts w:ascii="Traditional Arabic" w:eastAsia="Calibri" w:hAnsi="Traditional Arabic" w:cs="Traditional Arabic"/>
          <w:szCs w:val="18"/>
          <w:rtl/>
        </w:rPr>
        <w:t>من</w:t>
      </w:r>
      <w:r w:rsidRPr="002325D3">
        <w:rPr>
          <w:rFonts w:ascii="Traditional Arabic" w:eastAsia="Calibri" w:hAnsi="Traditional Arabic" w:cs="Traditional Arabic"/>
          <w:szCs w:val="18"/>
        </w:rPr>
        <w:t xml:space="preserve"> </w:t>
      </w:r>
      <w:r w:rsidRPr="002325D3">
        <w:rPr>
          <w:rFonts w:ascii="Traditional Arabic" w:eastAsia="Calibri" w:hAnsi="Traditional Arabic" w:cs="Traditional Arabic"/>
          <w:szCs w:val="18"/>
          <w:rtl/>
        </w:rPr>
        <w:t>جميع</w:t>
      </w:r>
      <w:r w:rsidRPr="002325D3">
        <w:rPr>
          <w:rFonts w:ascii="Traditional Arabic" w:eastAsia="Calibri" w:hAnsi="Traditional Arabic" w:cs="Traditional Arabic"/>
          <w:szCs w:val="18"/>
        </w:rPr>
        <w:t xml:space="preserve"> </w:t>
      </w:r>
      <w:r w:rsidRPr="002325D3">
        <w:rPr>
          <w:rFonts w:ascii="Traditional Arabic" w:eastAsia="Calibri" w:hAnsi="Traditional Arabic" w:cs="Traditional Arabic"/>
          <w:szCs w:val="18"/>
          <w:rtl/>
        </w:rPr>
        <w:t>أشكال</w:t>
      </w:r>
      <w:r w:rsidRPr="002325D3">
        <w:rPr>
          <w:rFonts w:ascii="Traditional Arabic" w:eastAsia="Calibri" w:hAnsi="Traditional Arabic" w:cs="Traditional Arabic"/>
          <w:szCs w:val="18"/>
        </w:rPr>
        <w:t xml:space="preserve"> </w:t>
      </w:r>
      <w:r w:rsidRPr="002325D3">
        <w:rPr>
          <w:rFonts w:ascii="Traditional Arabic" w:eastAsia="Calibri" w:hAnsi="Traditional Arabic" w:cs="Traditional Arabic"/>
          <w:szCs w:val="18"/>
          <w:rtl/>
        </w:rPr>
        <w:t>التمييز</w:t>
      </w:r>
      <w:r w:rsidRPr="002325D3">
        <w:rPr>
          <w:rFonts w:ascii="Traditional Arabic" w:eastAsia="Calibri" w:hAnsi="Traditional Arabic" w:cs="Traditional Arabic"/>
          <w:szCs w:val="18"/>
        </w:rPr>
        <w:t xml:space="preserve"> </w:t>
      </w:r>
      <w:r w:rsidRPr="002325D3">
        <w:rPr>
          <w:rFonts w:ascii="Traditional Arabic" w:eastAsia="Calibri" w:hAnsi="Traditional Arabic" w:cs="Traditional Arabic"/>
          <w:szCs w:val="18"/>
          <w:rtl/>
        </w:rPr>
        <w:t>بهدف</w:t>
      </w:r>
      <w:r w:rsidRPr="002325D3">
        <w:rPr>
          <w:rFonts w:ascii="Traditional Arabic" w:eastAsia="Calibri" w:hAnsi="Traditional Arabic" w:cs="Traditional Arabic"/>
          <w:szCs w:val="18"/>
        </w:rPr>
        <w:t xml:space="preserve"> </w:t>
      </w:r>
      <w:r w:rsidRPr="002325D3">
        <w:rPr>
          <w:rFonts w:ascii="Traditional Arabic" w:eastAsia="Calibri" w:hAnsi="Traditional Arabic" w:cs="Traditional Arabic"/>
          <w:szCs w:val="18"/>
          <w:rtl/>
        </w:rPr>
        <w:t>تأمين</w:t>
      </w:r>
      <w:r w:rsidRPr="002325D3">
        <w:rPr>
          <w:rFonts w:ascii="Traditional Arabic" w:eastAsia="Calibri" w:hAnsi="Traditional Arabic" w:cs="Traditional Arabic"/>
          <w:szCs w:val="18"/>
        </w:rPr>
        <w:t xml:space="preserve"> </w:t>
      </w:r>
      <w:r w:rsidRPr="002325D3">
        <w:rPr>
          <w:rFonts w:ascii="Traditional Arabic" w:eastAsia="Calibri" w:hAnsi="Traditional Arabic" w:cs="Traditional Arabic"/>
          <w:szCs w:val="18"/>
          <w:rtl/>
        </w:rPr>
        <w:t>المساواة</w:t>
      </w:r>
      <w:r w:rsidRPr="002325D3">
        <w:rPr>
          <w:rFonts w:ascii="Traditional Arabic" w:eastAsia="Calibri" w:hAnsi="Traditional Arabic" w:cs="Traditional Arabic"/>
          <w:szCs w:val="18"/>
        </w:rPr>
        <w:t xml:space="preserve"> </w:t>
      </w:r>
      <w:r w:rsidRPr="002325D3">
        <w:rPr>
          <w:rFonts w:ascii="Traditional Arabic" w:eastAsia="Calibri" w:hAnsi="Traditional Arabic" w:cs="Traditional Arabic"/>
          <w:szCs w:val="18"/>
          <w:rtl/>
        </w:rPr>
        <w:t>الفعلية والانتفاع</w:t>
      </w:r>
      <w:r w:rsidRPr="002325D3">
        <w:rPr>
          <w:rFonts w:ascii="Traditional Arabic" w:eastAsia="Calibri" w:hAnsi="Traditional Arabic" w:cs="Traditional Arabic"/>
          <w:szCs w:val="18"/>
        </w:rPr>
        <w:t xml:space="preserve"> </w:t>
      </w:r>
      <w:r w:rsidRPr="002325D3">
        <w:rPr>
          <w:rFonts w:ascii="Traditional Arabic" w:eastAsia="Calibri" w:hAnsi="Traditional Arabic" w:cs="Traditional Arabic"/>
          <w:szCs w:val="18"/>
          <w:rtl/>
        </w:rPr>
        <w:t>بكافة</w:t>
      </w:r>
      <w:r w:rsidRPr="002325D3">
        <w:rPr>
          <w:rFonts w:ascii="Traditional Arabic" w:eastAsia="Calibri" w:hAnsi="Traditional Arabic" w:cs="Traditional Arabic"/>
          <w:szCs w:val="18"/>
        </w:rPr>
        <w:t xml:space="preserve"> </w:t>
      </w:r>
      <w:r w:rsidRPr="002325D3">
        <w:rPr>
          <w:rFonts w:ascii="Traditional Arabic" w:eastAsia="Calibri" w:hAnsi="Traditional Arabic" w:cs="Traditional Arabic"/>
          <w:szCs w:val="18"/>
          <w:rtl/>
        </w:rPr>
        <w:t>الحقوق</w:t>
      </w:r>
      <w:r w:rsidRPr="002325D3">
        <w:rPr>
          <w:rFonts w:ascii="Traditional Arabic" w:eastAsia="Calibri" w:hAnsi="Traditional Arabic" w:cs="Traditional Arabic"/>
          <w:szCs w:val="18"/>
        </w:rPr>
        <w:t xml:space="preserve"> </w:t>
      </w:r>
      <w:r w:rsidRPr="002325D3">
        <w:rPr>
          <w:rFonts w:ascii="Traditional Arabic" w:eastAsia="Calibri" w:hAnsi="Traditional Arabic" w:cs="Traditional Arabic"/>
          <w:szCs w:val="18"/>
          <w:rtl/>
        </w:rPr>
        <w:t>الواردة</w:t>
      </w:r>
      <w:r w:rsidRPr="002325D3">
        <w:rPr>
          <w:rFonts w:ascii="Traditional Arabic" w:eastAsia="Calibri" w:hAnsi="Traditional Arabic" w:cs="Traditional Arabic"/>
          <w:szCs w:val="18"/>
        </w:rPr>
        <w:t xml:space="preserve"> </w:t>
      </w:r>
      <w:r w:rsidRPr="002325D3">
        <w:rPr>
          <w:rFonts w:ascii="Traditional Arabic" w:eastAsia="Calibri" w:hAnsi="Traditional Arabic" w:cs="Traditional Arabic"/>
          <w:szCs w:val="18"/>
          <w:rtl/>
        </w:rPr>
        <w:t>في</w:t>
      </w:r>
      <w:r w:rsidRPr="002325D3">
        <w:rPr>
          <w:rFonts w:ascii="Traditional Arabic" w:eastAsia="Calibri" w:hAnsi="Traditional Arabic" w:cs="Traditional Arabic"/>
          <w:szCs w:val="18"/>
        </w:rPr>
        <w:t xml:space="preserve"> </w:t>
      </w:r>
      <w:r w:rsidRPr="002325D3">
        <w:rPr>
          <w:rFonts w:ascii="Traditional Arabic" w:eastAsia="Calibri" w:hAnsi="Traditional Arabic" w:cs="Traditional Arabic"/>
          <w:szCs w:val="18"/>
          <w:rtl/>
        </w:rPr>
        <w:t>هذا</w:t>
      </w:r>
      <w:r w:rsidRPr="002325D3">
        <w:rPr>
          <w:rFonts w:ascii="Traditional Arabic" w:eastAsia="Calibri" w:hAnsi="Traditional Arabic" w:cs="Traditional Arabic"/>
          <w:szCs w:val="18"/>
        </w:rPr>
        <w:t xml:space="preserve"> </w:t>
      </w:r>
      <w:r w:rsidRPr="002325D3">
        <w:rPr>
          <w:rFonts w:ascii="Traditional Arabic" w:eastAsia="Calibri" w:hAnsi="Traditional Arabic" w:cs="Traditional Arabic"/>
          <w:szCs w:val="18"/>
          <w:rtl/>
        </w:rPr>
        <w:t>القانون</w:t>
      </w:r>
      <w:r w:rsidRPr="002325D3">
        <w:rPr>
          <w:rFonts w:ascii="Traditional Arabic" w:eastAsia="Calibri" w:hAnsi="Traditional Arabic" w:cs="Traditional Arabic"/>
          <w:szCs w:val="18"/>
        </w:rPr>
        <w:t>.</w:t>
      </w:r>
      <w:r w:rsidRPr="002325D3">
        <w:rPr>
          <w:rFonts w:ascii="Traditional Arabic" w:eastAsia="Calibri" w:hAnsi="Traditional Arabic" w:cs="Traditional Arabic"/>
          <w:szCs w:val="18"/>
          <w:rtl/>
        </w:rPr>
        <w:t>”</w:t>
      </w:r>
    </w:p>
  </w:endnote>
  <w:endnote w:id="21">
    <w:p w14:paraId="1B00F67D" w14:textId="77777777" w:rsidR="005F758D" w:rsidRPr="00233B67" w:rsidRDefault="005F758D" w:rsidP="000855C6">
      <w:pPr>
        <w:pStyle w:val="af"/>
        <w:widowControl w:val="0"/>
        <w:bidi/>
      </w:pPr>
      <w:r>
        <w:tab/>
      </w:r>
      <w:r w:rsidRPr="002A047B">
        <w:rPr>
          <w:rStyle w:val="ab"/>
        </w:rPr>
        <w:endnoteRef/>
      </w:r>
      <w:r w:rsidRPr="002325D3">
        <w:rPr>
          <w:rFonts w:ascii="Traditional Arabic" w:hAnsi="Traditional Arabic" w:cs="Traditional Arabic"/>
          <w:szCs w:val="18"/>
        </w:rPr>
        <w:tab/>
      </w:r>
      <w:r w:rsidRPr="002325D3">
        <w:rPr>
          <w:rFonts w:ascii="Traditional Arabic" w:hAnsi="Traditional Arabic" w:cs="Traditional Arabic"/>
          <w:color w:val="000000"/>
          <w:szCs w:val="18"/>
          <w:rtl/>
        </w:rPr>
        <w:t xml:space="preserve">تتضمن هذه المؤسسات على سبيل المثال وليس الحصر؛ جمعية الشبان المسيحية بالقدس، جمعية الهلال الاحمر الفلسطيني، مؤسسة قادر، جمعية بيت لحم العربية للتأهيل، </w:t>
      </w:r>
      <w:r w:rsidRPr="002325D3">
        <w:rPr>
          <w:rFonts w:ascii="Traditional Arabic" w:hAnsi="Traditional Arabic" w:cs="Traditional Arabic"/>
          <w:szCs w:val="18"/>
          <w:rtl/>
        </w:rPr>
        <w:t>جمعية الرعاية والارتقاء الفلسطينية فجر –مدرسة سنابل للتربية الخاصة، جمعية (اصوات)، جمعية (نجوم الامل).</w:t>
      </w:r>
    </w:p>
  </w:endnote>
  <w:endnote w:id="22">
    <w:p w14:paraId="0EFCDE33" w14:textId="77777777" w:rsidR="005F758D" w:rsidRPr="000855C6" w:rsidRDefault="005F758D" w:rsidP="00EB5F7A">
      <w:pPr>
        <w:pStyle w:val="af"/>
        <w:widowControl w:val="0"/>
        <w:bidi/>
      </w:pPr>
      <w:r>
        <w:tab/>
      </w:r>
      <w:r w:rsidRPr="002A047B">
        <w:rPr>
          <w:rStyle w:val="ab"/>
        </w:rPr>
        <w:endnoteRef/>
      </w:r>
      <w:r w:rsidRPr="002325D3">
        <w:rPr>
          <w:rFonts w:ascii="Traditional Arabic" w:hAnsi="Traditional Arabic" w:cs="Traditional Arabic"/>
          <w:szCs w:val="18"/>
        </w:rPr>
        <w:tab/>
      </w:r>
      <w:r w:rsidRPr="002325D3">
        <w:rPr>
          <w:rFonts w:ascii="Traditional Arabic" w:hAnsi="Traditional Arabic" w:cs="Traditional Arabic"/>
          <w:szCs w:val="18"/>
          <w:rtl/>
        </w:rPr>
        <w:t>حيث تضمن هذا الدليل المقاييس الفنية ومتطلبات البناء للأشخاص ذوي الاعاقة، لكي تكون جزءً من قواعد ومعايير البناء الهندسية الخاصة بإمكانية الوصول لهم، ضماناً لعدم مواجهتهم اي صعوبات او عقبات اثناء ممارستهم لأنشطة فردية او جماعية، وبالتالي تمكينهم بشكل فعلي من ممارسة حقهم في الوصول اسوةً بغيرهم من الاشخاص ذوي الاعاقة.</w:t>
      </w:r>
    </w:p>
  </w:endnote>
  <w:endnote w:id="23">
    <w:p w14:paraId="15E4F444" w14:textId="77777777" w:rsidR="005F758D" w:rsidRDefault="005F758D" w:rsidP="00EB5F7A">
      <w:pPr>
        <w:pStyle w:val="af"/>
        <w:widowControl w:val="0"/>
        <w:bidi/>
      </w:pPr>
      <w:r>
        <w:tab/>
      </w:r>
      <w:r>
        <w:rPr>
          <w:rStyle w:val="ab"/>
        </w:rPr>
        <w:endnoteRef/>
      </w:r>
      <w:r>
        <w:tab/>
      </w:r>
      <w:r w:rsidRPr="002325D3">
        <w:rPr>
          <w:rFonts w:ascii="Traditional Arabic" w:hAnsi="Traditional Arabic" w:cs="Traditional Arabic"/>
          <w:szCs w:val="18"/>
        </w:rPr>
        <w:tab/>
      </w:r>
      <w:r w:rsidRPr="002325D3">
        <w:rPr>
          <w:rFonts w:ascii="Traditional Arabic" w:hAnsi="Traditional Arabic" w:cs="Traditional Arabic"/>
          <w:szCs w:val="18"/>
          <w:rtl/>
        </w:rPr>
        <w:t>المصدر: شبكة الاجسام الممثلة، غزة.</w:t>
      </w:r>
    </w:p>
  </w:endnote>
  <w:endnote w:id="24">
    <w:p w14:paraId="0B7B8EDA" w14:textId="77777777" w:rsidR="005F758D" w:rsidRPr="002325D3" w:rsidRDefault="005F758D" w:rsidP="00EB5F7A">
      <w:pPr>
        <w:pStyle w:val="af"/>
        <w:widowControl w:val="0"/>
        <w:tabs>
          <w:tab w:val="clear" w:pos="1021"/>
          <w:tab w:val="right" w:pos="1020"/>
        </w:tabs>
        <w:bidi/>
        <w:rPr>
          <w:rFonts w:ascii="Traditional Arabic" w:hAnsi="Traditional Arabic" w:cs="Traditional Arabic"/>
          <w:szCs w:val="18"/>
          <w:lang w:bidi="ar-JO"/>
        </w:rPr>
      </w:pPr>
      <w:r>
        <w:tab/>
      </w:r>
      <w:r w:rsidRPr="002A047B">
        <w:rPr>
          <w:rStyle w:val="ab"/>
        </w:rPr>
        <w:endnoteRef/>
      </w:r>
      <w:r w:rsidRPr="002325D3">
        <w:rPr>
          <w:rFonts w:ascii="Traditional Arabic" w:hAnsi="Traditional Arabic" w:cs="Traditional Arabic"/>
          <w:szCs w:val="18"/>
        </w:rPr>
        <w:tab/>
      </w:r>
      <w:r w:rsidRPr="002325D3">
        <w:rPr>
          <w:rFonts w:ascii="Traditional Arabic" w:hAnsi="Traditional Arabic" w:cs="Traditional Arabic"/>
          <w:szCs w:val="18"/>
          <w:rtl/>
        </w:rPr>
        <w:t xml:space="preserve">تقرير الجهاز المركزي للإحصاء الفلسطيني لعام 2011 حول </w:t>
      </w:r>
      <w:r w:rsidRPr="002325D3">
        <w:rPr>
          <w:rFonts w:ascii="Traditional Arabic" w:hAnsi="Traditional Arabic" w:cs="Traditional Arabic"/>
          <w:szCs w:val="18"/>
          <w:rtl/>
          <w:lang w:bidi="ar-JO"/>
        </w:rPr>
        <w:t>مواءمة البنية التحتية في المنازل:</w:t>
      </w:r>
    </w:p>
    <w:p w14:paraId="1E23F2E0" w14:textId="77777777" w:rsidR="005F758D" w:rsidRPr="002325D3" w:rsidRDefault="005F758D" w:rsidP="00EB5F7A">
      <w:pPr>
        <w:pStyle w:val="Bullet1GA"/>
        <w:bidi/>
        <w:spacing w:after="0" w:line="220" w:lineRule="exact"/>
        <w:ind w:left="1304" w:right="1134" w:hanging="170"/>
        <w:rPr>
          <w:rFonts w:ascii="Traditional Arabic" w:hAnsi="Traditional Arabic"/>
          <w:sz w:val="18"/>
          <w:szCs w:val="18"/>
          <w:rtl/>
          <w:lang w:bidi="ar-JO"/>
        </w:rPr>
      </w:pPr>
      <w:r w:rsidRPr="002325D3">
        <w:rPr>
          <w:rFonts w:ascii="Traditional Arabic" w:hAnsi="Traditional Arabic"/>
          <w:sz w:val="18"/>
          <w:szCs w:val="18"/>
          <w:rtl/>
          <w:lang w:bidi="ar-JO"/>
        </w:rPr>
        <w:t>شواحط في المنزل: 24.6% من الأفراد ذوي الإعاقة في الأرض الفلسطينية الم أفادوا بأنهم بحاجة ملحة لشواحط في منازلهم لتساعدهم في التحرك؛ 28.3% في الضفة الغربية و16.2% في قطاع غزة</w:t>
      </w:r>
      <w:r w:rsidRPr="00EB5F7A">
        <w:rPr>
          <w:rFonts w:ascii="Traditional Arabic" w:hAnsi="Traditional Arabic"/>
          <w:sz w:val="18"/>
          <w:szCs w:val="18"/>
          <w:lang w:val="ru-RU" w:bidi="ar-JO"/>
        </w:rPr>
        <w:t>.</w:t>
      </w:r>
    </w:p>
    <w:p w14:paraId="64293F42" w14:textId="77777777" w:rsidR="005F758D" w:rsidRPr="002325D3" w:rsidRDefault="005F758D" w:rsidP="00EB5F7A">
      <w:pPr>
        <w:pStyle w:val="Bullet1GA"/>
        <w:bidi/>
        <w:spacing w:after="0" w:line="220" w:lineRule="exact"/>
        <w:ind w:left="1304" w:right="1134" w:hanging="170"/>
        <w:rPr>
          <w:rFonts w:ascii="Traditional Arabic" w:hAnsi="Traditional Arabic"/>
          <w:sz w:val="18"/>
          <w:szCs w:val="18"/>
          <w:rtl/>
          <w:lang w:bidi="ar-JO"/>
        </w:rPr>
      </w:pPr>
      <w:r w:rsidRPr="002325D3">
        <w:rPr>
          <w:rFonts w:ascii="Traditional Arabic" w:hAnsi="Traditional Arabic"/>
          <w:sz w:val="18"/>
          <w:szCs w:val="18"/>
          <w:rtl/>
          <w:lang w:bidi="ar-JO"/>
        </w:rPr>
        <w:t>حمامات موائمة: 33.7% من الأفراد ذوي الإعاقة في الأرض الفلسطينية أفادوا بأنهم بحاجة ملحة لحمامات موائمة في منازلهم؛ 35.8% في الضفة الغربية و28.8% في قطاع غزة</w:t>
      </w:r>
      <w:r w:rsidRPr="002325D3">
        <w:rPr>
          <w:rFonts w:ascii="Traditional Arabic" w:hAnsi="Traditional Arabic"/>
          <w:sz w:val="18"/>
          <w:szCs w:val="18"/>
          <w:lang w:bidi="ar-JO"/>
        </w:rPr>
        <w:t>.</w:t>
      </w:r>
    </w:p>
    <w:p w14:paraId="1D6CB68C" w14:textId="77777777" w:rsidR="005F758D" w:rsidRPr="002325D3" w:rsidRDefault="005F758D" w:rsidP="00EB5F7A">
      <w:pPr>
        <w:pStyle w:val="Bullet1GA"/>
        <w:bidi/>
        <w:spacing w:after="0" w:line="220" w:lineRule="exact"/>
        <w:ind w:left="1304" w:right="1134" w:hanging="170"/>
        <w:rPr>
          <w:rFonts w:ascii="Traditional Arabic" w:hAnsi="Traditional Arabic"/>
          <w:sz w:val="18"/>
          <w:szCs w:val="18"/>
          <w:rtl/>
          <w:lang w:bidi="ar-JO"/>
        </w:rPr>
      </w:pPr>
      <w:r w:rsidRPr="002325D3">
        <w:rPr>
          <w:rFonts w:ascii="Traditional Arabic" w:hAnsi="Traditional Arabic"/>
          <w:sz w:val="18"/>
          <w:szCs w:val="18"/>
          <w:rtl/>
          <w:lang w:bidi="ar-JO"/>
        </w:rPr>
        <w:t>مطابخ موائمة: 19.6% من الأفراد ذوي الإعاقة في الأرض الفلسطينية أفادوا بأنهم بحاجة ملحة لمطابخ موائمة في منازلهم؛ 21.4% في الضفة الغربية و15.4 % في قطاع غزة</w:t>
      </w:r>
      <w:r w:rsidRPr="002325D3">
        <w:rPr>
          <w:rFonts w:ascii="Traditional Arabic" w:hAnsi="Traditional Arabic"/>
          <w:sz w:val="18"/>
          <w:szCs w:val="18"/>
          <w:lang w:bidi="ar-JO"/>
        </w:rPr>
        <w:t>.</w:t>
      </w:r>
    </w:p>
    <w:p w14:paraId="6EA3DE17" w14:textId="77777777" w:rsidR="005F758D" w:rsidRPr="002325D3" w:rsidRDefault="005F758D" w:rsidP="00EB5F7A">
      <w:pPr>
        <w:pStyle w:val="Bullet1GA"/>
        <w:bidi/>
        <w:spacing w:after="0" w:line="220" w:lineRule="exact"/>
        <w:ind w:left="1304" w:right="1134" w:hanging="170"/>
        <w:rPr>
          <w:rFonts w:ascii="Traditional Arabic" w:hAnsi="Traditional Arabic"/>
          <w:sz w:val="18"/>
          <w:szCs w:val="18"/>
          <w:rtl/>
          <w:lang w:bidi="ar-JO"/>
        </w:rPr>
      </w:pPr>
      <w:r w:rsidRPr="002325D3">
        <w:rPr>
          <w:rFonts w:ascii="Traditional Arabic" w:hAnsi="Traditional Arabic"/>
          <w:sz w:val="18"/>
          <w:szCs w:val="18"/>
          <w:rtl/>
          <w:lang w:bidi="ar-JO"/>
        </w:rPr>
        <w:t>مصعد كهربائي: 15.0% من الأفراد ذوي الإعاقة في الأرض الفلسطينية أفادوا بأنهم بحاجة ملحة لمصاعد في منازلهم؛ 14.7% في الضفة الغربية و15.5% في قطاع غزة</w:t>
      </w:r>
      <w:r w:rsidRPr="002325D3">
        <w:rPr>
          <w:rFonts w:ascii="Traditional Arabic" w:hAnsi="Traditional Arabic"/>
          <w:sz w:val="18"/>
          <w:szCs w:val="18"/>
          <w:lang w:bidi="ar-JO"/>
        </w:rPr>
        <w:t>.</w:t>
      </w:r>
    </w:p>
    <w:p w14:paraId="1F8C1244" w14:textId="77777777" w:rsidR="005F758D" w:rsidRPr="00EB5F7A" w:rsidRDefault="005F758D" w:rsidP="00EB5F7A">
      <w:pPr>
        <w:pStyle w:val="Bullet1GA"/>
        <w:bidi/>
        <w:spacing w:after="0" w:line="220" w:lineRule="exact"/>
        <w:ind w:left="1304" w:right="1134" w:hanging="170"/>
      </w:pPr>
      <w:r w:rsidRPr="00EB5F7A">
        <w:rPr>
          <w:rFonts w:ascii="Traditional Arabic" w:hAnsi="Traditional Arabic"/>
          <w:sz w:val="18"/>
          <w:szCs w:val="18"/>
          <w:rtl/>
          <w:lang w:bidi="ar-JO"/>
        </w:rPr>
        <w:t xml:space="preserve">نظام </w:t>
      </w:r>
      <w:r w:rsidRPr="00EB5F7A">
        <w:rPr>
          <w:rFonts w:ascii="Traditional Arabic" w:hAnsi="Traditional Arabic"/>
          <w:sz w:val="18"/>
          <w:szCs w:val="18"/>
          <w:rtl/>
        </w:rPr>
        <w:t>منبهات</w:t>
      </w:r>
      <w:r w:rsidRPr="00EB5F7A">
        <w:rPr>
          <w:rFonts w:ascii="Traditional Arabic" w:hAnsi="Traditional Arabic"/>
          <w:sz w:val="18"/>
          <w:szCs w:val="18"/>
          <w:rtl/>
          <w:lang w:bidi="ar-JO"/>
        </w:rPr>
        <w:t xml:space="preserve"> مرئي: 7.8% من الأفراد ذوي الإعاقة في الأرض الفلسطينية أفادوا بأنهم بحاجة ملحة لنظام منبهات مرئي في منازلهم؛ 7,3% في الضفة الغربية و9.3% في قطاع غزة</w:t>
      </w:r>
      <w:r w:rsidRPr="00EB5F7A">
        <w:rPr>
          <w:rFonts w:ascii="Traditional Arabic" w:hAnsi="Traditional Arabic"/>
          <w:sz w:val="18"/>
          <w:szCs w:val="18"/>
          <w:lang w:bidi="ar-JO"/>
        </w:rPr>
        <w:t>.</w:t>
      </w:r>
    </w:p>
  </w:endnote>
  <w:endnote w:id="25">
    <w:p w14:paraId="5BA5828F" w14:textId="77777777" w:rsidR="005F758D" w:rsidRDefault="005F758D" w:rsidP="00EB5F7A">
      <w:pPr>
        <w:pStyle w:val="af"/>
        <w:widowControl w:val="0"/>
        <w:bidi/>
      </w:pPr>
      <w:r>
        <w:tab/>
      </w:r>
      <w:r w:rsidRPr="002A047B">
        <w:rPr>
          <w:rStyle w:val="ab"/>
        </w:rPr>
        <w:endnoteRef/>
      </w:r>
      <w:r w:rsidRPr="002325D3">
        <w:rPr>
          <w:rFonts w:ascii="Traditional Arabic" w:hAnsi="Traditional Arabic" w:cs="Traditional Arabic"/>
          <w:szCs w:val="18"/>
        </w:rPr>
        <w:tab/>
      </w:r>
      <w:r w:rsidRPr="002325D3">
        <w:rPr>
          <w:rStyle w:val="shorttext"/>
          <w:rFonts w:ascii="Traditional Arabic" w:hAnsi="Traditional Arabic" w:cs="Traditional Arabic"/>
          <w:szCs w:val="18"/>
          <w:rtl/>
        </w:rPr>
        <w:t>المصدر: الهيئة الاستشارية الفلسطينية لتطوير المؤسسات غير الحكومية.</w:t>
      </w:r>
    </w:p>
  </w:endnote>
  <w:endnote w:id="26">
    <w:p w14:paraId="778E8934" w14:textId="77777777" w:rsidR="005F758D" w:rsidRDefault="005F758D" w:rsidP="001F36CB">
      <w:pPr>
        <w:pStyle w:val="af"/>
        <w:widowControl w:val="0"/>
        <w:bidi/>
      </w:pPr>
      <w:r>
        <w:tab/>
      </w:r>
      <w:r>
        <w:rPr>
          <w:rStyle w:val="ab"/>
        </w:rPr>
        <w:endnoteRef/>
      </w:r>
      <w:r w:rsidRPr="002325D3">
        <w:rPr>
          <w:rFonts w:ascii="Traditional Arabic" w:hAnsi="Traditional Arabic" w:cs="Traditional Arabic"/>
          <w:szCs w:val="18"/>
        </w:rPr>
        <w:tab/>
      </w:r>
      <w:r w:rsidRPr="002325D3">
        <w:rPr>
          <w:rFonts w:ascii="Traditional Arabic" w:hAnsi="Traditional Arabic" w:cs="Traditional Arabic"/>
          <w:szCs w:val="18"/>
          <w:rtl/>
          <w:lang w:bidi="ar-TN"/>
        </w:rPr>
        <w:t>نصت المادة 5 منه على أنه</w:t>
      </w:r>
      <w:r w:rsidRPr="002325D3">
        <w:rPr>
          <w:rFonts w:ascii="Traditional Arabic" w:hAnsi="Traditional Arabic" w:cs="Traditional Arabic"/>
          <w:szCs w:val="18"/>
          <w:rtl/>
        </w:rPr>
        <w:t>:”تختص المديرية العامة للدفاع المدني بما يلي: 1. جميع أعمال الدفاع المدني بما في ذلك إعداد المشروعات وخطط العمل والإشراف على تنفيذها وتدبير ما يلزم من أدوات ومهمات ودراسة أحدث وسائل الدفاع المدني وطرق نشر تعليمها بين الجمهور. 2. اتخاذ الإجراءات الضرورية مع اللجان المعنية لمواجهة الكوارث وحالات الطوارئ في الأحوال التي يقررها رئيس السلطة الوطنية. 3. توعية المواطنين بأعمال الدفاع المدني والتعاون مع فرقها وتوزيع النشرات والإعلانات المتعلقة بعملها في زمن السلم والحرب.”</w:t>
      </w:r>
    </w:p>
  </w:endnote>
  <w:endnote w:id="27">
    <w:p w14:paraId="32328741" w14:textId="77777777" w:rsidR="005F758D" w:rsidRPr="001F36CB" w:rsidRDefault="005F758D" w:rsidP="001F36CB">
      <w:pPr>
        <w:pStyle w:val="af"/>
        <w:widowControl w:val="0"/>
        <w:bidi/>
      </w:pPr>
      <w:r>
        <w:tab/>
      </w:r>
      <w:r>
        <w:rPr>
          <w:rStyle w:val="ab"/>
        </w:rPr>
        <w:endnoteRef/>
      </w:r>
      <w:r>
        <w:tab/>
      </w:r>
      <w:r w:rsidRPr="002325D3">
        <w:rPr>
          <w:rFonts w:ascii="Traditional Arabic" w:hAnsi="Traditional Arabic" w:cs="Traditional Arabic"/>
          <w:szCs w:val="18"/>
        </w:rPr>
        <w:tab/>
        <w:t xml:space="preserve"> </w:t>
      </w:r>
      <w:r w:rsidRPr="002325D3">
        <w:rPr>
          <w:rStyle w:val="shorttext"/>
          <w:rFonts w:ascii="Traditional Arabic" w:hAnsi="Traditional Arabic" w:cs="Traditional Arabic"/>
          <w:szCs w:val="18"/>
          <w:rtl/>
        </w:rPr>
        <w:t>المصدر: الهيئة الاستشارية الفلسطينية لتطوير المؤسسات غير الحكومية.</w:t>
      </w:r>
    </w:p>
  </w:endnote>
  <w:endnote w:id="28">
    <w:p w14:paraId="577B89BA" w14:textId="77777777" w:rsidR="005F758D" w:rsidRPr="001F36CB" w:rsidRDefault="005F758D" w:rsidP="001F36CB">
      <w:pPr>
        <w:pStyle w:val="af"/>
        <w:widowControl w:val="0"/>
        <w:bidi/>
      </w:pPr>
      <w:r>
        <w:tab/>
      </w:r>
      <w:r>
        <w:rPr>
          <w:rStyle w:val="ab"/>
        </w:rPr>
        <w:endnoteRef/>
      </w:r>
      <w:r w:rsidRPr="002325D3">
        <w:rPr>
          <w:rFonts w:ascii="Traditional Arabic" w:hAnsi="Traditional Arabic" w:cs="Traditional Arabic"/>
          <w:szCs w:val="18"/>
        </w:rPr>
        <w:tab/>
      </w:r>
      <w:r w:rsidRPr="002325D3">
        <w:rPr>
          <w:rFonts w:ascii="Traditional Arabic" w:hAnsi="Traditional Arabic" w:cs="Traditional Arabic"/>
          <w:szCs w:val="18"/>
          <w:rtl/>
        </w:rPr>
        <w:t xml:space="preserve">“التقويم الهجري هو تقويم قمري يعتمد على دورة القمر لتحديد الاشهر، ويستخدمه المسلمون في كل مكان، خصوصا في تحديد المناسبات الدينية، ويتكون التقويم الهجري من 12 شهرا قمريا أي أن السنة الهجرية تساوي 354 يوما تقريباً، بالتحديد 354.367056 يوما، والشهر في التقويم الهجري إما أن يكون </w:t>
      </w:r>
      <w:r w:rsidRPr="002325D3">
        <w:rPr>
          <w:rFonts w:ascii="Traditional Arabic" w:hAnsi="Traditional Arabic" w:cs="Traditional Arabic"/>
          <w:szCs w:val="18"/>
        </w:rPr>
        <w:t xml:space="preserve">29 </w:t>
      </w:r>
      <w:r w:rsidRPr="002325D3">
        <w:rPr>
          <w:rFonts w:ascii="Traditional Arabic" w:hAnsi="Traditional Arabic" w:cs="Traditional Arabic"/>
          <w:szCs w:val="18"/>
          <w:rtl/>
        </w:rPr>
        <w:t xml:space="preserve">أو 30 يوماً (لأن </w:t>
      </w:r>
      <w:hyperlink r:id="rId6" w:tooltip="دورة القمر الظاهرية (الصفحة غير موجودة)" w:history="1">
        <w:r w:rsidRPr="002325D3">
          <w:rPr>
            <w:rStyle w:val="af1"/>
            <w:rFonts w:ascii="Traditional Arabic" w:hAnsi="Traditional Arabic" w:cs="Traditional Arabic"/>
            <w:szCs w:val="18"/>
            <w:rtl/>
          </w:rPr>
          <w:t>دورة القمر الظاهرية</w:t>
        </w:r>
      </w:hyperlink>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 xml:space="preserve">تساوي 29.530588 يوم). وبما أن هناك فارق 11.2 يوم تقريبًا بين </w:t>
      </w:r>
      <w:hyperlink r:id="rId7" w:tooltip="تقويم ميلادي" w:history="1">
        <w:r w:rsidRPr="002325D3">
          <w:rPr>
            <w:rStyle w:val="af1"/>
            <w:rFonts w:ascii="Traditional Arabic" w:hAnsi="Traditional Arabic" w:cs="Traditional Arabic"/>
            <w:szCs w:val="18"/>
            <w:rtl/>
          </w:rPr>
          <w:t>التقويم الميلادي</w:t>
        </w:r>
      </w:hyperlink>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الشائع والتقويم الهجري فإن التقويمين لا يتزامنان مما يجعل التحويل بين التقويمين أكثر صعوبة”</w:t>
      </w:r>
      <w:r w:rsidRPr="002325D3">
        <w:rPr>
          <w:rFonts w:ascii="Traditional Arabic" w:hAnsi="Traditional Arabic" w:cs="Traditional Arabic"/>
          <w:szCs w:val="18"/>
        </w:rPr>
        <w:t>.</w:t>
      </w:r>
    </w:p>
  </w:endnote>
  <w:endnote w:id="29">
    <w:p w14:paraId="395F787E" w14:textId="77777777" w:rsidR="005F758D" w:rsidRPr="001F36CB" w:rsidRDefault="005F758D" w:rsidP="001F36CB">
      <w:pPr>
        <w:pStyle w:val="af"/>
        <w:widowControl w:val="0"/>
        <w:bidi/>
        <w:rPr>
          <w:rFonts w:asciiTheme="minorHAnsi" w:hAnsiTheme="minorHAnsi" w:cs="Traditional Arabic"/>
          <w:szCs w:val="18"/>
        </w:rPr>
      </w:pPr>
      <w:r>
        <w:tab/>
      </w:r>
      <w:r>
        <w:rPr>
          <w:rStyle w:val="ab"/>
        </w:rPr>
        <w:endnoteRef/>
      </w:r>
      <w:r>
        <w:tab/>
      </w:r>
      <w:r w:rsidRPr="002325D3">
        <w:rPr>
          <w:rFonts w:ascii="Traditional Arabic" w:hAnsi="Traditional Arabic" w:cs="Traditional Arabic"/>
          <w:szCs w:val="18"/>
        </w:rPr>
        <w:tab/>
      </w:r>
      <w:r w:rsidRPr="002325D3">
        <w:rPr>
          <w:rFonts w:ascii="Traditional Arabic" w:hAnsi="Traditional Arabic" w:cs="Traditional Arabic"/>
          <w:szCs w:val="18"/>
          <w:rtl/>
        </w:rPr>
        <w:t>في جميع الحالات السابقة يعامل معاملة الصغير صحيح الجسم باستثناء اجرة العلاج بحيث تشمل احتياجاته الطبية كاملة من ادوية وعمليات جراحية واجهزة طبية.</w:t>
      </w:r>
    </w:p>
  </w:endnote>
  <w:endnote w:id="30">
    <w:p w14:paraId="1E9E3E09" w14:textId="77777777" w:rsidR="005F758D" w:rsidRDefault="005F758D" w:rsidP="001F36CB">
      <w:pPr>
        <w:pStyle w:val="af"/>
        <w:widowControl w:val="0"/>
        <w:bidi/>
      </w:pPr>
      <w:r>
        <w:tab/>
      </w:r>
      <w:r>
        <w:rPr>
          <w:rStyle w:val="ab"/>
        </w:rPr>
        <w:endnoteRef/>
      </w:r>
      <w:r>
        <w:tab/>
      </w:r>
      <w:r w:rsidRPr="002325D3">
        <w:rPr>
          <w:rFonts w:ascii="Traditional Arabic" w:hAnsi="Traditional Arabic" w:cs="Traditional Arabic"/>
          <w:szCs w:val="18"/>
        </w:rPr>
        <w:tab/>
      </w:r>
      <w:r w:rsidRPr="002325D3">
        <w:rPr>
          <w:rFonts w:ascii="Traditional Arabic" w:eastAsia="Calibri" w:hAnsi="Traditional Arabic" w:cs="Traditional Arabic"/>
          <w:szCs w:val="18"/>
          <w:rtl/>
        </w:rPr>
        <w:t>الولي او الوصي يكون والده إن كان حياً، أو جده إن كان حياً، أو أي من أهله كأمه أو أشقائه إن كان جده ووالده متوفيان، ويعين الولي أو الوصي بعد أن يتثبّت القاضي من أمانتهم واستقامتهم على أموال الشخص ذي الاعاقة العقلية المحجور عليه، بشهادة الشهود ليقوموا فقط بأموره الإدارية.</w:t>
      </w:r>
      <w:r w:rsidRPr="002325D3">
        <w:rPr>
          <w:rFonts w:ascii="Traditional Arabic" w:hAnsi="Traditional Arabic" w:cs="Traditional Arabic"/>
          <w:szCs w:val="18"/>
        </w:rPr>
        <w:t xml:space="preserve"> </w:t>
      </w:r>
    </w:p>
  </w:endnote>
  <w:endnote w:id="31">
    <w:p w14:paraId="37BEA4F4" w14:textId="77777777" w:rsidR="005F758D" w:rsidRDefault="005F758D" w:rsidP="00D54930">
      <w:pPr>
        <w:pStyle w:val="af"/>
        <w:widowControl w:val="0"/>
        <w:bidi/>
      </w:pPr>
      <w:r>
        <w:tab/>
      </w:r>
      <w:r>
        <w:rPr>
          <w:rStyle w:val="ab"/>
        </w:rPr>
        <w:endnoteRef/>
      </w:r>
      <w:r>
        <w:tab/>
      </w:r>
      <w:r w:rsidRPr="002325D3">
        <w:rPr>
          <w:rFonts w:ascii="Traditional Arabic" w:hAnsi="Traditional Arabic" w:cs="Traditional Arabic"/>
          <w:szCs w:val="18"/>
        </w:rPr>
        <w:tab/>
      </w:r>
      <w:r w:rsidRPr="002325D3">
        <w:rPr>
          <w:rFonts w:ascii="Traditional Arabic" w:hAnsi="Traditional Arabic" w:cs="Traditional Arabic"/>
          <w:szCs w:val="18"/>
          <w:rtl/>
        </w:rPr>
        <w:t>نصت المادة 5 من تعليمات سلطة النقد: “على المصرف اتخاذ كافة التدابير اللازمة والفعالة لضمان المساواة للعملاء ذوي الاعاقة في ادارة شؤونهم المالية والمساواة في الحصول على الخدمات المصرفية والتسهيلات الائتمانية وغيرها من الخدمات المصرفية، وذلك على النحو التالي: 1. توفير نماذج فتح حساب وعقود التسهيلات بالخط المكبر مطبوع بنظام بريل. 2. اعتماد توقيع العميل المكفوف او ذو الاعاقة السمعية دون اشتراط وجود شهود وذلك شريطة قيامهم بالتوقيع على تعهد لمرة واحدة موثق بوجود شاهدين من غير موظفي المصرف، بحيث يقر العميل تحمله كامل المسؤولية عن اجراءه المعاملات المصرفية دون وجود شهود واعفاء المصرف من اي مسؤولية تترتب على ذلك. ويتضمن التعهد الموقع على كافة بيانات العميل وصورته الشخصية ونوع اعاقته وشكل التوقيع الذي اختاره. 3. في حال قيام الشخص ذي الاعاقة (العميل) بتعديل توقيعه فإنه يجب توقيع تعهد جديد وفق متطلبات البند رقم 2 اعلاه. 4. فتح الحسابات وكافة المعاملات المصرفية للمكفوفين وضعاف البصر...الى اخر المادة.</w:t>
      </w:r>
      <w:r w:rsidRPr="002325D3">
        <w:rPr>
          <w:rFonts w:ascii="Traditional Arabic" w:hAnsi="Traditional Arabic" w:cs="Traditional Arabic"/>
          <w:szCs w:val="18"/>
        </w:rPr>
        <w:t xml:space="preserve"> </w:t>
      </w:r>
    </w:p>
  </w:endnote>
  <w:endnote w:id="32">
    <w:p w14:paraId="27CAFBA2" w14:textId="77777777" w:rsidR="005F758D" w:rsidRPr="00E13B11" w:rsidRDefault="005F758D" w:rsidP="00E13B11">
      <w:pPr>
        <w:pStyle w:val="af"/>
        <w:widowControl w:val="0"/>
        <w:bidi/>
        <w:rPr>
          <w:rFonts w:asciiTheme="minorHAnsi" w:hAnsiTheme="minorHAnsi" w:cs="Traditional Arabic"/>
          <w:szCs w:val="18"/>
        </w:rPr>
      </w:pPr>
      <w:r>
        <w:tab/>
      </w:r>
      <w:r w:rsidRPr="002A047B">
        <w:rPr>
          <w:rStyle w:val="ab"/>
        </w:rPr>
        <w:endnoteRef/>
      </w:r>
      <w:r w:rsidRPr="002325D3">
        <w:rPr>
          <w:rFonts w:ascii="Traditional Arabic" w:hAnsi="Traditional Arabic" w:cs="Traditional Arabic"/>
          <w:szCs w:val="18"/>
        </w:rPr>
        <w:tab/>
      </w:r>
      <w:r w:rsidRPr="002325D3">
        <w:rPr>
          <w:rFonts w:ascii="Traditional Arabic" w:hAnsi="Traditional Arabic" w:cs="Traditional Arabic"/>
          <w:szCs w:val="18"/>
          <w:rtl/>
        </w:rPr>
        <w:t>ومواكبة للنهج الاصلاحي الحديث في إدارة المؤسسات العقابية؛ عملت إدارة مراكز الاصلاح والتأهيل على وضع تصاميم إنشائية للمراكز المنوي إنشاؤها بحيث تراعي احتياجات الاشخاص ذوي الاعاقة؛ حيث تتوفر في المراكز الجديدة دورات مياه ملائمة، وممرات خاصة موائمة، إضافة إلى توفير الوسائل المساعدة لمن يحتاجها منهم.</w:t>
      </w:r>
    </w:p>
  </w:endnote>
  <w:endnote w:id="33">
    <w:p w14:paraId="31244B45" w14:textId="77777777" w:rsidR="005F758D" w:rsidRPr="005C1086" w:rsidRDefault="005F758D" w:rsidP="005C1086">
      <w:pPr>
        <w:pStyle w:val="af"/>
        <w:widowControl w:val="0"/>
        <w:bidi/>
        <w:rPr>
          <w:rFonts w:asciiTheme="minorHAnsi" w:hAnsiTheme="minorHAnsi" w:cs="Traditional Arabic"/>
          <w:szCs w:val="18"/>
        </w:rPr>
      </w:pPr>
      <w:r>
        <w:tab/>
      </w:r>
      <w:r>
        <w:rPr>
          <w:rStyle w:val="ab"/>
        </w:rPr>
        <w:endnoteRef/>
      </w:r>
      <w:r>
        <w:tab/>
      </w:r>
      <w:r w:rsidRPr="002325D3">
        <w:rPr>
          <w:rFonts w:ascii="Traditional Arabic" w:hAnsi="Traditional Arabic" w:cs="Traditional Arabic"/>
          <w:szCs w:val="18"/>
        </w:rPr>
        <w:tab/>
      </w:r>
      <w:r w:rsidRPr="002325D3">
        <w:rPr>
          <w:rStyle w:val="shorttext"/>
          <w:rFonts w:ascii="Traditional Arabic" w:hAnsi="Traditional Arabic" w:cs="Traditional Arabic"/>
          <w:szCs w:val="18"/>
          <w:rtl/>
        </w:rPr>
        <w:t>أصبح لدى هؤلاء الاسرى اعاقات مختلفة نتيجة إطلاق الرصاص عليهم قبل اعتقالهم أو نتيجة الاهمال الطبي نتيجة وجودهم في السجن.</w:t>
      </w:r>
    </w:p>
  </w:endnote>
  <w:endnote w:id="34">
    <w:p w14:paraId="5868729A" w14:textId="77777777" w:rsidR="005F758D" w:rsidRPr="002325D3" w:rsidRDefault="005F758D" w:rsidP="005C1086">
      <w:pPr>
        <w:pStyle w:val="af"/>
        <w:widowControl w:val="0"/>
        <w:tabs>
          <w:tab w:val="clear" w:pos="1021"/>
          <w:tab w:val="right" w:pos="1020"/>
        </w:tabs>
        <w:bidi/>
        <w:rPr>
          <w:rFonts w:ascii="Traditional Arabic" w:hAnsi="Traditional Arabic" w:cs="Traditional Arabic"/>
          <w:color w:val="000000"/>
          <w:szCs w:val="18"/>
        </w:rPr>
      </w:pPr>
      <w:r>
        <w:tab/>
      </w:r>
      <w:r w:rsidRPr="002A047B">
        <w:rPr>
          <w:rStyle w:val="ab"/>
        </w:rPr>
        <w:endnoteRef/>
      </w:r>
      <w:r w:rsidRPr="002325D3">
        <w:rPr>
          <w:rFonts w:ascii="Traditional Arabic" w:hAnsi="Traditional Arabic" w:cs="Traditional Arabic"/>
          <w:szCs w:val="18"/>
        </w:rPr>
        <w:tab/>
      </w:r>
      <w:r w:rsidRPr="002325D3">
        <w:rPr>
          <w:rFonts w:ascii="Traditional Arabic" w:hAnsi="Traditional Arabic" w:cs="Traditional Arabic"/>
          <w:color w:val="000000"/>
          <w:szCs w:val="18"/>
          <w:rtl/>
        </w:rPr>
        <w:t>بحسب احصائيات هيئة شؤون الاسرى والمحررين الفلسطينية لعام 2018، أصيب الاسرى التالية اسماؤهم بإعاقات نتيجة تعرضهم لاعتداءات من قبل قوات الاحتلال الاسرائيلي، منهم من هو محكوم مؤبد او أكثر او اقل، ومنهم من هو موقوف، 23 منهم ذكور، 2 إناث، حيث يحتاج عدد منهم الى متابعة علاجهم:</w:t>
      </w:r>
    </w:p>
    <w:p w14:paraId="3A01644C" w14:textId="77777777" w:rsidR="005F758D" w:rsidRPr="005C1086" w:rsidRDefault="005F758D" w:rsidP="005C1086">
      <w:pPr>
        <w:numPr>
          <w:ilvl w:val="0"/>
          <w:numId w:val="40"/>
        </w:numPr>
        <w:bidi/>
        <w:spacing w:after="60" w:line="220" w:lineRule="exact"/>
        <w:ind w:left="1304" w:right="1134" w:hanging="170"/>
        <w:contextualSpacing/>
        <w:jc w:val="both"/>
        <w:rPr>
          <w:rFonts w:ascii="Traditional Arabic" w:hAnsi="Traditional Arabic" w:cs="Traditional Arabic"/>
          <w:color w:val="000000"/>
          <w:sz w:val="18"/>
          <w:szCs w:val="18"/>
          <w:lang w:val="ru-RU"/>
        </w:rPr>
      </w:pPr>
      <w:r w:rsidRPr="002325D3">
        <w:rPr>
          <w:rFonts w:ascii="Traditional Arabic" w:hAnsi="Traditional Arabic" w:cs="Traditional Arabic"/>
          <w:color w:val="000000"/>
          <w:sz w:val="18"/>
          <w:szCs w:val="18"/>
          <w:rtl/>
        </w:rPr>
        <w:t>هاشم ياسر شحده طه، مصاب برصاصتين أحدهما بالقدم اليمنى ورصاصة بالبطن مع وجود شظايا في القدم اليسرى، وانخفاض اداء الغدة الدرقية.</w:t>
      </w:r>
    </w:p>
    <w:p w14:paraId="62719618" w14:textId="77777777" w:rsidR="005F758D" w:rsidRPr="005C1086" w:rsidRDefault="005F758D" w:rsidP="005C1086">
      <w:pPr>
        <w:numPr>
          <w:ilvl w:val="0"/>
          <w:numId w:val="40"/>
        </w:numPr>
        <w:bidi/>
        <w:spacing w:after="60" w:line="220" w:lineRule="exact"/>
        <w:ind w:left="1304" w:right="1134" w:hanging="170"/>
        <w:contextualSpacing/>
        <w:jc w:val="both"/>
        <w:rPr>
          <w:rFonts w:ascii="Traditional Arabic" w:hAnsi="Traditional Arabic" w:cs="Traditional Arabic"/>
          <w:sz w:val="18"/>
          <w:szCs w:val="18"/>
          <w:lang w:val="ru-RU"/>
        </w:rPr>
      </w:pPr>
      <w:r w:rsidRPr="002325D3">
        <w:rPr>
          <w:rFonts w:ascii="Traditional Arabic" w:hAnsi="Traditional Arabic" w:cs="Traditional Arabic"/>
          <w:sz w:val="18"/>
          <w:szCs w:val="18"/>
          <w:rtl/>
        </w:rPr>
        <w:t>جلال شاهر محمد شراونة، مبتور القدم على إثر اصابته برصاص دمدم اطلقته قوات الاحتلال عليه.</w:t>
      </w:r>
    </w:p>
    <w:p w14:paraId="3A97F26E" w14:textId="77777777" w:rsidR="005F758D" w:rsidRPr="005C1086" w:rsidRDefault="005F758D" w:rsidP="005C1086">
      <w:pPr>
        <w:numPr>
          <w:ilvl w:val="0"/>
          <w:numId w:val="40"/>
        </w:numPr>
        <w:bidi/>
        <w:spacing w:after="60" w:line="220" w:lineRule="exact"/>
        <w:ind w:left="1304" w:right="1134" w:hanging="170"/>
        <w:contextualSpacing/>
        <w:jc w:val="both"/>
        <w:rPr>
          <w:rFonts w:ascii="Traditional Arabic" w:hAnsi="Traditional Arabic" w:cs="Traditional Arabic"/>
          <w:color w:val="000000"/>
          <w:sz w:val="18"/>
          <w:szCs w:val="18"/>
          <w:lang w:val="ru-RU"/>
        </w:rPr>
      </w:pPr>
      <w:r w:rsidRPr="002325D3">
        <w:rPr>
          <w:rFonts w:ascii="Traditional Arabic" w:hAnsi="Traditional Arabic" w:cs="Traditional Arabic"/>
          <w:color w:val="000000"/>
          <w:sz w:val="18"/>
          <w:szCs w:val="18"/>
          <w:rtl/>
        </w:rPr>
        <w:t>خالد جمال موسى الشاويش، يعاني من شلل في الجزء السفلي من الجسم بسبب اصابته 14 عيار ناري في الظهر والساق واليد أثناء الاعتقال ويتنقل على كرسي، انزلاق بالعامود الفقري.</w:t>
      </w:r>
    </w:p>
    <w:p w14:paraId="723C4C63" w14:textId="77777777" w:rsidR="005F758D" w:rsidRPr="005C1086" w:rsidRDefault="005F758D" w:rsidP="005C1086">
      <w:pPr>
        <w:numPr>
          <w:ilvl w:val="0"/>
          <w:numId w:val="40"/>
        </w:numPr>
        <w:bidi/>
        <w:spacing w:after="60" w:line="220" w:lineRule="exact"/>
        <w:ind w:left="1304" w:right="1134" w:hanging="170"/>
        <w:contextualSpacing/>
        <w:jc w:val="both"/>
        <w:rPr>
          <w:rFonts w:ascii="Traditional Arabic" w:hAnsi="Traditional Arabic" w:cs="Traditional Arabic"/>
          <w:color w:val="000000"/>
          <w:sz w:val="18"/>
          <w:szCs w:val="18"/>
          <w:lang w:val="ru-RU"/>
        </w:rPr>
      </w:pPr>
      <w:r w:rsidRPr="002325D3">
        <w:rPr>
          <w:rFonts w:ascii="Traditional Arabic" w:hAnsi="Traditional Arabic" w:cs="Traditional Arabic"/>
          <w:color w:val="000000"/>
          <w:sz w:val="18"/>
          <w:szCs w:val="18"/>
          <w:rtl/>
        </w:rPr>
        <w:t xml:space="preserve">ناهض فرج جدوع الاقرع، لديه إعاقة دائمة بسبب بتر قدمه اليمنى قبل الإعتقال بعد إصابتها بالرصاص، كما تم بتر قدمه اليسرى بعد الإعتقال بتاريخ 3/4/2013 نتيجة تلف أنسجتها، وهو موجود بشكل دائم بعيادة سجن الرملة </w:t>
      </w:r>
    </w:p>
    <w:p w14:paraId="0E4B576C" w14:textId="77777777" w:rsidR="005F758D" w:rsidRPr="005C1086" w:rsidRDefault="005F758D" w:rsidP="005C1086">
      <w:pPr>
        <w:numPr>
          <w:ilvl w:val="0"/>
          <w:numId w:val="40"/>
        </w:numPr>
        <w:bidi/>
        <w:spacing w:after="60" w:line="220" w:lineRule="exact"/>
        <w:ind w:left="1304" w:right="1134" w:hanging="170"/>
        <w:contextualSpacing/>
        <w:jc w:val="both"/>
        <w:rPr>
          <w:rFonts w:ascii="Traditional Arabic" w:hAnsi="Traditional Arabic" w:cs="Traditional Arabic"/>
          <w:color w:val="000000"/>
          <w:sz w:val="18"/>
          <w:szCs w:val="18"/>
          <w:lang w:val="ru-RU"/>
        </w:rPr>
      </w:pPr>
      <w:r w:rsidRPr="002325D3">
        <w:rPr>
          <w:rFonts w:ascii="Traditional Arabic" w:hAnsi="Traditional Arabic" w:cs="Traditional Arabic"/>
          <w:color w:val="000000"/>
          <w:sz w:val="18"/>
          <w:szCs w:val="18"/>
          <w:rtl/>
        </w:rPr>
        <w:t>محمد جمال فارس العلاقمة، مصاب بعيار ناري في ركبته ويعاني من تعفن في القدم.</w:t>
      </w:r>
    </w:p>
    <w:p w14:paraId="7B657B9C" w14:textId="77777777" w:rsidR="005F758D" w:rsidRPr="005C1086" w:rsidRDefault="005F758D" w:rsidP="005C1086">
      <w:pPr>
        <w:numPr>
          <w:ilvl w:val="0"/>
          <w:numId w:val="40"/>
        </w:numPr>
        <w:bidi/>
        <w:spacing w:after="60" w:line="220" w:lineRule="exact"/>
        <w:ind w:left="1304" w:right="1134" w:hanging="170"/>
        <w:contextualSpacing/>
        <w:jc w:val="both"/>
        <w:rPr>
          <w:rFonts w:ascii="Traditional Arabic" w:hAnsi="Traditional Arabic" w:cs="Traditional Arabic"/>
          <w:color w:val="000000"/>
          <w:sz w:val="18"/>
          <w:szCs w:val="18"/>
          <w:lang w:val="ru-RU"/>
        </w:rPr>
      </w:pPr>
      <w:r w:rsidRPr="002325D3">
        <w:rPr>
          <w:rFonts w:ascii="Traditional Arabic" w:hAnsi="Traditional Arabic" w:cs="Traditional Arabic"/>
          <w:color w:val="000000"/>
          <w:sz w:val="18"/>
          <w:szCs w:val="18"/>
          <w:rtl/>
        </w:rPr>
        <w:t>عبد الناصر محمد محمود رزق، مصاب بخمسة أعيرة نارية أدت إلى اصابته بالشلل في أصابع اليدين والقدمين ولا يقدم له سوى مسكنات.</w:t>
      </w:r>
    </w:p>
    <w:p w14:paraId="7F440468" w14:textId="77777777" w:rsidR="005F758D" w:rsidRPr="005C1086" w:rsidRDefault="005F758D" w:rsidP="005C1086">
      <w:pPr>
        <w:numPr>
          <w:ilvl w:val="0"/>
          <w:numId w:val="40"/>
        </w:numPr>
        <w:bidi/>
        <w:spacing w:after="60" w:line="220" w:lineRule="exact"/>
        <w:ind w:left="1304" w:right="1134" w:hanging="170"/>
        <w:contextualSpacing/>
        <w:jc w:val="both"/>
        <w:rPr>
          <w:rFonts w:ascii="Traditional Arabic" w:hAnsi="Traditional Arabic" w:cs="Traditional Arabic"/>
          <w:color w:val="000000"/>
          <w:sz w:val="18"/>
          <w:szCs w:val="18"/>
          <w:lang w:val="ru-RU"/>
        </w:rPr>
      </w:pPr>
      <w:r w:rsidRPr="002325D3">
        <w:rPr>
          <w:rFonts w:ascii="Traditional Arabic" w:hAnsi="Traditional Arabic" w:cs="Traditional Arabic"/>
          <w:color w:val="000000"/>
          <w:sz w:val="18"/>
          <w:szCs w:val="18"/>
          <w:rtl/>
        </w:rPr>
        <w:t>ياسر ياسين موسى الطروة، مقعد، ومصاب بالرصاص، تم استئصال احدى كليته، كما تم قطع أحد أصابعه.</w:t>
      </w:r>
    </w:p>
    <w:p w14:paraId="6F6A09FB" w14:textId="77777777" w:rsidR="005F758D" w:rsidRPr="005C1086" w:rsidRDefault="005F758D" w:rsidP="005C1086">
      <w:pPr>
        <w:numPr>
          <w:ilvl w:val="0"/>
          <w:numId w:val="40"/>
        </w:numPr>
        <w:bidi/>
        <w:spacing w:after="60" w:line="220" w:lineRule="exact"/>
        <w:ind w:left="1304" w:right="1134" w:hanging="170"/>
        <w:contextualSpacing/>
        <w:jc w:val="both"/>
        <w:rPr>
          <w:rFonts w:ascii="Traditional Arabic" w:hAnsi="Traditional Arabic" w:cs="Traditional Arabic"/>
          <w:color w:val="000000"/>
          <w:sz w:val="18"/>
          <w:szCs w:val="18"/>
          <w:lang w:val="ru-RU"/>
        </w:rPr>
      </w:pPr>
      <w:r w:rsidRPr="002325D3">
        <w:rPr>
          <w:rFonts w:ascii="Traditional Arabic" w:hAnsi="Traditional Arabic" w:cs="Traditional Arabic"/>
          <w:color w:val="000000"/>
          <w:sz w:val="18"/>
          <w:szCs w:val="18"/>
          <w:rtl/>
        </w:rPr>
        <w:t>سلام أسعد محمد زغل، يعاني من إصابة برصاصتين أحدهما في الفخذ الأيسر أدت إلى قصرها 4.5 سم وتم تركيب بلاتين فيها، والثانية في البطن، اضافة الى وجود 30 غرزة في البطن و15 غرزة في القدم، وآلام في الظهر، وهو موجود في عيادة سجن الرملة.</w:t>
      </w:r>
    </w:p>
    <w:p w14:paraId="520DDA4B" w14:textId="77777777" w:rsidR="005F758D" w:rsidRPr="005C1086" w:rsidRDefault="005F758D" w:rsidP="005C1086">
      <w:pPr>
        <w:numPr>
          <w:ilvl w:val="0"/>
          <w:numId w:val="40"/>
        </w:numPr>
        <w:bidi/>
        <w:spacing w:after="60" w:line="220" w:lineRule="exact"/>
        <w:ind w:left="1304" w:right="1134" w:hanging="170"/>
        <w:contextualSpacing/>
        <w:jc w:val="both"/>
        <w:rPr>
          <w:rFonts w:ascii="Traditional Arabic" w:hAnsi="Traditional Arabic" w:cs="Traditional Arabic"/>
          <w:color w:val="000000"/>
          <w:sz w:val="18"/>
          <w:szCs w:val="18"/>
          <w:lang w:val="ru-RU"/>
        </w:rPr>
      </w:pPr>
      <w:r w:rsidRPr="002325D3">
        <w:rPr>
          <w:rFonts w:ascii="Traditional Arabic" w:hAnsi="Traditional Arabic" w:cs="Traditional Arabic"/>
          <w:color w:val="000000"/>
          <w:sz w:val="18"/>
          <w:szCs w:val="18"/>
          <w:rtl/>
        </w:rPr>
        <w:t>سامر جمال محمود مضية، يعاني من اصابة في القدم اليسرى يمشي على كرسي متحرك.</w:t>
      </w:r>
    </w:p>
    <w:p w14:paraId="787C4FAD" w14:textId="77777777" w:rsidR="005F758D" w:rsidRPr="005C1086" w:rsidRDefault="005F758D" w:rsidP="005C1086">
      <w:pPr>
        <w:numPr>
          <w:ilvl w:val="0"/>
          <w:numId w:val="40"/>
        </w:numPr>
        <w:bidi/>
        <w:spacing w:after="60" w:line="220" w:lineRule="exact"/>
        <w:ind w:left="1304" w:right="1134" w:hanging="170"/>
        <w:contextualSpacing/>
        <w:jc w:val="both"/>
        <w:rPr>
          <w:rFonts w:ascii="Traditional Arabic" w:hAnsi="Traditional Arabic" w:cs="Traditional Arabic"/>
          <w:color w:val="000000"/>
          <w:sz w:val="18"/>
          <w:szCs w:val="18"/>
          <w:lang w:val="ru-RU"/>
        </w:rPr>
      </w:pPr>
      <w:r w:rsidRPr="002325D3">
        <w:rPr>
          <w:rFonts w:ascii="Traditional Arabic" w:hAnsi="Traditional Arabic" w:cs="Traditional Arabic"/>
          <w:color w:val="000000"/>
          <w:sz w:val="18"/>
          <w:szCs w:val="18"/>
          <w:rtl/>
        </w:rPr>
        <w:t xml:space="preserve">ايمن حسن محمد الكرد، أصيب بثلاث رصاصات في أسفل الظهر تسببت له بشلل في قدميه </w:t>
      </w:r>
    </w:p>
    <w:p w14:paraId="54099748" w14:textId="77777777" w:rsidR="005F758D" w:rsidRPr="005C1086" w:rsidRDefault="005F758D" w:rsidP="005C1086">
      <w:pPr>
        <w:numPr>
          <w:ilvl w:val="0"/>
          <w:numId w:val="40"/>
        </w:numPr>
        <w:bidi/>
        <w:spacing w:after="60" w:line="220" w:lineRule="exact"/>
        <w:ind w:left="1304" w:right="1134" w:hanging="170"/>
        <w:contextualSpacing/>
        <w:jc w:val="both"/>
        <w:rPr>
          <w:rFonts w:ascii="Traditional Arabic" w:hAnsi="Traditional Arabic" w:cs="Traditional Arabic"/>
          <w:color w:val="000000"/>
          <w:sz w:val="18"/>
          <w:szCs w:val="18"/>
          <w:lang w:val="ru-RU"/>
        </w:rPr>
      </w:pPr>
      <w:r w:rsidRPr="002325D3">
        <w:rPr>
          <w:rFonts w:ascii="Traditional Arabic" w:hAnsi="Traditional Arabic" w:cs="Traditional Arabic"/>
          <w:color w:val="000000"/>
          <w:sz w:val="18"/>
          <w:szCs w:val="18"/>
          <w:rtl/>
        </w:rPr>
        <w:t>يوسف نمر محمد ابو قنديل،</w:t>
      </w:r>
      <w:r>
        <w:rPr>
          <w:rFonts w:ascii="Traditional Arabic" w:hAnsi="Traditional Arabic" w:cs="Traditional Arabic"/>
          <w:color w:val="000000"/>
          <w:sz w:val="18"/>
          <w:szCs w:val="18"/>
          <w:rtl/>
        </w:rPr>
        <w:t xml:space="preserve"> </w:t>
      </w:r>
      <w:r w:rsidRPr="002325D3">
        <w:rPr>
          <w:rFonts w:ascii="Traditional Arabic" w:hAnsi="Traditional Arabic" w:cs="Traditional Arabic"/>
          <w:color w:val="000000"/>
          <w:sz w:val="18"/>
          <w:szCs w:val="18"/>
          <w:rtl/>
        </w:rPr>
        <w:t>رصاص مستقر في رئتيه، ويعاني من شلل في يده اليسرى، ومشاكل في الكبد.</w:t>
      </w:r>
    </w:p>
    <w:p w14:paraId="0EFD93AE" w14:textId="77777777" w:rsidR="005F758D" w:rsidRPr="005C1086" w:rsidRDefault="005F758D" w:rsidP="005C1086">
      <w:pPr>
        <w:numPr>
          <w:ilvl w:val="0"/>
          <w:numId w:val="40"/>
        </w:numPr>
        <w:bidi/>
        <w:spacing w:after="60" w:line="220" w:lineRule="exact"/>
        <w:ind w:left="1304" w:right="1134" w:hanging="170"/>
        <w:contextualSpacing/>
        <w:jc w:val="both"/>
        <w:rPr>
          <w:rFonts w:ascii="Traditional Arabic" w:hAnsi="Traditional Arabic" w:cs="Traditional Arabic"/>
          <w:color w:val="000000"/>
          <w:sz w:val="18"/>
          <w:szCs w:val="18"/>
          <w:lang w:val="ru-RU"/>
        </w:rPr>
      </w:pPr>
      <w:r w:rsidRPr="002325D3">
        <w:rPr>
          <w:rFonts w:ascii="Traditional Arabic" w:hAnsi="Traditional Arabic" w:cs="Traditional Arabic"/>
          <w:color w:val="000000"/>
          <w:sz w:val="18"/>
          <w:szCs w:val="18"/>
          <w:rtl/>
        </w:rPr>
        <w:t>أنس قاسم</w:t>
      </w:r>
      <w:r>
        <w:rPr>
          <w:rFonts w:ascii="Traditional Arabic" w:hAnsi="Traditional Arabic" w:cs="Traditional Arabic"/>
          <w:color w:val="000000"/>
          <w:sz w:val="18"/>
          <w:szCs w:val="18"/>
          <w:rtl/>
        </w:rPr>
        <w:t xml:space="preserve"> </w:t>
      </w:r>
      <w:r w:rsidRPr="002325D3">
        <w:rPr>
          <w:rFonts w:ascii="Traditional Arabic" w:hAnsi="Traditional Arabic" w:cs="Traditional Arabic"/>
          <w:color w:val="000000"/>
          <w:sz w:val="18"/>
          <w:szCs w:val="18"/>
          <w:rtl/>
        </w:rPr>
        <w:t>صلاح الاقرع، مصاب بالرقبة والظهر ولا يستطيع الحديث، كما يعاني من أعاقة في السمع والكلام وحالة نفسية ويتناول الدواء.</w:t>
      </w:r>
    </w:p>
    <w:p w14:paraId="31172A9E" w14:textId="77777777" w:rsidR="005F758D" w:rsidRPr="005C1086" w:rsidRDefault="005F758D" w:rsidP="005C1086">
      <w:pPr>
        <w:numPr>
          <w:ilvl w:val="0"/>
          <w:numId w:val="40"/>
        </w:numPr>
        <w:bidi/>
        <w:spacing w:after="60" w:line="220" w:lineRule="exact"/>
        <w:ind w:left="1304" w:right="1134" w:hanging="170"/>
        <w:contextualSpacing/>
        <w:jc w:val="both"/>
        <w:rPr>
          <w:rFonts w:ascii="Traditional Arabic" w:hAnsi="Traditional Arabic" w:cs="Traditional Arabic"/>
          <w:color w:val="000000"/>
          <w:sz w:val="18"/>
          <w:szCs w:val="18"/>
          <w:lang w:val="ru-RU"/>
        </w:rPr>
      </w:pPr>
      <w:r w:rsidRPr="002325D3">
        <w:rPr>
          <w:rFonts w:ascii="Traditional Arabic" w:hAnsi="Traditional Arabic" w:cs="Traditional Arabic"/>
          <w:color w:val="000000"/>
          <w:sz w:val="18"/>
          <w:szCs w:val="18"/>
          <w:rtl/>
        </w:rPr>
        <w:t>قصي ابراهيم محمد حمادة، يعاني من اصابة بعيار ناري في رأسه.</w:t>
      </w:r>
    </w:p>
    <w:p w14:paraId="60CAAFE9" w14:textId="77777777" w:rsidR="005F758D" w:rsidRPr="005C1086" w:rsidRDefault="005F758D" w:rsidP="005C1086">
      <w:pPr>
        <w:numPr>
          <w:ilvl w:val="0"/>
          <w:numId w:val="40"/>
        </w:numPr>
        <w:bidi/>
        <w:spacing w:after="60" w:line="220" w:lineRule="exact"/>
        <w:ind w:left="1304" w:right="1134" w:hanging="170"/>
        <w:contextualSpacing/>
        <w:jc w:val="both"/>
        <w:rPr>
          <w:rFonts w:ascii="Traditional Arabic" w:hAnsi="Traditional Arabic" w:cs="Traditional Arabic"/>
          <w:color w:val="000000"/>
          <w:sz w:val="18"/>
          <w:szCs w:val="18"/>
          <w:lang w:val="ru-RU"/>
        </w:rPr>
      </w:pPr>
      <w:r w:rsidRPr="002325D3">
        <w:rPr>
          <w:rFonts w:ascii="Traditional Arabic" w:hAnsi="Traditional Arabic" w:cs="Traditional Arabic"/>
          <w:color w:val="000000"/>
          <w:sz w:val="18"/>
          <w:szCs w:val="18"/>
          <w:rtl/>
        </w:rPr>
        <w:t>مجدي حسين يوسف الريماوي “أرحيمة “،</w:t>
      </w:r>
      <w:r>
        <w:rPr>
          <w:rFonts w:ascii="Traditional Arabic" w:hAnsi="Traditional Arabic" w:cs="Traditional Arabic"/>
          <w:color w:val="000000"/>
          <w:sz w:val="18"/>
          <w:szCs w:val="18"/>
          <w:rtl/>
        </w:rPr>
        <w:t xml:space="preserve"> </w:t>
      </w:r>
      <w:r w:rsidRPr="002325D3">
        <w:rPr>
          <w:rFonts w:ascii="Traditional Arabic" w:hAnsi="Traditional Arabic" w:cs="Traditional Arabic"/>
          <w:color w:val="000000"/>
          <w:sz w:val="18"/>
          <w:szCs w:val="18"/>
          <w:rtl/>
        </w:rPr>
        <w:t>يعاني من الفتاق ، يعاني من إصابة رصاص بالساق.</w:t>
      </w:r>
    </w:p>
    <w:p w14:paraId="5ACB668B" w14:textId="77777777" w:rsidR="005F758D" w:rsidRPr="005C1086" w:rsidRDefault="005F758D" w:rsidP="005C1086">
      <w:pPr>
        <w:numPr>
          <w:ilvl w:val="0"/>
          <w:numId w:val="40"/>
        </w:numPr>
        <w:bidi/>
        <w:spacing w:after="60" w:line="220" w:lineRule="exact"/>
        <w:ind w:left="1304" w:right="1134" w:hanging="170"/>
        <w:contextualSpacing/>
        <w:jc w:val="both"/>
        <w:rPr>
          <w:rFonts w:ascii="Traditional Arabic" w:hAnsi="Traditional Arabic" w:cs="Traditional Arabic"/>
          <w:color w:val="000000"/>
          <w:sz w:val="18"/>
          <w:szCs w:val="18"/>
          <w:lang w:val="ru-RU"/>
        </w:rPr>
      </w:pPr>
      <w:r w:rsidRPr="002325D3">
        <w:rPr>
          <w:rFonts w:ascii="Traditional Arabic" w:hAnsi="Traditional Arabic" w:cs="Traditional Arabic"/>
          <w:color w:val="000000"/>
          <w:sz w:val="18"/>
          <w:szCs w:val="18"/>
          <w:rtl/>
        </w:rPr>
        <w:t>سامي سليم رشيد زيود، أصيب بعيار ناري في الرقبة أثناء الأعتقال، وأجريت له عملية، ويعاني من صعوبة في البلع</w:t>
      </w:r>
      <w:r>
        <w:rPr>
          <w:rFonts w:ascii="Traditional Arabic" w:hAnsi="Traditional Arabic" w:cs="Traditional Arabic"/>
          <w:color w:val="000000"/>
          <w:sz w:val="18"/>
          <w:szCs w:val="18"/>
          <w:rtl/>
        </w:rPr>
        <w:t xml:space="preserve"> </w:t>
      </w:r>
      <w:r w:rsidRPr="002325D3">
        <w:rPr>
          <w:rFonts w:ascii="Traditional Arabic" w:hAnsi="Traditional Arabic" w:cs="Traditional Arabic"/>
          <w:color w:val="000000"/>
          <w:sz w:val="18"/>
          <w:szCs w:val="18"/>
          <w:rtl/>
        </w:rPr>
        <w:t>أثناء تناول الطعام.</w:t>
      </w:r>
    </w:p>
    <w:p w14:paraId="4829C7B9" w14:textId="77777777" w:rsidR="005F758D" w:rsidRPr="005C1086" w:rsidRDefault="005F758D" w:rsidP="005C1086">
      <w:pPr>
        <w:numPr>
          <w:ilvl w:val="0"/>
          <w:numId w:val="40"/>
        </w:numPr>
        <w:bidi/>
        <w:spacing w:after="60" w:line="220" w:lineRule="exact"/>
        <w:ind w:left="1304" w:right="1134" w:hanging="170"/>
        <w:contextualSpacing/>
        <w:jc w:val="both"/>
        <w:rPr>
          <w:rFonts w:ascii="Traditional Arabic" w:hAnsi="Traditional Arabic" w:cs="Traditional Arabic"/>
          <w:color w:val="000000"/>
          <w:sz w:val="18"/>
          <w:szCs w:val="18"/>
          <w:lang w:val="ru-RU"/>
        </w:rPr>
      </w:pPr>
      <w:r w:rsidRPr="002325D3">
        <w:rPr>
          <w:rFonts w:ascii="Traditional Arabic" w:hAnsi="Traditional Arabic" w:cs="Traditional Arabic"/>
          <w:color w:val="000000"/>
          <w:sz w:val="18"/>
          <w:szCs w:val="18"/>
          <w:rtl/>
        </w:rPr>
        <w:t>صالح عمر صالح، أصيب بأربع رصاصات اثنتين بالصدر وواحدة بالبطن والرابعة بالظهر.</w:t>
      </w:r>
    </w:p>
    <w:p w14:paraId="05DFED43" w14:textId="77777777" w:rsidR="005F758D" w:rsidRPr="005C1086" w:rsidRDefault="005F758D" w:rsidP="005C1086">
      <w:pPr>
        <w:numPr>
          <w:ilvl w:val="0"/>
          <w:numId w:val="40"/>
        </w:numPr>
        <w:bidi/>
        <w:spacing w:after="60" w:line="220" w:lineRule="exact"/>
        <w:ind w:left="1304" w:right="1134" w:hanging="170"/>
        <w:contextualSpacing/>
        <w:jc w:val="both"/>
        <w:rPr>
          <w:rFonts w:ascii="Traditional Arabic" w:hAnsi="Traditional Arabic" w:cs="Traditional Arabic"/>
          <w:color w:val="000000"/>
          <w:sz w:val="18"/>
          <w:szCs w:val="18"/>
          <w:lang w:val="ru-RU"/>
        </w:rPr>
      </w:pPr>
      <w:r w:rsidRPr="002325D3">
        <w:rPr>
          <w:rFonts w:ascii="Traditional Arabic" w:hAnsi="Traditional Arabic" w:cs="Traditional Arabic"/>
          <w:color w:val="000000"/>
          <w:sz w:val="18"/>
          <w:szCs w:val="18"/>
          <w:rtl/>
        </w:rPr>
        <w:t>عبد العزيز عرفة، يعاني من تكسر في عظام ساقه اليسرى بسبب رصاصة أخترقتها.</w:t>
      </w:r>
    </w:p>
    <w:p w14:paraId="7A9DC9C6" w14:textId="77777777" w:rsidR="005F758D" w:rsidRPr="005C1086" w:rsidRDefault="005F758D" w:rsidP="005C1086">
      <w:pPr>
        <w:numPr>
          <w:ilvl w:val="0"/>
          <w:numId w:val="40"/>
        </w:numPr>
        <w:bidi/>
        <w:spacing w:after="60" w:line="220" w:lineRule="exact"/>
        <w:ind w:left="1304" w:right="1134" w:hanging="170"/>
        <w:contextualSpacing/>
        <w:jc w:val="both"/>
        <w:rPr>
          <w:rFonts w:ascii="Traditional Arabic" w:hAnsi="Traditional Arabic" w:cs="Traditional Arabic"/>
          <w:color w:val="000000"/>
          <w:sz w:val="18"/>
          <w:szCs w:val="18"/>
          <w:lang w:val="ru-RU"/>
        </w:rPr>
      </w:pPr>
      <w:r w:rsidRPr="002325D3">
        <w:rPr>
          <w:rFonts w:ascii="Traditional Arabic" w:hAnsi="Traditional Arabic" w:cs="Traditional Arabic"/>
          <w:color w:val="000000"/>
          <w:sz w:val="18"/>
          <w:szCs w:val="18"/>
          <w:rtl/>
        </w:rPr>
        <w:t xml:space="preserve">اشرف مهيب ابراهيم ابو الهدى، أصيب برصاصة في منطقة الحوض ويسير على عكازات. </w:t>
      </w:r>
    </w:p>
    <w:p w14:paraId="1252B81A" w14:textId="77777777" w:rsidR="005F758D" w:rsidRPr="005C1086" w:rsidRDefault="005F758D" w:rsidP="005C1086">
      <w:pPr>
        <w:numPr>
          <w:ilvl w:val="0"/>
          <w:numId w:val="40"/>
        </w:numPr>
        <w:bidi/>
        <w:spacing w:after="60" w:line="220" w:lineRule="exact"/>
        <w:ind w:left="1304" w:right="1134" w:hanging="170"/>
        <w:contextualSpacing/>
        <w:jc w:val="both"/>
        <w:rPr>
          <w:rFonts w:ascii="Traditional Arabic" w:hAnsi="Traditional Arabic" w:cs="Traditional Arabic"/>
          <w:color w:val="000000"/>
          <w:sz w:val="18"/>
          <w:szCs w:val="18"/>
          <w:lang w:val="ru-RU"/>
        </w:rPr>
      </w:pPr>
      <w:r w:rsidRPr="002325D3">
        <w:rPr>
          <w:rFonts w:ascii="Traditional Arabic" w:hAnsi="Traditional Arabic" w:cs="Traditional Arabic"/>
          <w:color w:val="000000"/>
          <w:sz w:val="18"/>
          <w:szCs w:val="18"/>
          <w:rtl/>
        </w:rPr>
        <w:t>عمر سمير محمود ريماوي، مصاب الاسير بثلاث رصاصات في الصدر والعمود الفقري واليد اليمنى، واثناء الاصابة تعرض للضرب ويتم اجراء علاج طبيعي له كل فترة وان الرصاصة في العمود الفقري والصدر.</w:t>
      </w:r>
    </w:p>
    <w:p w14:paraId="0A6D8B00" w14:textId="77777777" w:rsidR="005F758D" w:rsidRPr="005C1086" w:rsidRDefault="005F758D" w:rsidP="005C1086">
      <w:pPr>
        <w:numPr>
          <w:ilvl w:val="0"/>
          <w:numId w:val="40"/>
        </w:numPr>
        <w:bidi/>
        <w:spacing w:after="60" w:line="220" w:lineRule="exact"/>
        <w:ind w:left="1304" w:right="1134" w:hanging="170"/>
        <w:contextualSpacing/>
        <w:jc w:val="both"/>
        <w:rPr>
          <w:rFonts w:ascii="Traditional Arabic" w:hAnsi="Traditional Arabic" w:cs="Traditional Arabic"/>
          <w:color w:val="000000"/>
          <w:sz w:val="18"/>
          <w:szCs w:val="18"/>
          <w:lang w:val="ru-RU"/>
        </w:rPr>
      </w:pPr>
      <w:r w:rsidRPr="002325D3">
        <w:rPr>
          <w:rFonts w:ascii="Traditional Arabic" w:hAnsi="Traditional Arabic" w:cs="Traditional Arabic"/>
          <w:color w:val="000000"/>
          <w:sz w:val="18"/>
          <w:szCs w:val="18"/>
          <w:rtl/>
        </w:rPr>
        <w:t>باسم فارس ابراهيم</w:t>
      </w:r>
      <w:r>
        <w:rPr>
          <w:rFonts w:ascii="Traditional Arabic" w:hAnsi="Traditional Arabic" w:cs="Traditional Arabic"/>
          <w:color w:val="000000"/>
          <w:sz w:val="18"/>
          <w:szCs w:val="18"/>
          <w:rtl/>
        </w:rPr>
        <w:t xml:space="preserve"> </w:t>
      </w:r>
      <w:r w:rsidRPr="002325D3">
        <w:rPr>
          <w:rFonts w:ascii="Traditional Arabic" w:hAnsi="Traditional Arabic" w:cs="Traditional Arabic"/>
          <w:color w:val="000000"/>
          <w:sz w:val="18"/>
          <w:szCs w:val="18"/>
          <w:rtl/>
        </w:rPr>
        <w:t>النعسان، مصاب برصاصه في الساق اليسرى ورصاصة في الصدر وتمزق في الشرايين، يحمل كيس للإخراج في الصدر.</w:t>
      </w:r>
    </w:p>
    <w:p w14:paraId="277A3267" w14:textId="77777777" w:rsidR="005F758D" w:rsidRPr="005C1086" w:rsidRDefault="005F758D" w:rsidP="005C1086">
      <w:pPr>
        <w:numPr>
          <w:ilvl w:val="0"/>
          <w:numId w:val="40"/>
        </w:numPr>
        <w:bidi/>
        <w:spacing w:after="60" w:line="220" w:lineRule="exact"/>
        <w:ind w:left="1304" w:right="1134" w:hanging="170"/>
        <w:contextualSpacing/>
        <w:jc w:val="both"/>
        <w:rPr>
          <w:rFonts w:ascii="Traditional Arabic" w:hAnsi="Traditional Arabic" w:cs="Traditional Arabic"/>
          <w:color w:val="000000"/>
          <w:sz w:val="18"/>
          <w:szCs w:val="18"/>
          <w:lang w:val="ru-RU"/>
        </w:rPr>
      </w:pPr>
      <w:r w:rsidRPr="002325D3">
        <w:rPr>
          <w:rFonts w:ascii="Traditional Arabic" w:hAnsi="Traditional Arabic" w:cs="Traditional Arabic"/>
          <w:color w:val="000000"/>
          <w:sz w:val="18"/>
          <w:szCs w:val="18"/>
          <w:rtl/>
        </w:rPr>
        <w:t>عثمان محمد كامل شعلان، مصاب برصاصة في القدم وتم وضع بلاتين في رجله.</w:t>
      </w:r>
    </w:p>
    <w:p w14:paraId="15EC6420" w14:textId="77777777" w:rsidR="005F758D" w:rsidRPr="005C1086" w:rsidRDefault="005F758D" w:rsidP="005C1086">
      <w:pPr>
        <w:numPr>
          <w:ilvl w:val="0"/>
          <w:numId w:val="40"/>
        </w:numPr>
        <w:bidi/>
        <w:spacing w:after="60" w:line="220" w:lineRule="exact"/>
        <w:ind w:left="1304" w:right="1134" w:hanging="170"/>
        <w:contextualSpacing/>
        <w:jc w:val="both"/>
        <w:rPr>
          <w:rFonts w:ascii="Traditional Arabic" w:hAnsi="Traditional Arabic" w:cs="Traditional Arabic"/>
          <w:color w:val="000000"/>
          <w:sz w:val="18"/>
          <w:szCs w:val="18"/>
          <w:lang w:val="ru-RU"/>
        </w:rPr>
      </w:pPr>
      <w:r w:rsidRPr="002325D3">
        <w:rPr>
          <w:rFonts w:ascii="Traditional Arabic" w:hAnsi="Traditional Arabic" w:cs="Traditional Arabic"/>
          <w:color w:val="000000"/>
          <w:sz w:val="18"/>
          <w:szCs w:val="18"/>
          <w:rtl/>
        </w:rPr>
        <w:t>أحمد أمين</w:t>
      </w:r>
      <w:r>
        <w:rPr>
          <w:rFonts w:ascii="Traditional Arabic" w:hAnsi="Traditional Arabic" w:cs="Traditional Arabic"/>
          <w:color w:val="000000"/>
          <w:sz w:val="18"/>
          <w:szCs w:val="18"/>
          <w:rtl/>
        </w:rPr>
        <w:t xml:space="preserve"> </w:t>
      </w:r>
      <w:r w:rsidRPr="002325D3">
        <w:rPr>
          <w:rFonts w:ascii="Traditional Arabic" w:hAnsi="Traditional Arabic" w:cs="Traditional Arabic"/>
          <w:color w:val="000000"/>
          <w:sz w:val="18"/>
          <w:szCs w:val="18"/>
          <w:rtl/>
        </w:rPr>
        <w:t xml:space="preserve">حامد “سياغة “، أصيب 3 رصاصات في الساق اليمنى، والبطن والكتف، مصاب بثقوب في الرئة وكسور في الاضلاع ورصاصة أستقرت في الكبد. </w:t>
      </w:r>
    </w:p>
    <w:p w14:paraId="28C9D6C6" w14:textId="77777777" w:rsidR="005F758D" w:rsidRPr="005C1086" w:rsidRDefault="005F758D" w:rsidP="005C1086">
      <w:pPr>
        <w:numPr>
          <w:ilvl w:val="0"/>
          <w:numId w:val="40"/>
        </w:numPr>
        <w:bidi/>
        <w:spacing w:after="60" w:line="220" w:lineRule="exact"/>
        <w:ind w:left="1304" w:right="1134" w:hanging="170"/>
        <w:contextualSpacing/>
        <w:jc w:val="both"/>
        <w:rPr>
          <w:rFonts w:ascii="Traditional Arabic" w:hAnsi="Traditional Arabic" w:cs="Traditional Arabic"/>
          <w:color w:val="000000"/>
          <w:sz w:val="18"/>
          <w:szCs w:val="18"/>
          <w:lang w:val="ru-RU"/>
        </w:rPr>
      </w:pPr>
      <w:r w:rsidRPr="002325D3">
        <w:rPr>
          <w:rFonts w:ascii="Traditional Arabic" w:hAnsi="Traditional Arabic" w:cs="Traditional Arabic"/>
          <w:color w:val="000000"/>
          <w:sz w:val="18"/>
          <w:szCs w:val="18"/>
          <w:rtl/>
        </w:rPr>
        <w:t>مهدي عبدالجواد فتحي دويكات، مصاب برصاصة بالقدم اليمنى “ في الفخذ “.</w:t>
      </w:r>
    </w:p>
    <w:p w14:paraId="624137C7" w14:textId="77777777" w:rsidR="005F758D" w:rsidRPr="005C1086" w:rsidRDefault="005F758D" w:rsidP="005C1086">
      <w:pPr>
        <w:numPr>
          <w:ilvl w:val="0"/>
          <w:numId w:val="40"/>
        </w:numPr>
        <w:bidi/>
        <w:spacing w:after="60" w:line="220" w:lineRule="exact"/>
        <w:ind w:left="1304" w:right="1134" w:hanging="170"/>
        <w:contextualSpacing/>
        <w:jc w:val="both"/>
        <w:rPr>
          <w:rFonts w:ascii="Traditional Arabic" w:hAnsi="Traditional Arabic" w:cs="Traditional Arabic"/>
          <w:color w:val="000000"/>
          <w:sz w:val="18"/>
          <w:szCs w:val="18"/>
          <w:lang w:val="ru-RU"/>
        </w:rPr>
      </w:pPr>
      <w:r w:rsidRPr="002325D3">
        <w:rPr>
          <w:rFonts w:ascii="Traditional Arabic" w:hAnsi="Traditional Arabic" w:cs="Traditional Arabic"/>
          <w:color w:val="000000"/>
          <w:sz w:val="18"/>
          <w:szCs w:val="18"/>
          <w:rtl/>
        </w:rPr>
        <w:t xml:space="preserve">حلوة سليم محمد حمامرة، مصابة برصاصتين في البطن والقدم. </w:t>
      </w:r>
    </w:p>
    <w:p w14:paraId="7B05C2ED" w14:textId="77777777" w:rsidR="005F758D" w:rsidRPr="005C1086" w:rsidRDefault="005F758D" w:rsidP="005C1086">
      <w:pPr>
        <w:numPr>
          <w:ilvl w:val="0"/>
          <w:numId w:val="40"/>
        </w:numPr>
        <w:bidi/>
        <w:spacing w:after="60" w:line="220" w:lineRule="exact"/>
        <w:ind w:left="1304" w:right="1134" w:hanging="170"/>
        <w:contextualSpacing/>
        <w:jc w:val="both"/>
        <w:rPr>
          <w:rFonts w:ascii="Traditional Arabic" w:hAnsi="Traditional Arabic" w:cs="Traditional Arabic"/>
          <w:color w:val="000000"/>
          <w:sz w:val="18"/>
          <w:szCs w:val="18"/>
          <w:lang w:val="ru-RU"/>
        </w:rPr>
      </w:pPr>
      <w:r w:rsidRPr="002325D3">
        <w:rPr>
          <w:rFonts w:ascii="Traditional Arabic" w:hAnsi="Traditional Arabic" w:cs="Traditional Arabic"/>
          <w:color w:val="000000"/>
          <w:sz w:val="18"/>
          <w:szCs w:val="18"/>
          <w:rtl/>
        </w:rPr>
        <w:t>اسراء رياض جميل</w:t>
      </w:r>
      <w:r>
        <w:rPr>
          <w:rFonts w:ascii="Traditional Arabic" w:hAnsi="Traditional Arabic" w:cs="Traditional Arabic"/>
          <w:color w:val="000000"/>
          <w:sz w:val="18"/>
          <w:szCs w:val="18"/>
          <w:rtl/>
        </w:rPr>
        <w:t xml:space="preserve"> </w:t>
      </w:r>
      <w:r w:rsidRPr="002325D3">
        <w:rPr>
          <w:rFonts w:ascii="Traditional Arabic" w:hAnsi="Traditional Arabic" w:cs="Traditional Arabic"/>
          <w:color w:val="000000"/>
          <w:sz w:val="18"/>
          <w:szCs w:val="18"/>
          <w:rtl/>
        </w:rPr>
        <w:t>جعابيص، مصابة بحروق في الوجه بسبب إطلاق النار عليها وتم قطع أصابع اليد.</w:t>
      </w:r>
    </w:p>
  </w:endnote>
  <w:endnote w:id="35">
    <w:p w14:paraId="2714050C" w14:textId="77777777" w:rsidR="005F758D" w:rsidRPr="005C1086" w:rsidRDefault="005F758D" w:rsidP="005C1086">
      <w:pPr>
        <w:pStyle w:val="af"/>
        <w:widowControl w:val="0"/>
        <w:bidi/>
        <w:rPr>
          <w:rFonts w:asciiTheme="minorHAnsi" w:hAnsiTheme="minorHAnsi" w:cs="Traditional Arabic"/>
          <w:szCs w:val="18"/>
        </w:rPr>
      </w:pPr>
      <w:r>
        <w:tab/>
      </w:r>
      <w:r>
        <w:rPr>
          <w:rStyle w:val="ab"/>
        </w:rPr>
        <w:endnoteRef/>
      </w:r>
      <w:r w:rsidRPr="002325D3">
        <w:rPr>
          <w:rFonts w:ascii="Traditional Arabic" w:hAnsi="Traditional Arabic" w:cs="Traditional Arabic"/>
          <w:szCs w:val="18"/>
        </w:rPr>
        <w:tab/>
      </w:r>
      <w:r w:rsidRPr="002325D3">
        <w:rPr>
          <w:rFonts w:ascii="Traditional Arabic" w:eastAsia="Calibri" w:hAnsi="Traditional Arabic" w:cs="Traditional Arabic"/>
          <w:szCs w:val="18"/>
          <w:rtl/>
        </w:rPr>
        <w:t xml:space="preserve">وذلك عملاً بأحكام المادة 208 من قانون العقوبات الأردني رقم 16 لسنة 1960 الساري في الضفة الغربية، والمادة </w:t>
      </w:r>
      <w:r w:rsidRPr="002325D3">
        <w:rPr>
          <w:rFonts w:ascii="Traditional Arabic" w:eastAsia="Calibri" w:hAnsi="Traditional Arabic" w:cs="Traditional Arabic"/>
          <w:b/>
          <w:bCs/>
          <w:szCs w:val="18"/>
          <w:rtl/>
        </w:rPr>
        <w:t xml:space="preserve">108 </w:t>
      </w:r>
      <w:r w:rsidRPr="002325D3">
        <w:rPr>
          <w:rFonts w:ascii="Traditional Arabic" w:eastAsia="Calibri" w:hAnsi="Traditional Arabic" w:cs="Traditional Arabic"/>
          <w:szCs w:val="18"/>
          <w:rtl/>
        </w:rPr>
        <w:t xml:space="preserve">من قانون العقوبات الانتدابي رقم 74 لسنة 1936 الساري في قطاع غزة، إضافة إلى المادة </w:t>
      </w:r>
      <w:r w:rsidRPr="002325D3">
        <w:rPr>
          <w:rFonts w:ascii="Traditional Arabic" w:eastAsia="Calibri" w:hAnsi="Traditional Arabic" w:cs="Traditional Arabic"/>
          <w:b/>
          <w:bCs/>
          <w:szCs w:val="18"/>
          <w:rtl/>
        </w:rPr>
        <w:t>280</w:t>
      </w:r>
      <w:r w:rsidRPr="002325D3">
        <w:rPr>
          <w:rFonts w:ascii="Traditional Arabic" w:eastAsia="Calibri" w:hAnsi="Traditional Arabic" w:cs="Traditional Arabic"/>
          <w:szCs w:val="18"/>
          <w:rtl/>
        </w:rPr>
        <w:t xml:space="preserve"> من قانون العقوبات الثوري (العسكري) لعام 1979 الساري في الضفة الغربية وقطاع غزة.”</w:t>
      </w:r>
    </w:p>
  </w:endnote>
  <w:endnote w:id="36">
    <w:p w14:paraId="46125614" w14:textId="77777777" w:rsidR="005F758D" w:rsidRPr="00640DC7" w:rsidRDefault="005F758D" w:rsidP="00640DC7">
      <w:pPr>
        <w:pStyle w:val="af"/>
        <w:widowControl w:val="0"/>
        <w:bidi/>
        <w:rPr>
          <w:rFonts w:asciiTheme="minorHAnsi" w:hAnsiTheme="minorHAnsi" w:cs="Traditional Arabic"/>
          <w:szCs w:val="18"/>
        </w:rPr>
      </w:pPr>
      <w:r>
        <w:tab/>
      </w:r>
      <w:r w:rsidRPr="002A047B">
        <w:rPr>
          <w:rStyle w:val="ab"/>
        </w:rPr>
        <w:endnoteRef/>
      </w:r>
      <w:r w:rsidRPr="002325D3">
        <w:rPr>
          <w:rFonts w:ascii="Traditional Arabic" w:hAnsi="Traditional Arabic" w:cs="Traditional Arabic"/>
          <w:szCs w:val="18"/>
        </w:rPr>
        <w:tab/>
      </w:r>
      <w:r w:rsidRPr="002325D3">
        <w:rPr>
          <w:rStyle w:val="shorttext"/>
          <w:rFonts w:ascii="Traditional Arabic" w:hAnsi="Traditional Arabic" w:cs="Traditional Arabic"/>
          <w:b/>
          <w:bCs/>
          <w:szCs w:val="18"/>
          <w:rtl/>
        </w:rPr>
        <w:t>نصت المادة 10 من اللائحة التنفيذية ل(قانون حقوق المعوقين) لعام 2004: “</w:t>
      </w:r>
      <w:r w:rsidRPr="002325D3">
        <w:rPr>
          <w:rFonts w:ascii="Traditional Arabic" w:hAnsi="Traditional Arabic" w:cs="Traditional Arabic"/>
          <w:color w:val="000000"/>
          <w:szCs w:val="18"/>
          <w:rtl/>
        </w:rPr>
        <w:t xml:space="preserve"> تضع وزارة الشئون الاجتماعية بالتنسيق مع الجهات المختصة الأنظمة والضوابط والمعايير التي تضمن للمعوقين الحماية من جميع أشكال العنف والاستغلال والتمييز ولتحقيق ذلك</w:t>
      </w:r>
      <w:r w:rsidRPr="002325D3">
        <w:rPr>
          <w:rFonts w:ascii="Traditional Arabic" w:hAnsi="Traditional Arabic" w:cs="Traditional Arabic"/>
          <w:color w:val="000000"/>
          <w:szCs w:val="18"/>
        </w:rPr>
        <w:t xml:space="preserve">: 1. </w:t>
      </w:r>
      <w:r w:rsidRPr="002325D3">
        <w:rPr>
          <w:rFonts w:ascii="Traditional Arabic" w:hAnsi="Traditional Arabic" w:cs="Traditional Arabic"/>
          <w:color w:val="000000"/>
          <w:szCs w:val="18"/>
          <w:rtl/>
        </w:rPr>
        <w:t>تتولى وزارة الشئون الاجتماعية حماية المعوقين المهنية سواء كانوا يعملون في مؤسسة حكومية أو غير حكومية أو في قطاع خاص حيث يطبق عليهم قانون العمل</w:t>
      </w:r>
      <w:r w:rsidRPr="002325D3">
        <w:rPr>
          <w:rFonts w:ascii="Traditional Arabic" w:hAnsi="Traditional Arabic" w:cs="Traditional Arabic"/>
          <w:color w:val="000000"/>
          <w:szCs w:val="18"/>
        </w:rPr>
        <w:t xml:space="preserve">. 2. </w:t>
      </w:r>
      <w:r w:rsidRPr="002325D3">
        <w:rPr>
          <w:rFonts w:ascii="Traditional Arabic" w:hAnsi="Traditional Arabic" w:cs="Traditional Arabic"/>
          <w:color w:val="000000"/>
          <w:szCs w:val="18"/>
          <w:rtl/>
        </w:rPr>
        <w:t>تقوم وزارة الشئون الاجتماعية بلفت نظر كل صاحب عمل أو مسئول في مؤسسة حكومية يقوم باستغلال الشخص المعوق ويتم اتخاذ الإجراءات القانونية اللازمة بحقه إذا تكرر منه نفس العمل</w:t>
      </w:r>
      <w:r w:rsidRPr="002325D3">
        <w:rPr>
          <w:rFonts w:ascii="Traditional Arabic" w:hAnsi="Traditional Arabic" w:cs="Traditional Arabic"/>
          <w:color w:val="000000"/>
          <w:szCs w:val="18"/>
        </w:rPr>
        <w:t xml:space="preserve">. 3. </w:t>
      </w:r>
      <w:r w:rsidRPr="002325D3">
        <w:rPr>
          <w:rFonts w:ascii="Traditional Arabic" w:hAnsi="Traditional Arabic" w:cs="Traditional Arabic"/>
          <w:color w:val="000000"/>
          <w:szCs w:val="18"/>
          <w:rtl/>
        </w:rPr>
        <w:t>تقوم وزارة الشئون الاجتماعية بوضع الضوابط والمعايير اللازمة لمنع تعرض المعوقين لجميع أشكال العنف الجسدي واللفظي والنفسي لجميع المؤسسات التي ترعى الإعاقات المختلفة وللوزارة في سبيل ذلك أن تنشئ قسما خاصا بها لتلقي تظلمات وشكاوي المعوقين</w:t>
      </w:r>
      <w:r w:rsidRPr="002325D3">
        <w:rPr>
          <w:rFonts w:ascii="Traditional Arabic" w:hAnsi="Traditional Arabic" w:cs="Traditional Arabic"/>
          <w:color w:val="000000"/>
          <w:szCs w:val="18"/>
        </w:rPr>
        <w:t>.</w:t>
      </w:r>
      <w:r w:rsidRPr="002325D3">
        <w:rPr>
          <w:rFonts w:ascii="Traditional Arabic" w:hAnsi="Traditional Arabic" w:cs="Traditional Arabic"/>
          <w:color w:val="000000"/>
          <w:szCs w:val="18"/>
          <w:rtl/>
        </w:rPr>
        <w:t>”</w:t>
      </w:r>
    </w:p>
  </w:endnote>
  <w:endnote w:id="37">
    <w:p w14:paraId="487D2A5C" w14:textId="77777777" w:rsidR="005F758D" w:rsidRPr="00640DC7" w:rsidRDefault="005F758D" w:rsidP="00640DC7">
      <w:pPr>
        <w:pStyle w:val="af"/>
        <w:widowControl w:val="0"/>
        <w:bidi/>
        <w:rPr>
          <w:rFonts w:asciiTheme="minorHAnsi" w:hAnsiTheme="minorHAnsi" w:cs="Traditional Arabic"/>
          <w:szCs w:val="18"/>
        </w:rPr>
      </w:pPr>
      <w:r>
        <w:tab/>
      </w:r>
      <w:r w:rsidRPr="002A047B">
        <w:rPr>
          <w:rStyle w:val="ab"/>
        </w:rPr>
        <w:endnoteRef/>
      </w:r>
      <w:r w:rsidRPr="002325D3">
        <w:rPr>
          <w:rFonts w:ascii="Traditional Arabic" w:hAnsi="Traditional Arabic" w:cs="Traditional Arabic"/>
          <w:szCs w:val="18"/>
        </w:rPr>
        <w:tab/>
      </w:r>
      <w:r w:rsidRPr="002325D3">
        <w:rPr>
          <w:rFonts w:ascii="Traditional Arabic" w:hAnsi="Traditional Arabic" w:cs="Traditional Arabic"/>
          <w:color w:val="000000"/>
          <w:szCs w:val="18"/>
          <w:rtl/>
        </w:rPr>
        <w:t>المصدر: الهيئة الاستشارية لتطوير المؤسسات غير الحكومية.</w:t>
      </w:r>
    </w:p>
  </w:endnote>
  <w:endnote w:id="38">
    <w:p w14:paraId="04CEF73F" w14:textId="77777777" w:rsidR="005F758D" w:rsidRPr="00573335" w:rsidRDefault="005F758D" w:rsidP="00573335">
      <w:pPr>
        <w:pStyle w:val="af"/>
        <w:widowControl w:val="0"/>
        <w:bidi/>
        <w:rPr>
          <w:rFonts w:asciiTheme="minorHAnsi" w:hAnsiTheme="minorHAnsi" w:cs="Traditional Arabic"/>
          <w:szCs w:val="18"/>
        </w:rPr>
      </w:pPr>
      <w:r>
        <w:tab/>
      </w:r>
      <w:r w:rsidRPr="002A047B">
        <w:rPr>
          <w:rStyle w:val="ab"/>
        </w:rPr>
        <w:endnoteRef/>
      </w:r>
      <w:r w:rsidRPr="002325D3">
        <w:rPr>
          <w:rFonts w:ascii="Traditional Arabic" w:hAnsi="Traditional Arabic" w:cs="Traditional Arabic"/>
          <w:szCs w:val="18"/>
        </w:rPr>
        <w:tab/>
      </w:r>
      <w:r w:rsidRPr="002325D3">
        <w:rPr>
          <w:rFonts w:ascii="Traditional Arabic" w:hAnsi="Traditional Arabic" w:cs="Traditional Arabic"/>
          <w:noProof/>
          <w:szCs w:val="18"/>
          <w:rtl/>
        </w:rPr>
        <w:t>تهدف (بطاقة المعاق) كذلك الى تأمين حصول الأشخاص ذوي الإعاقة على الخدمات التي نص عليها القانون وتحديد مصادر توزيع الخدمات وضمان جودتها وكيفية الحصول عليها.</w:t>
      </w:r>
    </w:p>
  </w:endnote>
  <w:endnote w:id="39">
    <w:p w14:paraId="12EFEDFA" w14:textId="77777777" w:rsidR="005F758D" w:rsidRPr="00573335" w:rsidRDefault="005F758D" w:rsidP="00573335">
      <w:pPr>
        <w:pStyle w:val="af"/>
        <w:widowControl w:val="0"/>
        <w:bidi/>
        <w:rPr>
          <w:rFonts w:asciiTheme="minorHAnsi" w:hAnsiTheme="minorHAnsi" w:cs="Traditional Arabic"/>
          <w:szCs w:val="18"/>
        </w:rPr>
      </w:pPr>
      <w:r>
        <w:tab/>
      </w:r>
      <w:r>
        <w:rPr>
          <w:rStyle w:val="ab"/>
        </w:rPr>
        <w:endnoteRef/>
      </w:r>
      <w:r>
        <w:tab/>
      </w:r>
      <w:r w:rsidRPr="002325D3">
        <w:rPr>
          <w:rFonts w:ascii="Traditional Arabic" w:hAnsi="Traditional Arabic" w:cs="Traditional Arabic"/>
          <w:szCs w:val="18"/>
        </w:rPr>
        <w:tab/>
      </w:r>
      <w:r w:rsidRPr="002325D3">
        <w:rPr>
          <w:rFonts w:ascii="Traditional Arabic" w:hAnsi="Traditional Arabic" w:cs="Traditional Arabic"/>
          <w:szCs w:val="18"/>
          <w:rtl/>
        </w:rPr>
        <w:t>ويهدف الصندوق ايضاً الى توزيع الأدوار وتحديد المسؤوليات بين مختلف الجهات ذات العلاقة، وتحديد مصادر توزيع الخدمات وضمان جودتها وكيفية الحصول عليها.</w:t>
      </w:r>
    </w:p>
  </w:endnote>
  <w:endnote w:id="40">
    <w:p w14:paraId="19894B3E" w14:textId="77777777" w:rsidR="005F758D" w:rsidRPr="00573335" w:rsidRDefault="005F758D" w:rsidP="00573335">
      <w:pPr>
        <w:pStyle w:val="af"/>
        <w:widowControl w:val="0"/>
        <w:bidi/>
        <w:rPr>
          <w:rFonts w:asciiTheme="minorHAnsi" w:hAnsiTheme="minorHAnsi" w:cs="Traditional Arabic"/>
          <w:szCs w:val="18"/>
        </w:rPr>
      </w:pPr>
      <w:r>
        <w:tab/>
      </w:r>
      <w:r>
        <w:rPr>
          <w:rStyle w:val="ab"/>
        </w:rPr>
        <w:endnoteRef/>
      </w:r>
      <w:r w:rsidRPr="002325D3">
        <w:rPr>
          <w:rFonts w:ascii="Traditional Arabic" w:hAnsi="Traditional Arabic" w:cs="Traditional Arabic"/>
          <w:szCs w:val="18"/>
        </w:rPr>
        <w:tab/>
      </w:r>
      <w:r w:rsidRPr="002325D3">
        <w:rPr>
          <w:rFonts w:ascii="Traditional Arabic" w:hAnsi="Traditional Arabic" w:cs="Traditional Arabic"/>
          <w:szCs w:val="18"/>
          <w:rtl/>
          <w:lang w:bidi="ar-JO"/>
        </w:rPr>
        <w:t xml:space="preserve">تناول قانون المرور رقم </w:t>
      </w:r>
      <w:r w:rsidRPr="002325D3">
        <w:rPr>
          <w:rFonts w:ascii="Traditional Arabic" w:hAnsi="Traditional Arabic" w:cs="Traditional Arabic"/>
          <w:szCs w:val="18"/>
          <w:lang w:bidi="ar-JO"/>
        </w:rPr>
        <w:t>5</w:t>
      </w:r>
      <w:r w:rsidRPr="002325D3">
        <w:rPr>
          <w:rFonts w:ascii="Traditional Arabic" w:hAnsi="Traditional Arabic" w:cs="Traditional Arabic"/>
          <w:szCs w:val="18"/>
          <w:rtl/>
          <w:lang w:bidi="ar-JO"/>
        </w:rPr>
        <w:t xml:space="preserve"> لسنة </w:t>
      </w:r>
      <w:r w:rsidRPr="002325D3">
        <w:rPr>
          <w:rFonts w:ascii="Traditional Arabic" w:hAnsi="Traditional Arabic" w:cs="Traditional Arabic"/>
          <w:szCs w:val="18"/>
          <w:lang w:bidi="ar-JO"/>
        </w:rPr>
        <w:t>2000</w:t>
      </w:r>
      <w:r w:rsidRPr="002325D3">
        <w:rPr>
          <w:rFonts w:ascii="Traditional Arabic" w:hAnsi="Traditional Arabic" w:cs="Traditional Arabic"/>
          <w:szCs w:val="18"/>
          <w:rtl/>
          <w:lang w:bidi="ar-JO"/>
        </w:rPr>
        <w:t xml:space="preserve"> تعريف ذي الاعاقة في المادة الاولى منه: “انه كل شخص صادقت الطبية المختصة المعينة بقرار من وزارة الصحة بأنه يتوافر فيه أحد الامرين التاليين: انه معاق ويحتاج لمركبة كوسيلة حركة بسبب عجز في كلتا رجليه. ان درجة اعاقته تزيد على </w:t>
      </w:r>
      <w:r w:rsidRPr="002325D3">
        <w:rPr>
          <w:rFonts w:ascii="Traditional Arabic" w:hAnsi="Traditional Arabic" w:cs="Traditional Arabic"/>
          <w:szCs w:val="18"/>
          <w:lang w:bidi="ar-JO"/>
        </w:rPr>
        <w:t>60%</w:t>
      </w:r>
      <w:r w:rsidRPr="002325D3">
        <w:rPr>
          <w:rFonts w:ascii="Traditional Arabic" w:hAnsi="Traditional Arabic" w:cs="Traditional Arabic"/>
          <w:szCs w:val="18"/>
          <w:rtl/>
          <w:lang w:bidi="ar-JO"/>
        </w:rPr>
        <w:t xml:space="preserve"> وان سيره على الطريق بدون مركبه من شأنه ان يضعف حالته الصحية.”</w:t>
      </w:r>
    </w:p>
  </w:endnote>
  <w:endnote w:id="41">
    <w:p w14:paraId="43183E93" w14:textId="77777777" w:rsidR="005F758D" w:rsidRPr="00573335" w:rsidRDefault="005F758D" w:rsidP="00573335">
      <w:pPr>
        <w:pStyle w:val="af"/>
        <w:widowControl w:val="0"/>
        <w:bidi/>
        <w:rPr>
          <w:rFonts w:asciiTheme="minorHAnsi" w:hAnsiTheme="minorHAnsi" w:cs="Traditional Arabic"/>
          <w:szCs w:val="18"/>
        </w:rPr>
      </w:pPr>
      <w:r>
        <w:tab/>
      </w:r>
      <w:r w:rsidRPr="002A047B">
        <w:rPr>
          <w:rStyle w:val="ab"/>
        </w:rPr>
        <w:endnoteRef/>
      </w:r>
      <w:r w:rsidRPr="002325D3">
        <w:rPr>
          <w:rFonts w:ascii="Traditional Arabic" w:hAnsi="Traditional Arabic" w:cs="Traditional Arabic"/>
          <w:szCs w:val="18"/>
        </w:rPr>
        <w:tab/>
      </w:r>
      <w:r w:rsidRPr="002325D3">
        <w:rPr>
          <w:rFonts w:ascii="Traditional Arabic" w:eastAsia="Calibri" w:hAnsi="Traditional Arabic" w:cs="Traditional Arabic"/>
          <w:szCs w:val="18"/>
          <w:rtl/>
        </w:rPr>
        <w:t>بناءً على إدارة المشروع تم تشكيل فريق وطني موسع ضم: الفريق الوطني المكلف من مجلس الوزراء، بالإضافة إلى ممثلين عن: القطاع الخاص، المشغلين، أكاديميين، إتحاد المستوردين، مجلس الشاحنين، واستشاريين.</w:t>
      </w:r>
    </w:p>
  </w:endnote>
  <w:endnote w:id="42">
    <w:p w14:paraId="142557F6" w14:textId="77777777" w:rsidR="005F758D" w:rsidRPr="00573335" w:rsidRDefault="005F758D" w:rsidP="00573335">
      <w:pPr>
        <w:pStyle w:val="af"/>
        <w:widowControl w:val="0"/>
        <w:bidi/>
        <w:rPr>
          <w:rFonts w:asciiTheme="minorHAnsi" w:hAnsiTheme="minorHAnsi" w:cs="Traditional Arabic"/>
          <w:szCs w:val="18"/>
        </w:rPr>
      </w:pPr>
      <w:r>
        <w:tab/>
      </w:r>
      <w:r w:rsidRPr="002A047B">
        <w:rPr>
          <w:rStyle w:val="ab"/>
        </w:rPr>
        <w:endnoteRef/>
      </w:r>
      <w:r w:rsidRPr="002325D3">
        <w:rPr>
          <w:rFonts w:ascii="Traditional Arabic" w:hAnsi="Traditional Arabic" w:cs="Traditional Arabic"/>
          <w:szCs w:val="18"/>
        </w:rPr>
        <w:tab/>
      </w:r>
      <w:r w:rsidRPr="002325D3">
        <w:rPr>
          <w:rFonts w:ascii="Traditional Arabic" w:eastAsia="Calibri" w:hAnsi="Traditional Arabic" w:cs="Traditional Arabic"/>
          <w:szCs w:val="18"/>
          <w:rtl/>
        </w:rPr>
        <w:t>نصت المادة 32 من القانون الاساسي المعدل لعام 2003: “</w:t>
      </w:r>
      <w:r w:rsidRPr="002325D3">
        <w:rPr>
          <w:rFonts w:ascii="Traditional Arabic" w:hAnsi="Traditional Arabic" w:cs="Traditional Arabic"/>
          <w:color w:val="000000"/>
          <w:szCs w:val="18"/>
          <w:rtl/>
        </w:rPr>
        <w:t>كل اعتداء على اي من الحريات الشخصية او حرمة الحياة الخاصة للانسان وغيرها من الحقوق والحريات العامة التي يكفلها القانون الاساسي او القانون، جريمة لا تسقط الدعوى الجنائية ولا المدنية الناشئة عنها بالتقادم، وتضمن السلطة الوطنية تعويضا عادلا لمن وقع عليه الضرر”.</w:t>
      </w:r>
    </w:p>
  </w:endnote>
  <w:endnote w:id="43">
    <w:p w14:paraId="77AC2193" w14:textId="77777777" w:rsidR="005F758D" w:rsidRPr="00573335" w:rsidRDefault="005F758D" w:rsidP="00573335">
      <w:pPr>
        <w:pStyle w:val="af"/>
        <w:widowControl w:val="0"/>
        <w:bidi/>
        <w:rPr>
          <w:rFonts w:asciiTheme="minorHAnsi" w:hAnsiTheme="minorHAnsi" w:cs="Traditional Arabic"/>
          <w:szCs w:val="18"/>
        </w:rPr>
      </w:pPr>
      <w:r>
        <w:tab/>
      </w:r>
      <w:r>
        <w:rPr>
          <w:rStyle w:val="ab"/>
        </w:rPr>
        <w:endnoteRef/>
      </w:r>
      <w:r w:rsidRPr="002325D3">
        <w:rPr>
          <w:rFonts w:ascii="Traditional Arabic" w:hAnsi="Traditional Arabic" w:cs="Traditional Arabic"/>
          <w:szCs w:val="18"/>
        </w:rPr>
        <w:tab/>
      </w:r>
      <w:r w:rsidRPr="002325D3">
        <w:rPr>
          <w:rFonts w:ascii="Traditional Arabic" w:hAnsi="Traditional Arabic" w:cs="Traditional Arabic"/>
          <w:szCs w:val="18"/>
          <w:rtl/>
        </w:rPr>
        <w:t>نصت المادة 24 من القانون الاساسي المعدل لعام 2003 على:”</w:t>
      </w:r>
      <w:r w:rsidRPr="002325D3">
        <w:rPr>
          <w:rFonts w:ascii="Traditional Arabic" w:hAnsi="Traditional Arabic" w:cs="Traditional Arabic"/>
          <w:color w:val="000000"/>
          <w:szCs w:val="18"/>
          <w:rtl/>
        </w:rPr>
        <w:t xml:space="preserve"> 1. التعليم حق لكل مواطن، وإلزامي حتى نهاية المرحلة الأساسية على الأقل ومجاني في المدارس والمعاهد والمؤسسات العامة</w:t>
      </w:r>
      <w:r w:rsidRPr="002325D3">
        <w:rPr>
          <w:rFonts w:ascii="Traditional Arabic" w:hAnsi="Traditional Arabic" w:cs="Traditional Arabic"/>
          <w:color w:val="000000"/>
          <w:szCs w:val="18"/>
        </w:rPr>
        <w:t>.</w:t>
      </w:r>
      <w:r w:rsidRPr="002325D3">
        <w:rPr>
          <w:rFonts w:ascii="Traditional Arabic" w:hAnsi="Traditional Arabic" w:cs="Traditional Arabic"/>
          <w:color w:val="000000"/>
          <w:szCs w:val="18"/>
          <w:rtl/>
        </w:rPr>
        <w:t xml:space="preserve"> 2.</w:t>
      </w:r>
      <w:r>
        <w:rPr>
          <w:rFonts w:ascii="Traditional Arabic" w:hAnsi="Traditional Arabic" w:cs="Traditional Arabic"/>
          <w:color w:val="000000"/>
          <w:szCs w:val="18"/>
          <w:rtl/>
        </w:rPr>
        <w:t xml:space="preserve"> </w:t>
      </w:r>
      <w:r w:rsidRPr="002325D3">
        <w:rPr>
          <w:rFonts w:ascii="Traditional Arabic" w:hAnsi="Traditional Arabic" w:cs="Traditional Arabic"/>
          <w:color w:val="000000"/>
          <w:szCs w:val="18"/>
          <w:rtl/>
        </w:rPr>
        <w:t>تشرف السلطة الوطنية على التعليم كله وفي جميع مراحله ومؤسساته وتعمل على رفع مستواه</w:t>
      </w:r>
      <w:r w:rsidRPr="002325D3">
        <w:rPr>
          <w:rFonts w:ascii="Traditional Arabic" w:hAnsi="Traditional Arabic" w:cs="Traditional Arabic"/>
          <w:color w:val="000000"/>
          <w:szCs w:val="18"/>
        </w:rPr>
        <w:t>.</w:t>
      </w:r>
      <w:r w:rsidRPr="002325D3">
        <w:rPr>
          <w:rFonts w:ascii="Traditional Arabic" w:hAnsi="Traditional Arabic" w:cs="Traditional Arabic"/>
          <w:color w:val="000000"/>
          <w:szCs w:val="18"/>
          <w:rtl/>
        </w:rPr>
        <w:t>3. يكفل</w:t>
      </w:r>
      <w:r w:rsidRPr="002325D3">
        <w:rPr>
          <w:rStyle w:val="apple-converted-space"/>
          <w:rFonts w:ascii="Traditional Arabic" w:hAnsi="Traditional Arabic" w:cs="Traditional Arabic"/>
          <w:color w:val="000000"/>
          <w:szCs w:val="18"/>
        </w:rPr>
        <w:t> </w:t>
      </w:r>
      <w:hyperlink r:id="rId8" w:history="1">
        <w:r w:rsidRPr="002325D3">
          <w:rPr>
            <w:rStyle w:val="af1"/>
            <w:rFonts w:ascii="Traditional Arabic" w:hAnsi="Traditional Arabic" w:cs="Traditional Arabic"/>
            <w:color w:val="000000"/>
            <w:szCs w:val="18"/>
            <w:rtl/>
          </w:rPr>
          <w:t>القانون</w:t>
        </w:r>
      </w:hyperlink>
      <w:r w:rsidRPr="002325D3">
        <w:rPr>
          <w:rStyle w:val="apple-converted-space"/>
          <w:rFonts w:ascii="Traditional Arabic" w:hAnsi="Traditional Arabic" w:cs="Traditional Arabic"/>
          <w:color w:val="000000"/>
          <w:szCs w:val="18"/>
        </w:rPr>
        <w:t> </w:t>
      </w:r>
      <w:r w:rsidRPr="002325D3">
        <w:rPr>
          <w:rFonts w:ascii="Traditional Arabic" w:hAnsi="Traditional Arabic" w:cs="Traditional Arabic"/>
          <w:color w:val="000000"/>
          <w:szCs w:val="18"/>
          <w:rtl/>
        </w:rPr>
        <w:t>استقلالية الجامعات والمعاهد العليا ومراكز البحث العلمي، ويضمن حرية البحث العلمي والإبداع الأدبي والثقافي والفني، وتعمل السلطة الوطنية على تشجيعها وإعانتها</w:t>
      </w:r>
      <w:r w:rsidRPr="002325D3">
        <w:rPr>
          <w:rFonts w:ascii="Traditional Arabic" w:hAnsi="Traditional Arabic" w:cs="Traditional Arabic"/>
          <w:color w:val="000000"/>
          <w:szCs w:val="18"/>
        </w:rPr>
        <w:t>.</w:t>
      </w:r>
      <w:r w:rsidRPr="002325D3">
        <w:rPr>
          <w:rFonts w:ascii="Traditional Arabic" w:hAnsi="Traditional Arabic" w:cs="Traditional Arabic"/>
          <w:color w:val="000000"/>
          <w:szCs w:val="18"/>
          <w:rtl/>
        </w:rPr>
        <w:t>4. تلتزم المدارس والمؤسسات التعليمية الخاصة بالمناهج التي تعتمدها السلطة الوطنية وتخضع لإشرافها.”</w:t>
      </w:r>
    </w:p>
  </w:endnote>
  <w:endnote w:id="44">
    <w:p w14:paraId="219100DC" w14:textId="77777777" w:rsidR="005F758D" w:rsidRPr="00EC601F" w:rsidRDefault="005F758D" w:rsidP="00EC601F">
      <w:pPr>
        <w:pStyle w:val="af"/>
        <w:widowControl w:val="0"/>
        <w:bidi/>
        <w:rPr>
          <w:rFonts w:asciiTheme="minorHAnsi" w:hAnsiTheme="minorHAnsi" w:cs="Traditional Arabic"/>
          <w:szCs w:val="18"/>
        </w:rPr>
      </w:pPr>
      <w:r>
        <w:tab/>
      </w:r>
      <w:r>
        <w:rPr>
          <w:rStyle w:val="ab"/>
        </w:rPr>
        <w:endnoteRef/>
      </w:r>
      <w:r w:rsidRPr="002325D3">
        <w:rPr>
          <w:rFonts w:ascii="Traditional Arabic" w:hAnsi="Traditional Arabic" w:cs="Traditional Arabic"/>
          <w:szCs w:val="18"/>
        </w:rPr>
        <w:tab/>
      </w:r>
      <w:r w:rsidRPr="002325D3">
        <w:rPr>
          <w:rFonts w:ascii="Traditional Arabic" w:hAnsi="Traditional Arabic" w:cs="Traditional Arabic"/>
          <w:color w:val="000000"/>
          <w:szCs w:val="18"/>
          <w:rtl/>
        </w:rPr>
        <w:t>المادة 12 من (قانون حقوق المعوقين لعام 1999)</w:t>
      </w:r>
      <w:r w:rsidRPr="002325D3">
        <w:rPr>
          <w:rFonts w:ascii="Traditional Arabic" w:hAnsi="Traditional Arabic" w:cs="Traditional Arabic"/>
          <w:szCs w:val="18"/>
          <w:rtl/>
          <w:lang w:bidi="ar-JO"/>
        </w:rPr>
        <w:t>:”</w:t>
      </w:r>
      <w:r w:rsidRPr="002325D3">
        <w:rPr>
          <w:rFonts w:ascii="Traditional Arabic" w:hAnsi="Traditional Arabic" w:cs="Traditional Arabic"/>
          <w:szCs w:val="18"/>
          <w:rtl/>
        </w:rPr>
        <w:t xml:space="preserve"> يطبق قانون التعليم الإلزامي ضمن فلسفة وزارة التربية والتعليم مع مراعاة وضع الطفل المعوق وقدراته الذهنية والحركية والحسية والنفسية. - يجب على الجامعات والمعاهد والمراكز التعليمية أن تعطي فرصاً متكافئة للمعوقين للالتحاق ضمن إطار المناهج المعمول بها. - على وزارة التربية والتعليم دعم التعليم المتخصص فقط للحالات التي يستعصي فيها تأمين التعليم ضمن البيئة العادية. - لا تشكل الإعاقة في حد ذاتها سبباً في رفض طلب الانتساب أو الدخول إلى أي مؤسسة تربوية أو تعليمية رسمية أو خاصة. - على وزارة التربية والتعليم طرح موضوع الشخص المعوق في طلب برامج التربية المدنية في جميع المدارس. - تطبيق الحملات الإرشادية داخل المؤسسات التعليمية الثانوية لتوجيه الطلاب للاختصاص المطلوبة في مجال الإعاقة. - على وزارة التربية والتعليم موائمة المدارس والمراكز والمؤسسات التربوية بما يتناسب والشخص المعوق. - إنشاء قسم خاص في وزارة التربية والتعليم للاهتمام باحتياجات الأشخاص المعوقين وتطوير البرامج والمناهج التعليمية الخاصة بما يتلاءم مع فلسفة التعليم العام وحقوق الأفراد في التعليم. - تطوير مراكز التدريب المهني لاستقبال الأشخاص المعوقين كحق لهم في التدريب. - مناهج دراسية للشخص المعوق مع خطوط كبيرة أو لغة برايل. - مهمة الجامعات من خلال برامج التعليم المستمر والمساقات التعليمية وضع البرامج المنهجية حول الإعاقة والبرامج التدريبية الخاصة للكوادر الفنية التي تعمل في هذا المجال لرفع مستوى الخدمات. - استحداث بعثات تخصص للكوادر المبدعة والتي تكون قادرة على التدريب والتعليم للمستوى الجامعي.”</w:t>
      </w:r>
    </w:p>
  </w:endnote>
  <w:endnote w:id="45">
    <w:p w14:paraId="52DAC685" w14:textId="77777777" w:rsidR="005F758D" w:rsidRPr="00EC601F" w:rsidRDefault="005F758D" w:rsidP="00EC601F">
      <w:pPr>
        <w:pStyle w:val="af"/>
        <w:widowControl w:val="0"/>
        <w:bidi/>
        <w:rPr>
          <w:rFonts w:asciiTheme="minorHAnsi" w:hAnsiTheme="minorHAnsi" w:cs="Traditional Arabic"/>
          <w:szCs w:val="18"/>
        </w:rPr>
      </w:pPr>
      <w:r>
        <w:tab/>
      </w:r>
      <w:r w:rsidRPr="002A047B">
        <w:rPr>
          <w:rStyle w:val="ab"/>
        </w:rPr>
        <w:endnoteRef/>
      </w:r>
      <w:r w:rsidRPr="002325D3">
        <w:rPr>
          <w:rFonts w:ascii="Traditional Arabic" w:hAnsi="Traditional Arabic" w:cs="Traditional Arabic"/>
          <w:szCs w:val="18"/>
        </w:rPr>
        <w:tab/>
      </w:r>
      <w:r w:rsidRPr="002325D3">
        <w:rPr>
          <w:rFonts w:ascii="Traditional Arabic" w:hAnsi="Traditional Arabic" w:cs="Traditional Arabic"/>
          <w:szCs w:val="18"/>
          <w:rtl/>
        </w:rPr>
        <w:t>تبنت وزارة التربية والتعليم العالي فلسفة التعليم الجامع في العام 1997 وهو التعليم الذي لا يستثني احد من الطلبة بغض النظر عن الصعوبات والاعاقات مراعية الفروق الفردية وملبية للاحتياجات دون وجود سياسة ملزمة في تلك الفترة.</w:t>
      </w:r>
    </w:p>
  </w:endnote>
  <w:endnote w:id="46">
    <w:p w14:paraId="2DFECAE9" w14:textId="77777777" w:rsidR="005F758D" w:rsidRPr="004535E2" w:rsidRDefault="005F758D" w:rsidP="004535E2">
      <w:pPr>
        <w:pStyle w:val="af"/>
        <w:widowControl w:val="0"/>
        <w:bidi/>
        <w:rPr>
          <w:rFonts w:asciiTheme="minorHAnsi" w:hAnsiTheme="minorHAnsi" w:cs="Traditional Arabic"/>
          <w:szCs w:val="18"/>
        </w:rPr>
      </w:pPr>
      <w:r>
        <w:tab/>
      </w:r>
      <w:r w:rsidRPr="002A047B">
        <w:rPr>
          <w:rStyle w:val="ab"/>
        </w:rPr>
        <w:endnoteRef/>
      </w:r>
      <w:r w:rsidRPr="002325D3">
        <w:rPr>
          <w:rFonts w:ascii="Traditional Arabic" w:hAnsi="Traditional Arabic" w:cs="Traditional Arabic"/>
          <w:szCs w:val="18"/>
        </w:rPr>
        <w:tab/>
      </w:r>
      <w:r w:rsidRPr="002325D3">
        <w:rPr>
          <w:rFonts w:ascii="Traditional Arabic" w:hAnsi="Traditional Arabic" w:cs="Traditional Arabic"/>
          <w:szCs w:val="18"/>
          <w:rtl/>
        </w:rPr>
        <w:t>المصدر: تقرير حول وضع حقوق الانسان في فلسطين 2015، التقرير السنوي 21/ الهيئة المستقلة لحقوق الانسان.</w:t>
      </w:r>
    </w:p>
  </w:endnote>
  <w:endnote w:id="47">
    <w:p w14:paraId="22BB2A62" w14:textId="77777777" w:rsidR="005F758D" w:rsidRPr="00183626" w:rsidRDefault="005F758D" w:rsidP="00183626">
      <w:pPr>
        <w:pStyle w:val="af"/>
        <w:widowControl w:val="0"/>
        <w:bidi/>
        <w:rPr>
          <w:rFonts w:asciiTheme="minorHAnsi" w:hAnsiTheme="minorHAnsi" w:cs="Traditional Arabic"/>
          <w:szCs w:val="18"/>
        </w:rPr>
      </w:pPr>
      <w:r>
        <w:tab/>
      </w:r>
      <w:r w:rsidRPr="002A047B">
        <w:rPr>
          <w:rStyle w:val="ab"/>
        </w:rPr>
        <w:endnoteRef/>
      </w:r>
      <w:r w:rsidRPr="002325D3">
        <w:rPr>
          <w:rFonts w:ascii="Traditional Arabic" w:hAnsi="Traditional Arabic" w:cs="Traditional Arabic"/>
          <w:szCs w:val="18"/>
        </w:rPr>
        <w:tab/>
      </w:r>
      <w:r w:rsidRPr="002325D3">
        <w:rPr>
          <w:rFonts w:ascii="Traditional Arabic" w:hAnsi="Traditional Arabic" w:cs="Traditional Arabic"/>
          <w:szCs w:val="18"/>
          <w:rtl/>
        </w:rPr>
        <w:t>المصدر: جمعية الرعاية والارتقاء الفلسطينية-فجر، في غزة.</w:t>
      </w:r>
    </w:p>
  </w:endnote>
  <w:endnote w:id="48">
    <w:p w14:paraId="0155ADFF" w14:textId="77777777" w:rsidR="005F758D" w:rsidRPr="00712C37" w:rsidRDefault="005F758D" w:rsidP="00712C37">
      <w:pPr>
        <w:pStyle w:val="af"/>
        <w:widowControl w:val="0"/>
        <w:bidi/>
        <w:rPr>
          <w:rFonts w:asciiTheme="minorHAnsi" w:hAnsiTheme="minorHAnsi" w:cs="Traditional Arabic"/>
          <w:szCs w:val="18"/>
        </w:rPr>
      </w:pPr>
      <w:r>
        <w:tab/>
      </w:r>
      <w:r>
        <w:rPr>
          <w:rStyle w:val="ab"/>
        </w:rPr>
        <w:endnoteRef/>
      </w:r>
      <w:r w:rsidRPr="002325D3">
        <w:rPr>
          <w:rFonts w:ascii="Traditional Arabic" w:hAnsi="Traditional Arabic" w:cs="Traditional Arabic"/>
          <w:szCs w:val="18"/>
        </w:rPr>
        <w:tab/>
      </w:r>
      <w:r w:rsidRPr="002325D3">
        <w:rPr>
          <w:rFonts w:ascii="Traditional Arabic" w:hAnsi="Traditional Arabic" w:cs="Traditional Arabic"/>
          <w:szCs w:val="18"/>
          <w:rtl/>
        </w:rPr>
        <w:t>كما تم تطوير 10 نماذج لتقييم الطفل بحسب العمر. كما تم انجاز مؤشرات خطرة تدل على تأخر في النمو من عمر شهر حتى 3 سنوات</w:t>
      </w:r>
      <w:r>
        <w:rPr>
          <w:rFonts w:ascii="Traditional Arabic" w:hAnsi="Traditional Arabic" w:cs="Traditional Arabic"/>
          <w:szCs w:val="18"/>
          <w:rtl/>
        </w:rPr>
        <w:t xml:space="preserve"> </w:t>
      </w:r>
      <w:r w:rsidRPr="002325D3">
        <w:rPr>
          <w:rFonts w:ascii="Traditional Arabic" w:hAnsi="Traditional Arabic" w:cs="Traditional Arabic"/>
          <w:szCs w:val="18"/>
        </w:rPr>
        <w:t xml:space="preserve"> red flags)</w:t>
      </w:r>
      <w:r w:rsidRPr="002325D3">
        <w:rPr>
          <w:rFonts w:ascii="Traditional Arabic" w:hAnsi="Traditional Arabic" w:cs="Traditional Arabic"/>
          <w:szCs w:val="18"/>
          <w:rtl/>
        </w:rPr>
        <w:t>)</w:t>
      </w:r>
      <w:r w:rsidRPr="002325D3">
        <w:rPr>
          <w:rFonts w:ascii="Traditional Arabic" w:hAnsi="Traditional Arabic" w:cs="Traditional Arabic"/>
          <w:szCs w:val="18"/>
        </w:rPr>
        <w:t xml:space="preserve"> </w:t>
      </w:r>
      <w:r w:rsidRPr="002325D3">
        <w:rPr>
          <w:rFonts w:ascii="Traditional Arabic" w:hAnsi="Traditional Arabic" w:cs="Traditional Arabic"/>
          <w:szCs w:val="18"/>
          <w:rtl/>
        </w:rPr>
        <w:t>كما تم انجاز دليل مربيات دور الحضانة وهو في مراحله الاخيرة.</w:t>
      </w:r>
    </w:p>
  </w:endnote>
  <w:endnote w:id="49">
    <w:p w14:paraId="4F00D28C" w14:textId="77777777" w:rsidR="005F758D" w:rsidRPr="00712C37" w:rsidRDefault="005F758D" w:rsidP="00712C37">
      <w:pPr>
        <w:pStyle w:val="af"/>
        <w:widowControl w:val="0"/>
        <w:bidi/>
        <w:rPr>
          <w:rFonts w:asciiTheme="minorHAnsi" w:hAnsiTheme="minorHAnsi" w:cs="Traditional Arabic"/>
          <w:szCs w:val="18"/>
        </w:rPr>
      </w:pPr>
      <w:r>
        <w:tab/>
      </w:r>
      <w:r>
        <w:rPr>
          <w:rStyle w:val="ab"/>
        </w:rPr>
        <w:endnoteRef/>
      </w:r>
      <w:r>
        <w:tab/>
      </w:r>
      <w:r w:rsidRPr="002325D3">
        <w:rPr>
          <w:rFonts w:ascii="Traditional Arabic" w:hAnsi="Traditional Arabic" w:cs="Traditional Arabic"/>
          <w:szCs w:val="18"/>
        </w:rPr>
        <w:tab/>
      </w:r>
      <w:r w:rsidRPr="002325D3">
        <w:rPr>
          <w:rFonts w:ascii="Traditional Arabic" w:eastAsia="Calibri" w:hAnsi="Traditional Arabic" w:cs="Traditional Arabic"/>
          <w:szCs w:val="18"/>
          <w:rtl/>
          <w:lang w:bidi="ar-JO"/>
        </w:rPr>
        <w:t>تتفاوت النسب حسب الجهة المشرفة على المدارس حيث تصل الى 91.8% في المدارس الحكومية، 100% في مدارس وكالة الغوث، و92.7% في المدارس الخاصة.</w:t>
      </w:r>
    </w:p>
  </w:endnote>
  <w:endnote w:id="50">
    <w:p w14:paraId="6D9A2691" w14:textId="77777777" w:rsidR="005F758D" w:rsidRPr="00003B64" w:rsidRDefault="005F758D" w:rsidP="00003B64">
      <w:pPr>
        <w:pStyle w:val="af"/>
        <w:widowControl w:val="0"/>
        <w:bidi/>
        <w:rPr>
          <w:rFonts w:asciiTheme="minorHAnsi" w:hAnsiTheme="minorHAnsi" w:cs="Traditional Arabic"/>
          <w:szCs w:val="18"/>
        </w:rPr>
      </w:pPr>
      <w:r>
        <w:tab/>
      </w:r>
      <w:r>
        <w:rPr>
          <w:rStyle w:val="ab"/>
        </w:rPr>
        <w:endnoteRef/>
      </w:r>
      <w:r w:rsidRPr="002325D3">
        <w:rPr>
          <w:rFonts w:ascii="Traditional Arabic" w:hAnsi="Traditional Arabic" w:cs="Traditional Arabic"/>
          <w:szCs w:val="18"/>
        </w:rPr>
        <w:tab/>
      </w:r>
      <w:r w:rsidRPr="002325D3">
        <w:rPr>
          <w:rFonts w:ascii="Traditional Arabic" w:hAnsi="Traditional Arabic" w:cs="Traditional Arabic"/>
          <w:szCs w:val="18"/>
          <w:rtl/>
        </w:rPr>
        <w:t>كانت هذه واحدة من مخرجات ورش العمل التي تم عقدها لمجلس اطفال فلسطين في رام الله بتاريخ 5/11/2016 في إطار تعريف الاطفال في فلسطين بقيام وزارة التنمية الاجتماعية بإعداد التقارير حول تنفيذ اتفاقيتي الطفل وذوي الاعاقة، حيث تحدث الاطفال حول وجود حالات كهذه. يذكر بانه تم عقد ورش عمل لمجموعات من الاطفال في الضفة الغربية (شمال وجنوب ووسط) وورشتين في غزة، وورشة في منطقة بدو الكعابنة-منطقة مهمشة. بالاضافة الى التقرير السنوي 21 الصادر عن الهيئة المستقلة لحقوق الانسان لعام 2015 قد تطرق لذلك.</w:t>
      </w:r>
    </w:p>
  </w:endnote>
  <w:endnote w:id="51">
    <w:p w14:paraId="4DC66895" w14:textId="77777777" w:rsidR="005F758D" w:rsidRPr="008728BC" w:rsidRDefault="005F758D" w:rsidP="008728BC">
      <w:pPr>
        <w:pStyle w:val="af"/>
        <w:widowControl w:val="0"/>
        <w:bidi/>
        <w:rPr>
          <w:rFonts w:asciiTheme="minorHAnsi" w:hAnsiTheme="minorHAnsi" w:cs="Traditional Arabic"/>
          <w:szCs w:val="18"/>
        </w:rPr>
      </w:pPr>
      <w:r>
        <w:tab/>
      </w:r>
      <w:r w:rsidRPr="002A047B">
        <w:rPr>
          <w:rStyle w:val="ab"/>
        </w:rPr>
        <w:endnoteRef/>
      </w:r>
      <w:r w:rsidRPr="002325D3">
        <w:rPr>
          <w:rFonts w:ascii="Traditional Arabic" w:hAnsi="Traditional Arabic" w:cs="Traditional Arabic"/>
          <w:szCs w:val="18"/>
        </w:rPr>
        <w:tab/>
      </w:r>
      <w:r w:rsidRPr="002325D3">
        <w:rPr>
          <w:rFonts w:ascii="Traditional Arabic" w:hAnsi="Traditional Arabic" w:cs="Traditional Arabic"/>
          <w:szCs w:val="18"/>
          <w:rtl/>
        </w:rPr>
        <w:t>تنص المادة 12 من قانون حقوق المعوقين لعام 1999: “-ضمان</w:t>
      </w:r>
      <w:r w:rsidRPr="002325D3">
        <w:rPr>
          <w:rFonts w:ascii="Traditional Arabic" w:eastAsia="Calibri" w:hAnsi="Traditional Arabic" w:cs="Traditional Arabic"/>
          <w:szCs w:val="18"/>
          <w:rtl/>
        </w:rPr>
        <w:t xml:space="preserve"> الخدمات الصحية المشمولة في التأمين الصحي الحكومي مجاناً للمعوق ولأسرته، كذلك إعطاء الرعاية الطبية اللازمة بمختلف إعاقاتهم. - تقديم وتطوير خدمات الإكتشاف المبكر للإعاقة والرعاية الصحية المبكرة والعمل مع الأشخاص المعوقين وأسرهم بهدف منع التدهور الصحي والوظيفي للشخص المعوق. - توفير الأدوات والأجهزة الطبية اللازمة لمساعدة المعوق وتقديم الخدمات الوقائية والعلاجية التي تهدف إلى تقليل نسبة الإعاقة في المجتمع. - توفير العلاجات اللازمة حسب النظام المعمول به وإجراء العمليات الطبية والجراحية والتشخيصية لكل شخص معوق وفي حالة عدم توفرها تتكفل وزارة الصحة بتسديد النفقات أو شراء الخدمة من القطاع الخاص سواء داخل الوطن أو خارجه.”</w:t>
      </w:r>
    </w:p>
  </w:endnote>
  <w:endnote w:id="52">
    <w:p w14:paraId="4FA70926" w14:textId="77777777" w:rsidR="005F758D" w:rsidRPr="0033265B" w:rsidRDefault="005F758D" w:rsidP="0033265B">
      <w:pPr>
        <w:pStyle w:val="af"/>
        <w:widowControl w:val="0"/>
        <w:bidi/>
        <w:rPr>
          <w:rFonts w:asciiTheme="minorHAnsi" w:hAnsiTheme="minorHAnsi" w:cs="Traditional Arabic"/>
          <w:szCs w:val="18"/>
        </w:rPr>
      </w:pPr>
      <w:r>
        <w:tab/>
      </w:r>
      <w:r>
        <w:rPr>
          <w:rStyle w:val="ab"/>
        </w:rPr>
        <w:endnoteRef/>
      </w:r>
      <w:r w:rsidRPr="002325D3">
        <w:rPr>
          <w:rFonts w:ascii="Traditional Arabic" w:hAnsi="Traditional Arabic" w:cs="Traditional Arabic"/>
          <w:szCs w:val="18"/>
        </w:rPr>
        <w:tab/>
        <w:t xml:space="preserve"> </w:t>
      </w:r>
      <w:r w:rsidRPr="002325D3">
        <w:rPr>
          <w:rFonts w:ascii="Traditional Arabic" w:hAnsi="Traditional Arabic" w:cs="Traditional Arabic"/>
          <w:szCs w:val="18"/>
          <w:rtl/>
        </w:rPr>
        <w:t>نصت المادة 12 من اللائحة التنفيذية لعام 2004: “</w:t>
      </w:r>
      <w:r w:rsidRPr="002325D3">
        <w:rPr>
          <w:rFonts w:ascii="Traditional Arabic" w:hAnsi="Traditional Arabic" w:cs="Traditional Arabic"/>
          <w:color w:val="000000"/>
          <w:szCs w:val="18"/>
          <w:rtl/>
        </w:rPr>
        <w:t>تقوم وزارة الشئون الاجتماعية بالتنسيق مع الجهات المختصة بالعمل على رعاية وتأهيل المعوقين في المجالات التالية: “ثانيا: في المجال الصحي</w:t>
      </w:r>
      <w:r w:rsidRPr="002325D3">
        <w:rPr>
          <w:rFonts w:ascii="Traditional Arabic" w:hAnsi="Traditional Arabic" w:cs="Traditional Arabic"/>
          <w:color w:val="000000"/>
          <w:szCs w:val="18"/>
        </w:rPr>
        <w:t xml:space="preserve">: - </w:t>
      </w:r>
      <w:r w:rsidRPr="002325D3">
        <w:rPr>
          <w:rFonts w:ascii="Traditional Arabic" w:hAnsi="Traditional Arabic" w:cs="Traditional Arabic"/>
          <w:color w:val="000000"/>
          <w:szCs w:val="18"/>
          <w:rtl/>
        </w:rPr>
        <w:t>تشخيص وتصنيف درجة الإعاقة لدى المعوق</w:t>
      </w:r>
      <w:r w:rsidRPr="002325D3">
        <w:rPr>
          <w:rFonts w:ascii="Traditional Arabic" w:hAnsi="Traditional Arabic" w:cs="Traditional Arabic"/>
          <w:color w:val="000000"/>
          <w:szCs w:val="18"/>
        </w:rPr>
        <w:t xml:space="preserve">. - </w:t>
      </w:r>
      <w:r w:rsidRPr="002325D3">
        <w:rPr>
          <w:rFonts w:ascii="Traditional Arabic" w:hAnsi="Traditional Arabic" w:cs="Traditional Arabic"/>
          <w:color w:val="000000"/>
          <w:szCs w:val="18"/>
          <w:rtl/>
        </w:rPr>
        <w:t>ضمان الخدمات الصحية المشمولة في التأمين الصحي الحكومي مجانا للمعوق ولأسرته، كذلك إعطاء الرعاية الطبية اللازمة بمختلف إعاقاتهم</w:t>
      </w:r>
      <w:r w:rsidRPr="002325D3">
        <w:rPr>
          <w:rFonts w:ascii="Traditional Arabic" w:hAnsi="Traditional Arabic" w:cs="Traditional Arabic"/>
          <w:color w:val="000000"/>
          <w:szCs w:val="18"/>
        </w:rPr>
        <w:t xml:space="preserve">. - </w:t>
      </w:r>
      <w:r w:rsidRPr="002325D3">
        <w:rPr>
          <w:rFonts w:ascii="Traditional Arabic" w:hAnsi="Traditional Arabic" w:cs="Traditional Arabic"/>
          <w:color w:val="000000"/>
          <w:szCs w:val="18"/>
          <w:rtl/>
        </w:rPr>
        <w:t>تقديم وتطوير خدمات الاكتشاف المبكر للإعاقة والرعاية الصحية المبكرة والعمل مع الأشخاص المعوقين وأسرهم بهدف منع التدهور الصحي والوظيفي للشخص المعوق</w:t>
      </w:r>
      <w:r w:rsidRPr="002325D3">
        <w:rPr>
          <w:rFonts w:ascii="Traditional Arabic" w:hAnsi="Traditional Arabic" w:cs="Traditional Arabic"/>
          <w:color w:val="000000"/>
          <w:szCs w:val="18"/>
        </w:rPr>
        <w:t xml:space="preserve">. - </w:t>
      </w:r>
      <w:r w:rsidRPr="002325D3">
        <w:rPr>
          <w:rFonts w:ascii="Traditional Arabic" w:hAnsi="Traditional Arabic" w:cs="Traditional Arabic"/>
          <w:color w:val="000000"/>
          <w:szCs w:val="18"/>
          <w:rtl/>
        </w:rPr>
        <w:t>توفير الأدوات والأجهزة الطبية اللازمة لمساعدة المعوق وتقديم الخدمات الوقائية والعلاجية التي تهدف إلى تقليل نسبة الإعاقة في المجتمع</w:t>
      </w:r>
      <w:r w:rsidRPr="002325D3">
        <w:rPr>
          <w:rFonts w:ascii="Traditional Arabic" w:hAnsi="Traditional Arabic" w:cs="Traditional Arabic"/>
          <w:color w:val="000000"/>
          <w:szCs w:val="18"/>
        </w:rPr>
        <w:t xml:space="preserve">. - </w:t>
      </w:r>
      <w:r w:rsidRPr="002325D3">
        <w:rPr>
          <w:rFonts w:ascii="Traditional Arabic" w:hAnsi="Traditional Arabic" w:cs="Traditional Arabic"/>
          <w:color w:val="000000"/>
          <w:szCs w:val="18"/>
          <w:rtl/>
        </w:rPr>
        <w:t>توفير العلاجات اللازمة حسب النظام المعمول به وإجراء العمليات الطبية والجراحية والتشخيصية لكل شخص معوق وفي حالة عدم توفرها تتكفل وزارة الصحة بتسديد النفقات أو شراء الخدمة من القطاع الخاص سواء داخل الوطن أو خارجه.”</w:t>
      </w:r>
    </w:p>
  </w:endnote>
  <w:endnote w:id="53">
    <w:p w14:paraId="5616DBA8" w14:textId="77777777" w:rsidR="005F758D" w:rsidRPr="0033265B" w:rsidRDefault="005F758D" w:rsidP="0033265B">
      <w:pPr>
        <w:pStyle w:val="af"/>
        <w:widowControl w:val="0"/>
        <w:bidi/>
        <w:rPr>
          <w:rFonts w:asciiTheme="minorHAnsi" w:hAnsiTheme="minorHAnsi" w:cs="Traditional Arabic"/>
          <w:szCs w:val="18"/>
        </w:rPr>
      </w:pPr>
      <w:r>
        <w:tab/>
      </w:r>
      <w:r w:rsidRPr="002A047B">
        <w:rPr>
          <w:rStyle w:val="ab"/>
        </w:rPr>
        <w:endnoteRef/>
      </w:r>
      <w:r w:rsidRPr="002325D3">
        <w:rPr>
          <w:rFonts w:ascii="Traditional Arabic" w:hAnsi="Traditional Arabic" w:cs="Traditional Arabic"/>
          <w:szCs w:val="18"/>
        </w:rPr>
        <w:tab/>
      </w:r>
      <w:r w:rsidRPr="002325D3">
        <w:rPr>
          <w:rFonts w:ascii="Traditional Arabic" w:hAnsi="Traditional Arabic" w:cs="Traditional Arabic"/>
          <w:szCs w:val="18"/>
          <w:rtl/>
        </w:rPr>
        <w:t>تقوم وزارة الصحة بناء على كتاب رسمي من وزارة التنمية أو الاتحاد العام لذوي الاعاقة، بفحص الأشخاص ذوي الإعاقة بمن فيهم الأطفال لتشخيص حالة الإعاقة ونسب العجز وذلك بالاستئناس بالتقارير الطبية التي يصدرها الأطباء الاختصاصيين من المستشفيات المعتمدة.</w:t>
      </w:r>
    </w:p>
  </w:endnote>
  <w:endnote w:id="54">
    <w:p w14:paraId="45F5A89A" w14:textId="77777777" w:rsidR="005F758D" w:rsidRPr="00DC500C" w:rsidRDefault="005F758D" w:rsidP="00DC500C">
      <w:pPr>
        <w:pStyle w:val="af"/>
        <w:widowControl w:val="0"/>
        <w:bidi/>
        <w:rPr>
          <w:rFonts w:asciiTheme="minorHAnsi" w:hAnsiTheme="minorHAnsi" w:cs="Traditional Arabic"/>
          <w:szCs w:val="18"/>
        </w:rPr>
      </w:pPr>
      <w:r>
        <w:tab/>
      </w:r>
      <w:r>
        <w:rPr>
          <w:rStyle w:val="ab"/>
        </w:rPr>
        <w:endnoteRef/>
      </w:r>
      <w:r w:rsidRPr="002325D3">
        <w:rPr>
          <w:rFonts w:ascii="Traditional Arabic" w:hAnsi="Traditional Arabic" w:cs="Traditional Arabic"/>
          <w:szCs w:val="18"/>
        </w:rPr>
        <w:tab/>
      </w:r>
      <w:r w:rsidRPr="002325D3">
        <w:rPr>
          <w:rFonts w:ascii="Traditional Arabic" w:hAnsi="Traditional Arabic" w:cs="Traditional Arabic"/>
          <w:szCs w:val="18"/>
          <w:rtl/>
        </w:rPr>
        <w:t>تضمنت المادة 4 من قانون حقوق المعوقين الفلسطيني لعام 1999 واجبات الوزارات المختلفة في التأهيل</w:t>
      </w:r>
      <w:r w:rsidRPr="002325D3">
        <w:rPr>
          <w:rFonts w:ascii="Traditional Arabic" w:hAnsi="Traditional Arabic" w:cs="Traditional Arabic"/>
          <w:color w:val="000000"/>
          <w:szCs w:val="18"/>
          <w:rtl/>
        </w:rPr>
        <w:t xml:space="preserve"> من خلال</w:t>
      </w:r>
      <w:r w:rsidRPr="002325D3">
        <w:rPr>
          <w:rFonts w:ascii="Traditional Arabic" w:hAnsi="Traditional Arabic" w:cs="Traditional Arabic"/>
          <w:color w:val="000000"/>
          <w:szCs w:val="18"/>
        </w:rPr>
        <w:t xml:space="preserve">: 1. </w:t>
      </w:r>
      <w:r w:rsidRPr="002325D3">
        <w:rPr>
          <w:rFonts w:ascii="Traditional Arabic" w:hAnsi="Traditional Arabic" w:cs="Traditional Arabic"/>
          <w:color w:val="000000"/>
          <w:szCs w:val="18"/>
          <w:rtl/>
        </w:rPr>
        <w:t>قيام وزارة التنمية الاجتماعية بالتنسيق مع الوزارات المعنية والجهات الأهلية بوضع برامج تأهيلية وظيفية لجميع فئات الاشخاص ذوي الاعاقة من حيث الإعاقة والأعمار، وللأشخاص ذوي الاعاقة وأسرهم واتحاداتهم ومؤسساتهم حق المشاركة في وضع السياسات العامة للتأهيل واستراتيجياته</w:t>
      </w:r>
      <w:r w:rsidRPr="002325D3">
        <w:rPr>
          <w:rFonts w:ascii="Traditional Arabic" w:hAnsi="Traditional Arabic" w:cs="Traditional Arabic"/>
          <w:color w:val="000000"/>
          <w:szCs w:val="18"/>
        </w:rPr>
        <w:t xml:space="preserve">. 2. </w:t>
      </w:r>
      <w:r w:rsidRPr="002325D3">
        <w:rPr>
          <w:rFonts w:ascii="Traditional Arabic" w:hAnsi="Traditional Arabic" w:cs="Traditional Arabic"/>
          <w:color w:val="000000"/>
          <w:szCs w:val="18"/>
          <w:rtl/>
        </w:rPr>
        <w:t>قيام وزارة التنمية الاجتماعية بدراسة فلسفة الدمج في عملية التعليم الجامع ومدى توافقها مع الاحتياجات العامة لعمر هؤلاء الاشخاص سواء في رياض الأطفال أو في المراحل الدنيا للتعلم</w:t>
      </w:r>
      <w:r w:rsidRPr="002325D3">
        <w:rPr>
          <w:rFonts w:ascii="Traditional Arabic" w:hAnsi="Traditional Arabic" w:cs="Traditional Arabic"/>
          <w:color w:val="000000"/>
          <w:szCs w:val="18"/>
        </w:rPr>
        <w:t xml:space="preserve">. 3. </w:t>
      </w:r>
      <w:r w:rsidRPr="002325D3">
        <w:rPr>
          <w:rFonts w:ascii="Traditional Arabic" w:hAnsi="Traditional Arabic" w:cs="Traditional Arabic"/>
          <w:color w:val="000000"/>
          <w:szCs w:val="18"/>
          <w:rtl/>
        </w:rPr>
        <w:t>قيام وزارة التربية والتعليم بالاهتمام بالأشخاص ذوي الاعاقة واحتياجاتهم التربوية والتعليمية وتوفير البرامج التعليمية إلى المؤسسات والمراكز الخاصة بالأشخاص ذوي الاعاقات الذهنية والعقلية، أو بطيئ التعلم</w:t>
      </w:r>
      <w:r w:rsidRPr="002325D3">
        <w:rPr>
          <w:rFonts w:ascii="Traditional Arabic" w:hAnsi="Traditional Arabic" w:cs="Traditional Arabic"/>
          <w:color w:val="000000"/>
          <w:szCs w:val="18"/>
        </w:rPr>
        <w:t xml:space="preserve">. 4. </w:t>
      </w:r>
      <w:r w:rsidRPr="002325D3">
        <w:rPr>
          <w:rFonts w:ascii="Traditional Arabic" w:hAnsi="Traditional Arabic" w:cs="Traditional Arabic"/>
          <w:color w:val="000000"/>
          <w:szCs w:val="18"/>
          <w:rtl/>
        </w:rPr>
        <w:t>وفي حالة عدم تمكن الوزارة من تأمين الخدمات التعليمية للطلاب ذوي الاعاقة يمكنها شراء هذه الخدمات من المؤسسات الأهلية أو القطاع الخاص...</w:t>
      </w:r>
      <w:r w:rsidRPr="002325D3">
        <w:rPr>
          <w:rFonts w:ascii="Traditional Arabic" w:hAnsi="Traditional Arabic" w:cs="Traditional Arabic"/>
          <w:color w:val="000000"/>
          <w:szCs w:val="18"/>
        </w:rPr>
        <w:t>.</w:t>
      </w:r>
      <w:r w:rsidRPr="002325D3">
        <w:rPr>
          <w:rFonts w:ascii="Traditional Arabic" w:hAnsi="Traditional Arabic" w:cs="Traditional Arabic"/>
          <w:color w:val="000000"/>
          <w:szCs w:val="18"/>
          <w:rtl/>
        </w:rPr>
        <w:t>”</w:t>
      </w:r>
    </w:p>
  </w:endnote>
  <w:endnote w:id="55">
    <w:p w14:paraId="7C51FD59" w14:textId="77777777" w:rsidR="005F758D" w:rsidRPr="00DC500C" w:rsidRDefault="005F758D" w:rsidP="00DC500C">
      <w:pPr>
        <w:pStyle w:val="af"/>
        <w:widowControl w:val="0"/>
        <w:bidi/>
        <w:rPr>
          <w:rFonts w:asciiTheme="minorHAnsi" w:hAnsiTheme="minorHAnsi" w:cs="Traditional Arabic"/>
          <w:szCs w:val="18"/>
        </w:rPr>
      </w:pPr>
      <w:r>
        <w:tab/>
      </w:r>
      <w:r w:rsidRPr="002A047B">
        <w:rPr>
          <w:rStyle w:val="ab"/>
        </w:rPr>
        <w:endnoteRef/>
      </w:r>
      <w:r w:rsidRPr="002325D3">
        <w:rPr>
          <w:rFonts w:ascii="Traditional Arabic" w:hAnsi="Traditional Arabic" w:cs="Traditional Arabic"/>
          <w:szCs w:val="18"/>
        </w:rPr>
        <w:tab/>
      </w:r>
      <w:r w:rsidRPr="002325D3">
        <w:rPr>
          <w:rFonts w:ascii="Traditional Arabic" w:hAnsi="Traditional Arabic" w:cs="Traditional Arabic"/>
          <w:szCs w:val="18"/>
          <w:rtl/>
        </w:rPr>
        <w:t>اضافة الى تقديم البرامج والأنشطة التي تسهم في التدريب على الرعاية الذاتية، وتقديم المساعدة والمشورة النفسية والاجتماعية للأشخاص ذوي الاعاقة وذويهم، وتغيير الاتجاهات الأسرية والمجتمعية اتجاه الشخص ذي الاعاقة، وتعديل المساكن والمرافق العامة ليسهل على الاشخاص ذوي الاعاقة الوصول إليها.</w:t>
      </w:r>
    </w:p>
  </w:endnote>
  <w:endnote w:id="56">
    <w:p w14:paraId="707144A0" w14:textId="77777777" w:rsidR="005F758D" w:rsidRPr="00DC500C" w:rsidRDefault="005F758D" w:rsidP="00DC500C">
      <w:pPr>
        <w:pStyle w:val="af"/>
        <w:widowControl w:val="0"/>
        <w:bidi/>
        <w:rPr>
          <w:rFonts w:asciiTheme="minorHAnsi" w:hAnsiTheme="minorHAnsi" w:cs="Traditional Arabic"/>
          <w:szCs w:val="18"/>
        </w:rPr>
      </w:pPr>
      <w:r>
        <w:tab/>
      </w:r>
      <w:r>
        <w:rPr>
          <w:rStyle w:val="ab"/>
        </w:rPr>
        <w:endnoteRef/>
      </w:r>
      <w:r w:rsidRPr="002325D3">
        <w:rPr>
          <w:rFonts w:ascii="Traditional Arabic" w:hAnsi="Traditional Arabic" w:cs="Traditional Arabic"/>
          <w:szCs w:val="18"/>
        </w:rPr>
        <w:tab/>
      </w:r>
      <w:r w:rsidRPr="002325D3">
        <w:rPr>
          <w:rFonts w:ascii="Traditional Arabic" w:hAnsi="Traditional Arabic" w:cs="Traditional Arabic"/>
          <w:szCs w:val="18"/>
          <w:rtl/>
        </w:rPr>
        <w:t>تدار هذه اللجان من قبل مجموعات من الشباب والفعاليات الوطنية والإسلامية والاجتماعية بشكل تطوعي، بحيث بلغ متوسط أعضاء الإدارة في كل لجنة من 7-9 أشخاص يمثلون شرائح المجتمع المختلفة. كما يقوم بالعمل مع المعاقين عاملو وعاملات تأهيل بمتوسط 8 أشخاص، من كل لجنة يتقاضون راتبا محدودا بعد مرورهم بخدمة طوعية لمدة ثلاثة أشهر على الأقل.</w:t>
      </w:r>
    </w:p>
  </w:endnote>
  <w:endnote w:id="57">
    <w:p w14:paraId="4462B3B9" w14:textId="77777777" w:rsidR="005F758D" w:rsidRPr="002325D3" w:rsidRDefault="005F758D" w:rsidP="00DC500C">
      <w:pPr>
        <w:pStyle w:val="af"/>
        <w:widowControl w:val="0"/>
        <w:tabs>
          <w:tab w:val="clear" w:pos="1021"/>
          <w:tab w:val="right" w:pos="1020"/>
        </w:tabs>
        <w:bidi/>
        <w:rPr>
          <w:rFonts w:ascii="Traditional Arabic" w:hAnsi="Traditional Arabic" w:cs="Traditional Arabic"/>
          <w:szCs w:val="18"/>
        </w:rPr>
      </w:pPr>
      <w:r>
        <w:tab/>
      </w:r>
      <w:r>
        <w:rPr>
          <w:rStyle w:val="ab"/>
        </w:rPr>
        <w:endnoteRef/>
      </w:r>
      <w:r>
        <w:tab/>
      </w:r>
      <w:r w:rsidRPr="002325D3">
        <w:rPr>
          <w:rFonts w:ascii="Traditional Arabic" w:hAnsi="Traditional Arabic" w:cs="Traditional Arabic"/>
          <w:szCs w:val="18"/>
        </w:rPr>
        <w:tab/>
      </w:r>
      <w:r w:rsidRPr="002325D3">
        <w:rPr>
          <w:rFonts w:ascii="Traditional Arabic" w:hAnsi="Traditional Arabic" w:cs="Traditional Arabic"/>
          <w:szCs w:val="18"/>
          <w:rtl/>
        </w:rPr>
        <w:t>نصت المادة 22 من القانون الاساسي: “1. ينظم القانون خدمات التأمين الاجتماعي والصحي ومعاشات العجز والشيخوخة.</w:t>
      </w:r>
    </w:p>
    <w:p w14:paraId="199594F4" w14:textId="77777777" w:rsidR="005F758D" w:rsidRPr="001E4A9B" w:rsidRDefault="005F758D" w:rsidP="001E4A9B">
      <w:pPr>
        <w:pStyle w:val="af"/>
        <w:widowControl w:val="0"/>
        <w:bidi/>
        <w:rPr>
          <w:rFonts w:asciiTheme="minorHAnsi" w:hAnsiTheme="minorHAnsi" w:cs="Traditional Arabic"/>
          <w:szCs w:val="18"/>
        </w:rPr>
      </w:pPr>
      <w:r w:rsidRPr="002325D3">
        <w:rPr>
          <w:rFonts w:ascii="Traditional Arabic" w:hAnsi="Traditional Arabic" w:cs="Traditional Arabic"/>
          <w:szCs w:val="18"/>
        </w:rPr>
        <w:tab/>
      </w:r>
      <w:r w:rsidRPr="002325D3">
        <w:rPr>
          <w:rFonts w:ascii="Traditional Arabic" w:hAnsi="Traditional Arabic" w:cs="Traditional Arabic"/>
          <w:szCs w:val="18"/>
        </w:rPr>
        <w:tab/>
        <w:t>2</w:t>
      </w:r>
      <w:r w:rsidRPr="002325D3">
        <w:rPr>
          <w:rFonts w:ascii="Traditional Arabic" w:hAnsi="Traditional Arabic" w:cs="Traditional Arabic"/>
          <w:szCs w:val="18"/>
          <w:rtl/>
        </w:rPr>
        <w:t>. رعاية أسر الشهداء والأسرى ورعاية الجرحى والمتضررين والمعاقين واجب ينظم القانون أحكامه، وتكفل السلطة الوطنية لهم خدمات التعليم والتأمين الصحي والاجتماعي.”</w:t>
      </w:r>
    </w:p>
  </w:endnote>
  <w:endnote w:id="58">
    <w:p w14:paraId="1A8018D4" w14:textId="77777777" w:rsidR="005F758D" w:rsidRPr="000F55E5" w:rsidRDefault="005F758D" w:rsidP="000F55E5">
      <w:pPr>
        <w:pStyle w:val="af"/>
        <w:widowControl w:val="0"/>
        <w:bidi/>
        <w:rPr>
          <w:rFonts w:asciiTheme="minorHAnsi" w:hAnsiTheme="minorHAnsi" w:cs="Traditional Arabic"/>
          <w:szCs w:val="18"/>
        </w:rPr>
      </w:pPr>
      <w:r>
        <w:tab/>
      </w:r>
      <w:r>
        <w:rPr>
          <w:rStyle w:val="ab"/>
        </w:rPr>
        <w:endnoteRef/>
      </w:r>
      <w:r w:rsidRPr="002325D3">
        <w:rPr>
          <w:rFonts w:ascii="Traditional Arabic" w:hAnsi="Traditional Arabic" w:cs="Traditional Arabic"/>
          <w:szCs w:val="18"/>
        </w:rPr>
        <w:tab/>
      </w:r>
      <w:r w:rsidRPr="002325D3">
        <w:rPr>
          <w:rFonts w:ascii="Traditional Arabic" w:eastAsia="Calibri" w:hAnsi="Traditional Arabic" w:cs="Traditional Arabic"/>
          <w:szCs w:val="18"/>
          <w:rtl/>
        </w:rPr>
        <w:t xml:space="preserve">نصت المادة </w:t>
      </w:r>
      <w:r w:rsidRPr="002325D3">
        <w:rPr>
          <w:rFonts w:ascii="Traditional Arabic" w:eastAsia="Calibri" w:hAnsi="Traditional Arabic" w:cs="Traditional Arabic"/>
          <w:b/>
          <w:bCs/>
          <w:szCs w:val="18"/>
          <w:rtl/>
        </w:rPr>
        <w:t>10</w:t>
      </w:r>
      <w:r w:rsidRPr="002325D3">
        <w:rPr>
          <w:rFonts w:ascii="Traditional Arabic" w:eastAsia="Calibri" w:hAnsi="Traditional Arabic" w:cs="Traditional Arabic"/>
          <w:szCs w:val="18"/>
          <w:rtl/>
        </w:rPr>
        <w:t xml:space="preserve"> من (قانون حقوق المعوقين 1999):”تولي الوزارة التنسيق مع جميع الجهات المعنية للعمل على رعاية وتأهيل المعوقين في المجالات التالية:1. في المجال الاجتماعي: أ. تحدد طبيعة الاعاقة وبيان درجتها ومدى تأثيرها على أسرة المعوق وتقديم المساعدة المناسبة له. ب. تقديم الخدمات الخاصة بالمعوقين في مجال الرعاية والاغاثة والتدريب والتثقيف وإعطائه الاولوية في برامج التنمية الاسرية. ج. توفير خدمات الرعاية الاجتماعية الايوائية الشديدة والذين ليس لهم من يعولهم. د. دعم برامج المشاغل المحمية. ه. إصدار بطاقة المعوق.”</w:t>
      </w:r>
    </w:p>
  </w:endnote>
  <w:endnote w:id="59">
    <w:p w14:paraId="3F453BBB" w14:textId="77777777" w:rsidR="005F758D" w:rsidRPr="00B7584F" w:rsidRDefault="005F758D" w:rsidP="00B7584F">
      <w:pPr>
        <w:pStyle w:val="af"/>
        <w:widowControl w:val="0"/>
        <w:bidi/>
        <w:rPr>
          <w:rFonts w:asciiTheme="minorHAnsi" w:hAnsiTheme="minorHAnsi" w:cs="Traditional Arabic"/>
          <w:szCs w:val="18"/>
        </w:rPr>
      </w:pPr>
      <w:r>
        <w:tab/>
      </w:r>
      <w:r w:rsidRPr="002A047B">
        <w:rPr>
          <w:rStyle w:val="ab"/>
        </w:rPr>
        <w:endnoteRef/>
      </w:r>
      <w:r w:rsidRPr="002325D3">
        <w:rPr>
          <w:rFonts w:ascii="Traditional Arabic" w:hAnsi="Traditional Arabic" w:cs="Traditional Arabic"/>
          <w:szCs w:val="18"/>
        </w:rPr>
        <w:tab/>
      </w:r>
      <w:r w:rsidRPr="002325D3">
        <w:rPr>
          <w:rFonts w:ascii="Traditional Arabic" w:hAnsi="Traditional Arabic" w:cs="Traditional Arabic"/>
          <w:szCs w:val="18"/>
          <w:rtl/>
        </w:rPr>
        <w:t>المصدر: استراتيجية قطاع الحماية الاجتماعية 2014</w:t>
      </w:r>
      <w:r w:rsidRPr="002325D3">
        <w:rPr>
          <w:rFonts w:ascii="Traditional Arabic" w:hAnsi="Traditional Arabic" w:cs="Traditional Arabic"/>
          <w:szCs w:val="18"/>
        </w:rPr>
        <w:t>–</w:t>
      </w:r>
      <w:r w:rsidRPr="002325D3">
        <w:rPr>
          <w:rFonts w:ascii="Traditional Arabic" w:hAnsi="Traditional Arabic" w:cs="Traditional Arabic"/>
          <w:szCs w:val="18"/>
          <w:rtl/>
        </w:rPr>
        <w:t>2016.</w:t>
      </w:r>
    </w:p>
  </w:endnote>
  <w:endnote w:id="60">
    <w:p w14:paraId="5E11500B" w14:textId="77777777" w:rsidR="005F758D" w:rsidRPr="004E51CF" w:rsidRDefault="005F758D" w:rsidP="004E51CF">
      <w:pPr>
        <w:pStyle w:val="af"/>
        <w:widowControl w:val="0"/>
        <w:bidi/>
        <w:rPr>
          <w:rFonts w:asciiTheme="minorHAnsi" w:hAnsiTheme="minorHAnsi" w:cs="Traditional Arabic"/>
          <w:szCs w:val="18"/>
        </w:rPr>
      </w:pPr>
      <w:r>
        <w:tab/>
      </w:r>
      <w:r w:rsidRPr="002A047B">
        <w:rPr>
          <w:rStyle w:val="ab"/>
        </w:rPr>
        <w:endnoteRef/>
      </w:r>
      <w:r w:rsidRPr="002325D3">
        <w:rPr>
          <w:rFonts w:ascii="Traditional Arabic" w:hAnsi="Traditional Arabic" w:cs="Traditional Arabic"/>
          <w:szCs w:val="18"/>
        </w:rPr>
        <w:tab/>
      </w:r>
      <w:r w:rsidRPr="002325D3">
        <w:rPr>
          <w:rFonts w:ascii="Traditional Arabic" w:hAnsi="Traditional Arabic" w:cs="Traditional Arabic"/>
          <w:szCs w:val="18"/>
          <w:rtl/>
        </w:rPr>
        <w:t>المصدر: الهيئة الاستشارية الفلسطينية لتطوير المؤسسات غير الحكومية.</w:t>
      </w:r>
    </w:p>
  </w:endnote>
  <w:endnote w:id="61">
    <w:p w14:paraId="5938B167" w14:textId="77777777" w:rsidR="005F758D" w:rsidRPr="00445E38" w:rsidRDefault="005F758D" w:rsidP="00445E38">
      <w:pPr>
        <w:pStyle w:val="af"/>
        <w:widowControl w:val="0"/>
        <w:bidi/>
        <w:rPr>
          <w:rFonts w:asciiTheme="minorHAnsi" w:hAnsiTheme="minorHAnsi" w:cs="Traditional Arabic"/>
          <w:szCs w:val="18"/>
        </w:rPr>
      </w:pPr>
      <w:r>
        <w:tab/>
      </w:r>
      <w:r w:rsidRPr="002A047B">
        <w:rPr>
          <w:rStyle w:val="ab"/>
        </w:rPr>
        <w:endnoteRef/>
      </w:r>
      <w:r w:rsidRPr="002325D3">
        <w:rPr>
          <w:rFonts w:ascii="Traditional Arabic" w:hAnsi="Traditional Arabic" w:cs="Traditional Arabic"/>
          <w:szCs w:val="18"/>
        </w:rPr>
        <w:tab/>
      </w:r>
      <w:r w:rsidRPr="002325D3">
        <w:rPr>
          <w:rFonts w:ascii="Traditional Arabic" w:hAnsi="Traditional Arabic" w:cs="Traditional Arabic"/>
          <w:szCs w:val="18"/>
          <w:rtl/>
        </w:rPr>
        <w:t>نصت المادة 26 من القانون الاساسي المعدل لعام 2005 على:</w:t>
      </w:r>
      <w:r w:rsidRPr="002325D3">
        <w:rPr>
          <w:rFonts w:ascii="Traditional Arabic" w:hAnsi="Traditional Arabic" w:cs="Traditional Arabic"/>
          <w:b/>
          <w:bCs/>
          <w:szCs w:val="18"/>
          <w:rtl/>
        </w:rPr>
        <w:t xml:space="preserve"> </w:t>
      </w:r>
      <w:r w:rsidRPr="002325D3">
        <w:rPr>
          <w:rFonts w:ascii="Traditional Arabic" w:hAnsi="Traditional Arabic" w:cs="Traditional Arabic"/>
          <w:szCs w:val="18"/>
          <w:rtl/>
        </w:rPr>
        <w:t>“للفلسطينيين حق المشاركة في الحياة السياسية أفرادا وجماعات ولهم على وجه الخصوص الحقوق التالية: 1. تشكيل الاحزاب السياسية والانضمام اليها وفقا للقانون. 2. تشكيل النقابات والجمعيات والاتحادات والروابط والاندية والمؤسسات الشعبية وفقا للقانون. 3. التصويت والترشيح في الانتخابات لاختيار ممثلين منهم يتم انتخابهم بالاقتراع العام وفقا للقانون. 4. تقلد المناصب والوظائف العامة على قاعدة تكافؤ الفرص. 5.عقد الاجتماعات الخاصة دون حضور افراد الشرطة، وعقد الاجتماعات العامة والمواكب والتجمعات في حدود القانون.”</w:t>
      </w:r>
      <w:r w:rsidRPr="002325D3">
        <w:rPr>
          <w:rFonts w:ascii="Traditional Arabic" w:hAnsi="Traditional Arabic" w:cs="Traditional Arabic"/>
          <w:szCs w:val="18"/>
        </w:rPr>
        <w:t xml:space="preserve"> </w:t>
      </w:r>
    </w:p>
  </w:endnote>
  <w:endnote w:id="62">
    <w:p w14:paraId="6EFA9C79" w14:textId="77777777" w:rsidR="005F758D" w:rsidRPr="004B7715" w:rsidRDefault="005F758D" w:rsidP="004B7715">
      <w:pPr>
        <w:pStyle w:val="af"/>
        <w:widowControl w:val="0"/>
        <w:bidi/>
        <w:rPr>
          <w:rFonts w:asciiTheme="minorHAnsi" w:hAnsiTheme="minorHAnsi" w:cs="Traditional Arabic"/>
          <w:szCs w:val="18"/>
        </w:rPr>
      </w:pPr>
      <w:r>
        <w:tab/>
      </w:r>
      <w:r>
        <w:rPr>
          <w:rStyle w:val="ab"/>
        </w:rPr>
        <w:endnoteRef/>
      </w:r>
      <w:r w:rsidRPr="002325D3">
        <w:rPr>
          <w:rFonts w:ascii="Traditional Arabic" w:hAnsi="Traditional Arabic" w:cs="Traditional Arabic"/>
          <w:szCs w:val="18"/>
        </w:rPr>
        <w:tab/>
      </w:r>
      <w:r w:rsidRPr="002325D3">
        <w:rPr>
          <w:rFonts w:ascii="Traditional Arabic" w:eastAsia="Calibri" w:hAnsi="Traditional Arabic" w:cs="Traditional Arabic"/>
          <w:szCs w:val="18"/>
          <w:rtl/>
          <w:lang w:bidi="ar-JO"/>
        </w:rPr>
        <w:t>شملت انشطة اللجنة كذلك: ا</w:t>
      </w:r>
      <w:r w:rsidRPr="002325D3">
        <w:rPr>
          <w:rFonts w:ascii="Traditional Arabic" w:eastAsia="Calibri" w:hAnsi="Traditional Arabic" w:cs="Traditional Arabic"/>
          <w:color w:val="000000"/>
          <w:szCs w:val="18"/>
          <w:rtl/>
        </w:rPr>
        <w:t>لاطلاع على تجارب محلية ودولية بهذا الخصوص بعمل زيارات خارجية ومنها زيارة دولة السويد من قبل طاقم متخصص. ومواءمة اللجنة لإجراءاتها للأشخاص ذوي الإعاقة؛ حيث تم استحداث برنامج الكتروني لتسجيل الناخبين، وتم وضع بيانات خاصة لدعم الاشخاص ذوي الاعاقة بما لا يؤثر على مشاركاتهم الحرة وليكون محل ناجح لاعداد الخطط اللازمة لهم عند معرفة اعدادهم وطبيعية اعاقاتهم بمختلف انواعها.</w:t>
      </w:r>
      <w:r w:rsidRPr="002325D3">
        <w:rPr>
          <w:rFonts w:ascii="Traditional Arabic" w:eastAsia="Calibri" w:hAnsi="Traditional Arabic" w:cs="Traditional Arabic"/>
          <w:szCs w:val="18"/>
          <w:rtl/>
          <w:lang w:bidi="ar-JO"/>
        </w:rPr>
        <w:t xml:space="preserve"> كما تم </w:t>
      </w:r>
      <w:r w:rsidRPr="002325D3">
        <w:rPr>
          <w:rFonts w:ascii="Traditional Arabic" w:eastAsia="Calibri" w:hAnsi="Traditional Arabic" w:cs="Traditional Arabic"/>
          <w:color w:val="000000"/>
          <w:szCs w:val="18"/>
          <w:rtl/>
        </w:rPr>
        <w:t>إنتاج مواد توعوية مرئية ومسموعة ومنشورات باللغات والأنظمة التي تتواءم مع مختلف أنواع الإعاقة، وكذلك مواءمة الموقع الالكتروني الخاص باللجنة؛ حيث تم إنتاج فلم وثائقي و3 بوستات تلفزيونية و3 بروشورات وثلاث مطويات لتوعية الأشخاص ذوي الإعاقة.</w:t>
      </w:r>
      <w:r w:rsidRPr="002325D3">
        <w:rPr>
          <w:rFonts w:ascii="Traditional Arabic" w:eastAsia="Calibri" w:hAnsi="Traditional Arabic" w:cs="Traditional Arabic"/>
          <w:szCs w:val="18"/>
          <w:rtl/>
          <w:lang w:bidi="ar-JO"/>
        </w:rPr>
        <w:t xml:space="preserve"> وايضا </w:t>
      </w:r>
      <w:r w:rsidRPr="002325D3">
        <w:rPr>
          <w:rFonts w:ascii="Traditional Arabic" w:eastAsia="Calibri" w:hAnsi="Traditional Arabic" w:cs="Traditional Arabic"/>
          <w:color w:val="000000"/>
          <w:szCs w:val="18"/>
          <w:rtl/>
        </w:rPr>
        <w:t>تنفيذ 35 ورشة عمل توعوية استهدفت</w:t>
      </w:r>
      <w:r w:rsidRPr="002325D3">
        <w:rPr>
          <w:rFonts w:ascii="Traditional Arabic" w:eastAsia="Calibri" w:hAnsi="Traditional Arabic" w:cs="Traditional Arabic"/>
          <w:color w:val="000000"/>
          <w:szCs w:val="18"/>
          <w:rtl/>
          <w:lang w:bidi="ar-JO"/>
        </w:rPr>
        <w:t xml:space="preserve"> الأشخاص </w:t>
      </w:r>
      <w:r w:rsidRPr="002325D3">
        <w:rPr>
          <w:rFonts w:ascii="Traditional Arabic" w:eastAsia="Calibri" w:hAnsi="Traditional Arabic" w:cs="Traditional Arabic"/>
          <w:color w:val="000000"/>
          <w:szCs w:val="18"/>
          <w:rtl/>
        </w:rPr>
        <w:t>ذوي الإعاقة</w:t>
      </w:r>
      <w:r w:rsidRPr="002325D3">
        <w:rPr>
          <w:rFonts w:ascii="Traditional Arabic" w:eastAsia="Calibri" w:hAnsi="Traditional Arabic" w:cs="Traditional Arabic"/>
          <w:color w:val="000000"/>
          <w:szCs w:val="18"/>
        </w:rPr>
        <w:t xml:space="preserve"> </w:t>
      </w:r>
      <w:r w:rsidRPr="002325D3">
        <w:rPr>
          <w:rFonts w:ascii="Traditional Arabic" w:eastAsia="Calibri" w:hAnsi="Traditional Arabic" w:cs="Traditional Arabic"/>
          <w:color w:val="000000"/>
          <w:szCs w:val="18"/>
          <w:rtl/>
          <w:lang w:bidi="ar-JO"/>
        </w:rPr>
        <w:t>في كافة المحافظات؛ حضر الورشات حوالي 860 شخص من ذوي الاعاقة</w:t>
      </w:r>
      <w:r w:rsidRPr="002325D3">
        <w:rPr>
          <w:rFonts w:ascii="Traditional Arabic" w:eastAsia="Calibri" w:hAnsi="Traditional Arabic" w:cs="Traditional Arabic"/>
          <w:color w:val="000000"/>
          <w:szCs w:val="18"/>
          <w:rtl/>
        </w:rPr>
        <w:t>.</w:t>
      </w:r>
      <w:r w:rsidRPr="002325D3">
        <w:rPr>
          <w:rFonts w:ascii="Traditional Arabic" w:eastAsia="Calibri" w:hAnsi="Traditional Arabic" w:cs="Traditional Arabic"/>
          <w:szCs w:val="18"/>
          <w:rtl/>
          <w:lang w:bidi="ar-JO"/>
        </w:rPr>
        <w:t xml:space="preserve"> ثم </w:t>
      </w:r>
      <w:r w:rsidRPr="002325D3">
        <w:rPr>
          <w:rFonts w:ascii="Traditional Arabic" w:eastAsia="Calibri" w:hAnsi="Traditional Arabic" w:cs="Traditional Arabic"/>
          <w:color w:val="000000"/>
          <w:szCs w:val="18"/>
          <w:rtl/>
        </w:rPr>
        <w:t>إجراء محاكاة للعملية الانتخابية في 6 مدارس للأشخاص ذوي الإعاقة شملت 223 طالب وطالبة 4 في الضفة و2 في غزة.</w:t>
      </w:r>
      <w:r w:rsidRPr="002325D3">
        <w:rPr>
          <w:rFonts w:ascii="Traditional Arabic" w:eastAsia="Calibri" w:hAnsi="Traditional Arabic" w:cs="Traditional Arabic"/>
          <w:szCs w:val="18"/>
          <w:rtl/>
          <w:lang w:bidi="ar-JO"/>
        </w:rPr>
        <w:t xml:space="preserve"> كما قامت اللجنة ب</w:t>
      </w:r>
      <w:r w:rsidRPr="002325D3">
        <w:rPr>
          <w:rFonts w:ascii="Traditional Arabic" w:eastAsia="Calibri" w:hAnsi="Traditional Arabic" w:cs="Traditional Arabic"/>
          <w:color w:val="000000"/>
          <w:szCs w:val="18"/>
          <w:rtl/>
        </w:rPr>
        <w:t>بناء كادر من الأشخاص ذوي الإعاقة ليكون ضمن الطواقم الانتخابية أثناء تنفيذ الانتخابات بتدريب 40 شخص منهم في غزة والضفة، وقامت بإطلاق حملة إعلامية وتوعوية شاملة حول مشاركة الأشخاص ذوي الإعاقة بالانتخابات وفي الحياة السياسية بشكل عام، تشمل كافة المؤسسات الوطنية والأهلية والرسمية.</w:t>
      </w:r>
    </w:p>
  </w:endnote>
  <w:endnote w:id="63">
    <w:p w14:paraId="1F51C8EB" w14:textId="77777777" w:rsidR="005F758D" w:rsidRPr="004167F1" w:rsidRDefault="005F758D" w:rsidP="004167F1">
      <w:pPr>
        <w:pStyle w:val="af"/>
        <w:widowControl w:val="0"/>
        <w:bidi/>
        <w:rPr>
          <w:rFonts w:asciiTheme="minorHAnsi" w:hAnsiTheme="minorHAnsi" w:cs="Traditional Arabic"/>
          <w:szCs w:val="18"/>
        </w:rPr>
      </w:pPr>
      <w:r>
        <w:tab/>
      </w:r>
      <w:r>
        <w:rPr>
          <w:rStyle w:val="ab"/>
        </w:rPr>
        <w:endnoteRef/>
      </w:r>
      <w:r>
        <w:tab/>
      </w:r>
      <w:r w:rsidRPr="002325D3">
        <w:rPr>
          <w:rFonts w:ascii="Traditional Arabic" w:hAnsi="Traditional Arabic" w:cs="Traditional Arabic"/>
          <w:szCs w:val="18"/>
        </w:rPr>
        <w:tab/>
      </w:r>
      <w:r w:rsidRPr="002325D3">
        <w:rPr>
          <w:rFonts w:ascii="Traditional Arabic" w:eastAsia="Calibri" w:hAnsi="Traditional Arabic" w:cs="Traditional Arabic"/>
          <w:szCs w:val="18"/>
          <w:rtl/>
        </w:rPr>
        <w:t>تكون بيانات الهيئة العامة مسجلة في فروع الاتحاد حسب: الاسم، رقم الهوية، تاريخ الميلاد، الجنس، العنوان بشكل تفصيلي، المؤهل العلمي، طبيعة العمل، الحالة الاجتماعية، درجة الإعاقة، صوره شخصية، نوع الاحتياج من الأدوات المساعدة، نوع الإعاقة، رقم الهاتف والجوال، نوع الخدمة المقدمة، أي ملاحظات أخرى يتم تعبئتها.</w:t>
      </w:r>
    </w:p>
  </w:endnote>
  <w:endnote w:id="64">
    <w:p w14:paraId="1F9595B2" w14:textId="77777777" w:rsidR="005F758D" w:rsidRPr="004167F1" w:rsidRDefault="005F758D" w:rsidP="004167F1">
      <w:pPr>
        <w:pStyle w:val="af"/>
        <w:widowControl w:val="0"/>
        <w:bidi/>
        <w:rPr>
          <w:rFonts w:asciiTheme="minorHAnsi" w:hAnsiTheme="minorHAnsi" w:cs="Traditional Arabic"/>
          <w:szCs w:val="18"/>
        </w:rPr>
      </w:pPr>
      <w:r>
        <w:tab/>
      </w:r>
      <w:r>
        <w:rPr>
          <w:rStyle w:val="ab"/>
        </w:rPr>
        <w:endnoteRef/>
      </w:r>
      <w:r w:rsidRPr="002325D3">
        <w:rPr>
          <w:rFonts w:ascii="Traditional Arabic" w:hAnsi="Traditional Arabic" w:cs="Traditional Arabic"/>
          <w:szCs w:val="18"/>
        </w:rPr>
        <w:tab/>
      </w:r>
      <w:r w:rsidRPr="002325D3">
        <w:rPr>
          <w:rFonts w:ascii="Traditional Arabic" w:eastAsia="Calibri" w:hAnsi="Traditional Arabic" w:cs="Traditional Arabic"/>
          <w:szCs w:val="18"/>
          <w:rtl/>
        </w:rPr>
        <w:t>تم اشراك الاشخاص ذوي الاعاقة في فعاليات يوم الثقافة الوطنية ويوم التراث، حيث تعمل وزارة الثقافة على الاعداد لمعرض تراث في مجمع مركز بلدنا الثقافي والذي يضم جميع المؤسسات التي تعنى بالتر اث لدعم هذه المؤسسات وطلابها والهدف منه ترويجي وزيادة الدخل المادي للمؤسسات التي تعمل مع الاشخاص ذوي الاعاقة.</w:t>
      </w:r>
    </w:p>
  </w:endnote>
  <w:endnote w:id="65">
    <w:p w14:paraId="489C9B97" w14:textId="77777777" w:rsidR="005F758D" w:rsidRPr="007201CA" w:rsidRDefault="005F758D" w:rsidP="007201CA">
      <w:pPr>
        <w:pStyle w:val="af"/>
        <w:widowControl w:val="0"/>
        <w:bidi/>
        <w:rPr>
          <w:rFonts w:asciiTheme="minorHAnsi" w:hAnsiTheme="minorHAnsi" w:cs="Traditional Arabic"/>
          <w:szCs w:val="18"/>
        </w:rPr>
      </w:pPr>
      <w:r>
        <w:tab/>
      </w:r>
      <w:r w:rsidRPr="002A047B">
        <w:rPr>
          <w:rStyle w:val="ab"/>
        </w:rPr>
        <w:endnoteRef/>
      </w:r>
      <w:r w:rsidRPr="002325D3">
        <w:rPr>
          <w:rFonts w:ascii="Traditional Arabic" w:hAnsi="Traditional Arabic" w:cs="Traditional Arabic"/>
          <w:szCs w:val="18"/>
        </w:rPr>
        <w:tab/>
      </w:r>
      <w:r w:rsidRPr="002325D3">
        <w:rPr>
          <w:rFonts w:ascii="Traditional Arabic" w:hAnsi="Traditional Arabic" w:cs="Traditional Arabic"/>
          <w:szCs w:val="18"/>
          <w:rtl/>
        </w:rPr>
        <w:t>مكتبات الالعاب التربوية والترفيهية التي تم تجهيزها: مثل جمعية الياسمين وجمعية الاحسان كما تم دعم وتجهيز مكتبة بريل لجمعية البصيرة مدينة جنين.</w:t>
      </w:r>
    </w:p>
  </w:endnote>
  <w:endnote w:id="66">
    <w:p w14:paraId="3B09C619" w14:textId="77777777" w:rsidR="005F758D" w:rsidRPr="00060502" w:rsidRDefault="005F758D" w:rsidP="00060502">
      <w:pPr>
        <w:pStyle w:val="af"/>
        <w:widowControl w:val="0"/>
        <w:bidi/>
        <w:rPr>
          <w:rFonts w:asciiTheme="minorHAnsi" w:hAnsiTheme="minorHAnsi" w:cs="Traditional Arabic"/>
          <w:szCs w:val="18"/>
        </w:rPr>
      </w:pPr>
      <w:r>
        <w:tab/>
      </w:r>
      <w:r>
        <w:rPr>
          <w:rStyle w:val="ab"/>
        </w:rPr>
        <w:endnoteRef/>
      </w:r>
      <w:r w:rsidRPr="002325D3">
        <w:rPr>
          <w:rFonts w:ascii="Traditional Arabic" w:hAnsi="Traditional Arabic" w:cs="Traditional Arabic"/>
          <w:szCs w:val="18"/>
        </w:rPr>
        <w:tab/>
      </w:r>
      <w:r w:rsidRPr="002325D3">
        <w:rPr>
          <w:rFonts w:ascii="Traditional Arabic" w:hAnsi="Traditional Arabic" w:cs="Traditional Arabic"/>
          <w:szCs w:val="18"/>
          <w:rtl/>
        </w:rPr>
        <w:t>شاركت الهيئة العامة للاذاعة والتلفزيون بورقة عمل بحثية من إعداد الجوهري/مقدم البرنامج من الاشخاص ذوي الاعاقة، والتي حملت عنوان “تداعيات الحروب وآثارها السلبية على الأشخاص ذوي الإعاقة من منظور إعلامي واعي”؛ وتمت المشاركة في العديد من المؤتمرات الدولية في تونس، والمغرب، ومصر</w:t>
      </w:r>
      <w:r w:rsidRPr="002325D3">
        <w:rPr>
          <w:rFonts w:ascii="Traditional Arabic" w:hAnsi="Traditional Arabic" w:cs="Traditional Arabic"/>
          <w:szCs w:val="18"/>
        </w:rPr>
        <w:t>.</w:t>
      </w:r>
    </w:p>
  </w:endnote>
  <w:endnote w:id="67">
    <w:p w14:paraId="0101898C" w14:textId="77777777" w:rsidR="005F758D" w:rsidRPr="00060502" w:rsidRDefault="005F758D" w:rsidP="00060502">
      <w:pPr>
        <w:pStyle w:val="af"/>
        <w:widowControl w:val="0"/>
        <w:bidi/>
        <w:rPr>
          <w:rFonts w:asciiTheme="minorHAnsi" w:hAnsiTheme="minorHAnsi" w:cs="Traditional Arabic"/>
          <w:szCs w:val="18"/>
        </w:rPr>
      </w:pPr>
      <w:r>
        <w:tab/>
      </w:r>
      <w:r>
        <w:rPr>
          <w:rStyle w:val="ab"/>
        </w:rPr>
        <w:endnoteRef/>
      </w:r>
      <w:r w:rsidRPr="002325D3">
        <w:rPr>
          <w:rFonts w:ascii="Traditional Arabic" w:hAnsi="Traditional Arabic" w:cs="Traditional Arabic"/>
          <w:szCs w:val="18"/>
        </w:rPr>
        <w:tab/>
      </w:r>
      <w:r w:rsidRPr="002325D3">
        <w:rPr>
          <w:rFonts w:ascii="Traditional Arabic" w:hAnsi="Traditional Arabic" w:cs="Traditional Arabic"/>
          <w:szCs w:val="18"/>
          <w:rtl/>
        </w:rPr>
        <w:t xml:space="preserve">نصت المادة 8 من قانون الطفل الفلسطيني المعدل لعام 2004 </w:t>
      </w:r>
      <w:r w:rsidRPr="002325D3">
        <w:rPr>
          <w:rFonts w:ascii="Traditional Arabic" w:eastAsia="Calibri" w:hAnsi="Traditional Arabic" w:cs="Traditional Arabic"/>
          <w:szCs w:val="18"/>
          <w:rtl/>
        </w:rPr>
        <w:t>على: “تتخذ</w:t>
      </w:r>
      <w:r w:rsidRPr="002325D3">
        <w:rPr>
          <w:rFonts w:ascii="Traditional Arabic" w:eastAsia="Calibri" w:hAnsi="Traditional Arabic" w:cs="Traditional Arabic"/>
          <w:szCs w:val="18"/>
        </w:rPr>
        <w:t xml:space="preserve"> </w:t>
      </w:r>
      <w:r w:rsidRPr="002325D3">
        <w:rPr>
          <w:rFonts w:ascii="Traditional Arabic" w:eastAsia="Calibri" w:hAnsi="Traditional Arabic" w:cs="Traditional Arabic"/>
          <w:szCs w:val="18"/>
          <w:rtl/>
        </w:rPr>
        <w:t>الدولة</w:t>
      </w:r>
      <w:r w:rsidRPr="002325D3">
        <w:rPr>
          <w:rFonts w:ascii="Traditional Arabic" w:eastAsia="Calibri" w:hAnsi="Traditional Arabic" w:cs="Traditional Arabic"/>
          <w:szCs w:val="18"/>
        </w:rPr>
        <w:t xml:space="preserve"> </w:t>
      </w:r>
      <w:r w:rsidRPr="002325D3">
        <w:rPr>
          <w:rFonts w:ascii="Traditional Arabic" w:eastAsia="Calibri" w:hAnsi="Traditional Arabic" w:cs="Traditional Arabic"/>
          <w:szCs w:val="18"/>
          <w:rtl/>
        </w:rPr>
        <w:t>الإجراءات</w:t>
      </w:r>
      <w:r w:rsidRPr="002325D3">
        <w:rPr>
          <w:rFonts w:ascii="Traditional Arabic" w:eastAsia="Calibri" w:hAnsi="Traditional Arabic" w:cs="Traditional Arabic"/>
          <w:szCs w:val="18"/>
        </w:rPr>
        <w:t xml:space="preserve"> </w:t>
      </w:r>
      <w:r w:rsidRPr="002325D3">
        <w:rPr>
          <w:rFonts w:ascii="Traditional Arabic" w:eastAsia="Calibri" w:hAnsi="Traditional Arabic" w:cs="Traditional Arabic"/>
          <w:szCs w:val="18"/>
          <w:rtl/>
        </w:rPr>
        <w:t>والتدابير</w:t>
      </w:r>
      <w:r w:rsidRPr="002325D3">
        <w:rPr>
          <w:rFonts w:ascii="Traditional Arabic" w:eastAsia="Calibri" w:hAnsi="Traditional Arabic" w:cs="Traditional Arabic"/>
          <w:szCs w:val="18"/>
        </w:rPr>
        <w:t xml:space="preserve"> </w:t>
      </w:r>
      <w:r w:rsidRPr="002325D3">
        <w:rPr>
          <w:rFonts w:ascii="Traditional Arabic" w:eastAsia="Calibri" w:hAnsi="Traditional Arabic" w:cs="Traditional Arabic"/>
          <w:szCs w:val="18"/>
          <w:rtl/>
        </w:rPr>
        <w:t>المناسبة</w:t>
      </w:r>
      <w:r w:rsidRPr="002325D3">
        <w:rPr>
          <w:rFonts w:ascii="Traditional Arabic" w:eastAsia="Calibri" w:hAnsi="Traditional Arabic" w:cs="Traditional Arabic"/>
          <w:szCs w:val="18"/>
        </w:rPr>
        <w:t xml:space="preserve"> </w:t>
      </w:r>
      <w:r w:rsidRPr="002325D3">
        <w:rPr>
          <w:rFonts w:ascii="Traditional Arabic" w:eastAsia="Calibri" w:hAnsi="Traditional Arabic" w:cs="Traditional Arabic"/>
          <w:szCs w:val="18"/>
          <w:rtl/>
        </w:rPr>
        <w:t>لضمان</w:t>
      </w:r>
      <w:r w:rsidRPr="002325D3">
        <w:rPr>
          <w:rFonts w:ascii="Traditional Arabic" w:eastAsia="Calibri" w:hAnsi="Traditional Arabic" w:cs="Traditional Arabic"/>
          <w:szCs w:val="18"/>
        </w:rPr>
        <w:t xml:space="preserve"> </w:t>
      </w:r>
      <w:r w:rsidRPr="002325D3">
        <w:rPr>
          <w:rFonts w:ascii="Traditional Arabic" w:eastAsia="Calibri" w:hAnsi="Traditional Arabic" w:cs="Traditional Arabic"/>
          <w:szCs w:val="18"/>
          <w:rtl/>
        </w:rPr>
        <w:t>تمتع</w:t>
      </w:r>
      <w:r w:rsidRPr="002325D3">
        <w:rPr>
          <w:rFonts w:ascii="Traditional Arabic" w:eastAsia="Calibri" w:hAnsi="Traditional Arabic" w:cs="Traditional Arabic"/>
          <w:szCs w:val="18"/>
        </w:rPr>
        <w:t xml:space="preserve"> </w:t>
      </w:r>
      <w:r w:rsidRPr="002325D3">
        <w:rPr>
          <w:rFonts w:ascii="Traditional Arabic" w:eastAsia="Calibri" w:hAnsi="Traditional Arabic" w:cs="Traditional Arabic"/>
          <w:szCs w:val="18"/>
          <w:rtl/>
        </w:rPr>
        <w:t>الأطفال</w:t>
      </w:r>
      <w:r w:rsidRPr="002325D3">
        <w:rPr>
          <w:rFonts w:ascii="Traditional Arabic" w:eastAsia="Calibri" w:hAnsi="Traditional Arabic" w:cs="Traditional Arabic"/>
          <w:szCs w:val="18"/>
        </w:rPr>
        <w:t xml:space="preserve"> </w:t>
      </w:r>
      <w:r w:rsidRPr="002325D3">
        <w:rPr>
          <w:rFonts w:ascii="Traditional Arabic" w:eastAsia="Calibri" w:hAnsi="Traditional Arabic" w:cs="Traditional Arabic"/>
          <w:szCs w:val="18"/>
          <w:rtl/>
        </w:rPr>
        <w:t>ذوي</w:t>
      </w:r>
      <w:r w:rsidRPr="002325D3">
        <w:rPr>
          <w:rFonts w:ascii="Traditional Arabic" w:eastAsia="Calibri" w:hAnsi="Traditional Arabic" w:cs="Traditional Arabic"/>
          <w:szCs w:val="18"/>
        </w:rPr>
        <w:t xml:space="preserve"> </w:t>
      </w:r>
      <w:r w:rsidRPr="002325D3">
        <w:rPr>
          <w:rFonts w:ascii="Traditional Arabic" w:eastAsia="Calibri" w:hAnsi="Traditional Arabic" w:cs="Traditional Arabic"/>
          <w:szCs w:val="18"/>
          <w:rtl/>
        </w:rPr>
        <w:t>الإحتياجات</w:t>
      </w:r>
      <w:r w:rsidRPr="002325D3">
        <w:rPr>
          <w:rFonts w:ascii="Traditional Arabic" w:eastAsia="Calibri" w:hAnsi="Traditional Arabic" w:cs="Traditional Arabic"/>
          <w:szCs w:val="18"/>
        </w:rPr>
        <w:t xml:space="preserve"> </w:t>
      </w:r>
      <w:r w:rsidRPr="002325D3">
        <w:rPr>
          <w:rFonts w:ascii="Traditional Arabic" w:eastAsia="Calibri" w:hAnsi="Traditional Arabic" w:cs="Traditional Arabic"/>
          <w:szCs w:val="18"/>
          <w:rtl/>
        </w:rPr>
        <w:t>الخاصة</w:t>
      </w:r>
      <w:r w:rsidRPr="002325D3">
        <w:rPr>
          <w:rFonts w:ascii="Traditional Arabic" w:eastAsia="Calibri" w:hAnsi="Traditional Arabic" w:cs="Traditional Arabic"/>
          <w:szCs w:val="18"/>
        </w:rPr>
        <w:t xml:space="preserve"> </w:t>
      </w:r>
      <w:r w:rsidRPr="002325D3">
        <w:rPr>
          <w:rFonts w:ascii="Traditional Arabic" w:eastAsia="Calibri" w:hAnsi="Traditional Arabic" w:cs="Traditional Arabic"/>
          <w:szCs w:val="18"/>
          <w:rtl/>
        </w:rPr>
        <w:t>بالرعاية</w:t>
      </w:r>
      <w:r w:rsidRPr="002325D3">
        <w:rPr>
          <w:rFonts w:ascii="Traditional Arabic" w:eastAsia="Calibri" w:hAnsi="Traditional Arabic" w:cs="Traditional Arabic"/>
          <w:szCs w:val="18"/>
        </w:rPr>
        <w:t xml:space="preserve"> </w:t>
      </w:r>
      <w:r w:rsidRPr="002325D3">
        <w:rPr>
          <w:rFonts w:ascii="Traditional Arabic" w:eastAsia="Calibri" w:hAnsi="Traditional Arabic" w:cs="Traditional Arabic"/>
          <w:szCs w:val="18"/>
          <w:rtl/>
        </w:rPr>
        <w:t>اللازمة</w:t>
      </w:r>
      <w:r w:rsidRPr="002325D3">
        <w:rPr>
          <w:rFonts w:ascii="Traditional Arabic" w:eastAsia="Calibri" w:hAnsi="Traditional Arabic" w:cs="Traditional Arabic"/>
          <w:szCs w:val="18"/>
        </w:rPr>
        <w:t xml:space="preserve"> </w:t>
      </w:r>
      <w:r w:rsidRPr="002325D3">
        <w:rPr>
          <w:rFonts w:ascii="Traditional Arabic" w:eastAsia="Calibri" w:hAnsi="Traditional Arabic" w:cs="Traditional Arabic"/>
          <w:szCs w:val="18"/>
          <w:rtl/>
        </w:rPr>
        <w:t>في المجالات</w:t>
      </w:r>
      <w:r w:rsidRPr="002325D3">
        <w:rPr>
          <w:rFonts w:ascii="Traditional Arabic" w:eastAsia="Calibri" w:hAnsi="Traditional Arabic" w:cs="Traditional Arabic"/>
          <w:szCs w:val="18"/>
        </w:rPr>
        <w:t xml:space="preserve"> </w:t>
      </w:r>
      <w:r w:rsidRPr="002325D3">
        <w:rPr>
          <w:rFonts w:ascii="Traditional Arabic" w:eastAsia="Calibri" w:hAnsi="Traditional Arabic" w:cs="Traditional Arabic"/>
          <w:szCs w:val="18"/>
          <w:rtl/>
        </w:rPr>
        <w:t>كافة</w:t>
      </w:r>
      <w:r w:rsidRPr="002325D3">
        <w:rPr>
          <w:rFonts w:ascii="Traditional Arabic" w:eastAsia="Calibri" w:hAnsi="Traditional Arabic" w:cs="Traditional Arabic"/>
          <w:szCs w:val="18"/>
        </w:rPr>
        <w:t xml:space="preserve"> </w:t>
      </w:r>
      <w:r w:rsidRPr="002325D3">
        <w:rPr>
          <w:rFonts w:ascii="Traditional Arabic" w:eastAsia="Calibri" w:hAnsi="Traditional Arabic" w:cs="Traditional Arabic"/>
          <w:szCs w:val="18"/>
          <w:rtl/>
        </w:rPr>
        <w:t>وبخاصة</w:t>
      </w:r>
      <w:r w:rsidRPr="002325D3">
        <w:rPr>
          <w:rFonts w:ascii="Traditional Arabic" w:eastAsia="Calibri" w:hAnsi="Traditional Arabic" w:cs="Traditional Arabic"/>
          <w:szCs w:val="18"/>
        </w:rPr>
        <w:t xml:space="preserve"> </w:t>
      </w:r>
      <w:r w:rsidRPr="002325D3">
        <w:rPr>
          <w:rFonts w:ascii="Traditional Arabic" w:eastAsia="Calibri" w:hAnsi="Traditional Arabic" w:cs="Traditional Arabic"/>
          <w:szCs w:val="18"/>
          <w:rtl/>
        </w:rPr>
        <w:t>التعليم</w:t>
      </w:r>
      <w:r w:rsidRPr="002325D3">
        <w:rPr>
          <w:rFonts w:ascii="Traditional Arabic" w:eastAsia="Calibri" w:hAnsi="Traditional Arabic" w:cs="Traditional Arabic"/>
          <w:szCs w:val="18"/>
        </w:rPr>
        <w:t xml:space="preserve"> </w:t>
      </w:r>
      <w:r w:rsidRPr="002325D3">
        <w:rPr>
          <w:rFonts w:ascii="Traditional Arabic" w:eastAsia="Calibri" w:hAnsi="Traditional Arabic" w:cs="Traditional Arabic"/>
          <w:szCs w:val="18"/>
          <w:rtl/>
        </w:rPr>
        <w:t>والصحة</w:t>
      </w:r>
      <w:r w:rsidRPr="002325D3">
        <w:rPr>
          <w:rFonts w:ascii="Traditional Arabic" w:eastAsia="Calibri" w:hAnsi="Traditional Arabic" w:cs="Traditional Arabic"/>
          <w:szCs w:val="18"/>
        </w:rPr>
        <w:t xml:space="preserve"> </w:t>
      </w:r>
      <w:r w:rsidRPr="002325D3">
        <w:rPr>
          <w:rFonts w:ascii="Traditional Arabic" w:eastAsia="Calibri" w:hAnsi="Traditional Arabic" w:cs="Traditional Arabic"/>
          <w:szCs w:val="18"/>
          <w:rtl/>
        </w:rPr>
        <w:t>والتأهيل</w:t>
      </w:r>
      <w:r w:rsidRPr="002325D3">
        <w:rPr>
          <w:rFonts w:ascii="Traditional Arabic" w:eastAsia="Calibri" w:hAnsi="Traditional Arabic" w:cs="Traditional Arabic"/>
          <w:szCs w:val="18"/>
        </w:rPr>
        <w:t xml:space="preserve"> </w:t>
      </w:r>
      <w:r w:rsidRPr="002325D3">
        <w:rPr>
          <w:rFonts w:ascii="Traditional Arabic" w:eastAsia="Calibri" w:hAnsi="Traditional Arabic" w:cs="Traditional Arabic"/>
          <w:szCs w:val="18"/>
          <w:rtl/>
        </w:rPr>
        <w:t>المهني</w:t>
      </w:r>
      <w:r w:rsidRPr="002325D3">
        <w:rPr>
          <w:rFonts w:ascii="Traditional Arabic" w:eastAsia="Calibri" w:hAnsi="Traditional Arabic" w:cs="Traditional Arabic"/>
          <w:szCs w:val="18"/>
        </w:rPr>
        <w:t xml:space="preserve"> </w:t>
      </w:r>
      <w:r w:rsidRPr="002325D3">
        <w:rPr>
          <w:rFonts w:ascii="Traditional Arabic" w:eastAsia="Calibri" w:hAnsi="Traditional Arabic" w:cs="Traditional Arabic"/>
          <w:szCs w:val="18"/>
          <w:rtl/>
        </w:rPr>
        <w:t>لتعزيز</w:t>
      </w:r>
      <w:r w:rsidRPr="002325D3">
        <w:rPr>
          <w:rFonts w:ascii="Traditional Arabic" w:eastAsia="Calibri" w:hAnsi="Traditional Arabic" w:cs="Traditional Arabic"/>
          <w:szCs w:val="18"/>
        </w:rPr>
        <w:t xml:space="preserve"> </w:t>
      </w:r>
      <w:r w:rsidRPr="002325D3">
        <w:rPr>
          <w:rFonts w:ascii="Traditional Arabic" w:eastAsia="Calibri" w:hAnsi="Traditional Arabic" w:cs="Traditional Arabic"/>
          <w:szCs w:val="18"/>
          <w:rtl/>
        </w:rPr>
        <w:t>إعتمادهم</w:t>
      </w:r>
      <w:r w:rsidRPr="002325D3">
        <w:rPr>
          <w:rFonts w:ascii="Traditional Arabic" w:eastAsia="Calibri" w:hAnsi="Traditional Arabic" w:cs="Traditional Arabic"/>
          <w:szCs w:val="18"/>
        </w:rPr>
        <w:t xml:space="preserve"> </w:t>
      </w:r>
      <w:r w:rsidRPr="002325D3">
        <w:rPr>
          <w:rFonts w:ascii="Traditional Arabic" w:eastAsia="Calibri" w:hAnsi="Traditional Arabic" w:cs="Traditional Arabic"/>
          <w:szCs w:val="18"/>
          <w:rtl/>
        </w:rPr>
        <w:t>على</w:t>
      </w:r>
      <w:r w:rsidRPr="002325D3">
        <w:rPr>
          <w:rFonts w:ascii="Traditional Arabic" w:eastAsia="Calibri" w:hAnsi="Traditional Arabic" w:cs="Traditional Arabic"/>
          <w:szCs w:val="18"/>
        </w:rPr>
        <w:t xml:space="preserve"> </w:t>
      </w:r>
      <w:r w:rsidRPr="002325D3">
        <w:rPr>
          <w:rFonts w:ascii="Traditional Arabic" w:eastAsia="Calibri" w:hAnsi="Traditional Arabic" w:cs="Traditional Arabic"/>
          <w:szCs w:val="18"/>
          <w:rtl/>
        </w:rPr>
        <w:t>النفس</w:t>
      </w:r>
      <w:r w:rsidRPr="002325D3">
        <w:rPr>
          <w:rFonts w:ascii="Traditional Arabic" w:eastAsia="Calibri" w:hAnsi="Traditional Arabic" w:cs="Traditional Arabic"/>
          <w:szCs w:val="18"/>
        </w:rPr>
        <w:t xml:space="preserve"> </w:t>
      </w:r>
      <w:r w:rsidRPr="002325D3">
        <w:rPr>
          <w:rFonts w:ascii="Traditional Arabic" w:eastAsia="Calibri" w:hAnsi="Traditional Arabic" w:cs="Traditional Arabic"/>
          <w:szCs w:val="18"/>
          <w:rtl/>
        </w:rPr>
        <w:t>وضمان</w:t>
      </w:r>
      <w:r w:rsidRPr="002325D3">
        <w:rPr>
          <w:rFonts w:ascii="Traditional Arabic" w:eastAsia="Calibri" w:hAnsi="Traditional Arabic" w:cs="Traditional Arabic"/>
          <w:szCs w:val="18"/>
        </w:rPr>
        <w:t xml:space="preserve"> </w:t>
      </w:r>
      <w:r w:rsidRPr="002325D3">
        <w:rPr>
          <w:rFonts w:ascii="Traditional Arabic" w:eastAsia="Calibri" w:hAnsi="Traditional Arabic" w:cs="Traditional Arabic"/>
          <w:szCs w:val="18"/>
          <w:rtl/>
        </w:rPr>
        <w:t>مشاركتهم</w:t>
      </w:r>
      <w:r w:rsidRPr="002325D3">
        <w:rPr>
          <w:rFonts w:ascii="Traditional Arabic" w:eastAsia="Calibri" w:hAnsi="Traditional Arabic" w:cs="Traditional Arabic"/>
          <w:szCs w:val="18"/>
        </w:rPr>
        <w:t xml:space="preserve"> </w:t>
      </w:r>
      <w:r w:rsidRPr="002325D3">
        <w:rPr>
          <w:rFonts w:ascii="Traditional Arabic" w:eastAsia="Calibri" w:hAnsi="Traditional Arabic" w:cs="Traditional Arabic"/>
          <w:szCs w:val="18"/>
          <w:rtl/>
        </w:rPr>
        <w:t>الفاعلة في</w:t>
      </w:r>
      <w:r w:rsidRPr="002325D3">
        <w:rPr>
          <w:rFonts w:ascii="Traditional Arabic" w:eastAsia="Calibri" w:hAnsi="Traditional Arabic" w:cs="Traditional Arabic"/>
          <w:szCs w:val="18"/>
        </w:rPr>
        <w:t xml:space="preserve"> </w:t>
      </w:r>
      <w:r w:rsidRPr="002325D3">
        <w:rPr>
          <w:rFonts w:ascii="Traditional Arabic" w:eastAsia="Calibri" w:hAnsi="Traditional Arabic" w:cs="Traditional Arabic"/>
          <w:szCs w:val="18"/>
          <w:rtl/>
        </w:rPr>
        <w:t>المجتمع</w:t>
      </w:r>
      <w:r w:rsidRPr="002325D3">
        <w:rPr>
          <w:rFonts w:ascii="Traditional Arabic" w:eastAsia="Calibri" w:hAnsi="Traditional Arabic" w:cs="Traditional Arabic"/>
          <w:szCs w:val="18"/>
        </w:rPr>
        <w:t>.</w:t>
      </w:r>
      <w:r w:rsidRPr="002325D3">
        <w:rPr>
          <w:rFonts w:ascii="Traditional Arabic" w:eastAsia="Calibri" w:hAnsi="Traditional Arabic" w:cs="Traditional Arabic"/>
          <w:szCs w:val="18"/>
          <w:rtl/>
        </w:rPr>
        <w:t>”</w:t>
      </w:r>
    </w:p>
  </w:endnote>
  <w:endnote w:id="68">
    <w:p w14:paraId="330678E2" w14:textId="77777777" w:rsidR="005F758D" w:rsidRPr="005F7B01" w:rsidRDefault="005F758D" w:rsidP="005F7B01">
      <w:pPr>
        <w:pStyle w:val="af"/>
        <w:widowControl w:val="0"/>
        <w:bidi/>
        <w:rPr>
          <w:rFonts w:asciiTheme="minorHAnsi" w:hAnsiTheme="minorHAnsi" w:cs="Traditional Arabic"/>
          <w:szCs w:val="18"/>
        </w:rPr>
      </w:pPr>
      <w:r>
        <w:tab/>
      </w:r>
      <w:r w:rsidRPr="002A047B">
        <w:rPr>
          <w:rStyle w:val="ab"/>
        </w:rPr>
        <w:endnoteRef/>
      </w:r>
      <w:r w:rsidRPr="002325D3">
        <w:rPr>
          <w:rFonts w:ascii="Traditional Arabic" w:hAnsi="Traditional Arabic" w:cs="Traditional Arabic"/>
          <w:szCs w:val="18"/>
        </w:rPr>
        <w:tab/>
      </w:r>
      <w:r w:rsidRPr="002325D3">
        <w:rPr>
          <w:rFonts w:ascii="Traditional Arabic" w:hAnsi="Traditional Arabic" w:cs="Traditional Arabic"/>
          <w:szCs w:val="18"/>
          <w:rtl/>
          <w:lang w:eastAsia="de-DE"/>
        </w:rPr>
        <w:t>وتعمد النيابة العامة في قضايا الاعتداءات الجنسية الى التقصي عن الجرم المرتكب والتوسع بمجريات التحقيق تبعا لتضارب المصالح فيما إذا كان الاعتداء الواقع داخل نطاق الاسرة او خارجها؛ حيث يتم توفير الحماية التي تشمل الدعم النفسي والايواء اذا تطلب الامر، وفقا لما تقتضيه المصلحة الفضلى للطفل أو المرأة.</w:t>
      </w:r>
    </w:p>
  </w:endnote>
  <w:endnote w:id="69">
    <w:p w14:paraId="1A583259" w14:textId="77777777" w:rsidR="005F758D" w:rsidRPr="0027147C" w:rsidRDefault="005F758D" w:rsidP="0027147C">
      <w:pPr>
        <w:pStyle w:val="af"/>
        <w:widowControl w:val="0"/>
        <w:bidi/>
        <w:rPr>
          <w:rFonts w:asciiTheme="minorHAnsi" w:hAnsiTheme="minorHAnsi" w:cs="Traditional Arabic"/>
          <w:szCs w:val="18"/>
        </w:rPr>
      </w:pPr>
      <w:r>
        <w:tab/>
      </w:r>
      <w:r w:rsidRPr="002A047B">
        <w:rPr>
          <w:rStyle w:val="ab"/>
        </w:rPr>
        <w:endnoteRef/>
      </w:r>
      <w:r w:rsidRPr="002325D3">
        <w:rPr>
          <w:rFonts w:ascii="Traditional Arabic" w:hAnsi="Traditional Arabic" w:cs="Traditional Arabic"/>
          <w:szCs w:val="18"/>
        </w:rPr>
        <w:tab/>
      </w:r>
      <w:r w:rsidRPr="002325D3">
        <w:rPr>
          <w:rFonts w:ascii="Traditional Arabic" w:hAnsi="Traditional Arabic" w:cs="Traditional Arabic"/>
          <w:szCs w:val="18"/>
          <w:rtl/>
        </w:rPr>
        <w:t>الاستراتيجية الوطنية للصحة النفسية للأعوام 2015</w:t>
      </w:r>
      <w:r w:rsidRPr="002325D3">
        <w:rPr>
          <w:rFonts w:ascii="Traditional Arabic" w:hAnsi="Traditional Arabic" w:cs="Traditional Arabic"/>
          <w:szCs w:val="18"/>
        </w:rPr>
        <w:t>–</w:t>
      </w:r>
      <w:r w:rsidRPr="002325D3">
        <w:rPr>
          <w:rFonts w:ascii="Traditional Arabic" w:hAnsi="Traditional Arabic" w:cs="Traditional Arabic"/>
          <w:szCs w:val="18"/>
          <w:rtl/>
        </w:rPr>
        <w:t>2019</w:t>
      </w:r>
      <w:r w:rsidRPr="002325D3">
        <w:rPr>
          <w:rFonts w:ascii="Traditional Arabic" w:hAnsi="Traditional Arabic" w:cs="Traditional Arabic"/>
          <w:szCs w:val="18"/>
        </w:rPr>
        <w:t>.</w:t>
      </w:r>
    </w:p>
  </w:endnote>
  <w:endnote w:id="70">
    <w:p w14:paraId="449040CF" w14:textId="77777777" w:rsidR="005F758D" w:rsidRPr="001342FB" w:rsidRDefault="005F758D" w:rsidP="001342FB">
      <w:pPr>
        <w:pStyle w:val="af"/>
        <w:widowControl w:val="0"/>
        <w:bidi/>
        <w:rPr>
          <w:rFonts w:asciiTheme="minorHAnsi" w:hAnsiTheme="minorHAnsi" w:cs="Traditional Arabic"/>
          <w:szCs w:val="18"/>
        </w:rPr>
      </w:pPr>
      <w:r>
        <w:tab/>
      </w:r>
      <w:r>
        <w:rPr>
          <w:rStyle w:val="ab"/>
        </w:rPr>
        <w:endnoteRef/>
      </w:r>
      <w:r w:rsidRPr="002325D3">
        <w:rPr>
          <w:rFonts w:ascii="Traditional Arabic" w:hAnsi="Traditional Arabic" w:cs="Traditional Arabic"/>
          <w:szCs w:val="18"/>
        </w:rPr>
        <w:tab/>
      </w:r>
      <w:r w:rsidRPr="002325D3">
        <w:rPr>
          <w:rFonts w:ascii="Traditional Arabic" w:hAnsi="Traditional Arabic" w:cs="Traditional Arabic"/>
          <w:szCs w:val="18"/>
          <w:rtl/>
        </w:rPr>
        <w:t>على مستوى الارشفة، بدأت النيابة العامة بأرشفة البيانات الخاصة بالأحداث من ذوي الاعاقة، ولا يزال ذلك في طور التدقيق.</w:t>
      </w:r>
    </w:p>
  </w:endnote>
  <w:endnote w:id="71">
    <w:p w14:paraId="6D13176E" w14:textId="77777777" w:rsidR="005F758D" w:rsidRPr="004F634F" w:rsidRDefault="005F758D" w:rsidP="004F634F">
      <w:pPr>
        <w:pStyle w:val="af"/>
        <w:widowControl w:val="0"/>
        <w:bidi/>
        <w:rPr>
          <w:rFonts w:asciiTheme="minorHAnsi" w:hAnsiTheme="minorHAnsi" w:cs="Traditional Arabic"/>
          <w:szCs w:val="18"/>
        </w:rPr>
      </w:pPr>
      <w:r>
        <w:tab/>
      </w:r>
      <w:r>
        <w:rPr>
          <w:rStyle w:val="ab"/>
        </w:rPr>
        <w:endnoteRef/>
      </w:r>
      <w:r w:rsidRPr="002325D3">
        <w:rPr>
          <w:rFonts w:ascii="Traditional Arabic" w:hAnsi="Traditional Arabic" w:cs="Traditional Arabic"/>
          <w:szCs w:val="18"/>
        </w:rPr>
        <w:tab/>
      </w:r>
      <w:r w:rsidRPr="002325D3">
        <w:rPr>
          <w:rFonts w:ascii="Traditional Arabic" w:hAnsi="Traditional Arabic" w:cs="Traditional Arabic"/>
          <w:szCs w:val="18"/>
          <w:rtl/>
          <w:lang w:bidi="ar-JO"/>
        </w:rPr>
        <w:t>وقد تم تحديد مجموعة من الأنشطة التي تنفذها مكونات النظام الإحصائي الوطني لتحقيق هدف تعزيز استخدام الإحصاءات في رسم السياسات، من خلال تطوير تقارير ملخصة ومركزة ونشرات ودراسات، وبناء قواعد بيانات مختلفة، وعقد ورش عمل وأنشطة توعوية تستهدف فئة صناع القرار في القطاعين العام والخاص.</w:t>
      </w:r>
    </w:p>
  </w:endnote>
  <w:endnote w:id="72">
    <w:p w14:paraId="1076D166" w14:textId="77777777" w:rsidR="005F758D" w:rsidRPr="004F634F" w:rsidRDefault="005F758D" w:rsidP="004F634F">
      <w:pPr>
        <w:pStyle w:val="af"/>
        <w:widowControl w:val="0"/>
        <w:bidi/>
        <w:rPr>
          <w:rFonts w:asciiTheme="minorHAnsi" w:hAnsiTheme="minorHAnsi" w:cs="Traditional Arabic"/>
          <w:szCs w:val="18"/>
        </w:rPr>
      </w:pPr>
      <w:r>
        <w:tab/>
      </w:r>
      <w:r w:rsidRPr="002A047B">
        <w:rPr>
          <w:rStyle w:val="ab"/>
        </w:rPr>
        <w:endnoteRef/>
      </w:r>
      <w:r w:rsidRPr="002325D3">
        <w:rPr>
          <w:rFonts w:ascii="Traditional Arabic" w:hAnsi="Traditional Arabic" w:cs="Traditional Arabic"/>
          <w:szCs w:val="18"/>
        </w:rPr>
        <w:tab/>
      </w:r>
      <w:r w:rsidRPr="002325D3">
        <w:rPr>
          <w:rFonts w:ascii="Traditional Arabic" w:hAnsi="Traditional Arabic" w:cs="Traditional Arabic"/>
          <w:szCs w:val="18"/>
          <w:rtl/>
        </w:rPr>
        <w:t>المصدر: تقرير حول وضع حقوق الانسان في فلسطين 2015، الهيئة المستقلة لحقوق الانسان.</w:t>
      </w:r>
    </w:p>
  </w:endnote>
  <w:endnote w:id="73">
    <w:p w14:paraId="394BE20A" w14:textId="77777777" w:rsidR="005F758D" w:rsidRPr="002325D3" w:rsidRDefault="005F758D" w:rsidP="004F634F">
      <w:pPr>
        <w:pStyle w:val="af"/>
        <w:widowControl w:val="0"/>
        <w:tabs>
          <w:tab w:val="clear" w:pos="1021"/>
          <w:tab w:val="right" w:pos="1020"/>
        </w:tabs>
        <w:bidi/>
        <w:rPr>
          <w:rFonts w:ascii="Traditional Arabic" w:hAnsi="Traditional Arabic" w:cs="Traditional Arabic"/>
          <w:szCs w:val="18"/>
        </w:rPr>
      </w:pPr>
      <w:r>
        <w:tab/>
      </w:r>
      <w:r w:rsidRPr="002A047B">
        <w:rPr>
          <w:rStyle w:val="ab"/>
        </w:rPr>
        <w:endnoteRef/>
      </w:r>
      <w:r w:rsidRPr="002325D3">
        <w:rPr>
          <w:rFonts w:ascii="Traditional Arabic" w:hAnsi="Traditional Arabic" w:cs="Traditional Arabic"/>
          <w:szCs w:val="18"/>
        </w:rPr>
        <w:tab/>
      </w:r>
      <w:r w:rsidRPr="002325D3">
        <w:rPr>
          <w:rFonts w:ascii="Traditional Arabic" w:hAnsi="Traditional Arabic" w:cs="Traditional Arabic"/>
          <w:szCs w:val="18"/>
          <w:rtl/>
        </w:rPr>
        <w:t>المصدر: تقرير حول وضع حقوق الانسان في فلسطين 2015، الهيئة المستقلة لحقوق الانسان.</w:t>
      </w:r>
    </w:p>
    <w:p w14:paraId="2F2B6503" w14:textId="77777777" w:rsidR="005F758D" w:rsidRPr="002D2E13" w:rsidRDefault="005F758D" w:rsidP="004F634F">
      <w:pPr>
        <w:pStyle w:val="af"/>
        <w:spacing w:before="240"/>
        <w:ind w:firstLine="0"/>
        <w:jc w:val="center"/>
        <w:rPr>
          <w:u w:val="single"/>
        </w:rPr>
      </w:pPr>
      <w:r>
        <w:rPr>
          <w:u w:val="single"/>
        </w:rPr>
        <w:tab/>
      </w:r>
      <w:r>
        <w:rPr>
          <w:u w:val="single"/>
        </w:rPr>
        <w:tab/>
      </w:r>
      <w:r>
        <w:rPr>
          <w:u w:val="single"/>
        </w:rPr>
        <w:tab/>
      </w:r>
      <w:r>
        <w:rPr>
          <w:u w:val="single"/>
        </w:rP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altName w:val="Times New Roman"/>
    <w:panose1 w:val="02020603050405020304"/>
    <w:charset w:val="00"/>
    <w:family w:val="roman"/>
    <w:pitch w:val="variable"/>
    <w:sig w:usb0="00002003" w:usb1="80000000" w:usb2="00000008" w:usb3="00000000" w:csb0="00000041" w:csb1="00000000"/>
  </w:font>
  <w:font w:name="Calibri">
    <w:panose1 w:val="020F0502020204030204"/>
    <w:charset w:val="CC"/>
    <w:family w:val="swiss"/>
    <w:pitch w:val="variable"/>
    <w:sig w:usb0="E0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XtManal">
    <w:altName w:val="MS Mincho"/>
    <w:panose1 w:val="00000000000000000000"/>
    <w:charset w:val="80"/>
    <w:family w:val="auto"/>
    <w:notTrueType/>
    <w:pitch w:val="default"/>
    <w:sig w:usb0="00000001" w:usb1="08070000" w:usb2="00000010" w:usb3="00000000" w:csb0="00020000"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B93DE" w14:textId="77777777" w:rsidR="005F758D" w:rsidRPr="00EA12AB" w:rsidRDefault="005F758D">
    <w:pPr>
      <w:pStyle w:val="a8"/>
    </w:pPr>
    <w:r w:rsidRPr="00EA12AB">
      <w:rPr>
        <w:b/>
        <w:sz w:val="18"/>
      </w:rPr>
      <w:fldChar w:fldCharType="begin"/>
    </w:r>
    <w:r w:rsidRPr="00EA12AB">
      <w:rPr>
        <w:b/>
        <w:sz w:val="18"/>
      </w:rPr>
      <w:instrText xml:space="preserve"> PAGE  \* MERGEFORMAT </w:instrText>
    </w:r>
    <w:r w:rsidRPr="00EA12AB">
      <w:rPr>
        <w:b/>
        <w:sz w:val="18"/>
      </w:rPr>
      <w:fldChar w:fldCharType="separate"/>
    </w:r>
    <w:r w:rsidRPr="00EA12AB">
      <w:rPr>
        <w:b/>
        <w:noProof/>
        <w:sz w:val="18"/>
      </w:rPr>
      <w:t>2</w:t>
    </w:r>
    <w:r w:rsidRPr="00EA12AB">
      <w:rPr>
        <w:b/>
        <w:sz w:val="18"/>
      </w:rPr>
      <w:fldChar w:fldCharType="end"/>
    </w:r>
    <w:r>
      <w:rPr>
        <w:b/>
        <w:sz w:val="18"/>
      </w:rPr>
      <w:tab/>
    </w:r>
    <w:r>
      <w:t>GE.19-18683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348D0" w14:textId="77777777" w:rsidR="005F758D" w:rsidRPr="00EA12AB" w:rsidRDefault="005F758D" w:rsidP="00EA12AB">
    <w:pPr>
      <w:pStyle w:val="a8"/>
      <w:tabs>
        <w:tab w:val="clear" w:pos="9639"/>
        <w:tab w:val="right" w:pos="9638"/>
      </w:tabs>
      <w:rPr>
        <w:b/>
        <w:sz w:val="18"/>
      </w:rPr>
    </w:pPr>
    <w:r>
      <w:t>GE.19-18683</w:t>
    </w:r>
    <w:r>
      <w:tab/>
    </w:r>
    <w:r w:rsidRPr="00EA12AB">
      <w:rPr>
        <w:b/>
        <w:sz w:val="18"/>
      </w:rPr>
      <w:fldChar w:fldCharType="begin"/>
    </w:r>
    <w:r w:rsidRPr="00EA12AB">
      <w:rPr>
        <w:b/>
        <w:sz w:val="18"/>
      </w:rPr>
      <w:instrText xml:space="preserve"> PAGE  \* MERGEFORMAT </w:instrText>
    </w:r>
    <w:r w:rsidRPr="00EA12AB">
      <w:rPr>
        <w:b/>
        <w:sz w:val="18"/>
      </w:rPr>
      <w:fldChar w:fldCharType="separate"/>
    </w:r>
    <w:r w:rsidRPr="00EA12AB">
      <w:rPr>
        <w:b/>
        <w:noProof/>
        <w:sz w:val="18"/>
      </w:rPr>
      <w:t>3</w:t>
    </w:r>
    <w:r w:rsidRPr="00EA12A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67E5C" w14:textId="77777777" w:rsidR="005F758D" w:rsidRPr="00EA12AB" w:rsidRDefault="005F758D" w:rsidP="00EA12AB">
    <w:pPr>
      <w:spacing w:before="120"/>
    </w:pPr>
    <w:r>
      <w:t>GE.</w:t>
    </w:r>
    <w:r>
      <w:rPr>
        <w:b/>
        <w:noProof/>
        <w:lang w:val="fr-CH" w:eastAsia="fr-CH"/>
      </w:rPr>
      <w:drawing>
        <wp:anchor distT="0" distB="0" distL="114300" distR="114300" simplePos="0" relativeHeight="251658240" behindDoc="0" locked="0" layoutInCell="1" allowOverlap="1" wp14:anchorId="4C2EB4C7" wp14:editId="36DA2590">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19-</w:t>
    </w:r>
    <w:proofErr w:type="gramStart"/>
    <w:r>
      <w:t>18683  (</w:t>
    </w:r>
    <w:proofErr w:type="gramEnd"/>
    <w:r>
      <w:t>R)</w:t>
    </w:r>
    <w:r>
      <w:rPr>
        <w:lang w:val="en-US"/>
      </w:rPr>
      <w:t xml:space="preserve">  280520  040620</w:t>
    </w:r>
    <w:r>
      <w:br/>
    </w:r>
    <w:r w:rsidRPr="00EA12AB">
      <w:rPr>
        <w:rFonts w:ascii="C39T30Lfz" w:hAnsi="C39T30Lfz"/>
        <w:kern w:val="14"/>
        <w:sz w:val="56"/>
      </w:rPr>
      <w:t></w:t>
    </w:r>
    <w:r w:rsidRPr="00EA12AB">
      <w:rPr>
        <w:rFonts w:ascii="C39T30Lfz" w:hAnsi="C39T30Lfz"/>
        <w:kern w:val="14"/>
        <w:sz w:val="56"/>
      </w:rPr>
      <w:t></w:t>
    </w:r>
    <w:r w:rsidRPr="00EA12AB">
      <w:rPr>
        <w:rFonts w:ascii="C39T30Lfz" w:hAnsi="C39T30Lfz"/>
        <w:kern w:val="14"/>
        <w:sz w:val="56"/>
      </w:rPr>
      <w:t></w:t>
    </w:r>
    <w:r w:rsidRPr="00EA12AB">
      <w:rPr>
        <w:rFonts w:ascii="C39T30Lfz" w:hAnsi="C39T30Lfz"/>
        <w:kern w:val="14"/>
        <w:sz w:val="56"/>
      </w:rPr>
      <w:t></w:t>
    </w:r>
    <w:r w:rsidRPr="00EA12AB">
      <w:rPr>
        <w:rFonts w:ascii="C39T30Lfz" w:hAnsi="C39T30Lfz"/>
        <w:kern w:val="14"/>
        <w:sz w:val="56"/>
      </w:rPr>
      <w:t></w:t>
    </w:r>
    <w:r w:rsidRPr="00EA12AB">
      <w:rPr>
        <w:rFonts w:ascii="C39T30Lfz" w:hAnsi="C39T30Lfz"/>
        <w:kern w:val="14"/>
        <w:sz w:val="56"/>
      </w:rPr>
      <w:t></w:t>
    </w:r>
    <w:r w:rsidRPr="00EA12AB">
      <w:rPr>
        <w:rFonts w:ascii="C39T30Lfz" w:hAnsi="C39T30Lfz"/>
        <w:kern w:val="14"/>
        <w:sz w:val="56"/>
      </w:rPr>
      <w:t></w:t>
    </w:r>
    <w:r w:rsidRPr="00EA12AB">
      <w:rPr>
        <w:rFonts w:ascii="C39T30Lfz" w:hAnsi="C39T30Lfz"/>
        <w:kern w:val="14"/>
        <w:sz w:val="56"/>
      </w:rPr>
      <w:t></w:t>
    </w:r>
    <w:r w:rsidRPr="00EA12AB">
      <w:rPr>
        <w:rFonts w:ascii="C39T30Lfz" w:hAnsi="C39T30Lfz"/>
        <w:kern w:val="14"/>
        <w:sz w:val="56"/>
      </w:rPr>
      <w:t></w:t>
    </w:r>
    <w:r>
      <w:rPr>
        <w:noProof/>
      </w:rPr>
      <w:drawing>
        <wp:anchor distT="0" distB="0" distL="114300" distR="114300" simplePos="0" relativeHeight="251659264" behindDoc="0" locked="0" layoutInCell="1" allowOverlap="1" wp14:anchorId="69DFD509" wp14:editId="4AFC9E4C">
          <wp:simplePos x="0" y="0"/>
          <wp:positionH relativeFrom="margin">
            <wp:posOffset>5489575</wp:posOffset>
          </wp:positionH>
          <wp:positionV relativeFrom="margin">
            <wp:posOffset>8855710</wp:posOffset>
          </wp:positionV>
          <wp:extent cx="561975" cy="5619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271D5A" w14:textId="77777777" w:rsidR="005F758D" w:rsidRPr="001075E9" w:rsidRDefault="005F758D" w:rsidP="001075E9">
      <w:pPr>
        <w:tabs>
          <w:tab w:val="right" w:pos="2155"/>
        </w:tabs>
        <w:spacing w:after="80"/>
        <w:ind w:left="680"/>
        <w:rPr>
          <w:u w:val="single"/>
        </w:rPr>
      </w:pPr>
      <w:r>
        <w:rPr>
          <w:u w:val="single"/>
        </w:rPr>
        <w:tab/>
      </w:r>
    </w:p>
  </w:footnote>
  <w:footnote w:type="continuationSeparator" w:id="0">
    <w:p w14:paraId="4DD267C4" w14:textId="77777777" w:rsidR="005F758D" w:rsidRDefault="005F758D" w:rsidP="00407B78">
      <w:pPr>
        <w:tabs>
          <w:tab w:val="right" w:pos="2155"/>
        </w:tabs>
        <w:spacing w:after="80"/>
        <w:ind w:left="680"/>
        <w:rPr>
          <w:u w:val="single"/>
        </w:rPr>
      </w:pPr>
      <w:r>
        <w:rPr>
          <w:u w:val="single"/>
        </w:rPr>
        <w:tab/>
      </w:r>
    </w:p>
  </w:footnote>
  <w:footnote w:id="1">
    <w:p w14:paraId="5851B641" w14:textId="77777777" w:rsidR="005F758D" w:rsidRPr="00C030AE" w:rsidRDefault="005F758D">
      <w:pPr>
        <w:pStyle w:val="ad"/>
        <w:rPr>
          <w:sz w:val="20"/>
        </w:rPr>
      </w:pPr>
      <w:r>
        <w:tab/>
      </w:r>
      <w:r w:rsidRPr="00C030AE">
        <w:rPr>
          <w:rStyle w:val="aa"/>
          <w:sz w:val="20"/>
          <w:vertAlign w:val="baseline"/>
        </w:rPr>
        <w:t>*</w:t>
      </w:r>
      <w:r w:rsidRPr="00C030AE">
        <w:rPr>
          <w:rStyle w:val="aa"/>
          <w:vertAlign w:val="baseline"/>
        </w:rPr>
        <w:tab/>
      </w:r>
      <w:r w:rsidRPr="004863A9">
        <w:t>Настоящий документ выпускается без официального редактирования.</w:t>
      </w:r>
    </w:p>
  </w:footnote>
  <w:footnote w:id="2">
    <w:p w14:paraId="51C9C3FD" w14:textId="77777777" w:rsidR="005F758D" w:rsidRPr="00C030AE" w:rsidRDefault="005F758D">
      <w:pPr>
        <w:pStyle w:val="ad"/>
        <w:rPr>
          <w:sz w:val="20"/>
        </w:rPr>
      </w:pPr>
      <w:r>
        <w:tab/>
      </w:r>
      <w:r w:rsidRPr="00C030AE">
        <w:rPr>
          <w:rStyle w:val="aa"/>
          <w:sz w:val="20"/>
          <w:vertAlign w:val="baseline"/>
        </w:rPr>
        <w:t>**</w:t>
      </w:r>
      <w:r w:rsidRPr="00C030AE">
        <w:rPr>
          <w:rStyle w:val="aa"/>
          <w:vertAlign w:val="baseline"/>
        </w:rPr>
        <w:tab/>
      </w:r>
      <w:r w:rsidRPr="004863A9">
        <w:t>С приложениями к настоящему докладу можно ознакомиться на веб-странице Комитета.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B8167" w14:textId="1BEF4B64" w:rsidR="005F758D" w:rsidRPr="00EA12AB" w:rsidRDefault="005F758D">
    <w:pPr>
      <w:pStyle w:val="a5"/>
    </w:pPr>
    <w:fldSimple w:instr=" TITLE  \* MERGEFORMAT ">
      <w:r w:rsidR="00A57FE6">
        <w:t>CRPD/C/PSE/1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03F4E" w14:textId="2320F0B6" w:rsidR="005F758D" w:rsidRPr="00EA12AB" w:rsidRDefault="005F758D" w:rsidP="00EA12AB">
    <w:pPr>
      <w:pStyle w:val="a5"/>
      <w:jc w:val="right"/>
    </w:pPr>
    <w:fldSimple w:instr=" TITLE  \* MERGEFORMAT ">
      <w:r w:rsidR="00A57FE6">
        <w:t>CRPD/C/PSE/1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557F06"/>
    <w:multiLevelType w:val="hybridMultilevel"/>
    <w:tmpl w:val="2740138A"/>
    <w:lvl w:ilvl="0" w:tplc="881E8DBE">
      <w:start w:val="1"/>
      <w:numFmt w:val="decimal"/>
      <w:lvlText w:val="%1."/>
      <w:lvlJc w:val="left"/>
      <w:pPr>
        <w:ind w:left="1967" w:hanging="360"/>
      </w:pPr>
      <w:rPr>
        <w:rFonts w:ascii="Times New Roman" w:hAnsi="Times New Roman" w:cs="Times New Roman" w:hint="default"/>
        <w:b w:val="0"/>
      </w:rPr>
    </w:lvl>
    <w:lvl w:ilvl="1" w:tplc="08090019" w:tentative="1">
      <w:start w:val="1"/>
      <w:numFmt w:val="lowerLetter"/>
      <w:lvlText w:val="%2."/>
      <w:lvlJc w:val="left"/>
      <w:pPr>
        <w:ind w:left="2687" w:hanging="360"/>
      </w:p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11" w15:restartNumberingAfterBreak="0">
    <w:nsid w:val="07A32D86"/>
    <w:multiLevelType w:val="hybridMultilevel"/>
    <w:tmpl w:val="42C614A6"/>
    <w:lvl w:ilvl="0" w:tplc="08090017">
      <w:start w:val="1"/>
      <w:numFmt w:val="lowerLetter"/>
      <w:lvlText w:val="%1)"/>
      <w:lvlJc w:val="left"/>
      <w:pPr>
        <w:ind w:left="1258" w:hanging="360"/>
      </w:pPr>
    </w:lvl>
    <w:lvl w:ilvl="1" w:tplc="08090019" w:tentative="1">
      <w:start w:val="1"/>
      <w:numFmt w:val="lowerLetter"/>
      <w:lvlText w:val="%2."/>
      <w:lvlJc w:val="left"/>
      <w:pPr>
        <w:ind w:left="1978" w:hanging="360"/>
      </w:pPr>
    </w:lvl>
    <w:lvl w:ilvl="2" w:tplc="0809001B" w:tentative="1">
      <w:start w:val="1"/>
      <w:numFmt w:val="lowerRoman"/>
      <w:lvlText w:val="%3."/>
      <w:lvlJc w:val="right"/>
      <w:pPr>
        <w:ind w:left="2698" w:hanging="180"/>
      </w:pPr>
    </w:lvl>
    <w:lvl w:ilvl="3" w:tplc="0809000F" w:tentative="1">
      <w:start w:val="1"/>
      <w:numFmt w:val="decimal"/>
      <w:lvlText w:val="%4."/>
      <w:lvlJc w:val="left"/>
      <w:pPr>
        <w:ind w:left="3418" w:hanging="360"/>
      </w:pPr>
    </w:lvl>
    <w:lvl w:ilvl="4" w:tplc="08090019" w:tentative="1">
      <w:start w:val="1"/>
      <w:numFmt w:val="lowerLetter"/>
      <w:lvlText w:val="%5."/>
      <w:lvlJc w:val="left"/>
      <w:pPr>
        <w:ind w:left="4138" w:hanging="360"/>
      </w:pPr>
    </w:lvl>
    <w:lvl w:ilvl="5" w:tplc="0809001B" w:tentative="1">
      <w:start w:val="1"/>
      <w:numFmt w:val="lowerRoman"/>
      <w:lvlText w:val="%6."/>
      <w:lvlJc w:val="right"/>
      <w:pPr>
        <w:ind w:left="4858" w:hanging="180"/>
      </w:pPr>
    </w:lvl>
    <w:lvl w:ilvl="6" w:tplc="0809000F" w:tentative="1">
      <w:start w:val="1"/>
      <w:numFmt w:val="decimal"/>
      <w:lvlText w:val="%7."/>
      <w:lvlJc w:val="left"/>
      <w:pPr>
        <w:ind w:left="5578" w:hanging="360"/>
      </w:pPr>
    </w:lvl>
    <w:lvl w:ilvl="7" w:tplc="08090019" w:tentative="1">
      <w:start w:val="1"/>
      <w:numFmt w:val="lowerLetter"/>
      <w:lvlText w:val="%8."/>
      <w:lvlJc w:val="left"/>
      <w:pPr>
        <w:ind w:left="6298" w:hanging="360"/>
      </w:pPr>
    </w:lvl>
    <w:lvl w:ilvl="8" w:tplc="0809001B" w:tentative="1">
      <w:start w:val="1"/>
      <w:numFmt w:val="lowerRoman"/>
      <w:lvlText w:val="%9."/>
      <w:lvlJc w:val="right"/>
      <w:pPr>
        <w:ind w:left="7018" w:hanging="180"/>
      </w:pPr>
    </w:lvl>
  </w:abstractNum>
  <w:abstractNum w:abstractNumId="12" w15:restartNumberingAfterBreak="0">
    <w:nsid w:val="08817F3B"/>
    <w:multiLevelType w:val="hybridMultilevel"/>
    <w:tmpl w:val="BCD83BBE"/>
    <w:lvl w:ilvl="0" w:tplc="08090011">
      <w:start w:val="1"/>
      <w:numFmt w:val="decimal"/>
      <w:lvlText w:val="%1)"/>
      <w:lvlJc w:val="left"/>
      <w:pPr>
        <w:ind w:left="840" w:hanging="360"/>
      </w:p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13" w15:restartNumberingAfterBreak="0">
    <w:nsid w:val="08F54B7E"/>
    <w:multiLevelType w:val="hybridMultilevel"/>
    <w:tmpl w:val="C5FCEB1C"/>
    <w:lvl w:ilvl="0" w:tplc="08090011">
      <w:start w:val="1"/>
      <w:numFmt w:val="decimal"/>
      <w:lvlText w:val="%1)"/>
      <w:lvlJc w:val="left"/>
      <w:pPr>
        <w:ind w:left="781" w:hanging="360"/>
      </w:pPr>
    </w:lvl>
    <w:lvl w:ilvl="1" w:tplc="08090019" w:tentative="1">
      <w:start w:val="1"/>
      <w:numFmt w:val="lowerLetter"/>
      <w:lvlText w:val="%2."/>
      <w:lvlJc w:val="left"/>
      <w:pPr>
        <w:ind w:left="1501" w:hanging="360"/>
      </w:pPr>
    </w:lvl>
    <w:lvl w:ilvl="2" w:tplc="0809001B" w:tentative="1">
      <w:start w:val="1"/>
      <w:numFmt w:val="lowerRoman"/>
      <w:lvlText w:val="%3."/>
      <w:lvlJc w:val="right"/>
      <w:pPr>
        <w:ind w:left="2221" w:hanging="180"/>
      </w:pPr>
    </w:lvl>
    <w:lvl w:ilvl="3" w:tplc="0809000F" w:tentative="1">
      <w:start w:val="1"/>
      <w:numFmt w:val="decimal"/>
      <w:lvlText w:val="%4."/>
      <w:lvlJc w:val="left"/>
      <w:pPr>
        <w:ind w:left="2941" w:hanging="360"/>
      </w:pPr>
    </w:lvl>
    <w:lvl w:ilvl="4" w:tplc="08090019" w:tentative="1">
      <w:start w:val="1"/>
      <w:numFmt w:val="lowerLetter"/>
      <w:lvlText w:val="%5."/>
      <w:lvlJc w:val="left"/>
      <w:pPr>
        <w:ind w:left="3661" w:hanging="360"/>
      </w:pPr>
    </w:lvl>
    <w:lvl w:ilvl="5" w:tplc="0809001B" w:tentative="1">
      <w:start w:val="1"/>
      <w:numFmt w:val="lowerRoman"/>
      <w:lvlText w:val="%6."/>
      <w:lvlJc w:val="right"/>
      <w:pPr>
        <w:ind w:left="4381" w:hanging="180"/>
      </w:pPr>
    </w:lvl>
    <w:lvl w:ilvl="6" w:tplc="0809000F" w:tentative="1">
      <w:start w:val="1"/>
      <w:numFmt w:val="decimal"/>
      <w:lvlText w:val="%7."/>
      <w:lvlJc w:val="left"/>
      <w:pPr>
        <w:ind w:left="5101" w:hanging="360"/>
      </w:pPr>
    </w:lvl>
    <w:lvl w:ilvl="7" w:tplc="08090019" w:tentative="1">
      <w:start w:val="1"/>
      <w:numFmt w:val="lowerLetter"/>
      <w:lvlText w:val="%8."/>
      <w:lvlJc w:val="left"/>
      <w:pPr>
        <w:ind w:left="5821" w:hanging="360"/>
      </w:pPr>
    </w:lvl>
    <w:lvl w:ilvl="8" w:tplc="0809001B" w:tentative="1">
      <w:start w:val="1"/>
      <w:numFmt w:val="lowerRoman"/>
      <w:lvlText w:val="%9."/>
      <w:lvlJc w:val="right"/>
      <w:pPr>
        <w:ind w:left="6541" w:hanging="180"/>
      </w:pPr>
    </w:lvl>
  </w:abstractNum>
  <w:abstractNum w:abstractNumId="14"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E895685"/>
    <w:multiLevelType w:val="hybridMultilevel"/>
    <w:tmpl w:val="16AAFC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0F294C25"/>
    <w:multiLevelType w:val="hybridMultilevel"/>
    <w:tmpl w:val="DB4C91B0"/>
    <w:lvl w:ilvl="0" w:tplc="3C78426E">
      <w:start w:val="1"/>
      <w:numFmt w:val="lowerLetter"/>
      <w:lvlText w:val="%1)"/>
      <w:lvlJc w:val="left"/>
      <w:pPr>
        <w:ind w:left="1439" w:hanging="588"/>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15:restartNumberingAfterBreak="0">
    <w:nsid w:val="163D4BCE"/>
    <w:multiLevelType w:val="hybridMultilevel"/>
    <w:tmpl w:val="A8D22DC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8800F5C"/>
    <w:multiLevelType w:val="hybridMultilevel"/>
    <w:tmpl w:val="E80EE87A"/>
    <w:lvl w:ilvl="0" w:tplc="08090001">
      <w:start w:val="1"/>
      <w:numFmt w:val="bullet"/>
      <w:lvlText w:val=""/>
      <w:lvlJc w:val="left"/>
      <w:pPr>
        <w:ind w:left="1680" w:hanging="360"/>
      </w:pPr>
      <w:rPr>
        <w:rFonts w:ascii="Symbol" w:hAnsi="Symbol" w:hint="default"/>
      </w:rPr>
    </w:lvl>
    <w:lvl w:ilvl="1" w:tplc="08090003" w:tentative="1">
      <w:start w:val="1"/>
      <w:numFmt w:val="bullet"/>
      <w:lvlText w:val="o"/>
      <w:lvlJc w:val="left"/>
      <w:pPr>
        <w:ind w:left="2400" w:hanging="360"/>
      </w:pPr>
      <w:rPr>
        <w:rFonts w:ascii="Courier New" w:hAnsi="Courier New" w:cs="Courier New" w:hint="default"/>
      </w:rPr>
    </w:lvl>
    <w:lvl w:ilvl="2" w:tplc="08090005" w:tentative="1">
      <w:start w:val="1"/>
      <w:numFmt w:val="bullet"/>
      <w:lvlText w:val=""/>
      <w:lvlJc w:val="left"/>
      <w:pPr>
        <w:ind w:left="3120" w:hanging="360"/>
      </w:pPr>
      <w:rPr>
        <w:rFonts w:ascii="Wingdings" w:hAnsi="Wingdings" w:hint="default"/>
      </w:rPr>
    </w:lvl>
    <w:lvl w:ilvl="3" w:tplc="08090001" w:tentative="1">
      <w:start w:val="1"/>
      <w:numFmt w:val="bullet"/>
      <w:lvlText w:val=""/>
      <w:lvlJc w:val="left"/>
      <w:pPr>
        <w:ind w:left="3840" w:hanging="360"/>
      </w:pPr>
      <w:rPr>
        <w:rFonts w:ascii="Symbol" w:hAnsi="Symbol" w:hint="default"/>
      </w:rPr>
    </w:lvl>
    <w:lvl w:ilvl="4" w:tplc="08090003" w:tentative="1">
      <w:start w:val="1"/>
      <w:numFmt w:val="bullet"/>
      <w:lvlText w:val="o"/>
      <w:lvlJc w:val="left"/>
      <w:pPr>
        <w:ind w:left="4560" w:hanging="360"/>
      </w:pPr>
      <w:rPr>
        <w:rFonts w:ascii="Courier New" w:hAnsi="Courier New" w:cs="Courier New" w:hint="default"/>
      </w:rPr>
    </w:lvl>
    <w:lvl w:ilvl="5" w:tplc="08090005" w:tentative="1">
      <w:start w:val="1"/>
      <w:numFmt w:val="bullet"/>
      <w:lvlText w:val=""/>
      <w:lvlJc w:val="left"/>
      <w:pPr>
        <w:ind w:left="5280" w:hanging="360"/>
      </w:pPr>
      <w:rPr>
        <w:rFonts w:ascii="Wingdings" w:hAnsi="Wingdings" w:hint="default"/>
      </w:rPr>
    </w:lvl>
    <w:lvl w:ilvl="6" w:tplc="08090001" w:tentative="1">
      <w:start w:val="1"/>
      <w:numFmt w:val="bullet"/>
      <w:lvlText w:val=""/>
      <w:lvlJc w:val="left"/>
      <w:pPr>
        <w:ind w:left="6000" w:hanging="360"/>
      </w:pPr>
      <w:rPr>
        <w:rFonts w:ascii="Symbol" w:hAnsi="Symbol" w:hint="default"/>
      </w:rPr>
    </w:lvl>
    <w:lvl w:ilvl="7" w:tplc="08090003" w:tentative="1">
      <w:start w:val="1"/>
      <w:numFmt w:val="bullet"/>
      <w:lvlText w:val="o"/>
      <w:lvlJc w:val="left"/>
      <w:pPr>
        <w:ind w:left="6720" w:hanging="360"/>
      </w:pPr>
      <w:rPr>
        <w:rFonts w:ascii="Courier New" w:hAnsi="Courier New" w:cs="Courier New" w:hint="default"/>
      </w:rPr>
    </w:lvl>
    <w:lvl w:ilvl="8" w:tplc="08090005" w:tentative="1">
      <w:start w:val="1"/>
      <w:numFmt w:val="bullet"/>
      <w:lvlText w:val=""/>
      <w:lvlJc w:val="left"/>
      <w:pPr>
        <w:ind w:left="7440" w:hanging="360"/>
      </w:pPr>
      <w:rPr>
        <w:rFonts w:ascii="Wingdings" w:hAnsi="Wingdings" w:hint="default"/>
      </w:rPr>
    </w:lvl>
  </w:abstractNum>
  <w:abstractNum w:abstractNumId="19"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20C13792"/>
    <w:multiLevelType w:val="hybridMultilevel"/>
    <w:tmpl w:val="30FCB61E"/>
    <w:lvl w:ilvl="0" w:tplc="929037A6">
      <w:numFmt w:val="bullet"/>
      <w:lvlText w:val="-"/>
      <w:lvlJc w:val="left"/>
      <w:pPr>
        <w:ind w:left="1287" w:hanging="360"/>
      </w:pPr>
      <w:rPr>
        <w:rFonts w:ascii="Traditional Arabic" w:eastAsia="Calibri" w:hAnsi="Traditional Arabic" w:cs="Traditional Arabic"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1" w15:restartNumberingAfterBreak="0">
    <w:nsid w:val="232F7684"/>
    <w:multiLevelType w:val="hybridMultilevel"/>
    <w:tmpl w:val="CF7679D8"/>
    <w:lvl w:ilvl="0" w:tplc="08090011">
      <w:start w:val="1"/>
      <w:numFmt w:val="decimal"/>
      <w:lvlText w:val="%1)"/>
      <w:lvlJc w:val="left"/>
      <w:pPr>
        <w:ind w:left="1021" w:hanging="360"/>
      </w:pPr>
    </w:lvl>
    <w:lvl w:ilvl="1" w:tplc="08090019" w:tentative="1">
      <w:start w:val="1"/>
      <w:numFmt w:val="lowerLetter"/>
      <w:lvlText w:val="%2."/>
      <w:lvlJc w:val="left"/>
      <w:pPr>
        <w:ind w:left="1741" w:hanging="360"/>
      </w:pPr>
    </w:lvl>
    <w:lvl w:ilvl="2" w:tplc="0809001B" w:tentative="1">
      <w:start w:val="1"/>
      <w:numFmt w:val="lowerRoman"/>
      <w:lvlText w:val="%3."/>
      <w:lvlJc w:val="right"/>
      <w:pPr>
        <w:ind w:left="2461" w:hanging="180"/>
      </w:pPr>
    </w:lvl>
    <w:lvl w:ilvl="3" w:tplc="0809000F" w:tentative="1">
      <w:start w:val="1"/>
      <w:numFmt w:val="decimal"/>
      <w:lvlText w:val="%4."/>
      <w:lvlJc w:val="left"/>
      <w:pPr>
        <w:ind w:left="3181" w:hanging="360"/>
      </w:pPr>
    </w:lvl>
    <w:lvl w:ilvl="4" w:tplc="08090019" w:tentative="1">
      <w:start w:val="1"/>
      <w:numFmt w:val="lowerLetter"/>
      <w:lvlText w:val="%5."/>
      <w:lvlJc w:val="left"/>
      <w:pPr>
        <w:ind w:left="3901" w:hanging="360"/>
      </w:pPr>
    </w:lvl>
    <w:lvl w:ilvl="5" w:tplc="0809001B" w:tentative="1">
      <w:start w:val="1"/>
      <w:numFmt w:val="lowerRoman"/>
      <w:lvlText w:val="%6."/>
      <w:lvlJc w:val="right"/>
      <w:pPr>
        <w:ind w:left="4621" w:hanging="180"/>
      </w:pPr>
    </w:lvl>
    <w:lvl w:ilvl="6" w:tplc="0809000F" w:tentative="1">
      <w:start w:val="1"/>
      <w:numFmt w:val="decimal"/>
      <w:lvlText w:val="%7."/>
      <w:lvlJc w:val="left"/>
      <w:pPr>
        <w:ind w:left="5341" w:hanging="360"/>
      </w:pPr>
    </w:lvl>
    <w:lvl w:ilvl="7" w:tplc="08090019" w:tentative="1">
      <w:start w:val="1"/>
      <w:numFmt w:val="lowerLetter"/>
      <w:lvlText w:val="%8."/>
      <w:lvlJc w:val="left"/>
      <w:pPr>
        <w:ind w:left="6061" w:hanging="360"/>
      </w:pPr>
    </w:lvl>
    <w:lvl w:ilvl="8" w:tplc="0809001B" w:tentative="1">
      <w:start w:val="1"/>
      <w:numFmt w:val="lowerRoman"/>
      <w:lvlText w:val="%9."/>
      <w:lvlJc w:val="right"/>
      <w:pPr>
        <w:ind w:left="6781" w:hanging="180"/>
      </w:pPr>
    </w:lvl>
  </w:abstractNum>
  <w:abstractNum w:abstractNumId="22" w15:restartNumberingAfterBreak="0">
    <w:nsid w:val="2B273A74"/>
    <w:multiLevelType w:val="hybridMultilevel"/>
    <w:tmpl w:val="45460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1BB049C"/>
    <w:multiLevelType w:val="hybridMultilevel"/>
    <w:tmpl w:val="D0FE32BC"/>
    <w:lvl w:ilvl="0" w:tplc="E02230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4C61A9F"/>
    <w:multiLevelType w:val="hybridMultilevel"/>
    <w:tmpl w:val="1A1E6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262CEA"/>
    <w:multiLevelType w:val="hybridMultilevel"/>
    <w:tmpl w:val="738075E6"/>
    <w:lvl w:ilvl="0" w:tplc="08090017">
      <w:start w:val="1"/>
      <w:numFmt w:val="lowerLetter"/>
      <w:lvlText w:val="%1)"/>
      <w:lvlJc w:val="left"/>
      <w:pPr>
        <w:ind w:left="845" w:hanging="360"/>
      </w:pPr>
    </w:lvl>
    <w:lvl w:ilvl="1" w:tplc="08090019" w:tentative="1">
      <w:start w:val="1"/>
      <w:numFmt w:val="lowerLetter"/>
      <w:lvlText w:val="%2."/>
      <w:lvlJc w:val="left"/>
      <w:pPr>
        <w:ind w:left="1565" w:hanging="360"/>
      </w:pPr>
    </w:lvl>
    <w:lvl w:ilvl="2" w:tplc="0809001B" w:tentative="1">
      <w:start w:val="1"/>
      <w:numFmt w:val="lowerRoman"/>
      <w:lvlText w:val="%3."/>
      <w:lvlJc w:val="right"/>
      <w:pPr>
        <w:ind w:left="2285" w:hanging="180"/>
      </w:pPr>
    </w:lvl>
    <w:lvl w:ilvl="3" w:tplc="0809000F" w:tentative="1">
      <w:start w:val="1"/>
      <w:numFmt w:val="decimal"/>
      <w:lvlText w:val="%4."/>
      <w:lvlJc w:val="left"/>
      <w:pPr>
        <w:ind w:left="3005" w:hanging="360"/>
      </w:pPr>
    </w:lvl>
    <w:lvl w:ilvl="4" w:tplc="08090019" w:tentative="1">
      <w:start w:val="1"/>
      <w:numFmt w:val="lowerLetter"/>
      <w:lvlText w:val="%5."/>
      <w:lvlJc w:val="left"/>
      <w:pPr>
        <w:ind w:left="3725" w:hanging="360"/>
      </w:pPr>
    </w:lvl>
    <w:lvl w:ilvl="5" w:tplc="0809001B" w:tentative="1">
      <w:start w:val="1"/>
      <w:numFmt w:val="lowerRoman"/>
      <w:lvlText w:val="%6."/>
      <w:lvlJc w:val="right"/>
      <w:pPr>
        <w:ind w:left="4445" w:hanging="180"/>
      </w:pPr>
    </w:lvl>
    <w:lvl w:ilvl="6" w:tplc="0809000F" w:tentative="1">
      <w:start w:val="1"/>
      <w:numFmt w:val="decimal"/>
      <w:lvlText w:val="%7."/>
      <w:lvlJc w:val="left"/>
      <w:pPr>
        <w:ind w:left="5165" w:hanging="360"/>
      </w:pPr>
    </w:lvl>
    <w:lvl w:ilvl="7" w:tplc="08090019" w:tentative="1">
      <w:start w:val="1"/>
      <w:numFmt w:val="lowerLetter"/>
      <w:lvlText w:val="%8."/>
      <w:lvlJc w:val="left"/>
      <w:pPr>
        <w:ind w:left="5885" w:hanging="360"/>
      </w:pPr>
    </w:lvl>
    <w:lvl w:ilvl="8" w:tplc="0809001B" w:tentative="1">
      <w:start w:val="1"/>
      <w:numFmt w:val="lowerRoman"/>
      <w:lvlText w:val="%9."/>
      <w:lvlJc w:val="right"/>
      <w:pPr>
        <w:ind w:left="6605" w:hanging="180"/>
      </w:pPr>
    </w:lvl>
  </w:abstractNum>
  <w:abstractNum w:abstractNumId="27"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C046E42"/>
    <w:multiLevelType w:val="hybridMultilevel"/>
    <w:tmpl w:val="75220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DC54A52"/>
    <w:multiLevelType w:val="hybridMultilevel"/>
    <w:tmpl w:val="F1D65D06"/>
    <w:lvl w:ilvl="0" w:tplc="BD084D42">
      <w:start w:val="1"/>
      <w:numFmt w:val="decimal"/>
      <w:lvlText w:val="%1-"/>
      <w:lvlJc w:val="left"/>
      <w:pPr>
        <w:ind w:left="2327" w:hanging="360"/>
      </w:pPr>
      <w:rPr>
        <w:rFonts w:eastAsia="Calibri" w:hint="default"/>
        <w:sz w:val="22"/>
      </w:rPr>
    </w:lvl>
    <w:lvl w:ilvl="1" w:tplc="08090019" w:tentative="1">
      <w:start w:val="1"/>
      <w:numFmt w:val="lowerLetter"/>
      <w:lvlText w:val="%2."/>
      <w:lvlJc w:val="left"/>
      <w:pPr>
        <w:ind w:left="3047" w:hanging="360"/>
      </w:pPr>
    </w:lvl>
    <w:lvl w:ilvl="2" w:tplc="0809001B" w:tentative="1">
      <w:start w:val="1"/>
      <w:numFmt w:val="lowerRoman"/>
      <w:lvlText w:val="%3."/>
      <w:lvlJc w:val="right"/>
      <w:pPr>
        <w:ind w:left="3767" w:hanging="180"/>
      </w:pPr>
    </w:lvl>
    <w:lvl w:ilvl="3" w:tplc="0809000F" w:tentative="1">
      <w:start w:val="1"/>
      <w:numFmt w:val="decimal"/>
      <w:lvlText w:val="%4."/>
      <w:lvlJc w:val="left"/>
      <w:pPr>
        <w:ind w:left="4487" w:hanging="360"/>
      </w:pPr>
    </w:lvl>
    <w:lvl w:ilvl="4" w:tplc="08090019" w:tentative="1">
      <w:start w:val="1"/>
      <w:numFmt w:val="lowerLetter"/>
      <w:lvlText w:val="%5."/>
      <w:lvlJc w:val="left"/>
      <w:pPr>
        <w:ind w:left="5207" w:hanging="360"/>
      </w:pPr>
    </w:lvl>
    <w:lvl w:ilvl="5" w:tplc="0809001B" w:tentative="1">
      <w:start w:val="1"/>
      <w:numFmt w:val="lowerRoman"/>
      <w:lvlText w:val="%6."/>
      <w:lvlJc w:val="right"/>
      <w:pPr>
        <w:ind w:left="5927" w:hanging="180"/>
      </w:pPr>
    </w:lvl>
    <w:lvl w:ilvl="6" w:tplc="0809000F" w:tentative="1">
      <w:start w:val="1"/>
      <w:numFmt w:val="decimal"/>
      <w:lvlText w:val="%7."/>
      <w:lvlJc w:val="left"/>
      <w:pPr>
        <w:ind w:left="6647" w:hanging="360"/>
      </w:pPr>
    </w:lvl>
    <w:lvl w:ilvl="7" w:tplc="08090019" w:tentative="1">
      <w:start w:val="1"/>
      <w:numFmt w:val="lowerLetter"/>
      <w:lvlText w:val="%8."/>
      <w:lvlJc w:val="left"/>
      <w:pPr>
        <w:ind w:left="7367" w:hanging="360"/>
      </w:pPr>
    </w:lvl>
    <w:lvl w:ilvl="8" w:tplc="0809001B" w:tentative="1">
      <w:start w:val="1"/>
      <w:numFmt w:val="lowerRoman"/>
      <w:lvlText w:val="%9."/>
      <w:lvlJc w:val="right"/>
      <w:pPr>
        <w:ind w:left="8087" w:hanging="180"/>
      </w:pPr>
    </w:lvl>
  </w:abstractNum>
  <w:abstractNum w:abstractNumId="30"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1"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604039D6"/>
    <w:multiLevelType w:val="hybridMultilevel"/>
    <w:tmpl w:val="2C2840E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12C1653"/>
    <w:multiLevelType w:val="hybridMultilevel"/>
    <w:tmpl w:val="354ABF70"/>
    <w:lvl w:ilvl="0" w:tplc="BD084D42">
      <w:start w:val="1"/>
      <w:numFmt w:val="decimal"/>
      <w:lvlText w:val="%1-"/>
      <w:lvlJc w:val="left"/>
      <w:pPr>
        <w:ind w:left="720" w:hanging="360"/>
      </w:pPr>
      <w:rPr>
        <w:rFonts w:eastAsia="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EC38F7"/>
    <w:multiLevelType w:val="hybridMultilevel"/>
    <w:tmpl w:val="1304CB0A"/>
    <w:lvl w:ilvl="0" w:tplc="08090017">
      <w:start w:val="1"/>
      <w:numFmt w:val="lowerLetter"/>
      <w:lvlText w:val="%1)"/>
      <w:lvlJc w:val="left"/>
      <w:pPr>
        <w:ind w:left="840" w:hanging="360"/>
      </w:p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35" w15:restartNumberingAfterBreak="0">
    <w:nsid w:val="63AB6657"/>
    <w:multiLevelType w:val="hybridMultilevel"/>
    <w:tmpl w:val="C20C0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6D5E047D"/>
    <w:multiLevelType w:val="hybridMultilevel"/>
    <w:tmpl w:val="9FCA904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0" w15:restartNumberingAfterBreak="0">
    <w:nsid w:val="6ED35616"/>
    <w:multiLevelType w:val="hybridMultilevel"/>
    <w:tmpl w:val="B1267B12"/>
    <w:lvl w:ilvl="0" w:tplc="08090001">
      <w:start w:val="1"/>
      <w:numFmt w:val="bullet"/>
      <w:lvlText w:val=""/>
      <w:lvlJc w:val="left"/>
      <w:pPr>
        <w:ind w:left="908" w:hanging="360"/>
      </w:pPr>
      <w:rPr>
        <w:rFonts w:ascii="Symbol" w:hAnsi="Symbol" w:hint="default"/>
      </w:rPr>
    </w:lvl>
    <w:lvl w:ilvl="1" w:tplc="08090003" w:tentative="1">
      <w:start w:val="1"/>
      <w:numFmt w:val="bullet"/>
      <w:lvlText w:val="o"/>
      <w:lvlJc w:val="left"/>
      <w:pPr>
        <w:ind w:left="1628" w:hanging="360"/>
      </w:pPr>
      <w:rPr>
        <w:rFonts w:ascii="Courier New" w:hAnsi="Courier New" w:cs="Courier New" w:hint="default"/>
      </w:rPr>
    </w:lvl>
    <w:lvl w:ilvl="2" w:tplc="08090005" w:tentative="1">
      <w:start w:val="1"/>
      <w:numFmt w:val="bullet"/>
      <w:lvlText w:val=""/>
      <w:lvlJc w:val="left"/>
      <w:pPr>
        <w:ind w:left="2348" w:hanging="360"/>
      </w:pPr>
      <w:rPr>
        <w:rFonts w:ascii="Wingdings" w:hAnsi="Wingdings" w:hint="default"/>
      </w:rPr>
    </w:lvl>
    <w:lvl w:ilvl="3" w:tplc="08090001" w:tentative="1">
      <w:start w:val="1"/>
      <w:numFmt w:val="bullet"/>
      <w:lvlText w:val=""/>
      <w:lvlJc w:val="left"/>
      <w:pPr>
        <w:ind w:left="3068" w:hanging="360"/>
      </w:pPr>
      <w:rPr>
        <w:rFonts w:ascii="Symbol" w:hAnsi="Symbol" w:hint="default"/>
      </w:rPr>
    </w:lvl>
    <w:lvl w:ilvl="4" w:tplc="08090003" w:tentative="1">
      <w:start w:val="1"/>
      <w:numFmt w:val="bullet"/>
      <w:lvlText w:val="o"/>
      <w:lvlJc w:val="left"/>
      <w:pPr>
        <w:ind w:left="3788" w:hanging="360"/>
      </w:pPr>
      <w:rPr>
        <w:rFonts w:ascii="Courier New" w:hAnsi="Courier New" w:cs="Courier New" w:hint="default"/>
      </w:rPr>
    </w:lvl>
    <w:lvl w:ilvl="5" w:tplc="08090005" w:tentative="1">
      <w:start w:val="1"/>
      <w:numFmt w:val="bullet"/>
      <w:lvlText w:val=""/>
      <w:lvlJc w:val="left"/>
      <w:pPr>
        <w:ind w:left="4508" w:hanging="360"/>
      </w:pPr>
      <w:rPr>
        <w:rFonts w:ascii="Wingdings" w:hAnsi="Wingdings" w:hint="default"/>
      </w:rPr>
    </w:lvl>
    <w:lvl w:ilvl="6" w:tplc="08090001" w:tentative="1">
      <w:start w:val="1"/>
      <w:numFmt w:val="bullet"/>
      <w:lvlText w:val=""/>
      <w:lvlJc w:val="left"/>
      <w:pPr>
        <w:ind w:left="5228" w:hanging="360"/>
      </w:pPr>
      <w:rPr>
        <w:rFonts w:ascii="Symbol" w:hAnsi="Symbol" w:hint="default"/>
      </w:rPr>
    </w:lvl>
    <w:lvl w:ilvl="7" w:tplc="08090003" w:tentative="1">
      <w:start w:val="1"/>
      <w:numFmt w:val="bullet"/>
      <w:lvlText w:val="o"/>
      <w:lvlJc w:val="left"/>
      <w:pPr>
        <w:ind w:left="5948" w:hanging="360"/>
      </w:pPr>
      <w:rPr>
        <w:rFonts w:ascii="Courier New" w:hAnsi="Courier New" w:cs="Courier New" w:hint="default"/>
      </w:rPr>
    </w:lvl>
    <w:lvl w:ilvl="8" w:tplc="08090005" w:tentative="1">
      <w:start w:val="1"/>
      <w:numFmt w:val="bullet"/>
      <w:lvlText w:val=""/>
      <w:lvlJc w:val="left"/>
      <w:pPr>
        <w:ind w:left="6668" w:hanging="360"/>
      </w:pPr>
      <w:rPr>
        <w:rFonts w:ascii="Wingdings" w:hAnsi="Wingdings" w:hint="default"/>
      </w:rPr>
    </w:lvl>
  </w:abstractNum>
  <w:abstractNum w:abstractNumId="41" w15:restartNumberingAfterBreak="0">
    <w:nsid w:val="74576D12"/>
    <w:multiLevelType w:val="hybridMultilevel"/>
    <w:tmpl w:val="6B5E7330"/>
    <w:lvl w:ilvl="0" w:tplc="99ACF65A">
      <w:start w:val="8"/>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2D74EB"/>
    <w:multiLevelType w:val="hybridMultilevel"/>
    <w:tmpl w:val="7C10F01A"/>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num w:numId="1">
    <w:abstractNumId w:val="37"/>
  </w:num>
  <w:num w:numId="2">
    <w:abstractNumId w:val="24"/>
  </w:num>
  <w:num w:numId="3">
    <w:abstractNumId w:val="19"/>
  </w:num>
  <w:num w:numId="4">
    <w:abstractNumId w:val="38"/>
  </w:num>
  <w:num w:numId="5">
    <w:abstractNumId w:val="30"/>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36"/>
  </w:num>
  <w:num w:numId="17">
    <w:abstractNumId w:val="27"/>
  </w:num>
  <w:num w:numId="18">
    <w:abstractNumId w:val="31"/>
  </w:num>
  <w:num w:numId="19">
    <w:abstractNumId w:val="36"/>
  </w:num>
  <w:num w:numId="20">
    <w:abstractNumId w:val="27"/>
  </w:num>
  <w:num w:numId="21">
    <w:abstractNumId w:val="31"/>
  </w:num>
  <w:num w:numId="22">
    <w:abstractNumId w:val="22"/>
    <w:lvlOverride w:ilvl="0">
      <w:lvl w:ilvl="0" w:tplc="08090001">
        <w:start w:val="1"/>
        <w:numFmt w:val="bullet"/>
        <w:lvlText w:val=""/>
        <w:lvlJc w:val="left"/>
        <w:pPr>
          <w:ind w:left="720" w:hanging="360"/>
        </w:pPr>
        <w:rPr>
          <w:rFonts w:ascii="Symbol" w:hAnsi="Symbol" w:hint="default"/>
        </w:rPr>
      </w:lvl>
    </w:lvlOverride>
  </w:num>
  <w:num w:numId="23">
    <w:abstractNumId w:val="15"/>
    <w:lvlOverride w:ilvl="0">
      <w:lvl w:ilvl="0" w:tplc="08090011">
        <w:start w:val="1"/>
        <w:numFmt w:val="decimal"/>
        <w:lvlText w:val="%1)"/>
        <w:lvlJc w:val="left"/>
        <w:pPr>
          <w:ind w:left="1854" w:hanging="360"/>
        </w:pPr>
        <w:rPr>
          <w:rFonts w:hint="default"/>
        </w:rPr>
      </w:lvl>
    </w:lvlOverride>
  </w:num>
  <w:num w:numId="24">
    <w:abstractNumId w:val="18"/>
    <w:lvlOverride w:ilvl="0">
      <w:lvl w:ilvl="0" w:tplc="08090001">
        <w:start w:val="1"/>
        <w:numFmt w:val="bullet"/>
        <w:lvlText w:val=""/>
        <w:lvlJc w:val="left"/>
        <w:pPr>
          <w:ind w:left="1680" w:hanging="360"/>
        </w:pPr>
        <w:rPr>
          <w:rFonts w:ascii="Symbol" w:hAnsi="Symbol" w:hint="default"/>
        </w:rPr>
      </w:lvl>
    </w:lvlOverride>
  </w:num>
  <w:num w:numId="25">
    <w:abstractNumId w:val="34"/>
    <w:lvlOverride w:ilvl="0">
      <w:lvl w:ilvl="0" w:tplc="08090017">
        <w:start w:val="1"/>
        <w:numFmt w:val="lowerLetter"/>
        <w:lvlText w:val="%1)"/>
        <w:lvlJc w:val="left"/>
        <w:pPr>
          <w:ind w:left="840" w:hanging="360"/>
        </w:pPr>
      </w:lvl>
    </w:lvlOverride>
  </w:num>
  <w:num w:numId="26">
    <w:abstractNumId w:val="25"/>
    <w:lvlOverride w:ilvl="0">
      <w:lvl w:ilvl="0" w:tplc="08090001">
        <w:start w:val="1"/>
        <w:numFmt w:val="bullet"/>
        <w:lvlText w:val=""/>
        <w:lvlJc w:val="left"/>
        <w:pPr>
          <w:ind w:left="720" w:hanging="360"/>
        </w:pPr>
        <w:rPr>
          <w:rFonts w:ascii="Symbol" w:hAnsi="Symbol" w:hint="default"/>
        </w:rPr>
      </w:lvl>
    </w:lvlOverride>
  </w:num>
  <w:num w:numId="27">
    <w:abstractNumId w:val="35"/>
  </w:num>
  <w:num w:numId="28">
    <w:abstractNumId w:val="17"/>
  </w:num>
  <w:num w:numId="29">
    <w:abstractNumId w:val="32"/>
    <w:lvlOverride w:ilvl="0">
      <w:lvl w:ilvl="0" w:tplc="08090017">
        <w:start w:val="1"/>
        <w:numFmt w:val="lowerLetter"/>
        <w:lvlText w:val="%1)"/>
        <w:lvlJc w:val="left"/>
        <w:pPr>
          <w:ind w:left="720" w:hanging="360"/>
        </w:pPr>
      </w:lvl>
    </w:lvlOverride>
  </w:num>
  <w:num w:numId="30">
    <w:abstractNumId w:val="12"/>
    <w:lvlOverride w:ilvl="0">
      <w:lvl w:ilvl="0" w:tplc="08090011">
        <w:start w:val="1"/>
        <w:numFmt w:val="decimal"/>
        <w:lvlText w:val="%1)"/>
        <w:lvlJc w:val="left"/>
        <w:pPr>
          <w:ind w:left="840" w:hanging="360"/>
        </w:pPr>
      </w:lvl>
    </w:lvlOverride>
  </w:num>
  <w:num w:numId="31">
    <w:abstractNumId w:val="28"/>
  </w:num>
  <w:num w:numId="32">
    <w:abstractNumId w:val="11"/>
    <w:lvlOverride w:ilvl="0">
      <w:lvl w:ilvl="0" w:tplc="08090017">
        <w:start w:val="1"/>
        <w:numFmt w:val="lowerLetter"/>
        <w:lvlText w:val="%1)"/>
        <w:lvlJc w:val="left"/>
        <w:pPr>
          <w:ind w:left="2008" w:hanging="360"/>
        </w:pPr>
      </w:lvl>
    </w:lvlOverride>
  </w:num>
  <w:num w:numId="33">
    <w:abstractNumId w:val="42"/>
    <w:lvlOverride w:ilvl="0">
      <w:lvl w:ilvl="0" w:tplc="08090001">
        <w:start w:val="1"/>
        <w:numFmt w:val="bullet"/>
        <w:lvlText w:val=""/>
        <w:lvlJc w:val="left"/>
        <w:pPr>
          <w:ind w:left="783" w:hanging="360"/>
        </w:pPr>
        <w:rPr>
          <w:rFonts w:ascii="Symbol" w:hAnsi="Symbol" w:hint="default"/>
        </w:rPr>
      </w:lvl>
    </w:lvlOverride>
  </w:num>
  <w:num w:numId="34">
    <w:abstractNumId w:val="21"/>
    <w:lvlOverride w:ilvl="0">
      <w:lvl w:ilvl="0" w:tplc="08090011">
        <w:start w:val="1"/>
        <w:numFmt w:val="decimal"/>
        <w:lvlText w:val="%1)"/>
        <w:lvlJc w:val="left"/>
        <w:pPr>
          <w:ind w:left="1080" w:hanging="360"/>
        </w:pPr>
      </w:lvl>
    </w:lvlOverride>
  </w:num>
  <w:num w:numId="35">
    <w:abstractNumId w:val="13"/>
    <w:lvlOverride w:ilvl="0">
      <w:lvl w:ilvl="0" w:tplc="08090011">
        <w:start w:val="1"/>
        <w:numFmt w:val="decimal"/>
        <w:lvlText w:val="%1)"/>
        <w:lvlJc w:val="left"/>
        <w:pPr>
          <w:ind w:left="781" w:hanging="360"/>
        </w:pPr>
      </w:lvl>
    </w:lvlOverride>
  </w:num>
  <w:num w:numId="36">
    <w:abstractNumId w:val="40"/>
    <w:lvlOverride w:ilvl="0">
      <w:lvl w:ilvl="0" w:tplc="08090001">
        <w:start w:val="1"/>
        <w:numFmt w:val="bullet"/>
        <w:lvlText w:val=""/>
        <w:lvlJc w:val="left"/>
        <w:pPr>
          <w:ind w:left="908" w:hanging="360"/>
        </w:pPr>
        <w:rPr>
          <w:rFonts w:ascii="Symbol" w:hAnsi="Symbol" w:hint="default"/>
        </w:rPr>
      </w:lvl>
    </w:lvlOverride>
  </w:num>
  <w:num w:numId="37">
    <w:abstractNumId w:val="26"/>
    <w:lvlOverride w:ilvl="0">
      <w:lvl w:ilvl="0" w:tplc="08090017">
        <w:start w:val="1"/>
        <w:numFmt w:val="lowerLetter"/>
        <w:lvlText w:val="%1)"/>
        <w:lvlJc w:val="left"/>
        <w:pPr>
          <w:ind w:left="845" w:hanging="360"/>
        </w:pPr>
      </w:lvl>
    </w:lvlOverride>
  </w:num>
  <w:num w:numId="38">
    <w:abstractNumId w:val="41"/>
    <w:lvlOverride w:ilvl="0">
      <w:lvl w:ilvl="0" w:tplc="99ACF65A">
        <w:start w:val="8"/>
        <w:numFmt w:val="bullet"/>
        <w:lvlText w:val="-"/>
        <w:lvlJc w:val="left"/>
        <w:pPr>
          <w:ind w:left="720" w:hanging="360"/>
        </w:pPr>
        <w:rPr>
          <w:rFonts w:ascii="Simplified Arabic" w:eastAsia="Times New Roman" w:hAnsi="Simplified Arabic" w:cs="Simplified Arabic" w:hint="default"/>
        </w:rPr>
      </w:lvl>
    </w:lvlOverride>
  </w:num>
  <w:num w:numId="39">
    <w:abstractNumId w:val="33"/>
  </w:num>
  <w:num w:numId="40">
    <w:abstractNumId w:val="23"/>
  </w:num>
  <w:num w:numId="41">
    <w:abstractNumId w:val="20"/>
    <w:lvlOverride w:ilvl="0">
      <w:lvl w:ilvl="0" w:tplc="929037A6">
        <w:numFmt w:val="bullet"/>
        <w:lvlText w:val="-"/>
        <w:lvlJc w:val="left"/>
        <w:pPr>
          <w:ind w:left="1287" w:hanging="360"/>
        </w:pPr>
        <w:rPr>
          <w:rFonts w:ascii="Traditional Arabic" w:eastAsia="Calibri" w:hAnsi="Traditional Arabic" w:cs="Traditional Arabic" w:hint="default"/>
        </w:rPr>
      </w:lvl>
    </w:lvlOverride>
  </w:num>
  <w:num w:numId="42">
    <w:abstractNumId w:val="39"/>
  </w:num>
  <w:num w:numId="43">
    <w:abstractNumId w:val="29"/>
  </w:num>
  <w:num w:numId="44">
    <w:abstractNumId w:val="10"/>
  </w:num>
  <w:num w:numId="45">
    <w:abstractNumId w:val="16"/>
  </w:num>
  <w:num w:numId="46">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7CE"/>
    <w:rsid w:val="00003B64"/>
    <w:rsid w:val="00011089"/>
    <w:rsid w:val="00013579"/>
    <w:rsid w:val="00026643"/>
    <w:rsid w:val="00033EE1"/>
    <w:rsid w:val="00042B72"/>
    <w:rsid w:val="00042CB4"/>
    <w:rsid w:val="00046216"/>
    <w:rsid w:val="00051B02"/>
    <w:rsid w:val="000558BD"/>
    <w:rsid w:val="00060502"/>
    <w:rsid w:val="000855C6"/>
    <w:rsid w:val="000A3940"/>
    <w:rsid w:val="000B56B9"/>
    <w:rsid w:val="000B57E7"/>
    <w:rsid w:val="000B6373"/>
    <w:rsid w:val="000B6383"/>
    <w:rsid w:val="000B732B"/>
    <w:rsid w:val="000F0237"/>
    <w:rsid w:val="000F09DF"/>
    <w:rsid w:val="000F55E5"/>
    <w:rsid w:val="000F61B2"/>
    <w:rsid w:val="001075E9"/>
    <w:rsid w:val="001342FB"/>
    <w:rsid w:val="00180183"/>
    <w:rsid w:val="0018024D"/>
    <w:rsid w:val="00183626"/>
    <w:rsid w:val="0018649F"/>
    <w:rsid w:val="00196389"/>
    <w:rsid w:val="001B3EF6"/>
    <w:rsid w:val="001C3E96"/>
    <w:rsid w:val="001C499F"/>
    <w:rsid w:val="001C7A89"/>
    <w:rsid w:val="001E4A9B"/>
    <w:rsid w:val="001E7B61"/>
    <w:rsid w:val="001F0490"/>
    <w:rsid w:val="001F36CB"/>
    <w:rsid w:val="00215062"/>
    <w:rsid w:val="00232EA5"/>
    <w:rsid w:val="00233B67"/>
    <w:rsid w:val="002479C6"/>
    <w:rsid w:val="00264C60"/>
    <w:rsid w:val="0027147C"/>
    <w:rsid w:val="0027441B"/>
    <w:rsid w:val="00274E6A"/>
    <w:rsid w:val="002846B3"/>
    <w:rsid w:val="00296D8C"/>
    <w:rsid w:val="002A2EFC"/>
    <w:rsid w:val="002A4D9D"/>
    <w:rsid w:val="002B217A"/>
    <w:rsid w:val="002B74B1"/>
    <w:rsid w:val="002C0E18"/>
    <w:rsid w:val="002D06E3"/>
    <w:rsid w:val="002D2E13"/>
    <w:rsid w:val="002D5AAC"/>
    <w:rsid w:val="002E5067"/>
    <w:rsid w:val="002F405F"/>
    <w:rsid w:val="002F7EEC"/>
    <w:rsid w:val="00301299"/>
    <w:rsid w:val="00305C08"/>
    <w:rsid w:val="00307FB6"/>
    <w:rsid w:val="003127CE"/>
    <w:rsid w:val="00317339"/>
    <w:rsid w:val="00322004"/>
    <w:rsid w:val="00327959"/>
    <w:rsid w:val="0033265B"/>
    <w:rsid w:val="003349E4"/>
    <w:rsid w:val="003402C2"/>
    <w:rsid w:val="0034369B"/>
    <w:rsid w:val="00381C24"/>
    <w:rsid w:val="003958D0"/>
    <w:rsid w:val="003A5C20"/>
    <w:rsid w:val="003B00E5"/>
    <w:rsid w:val="003B6EBB"/>
    <w:rsid w:val="003E1AA5"/>
    <w:rsid w:val="00407B78"/>
    <w:rsid w:val="004167F1"/>
    <w:rsid w:val="004212DB"/>
    <w:rsid w:val="00424203"/>
    <w:rsid w:val="00445E38"/>
    <w:rsid w:val="00452493"/>
    <w:rsid w:val="00453318"/>
    <w:rsid w:val="004535E2"/>
    <w:rsid w:val="00454E07"/>
    <w:rsid w:val="00472C5C"/>
    <w:rsid w:val="00481595"/>
    <w:rsid w:val="004B7715"/>
    <w:rsid w:val="004D39AA"/>
    <w:rsid w:val="004E51CF"/>
    <w:rsid w:val="004F634F"/>
    <w:rsid w:val="0050108D"/>
    <w:rsid w:val="00513081"/>
    <w:rsid w:val="00517901"/>
    <w:rsid w:val="00526683"/>
    <w:rsid w:val="00526E67"/>
    <w:rsid w:val="005709E0"/>
    <w:rsid w:val="00572E19"/>
    <w:rsid w:val="00573335"/>
    <w:rsid w:val="00594A90"/>
    <w:rsid w:val="005961C8"/>
    <w:rsid w:val="005966F1"/>
    <w:rsid w:val="005C1086"/>
    <w:rsid w:val="005D7914"/>
    <w:rsid w:val="005E2B41"/>
    <w:rsid w:val="005F0B42"/>
    <w:rsid w:val="005F3F52"/>
    <w:rsid w:val="005F758D"/>
    <w:rsid w:val="005F7B01"/>
    <w:rsid w:val="0060437B"/>
    <w:rsid w:val="00605ED1"/>
    <w:rsid w:val="00621E85"/>
    <w:rsid w:val="00640DC7"/>
    <w:rsid w:val="00681A10"/>
    <w:rsid w:val="00681E19"/>
    <w:rsid w:val="006A1ED8"/>
    <w:rsid w:val="006B1234"/>
    <w:rsid w:val="006B4CDF"/>
    <w:rsid w:val="006B5625"/>
    <w:rsid w:val="006C2031"/>
    <w:rsid w:val="006C24CC"/>
    <w:rsid w:val="006D461A"/>
    <w:rsid w:val="006D54C3"/>
    <w:rsid w:val="006F35EE"/>
    <w:rsid w:val="006F707A"/>
    <w:rsid w:val="007021FF"/>
    <w:rsid w:val="00710666"/>
    <w:rsid w:val="00712895"/>
    <w:rsid w:val="00712C37"/>
    <w:rsid w:val="007201CA"/>
    <w:rsid w:val="00756B73"/>
    <w:rsid w:val="00757357"/>
    <w:rsid w:val="007C381F"/>
    <w:rsid w:val="007C3F50"/>
    <w:rsid w:val="00806737"/>
    <w:rsid w:val="008179E0"/>
    <w:rsid w:val="00825F8D"/>
    <w:rsid w:val="00833758"/>
    <w:rsid w:val="00834B71"/>
    <w:rsid w:val="008552D1"/>
    <w:rsid w:val="0086445C"/>
    <w:rsid w:val="008728BC"/>
    <w:rsid w:val="008934D2"/>
    <w:rsid w:val="00894693"/>
    <w:rsid w:val="008A0058"/>
    <w:rsid w:val="008A08D7"/>
    <w:rsid w:val="008B3D0E"/>
    <w:rsid w:val="008B6909"/>
    <w:rsid w:val="008D5ACF"/>
    <w:rsid w:val="008E0D34"/>
    <w:rsid w:val="008E2BCB"/>
    <w:rsid w:val="00903712"/>
    <w:rsid w:val="00906890"/>
    <w:rsid w:val="00906901"/>
    <w:rsid w:val="00911BE4"/>
    <w:rsid w:val="00916207"/>
    <w:rsid w:val="00942A01"/>
    <w:rsid w:val="00951972"/>
    <w:rsid w:val="00953ED1"/>
    <w:rsid w:val="009608F3"/>
    <w:rsid w:val="00983128"/>
    <w:rsid w:val="009A24AC"/>
    <w:rsid w:val="009D2DD9"/>
    <w:rsid w:val="00A14DA8"/>
    <w:rsid w:val="00A215EA"/>
    <w:rsid w:val="00A312BC"/>
    <w:rsid w:val="00A57FE6"/>
    <w:rsid w:val="00A77180"/>
    <w:rsid w:val="00A84021"/>
    <w:rsid w:val="00A84D35"/>
    <w:rsid w:val="00A917B3"/>
    <w:rsid w:val="00AB4B51"/>
    <w:rsid w:val="00AC12E8"/>
    <w:rsid w:val="00AE2C06"/>
    <w:rsid w:val="00B10CC7"/>
    <w:rsid w:val="00B36DF7"/>
    <w:rsid w:val="00B539E7"/>
    <w:rsid w:val="00B60781"/>
    <w:rsid w:val="00B61AD0"/>
    <w:rsid w:val="00B62458"/>
    <w:rsid w:val="00B739FE"/>
    <w:rsid w:val="00B7584F"/>
    <w:rsid w:val="00BC0257"/>
    <w:rsid w:val="00BC18B2"/>
    <w:rsid w:val="00BC7E52"/>
    <w:rsid w:val="00BD0FA8"/>
    <w:rsid w:val="00BD33EE"/>
    <w:rsid w:val="00C030AE"/>
    <w:rsid w:val="00C106D6"/>
    <w:rsid w:val="00C17D30"/>
    <w:rsid w:val="00C515E3"/>
    <w:rsid w:val="00C60F0C"/>
    <w:rsid w:val="00C805C9"/>
    <w:rsid w:val="00C92939"/>
    <w:rsid w:val="00C973E7"/>
    <w:rsid w:val="00CA1679"/>
    <w:rsid w:val="00CB151C"/>
    <w:rsid w:val="00CC0D18"/>
    <w:rsid w:val="00CE5A1A"/>
    <w:rsid w:val="00CF55F6"/>
    <w:rsid w:val="00D25A29"/>
    <w:rsid w:val="00D33D63"/>
    <w:rsid w:val="00D4751D"/>
    <w:rsid w:val="00D54930"/>
    <w:rsid w:val="00D90028"/>
    <w:rsid w:val="00D90138"/>
    <w:rsid w:val="00D915F6"/>
    <w:rsid w:val="00DC500C"/>
    <w:rsid w:val="00DD78D1"/>
    <w:rsid w:val="00DE32CD"/>
    <w:rsid w:val="00DF71B9"/>
    <w:rsid w:val="00E13B11"/>
    <w:rsid w:val="00E30B7B"/>
    <w:rsid w:val="00E47E3B"/>
    <w:rsid w:val="00E70A89"/>
    <w:rsid w:val="00E73F76"/>
    <w:rsid w:val="00E77684"/>
    <w:rsid w:val="00E92F15"/>
    <w:rsid w:val="00EA12AB"/>
    <w:rsid w:val="00EA2C9F"/>
    <w:rsid w:val="00EA420E"/>
    <w:rsid w:val="00EB473B"/>
    <w:rsid w:val="00EB5F7A"/>
    <w:rsid w:val="00EC10D3"/>
    <w:rsid w:val="00EC601F"/>
    <w:rsid w:val="00ED0BDA"/>
    <w:rsid w:val="00EE47F1"/>
    <w:rsid w:val="00EF1360"/>
    <w:rsid w:val="00EF3220"/>
    <w:rsid w:val="00F10BDF"/>
    <w:rsid w:val="00F15A81"/>
    <w:rsid w:val="00F43903"/>
    <w:rsid w:val="00F87172"/>
    <w:rsid w:val="00F94155"/>
    <w:rsid w:val="00F9783F"/>
    <w:rsid w:val="00FC3E50"/>
    <w:rsid w:val="00FD2EF7"/>
    <w:rsid w:val="00FD53CB"/>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33B432F"/>
  <w15:docId w15:val="{068BA893-8D06-4337-84CE-0E46983D7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7">
    <w:lsdException w:name="Normal" w:qFormat="1"/>
    <w:lsdException w:name="heading 1" w:qFormat="1"/>
    <w:lsdException w:name="heading 2" w:uiPriority="9" w:qFormat="1"/>
    <w:lsdException w:name="heading 4"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8179E0"/>
    <w:rPr>
      <w:rFonts w:eastAsia="SimSun"/>
      <w:lang w:val="en-GB" w:eastAsia="zh-CN"/>
    </w:rPr>
  </w:style>
  <w:style w:type="paragraph" w:styleId="1">
    <w:name w:val="heading 1"/>
    <w:aliases w:val="Table_G"/>
    <w:basedOn w:val="a"/>
    <w:next w:val="a"/>
    <w:link w:val="10"/>
    <w:qFormat/>
    <w:rsid w:val="00E92F15"/>
    <w:pPr>
      <w:keepNext/>
      <w:tabs>
        <w:tab w:val="left" w:pos="567"/>
      </w:tabs>
      <w:suppressAutoHyphens/>
      <w:spacing w:line="240" w:lineRule="atLeast"/>
      <w:jc w:val="both"/>
      <w:outlineLvl w:val="0"/>
    </w:pPr>
    <w:rPr>
      <w:rFonts w:eastAsia="Times New Roman" w:cs="Arial"/>
      <w:b/>
      <w:bCs/>
      <w:szCs w:val="32"/>
      <w:lang w:val="ru-RU" w:eastAsia="ru-RU"/>
    </w:rPr>
  </w:style>
  <w:style w:type="paragraph" w:styleId="2">
    <w:name w:val="heading 2"/>
    <w:basedOn w:val="a"/>
    <w:next w:val="a"/>
    <w:link w:val="20"/>
    <w:uiPriority w:val="9"/>
    <w:qFormat/>
    <w:rsid w:val="007C3F50"/>
    <w:pPr>
      <w:keepNext/>
      <w:suppressAutoHyphens/>
      <w:spacing w:line="240" w:lineRule="atLeast"/>
      <w:outlineLvl w:val="1"/>
    </w:pPr>
    <w:rPr>
      <w:rFonts w:eastAsiaTheme="minorHAnsi" w:cs="Arial"/>
      <w:bCs/>
      <w:iCs/>
      <w:szCs w:val="28"/>
      <w:lang w:val="ru-RU" w:eastAsia="en-US"/>
    </w:rPr>
  </w:style>
  <w:style w:type="paragraph" w:styleId="3">
    <w:name w:val="heading 3"/>
    <w:basedOn w:val="a"/>
    <w:next w:val="a"/>
    <w:semiHidden/>
    <w:rsid w:val="007C3F50"/>
    <w:pPr>
      <w:keepNext/>
      <w:suppressAutoHyphens/>
      <w:spacing w:before="240" w:after="60" w:line="240" w:lineRule="atLeast"/>
      <w:outlineLvl w:val="2"/>
    </w:pPr>
    <w:rPr>
      <w:rFonts w:ascii="Arial" w:eastAsiaTheme="minorHAnsi" w:hAnsi="Arial" w:cs="Arial"/>
      <w:b/>
      <w:bCs/>
      <w:sz w:val="26"/>
      <w:szCs w:val="26"/>
      <w:lang w:val="ru-RU" w:eastAsia="en-US"/>
    </w:rPr>
  </w:style>
  <w:style w:type="paragraph" w:styleId="4">
    <w:name w:val="heading 4"/>
    <w:basedOn w:val="a"/>
    <w:next w:val="a"/>
    <w:link w:val="40"/>
    <w:uiPriority w:val="9"/>
    <w:semiHidden/>
    <w:qFormat/>
    <w:rsid w:val="007C3F50"/>
    <w:pPr>
      <w:keepNext/>
      <w:suppressAutoHyphens/>
      <w:spacing w:before="240" w:after="60" w:line="240" w:lineRule="atLeast"/>
      <w:outlineLvl w:val="3"/>
    </w:pPr>
    <w:rPr>
      <w:rFonts w:eastAsiaTheme="minorHAnsi" w:cstheme="minorBidi"/>
      <w:b/>
      <w:bCs/>
      <w:sz w:val="28"/>
      <w:szCs w:val="28"/>
      <w:lang w:val="ru-RU" w:eastAsia="en-US"/>
    </w:rPr>
  </w:style>
  <w:style w:type="paragraph" w:styleId="5">
    <w:name w:val="heading 5"/>
    <w:basedOn w:val="a"/>
    <w:next w:val="a"/>
    <w:semiHidden/>
    <w:rsid w:val="007C3F50"/>
    <w:pPr>
      <w:suppressAutoHyphens/>
      <w:spacing w:before="240" w:after="60" w:line="240" w:lineRule="atLeast"/>
      <w:outlineLvl w:val="4"/>
    </w:pPr>
    <w:rPr>
      <w:rFonts w:eastAsiaTheme="minorHAnsi" w:cstheme="minorBidi"/>
      <w:b/>
      <w:bCs/>
      <w:i/>
      <w:iCs/>
      <w:sz w:val="26"/>
      <w:szCs w:val="26"/>
      <w:lang w:val="ru-RU" w:eastAsia="en-US"/>
    </w:rPr>
  </w:style>
  <w:style w:type="paragraph" w:styleId="6">
    <w:name w:val="heading 6"/>
    <w:basedOn w:val="a"/>
    <w:next w:val="a"/>
    <w:link w:val="60"/>
    <w:semiHidden/>
    <w:rsid w:val="007C3F50"/>
    <w:pPr>
      <w:suppressAutoHyphens/>
      <w:spacing w:before="240" w:after="60" w:line="240" w:lineRule="atLeast"/>
      <w:outlineLvl w:val="5"/>
    </w:pPr>
    <w:rPr>
      <w:rFonts w:eastAsiaTheme="minorHAnsi" w:cstheme="minorBidi"/>
      <w:b/>
      <w:bCs/>
      <w:sz w:val="22"/>
      <w:szCs w:val="22"/>
      <w:lang w:val="ru-RU" w:eastAsia="en-US"/>
    </w:rPr>
  </w:style>
  <w:style w:type="paragraph" w:styleId="7">
    <w:name w:val="heading 7"/>
    <w:basedOn w:val="a"/>
    <w:next w:val="a"/>
    <w:semiHidden/>
    <w:rsid w:val="007C3F50"/>
    <w:pPr>
      <w:suppressAutoHyphens/>
      <w:spacing w:before="240" w:after="60" w:line="240" w:lineRule="atLeast"/>
      <w:outlineLvl w:val="6"/>
    </w:pPr>
    <w:rPr>
      <w:rFonts w:eastAsiaTheme="minorHAnsi" w:cstheme="minorBidi"/>
      <w:sz w:val="24"/>
      <w:szCs w:val="24"/>
      <w:lang w:val="ru-RU" w:eastAsia="en-US"/>
    </w:rPr>
  </w:style>
  <w:style w:type="paragraph" w:styleId="8">
    <w:name w:val="heading 8"/>
    <w:basedOn w:val="a"/>
    <w:next w:val="a"/>
    <w:semiHidden/>
    <w:rsid w:val="007C3F50"/>
    <w:pPr>
      <w:suppressAutoHyphens/>
      <w:spacing w:before="240" w:after="60" w:line="240" w:lineRule="atLeast"/>
      <w:outlineLvl w:val="7"/>
    </w:pPr>
    <w:rPr>
      <w:rFonts w:eastAsiaTheme="minorHAnsi" w:cstheme="minorBidi"/>
      <w:i/>
      <w:iCs/>
      <w:sz w:val="24"/>
      <w:szCs w:val="24"/>
      <w:lang w:val="ru-RU" w:eastAsia="en-US"/>
    </w:rPr>
  </w:style>
  <w:style w:type="paragraph" w:styleId="9">
    <w:name w:val="heading 9"/>
    <w:basedOn w:val="a"/>
    <w:next w:val="a"/>
    <w:semiHidden/>
    <w:rsid w:val="007C3F50"/>
    <w:pPr>
      <w:suppressAutoHyphens/>
      <w:spacing w:before="240" w:after="60" w:line="240" w:lineRule="atLeast"/>
      <w:outlineLvl w:val="8"/>
    </w:pPr>
    <w:rPr>
      <w:rFonts w:ascii="Arial" w:eastAsiaTheme="minorHAnsi" w:hAnsi="Arial" w:cs="Arial"/>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Table_G Знак"/>
    <w:basedOn w:val="a0"/>
    <w:link w:val="1"/>
    <w:rsid w:val="00E92F15"/>
    <w:rPr>
      <w:rFonts w:cs="Arial"/>
      <w:b/>
      <w:bCs/>
      <w:szCs w:val="32"/>
      <w:lang w:val="ru-RU" w:eastAsia="ru-RU"/>
    </w:rPr>
  </w:style>
  <w:style w:type="character" w:customStyle="1" w:styleId="20">
    <w:name w:val="Заголовок 2 Знак"/>
    <w:basedOn w:val="a0"/>
    <w:link w:val="2"/>
    <w:uiPriority w:val="9"/>
    <w:rsid w:val="00EA12AB"/>
    <w:rPr>
      <w:rFonts w:eastAsiaTheme="minorHAnsi" w:cs="Arial"/>
      <w:bCs/>
      <w:iCs/>
      <w:szCs w:val="28"/>
      <w:lang w:val="ru-RU" w:eastAsia="en-US"/>
    </w:rPr>
  </w:style>
  <w:style w:type="character" w:customStyle="1" w:styleId="40">
    <w:name w:val="Заголовок 4 Знак"/>
    <w:basedOn w:val="a0"/>
    <w:link w:val="4"/>
    <w:uiPriority w:val="9"/>
    <w:semiHidden/>
    <w:rsid w:val="00EA12AB"/>
    <w:rPr>
      <w:rFonts w:eastAsiaTheme="minorHAnsi" w:cstheme="minorBidi"/>
      <w:b/>
      <w:bCs/>
      <w:sz w:val="28"/>
      <w:szCs w:val="28"/>
      <w:lang w:val="ru-RU" w:eastAsia="en-US"/>
    </w:rPr>
  </w:style>
  <w:style w:type="paragraph" w:styleId="a3">
    <w:name w:val="Balloon Text"/>
    <w:basedOn w:val="a"/>
    <w:link w:val="a4"/>
    <w:uiPriority w:val="99"/>
    <w:semiHidden/>
    <w:rsid w:val="007C3F50"/>
    <w:pPr>
      <w:suppressAutoHyphens/>
    </w:pPr>
    <w:rPr>
      <w:rFonts w:ascii="Tahoma" w:eastAsiaTheme="minorHAnsi" w:hAnsi="Tahoma" w:cs="Tahoma"/>
      <w:sz w:val="16"/>
      <w:szCs w:val="16"/>
      <w:lang w:val="ru-RU" w:eastAsia="en-US"/>
    </w:rPr>
  </w:style>
  <w:style w:type="character" w:customStyle="1" w:styleId="a4">
    <w:name w:val="Текст выноски Знак"/>
    <w:basedOn w:val="a0"/>
    <w:link w:val="a3"/>
    <w:uiPriority w:val="99"/>
    <w:semiHidden/>
    <w:rsid w:val="00906901"/>
    <w:rPr>
      <w:rFonts w:ascii="Tahoma" w:eastAsiaTheme="minorHAnsi" w:hAnsi="Tahoma" w:cs="Tahoma"/>
      <w:sz w:val="16"/>
      <w:szCs w:val="16"/>
      <w:lang w:val="ru-RU" w:eastAsia="en-US"/>
    </w:rPr>
  </w:style>
  <w:style w:type="paragraph" w:customStyle="1" w:styleId="HMG">
    <w:name w:val="_ H __M_G"/>
    <w:basedOn w:val="a"/>
    <w:next w:val="a"/>
    <w:qFormat/>
    <w:rsid w:val="00E92F15"/>
    <w:pPr>
      <w:keepNext/>
      <w:keepLines/>
      <w:tabs>
        <w:tab w:val="right" w:pos="851"/>
      </w:tabs>
      <w:suppressAutoHyphens/>
      <w:spacing w:before="240" w:after="240" w:line="360" w:lineRule="exact"/>
      <w:ind w:left="1134" w:right="1134" w:hanging="1134"/>
    </w:pPr>
    <w:rPr>
      <w:rFonts w:eastAsia="Times New Roman"/>
      <w:b/>
      <w:sz w:val="34"/>
      <w:lang w:val="ru-RU" w:eastAsia="ru-RU"/>
    </w:rPr>
  </w:style>
  <w:style w:type="paragraph" w:customStyle="1" w:styleId="HChG">
    <w:name w:val="_ H _Ch_G"/>
    <w:basedOn w:val="a"/>
    <w:next w:val="a"/>
    <w:qFormat/>
    <w:rsid w:val="00E92F15"/>
    <w:pPr>
      <w:keepNext/>
      <w:keepLines/>
      <w:tabs>
        <w:tab w:val="right" w:pos="851"/>
      </w:tabs>
      <w:suppressAutoHyphens/>
      <w:spacing w:before="360" w:after="240" w:line="300" w:lineRule="exact"/>
      <w:ind w:left="1134" w:right="1134" w:hanging="1134"/>
    </w:pPr>
    <w:rPr>
      <w:rFonts w:eastAsia="Times New Roman"/>
      <w:b/>
      <w:sz w:val="28"/>
      <w:lang w:val="ru-RU" w:eastAsia="ru-RU"/>
    </w:rPr>
  </w:style>
  <w:style w:type="paragraph" w:customStyle="1" w:styleId="H1G">
    <w:name w:val="_ H_1_G"/>
    <w:basedOn w:val="a"/>
    <w:next w:val="a"/>
    <w:qFormat/>
    <w:rsid w:val="00E92F15"/>
    <w:pPr>
      <w:keepNext/>
      <w:keepLines/>
      <w:tabs>
        <w:tab w:val="right" w:pos="851"/>
      </w:tabs>
      <w:suppressAutoHyphens/>
      <w:spacing w:before="360" w:after="240" w:line="270" w:lineRule="exact"/>
      <w:ind w:left="1134" w:right="1134" w:hanging="1134"/>
    </w:pPr>
    <w:rPr>
      <w:rFonts w:eastAsia="Times New Roman"/>
      <w:b/>
      <w:sz w:val="24"/>
      <w:lang w:val="ru-RU" w:eastAsia="ru-RU"/>
    </w:rPr>
  </w:style>
  <w:style w:type="paragraph" w:customStyle="1" w:styleId="H23G">
    <w:name w:val="_ H_2/3_G"/>
    <w:basedOn w:val="a"/>
    <w:next w:val="a"/>
    <w:qFormat/>
    <w:rsid w:val="00E92F15"/>
    <w:pPr>
      <w:keepNext/>
      <w:keepLines/>
      <w:tabs>
        <w:tab w:val="right" w:pos="851"/>
      </w:tabs>
      <w:suppressAutoHyphens/>
      <w:spacing w:before="240" w:after="120" w:line="240" w:lineRule="exact"/>
      <w:ind w:left="1134" w:right="1134" w:hanging="1134"/>
    </w:pPr>
    <w:rPr>
      <w:rFonts w:eastAsia="Times New Roman"/>
      <w:b/>
      <w:lang w:val="ru-RU" w:eastAsia="ru-RU"/>
    </w:rPr>
  </w:style>
  <w:style w:type="paragraph" w:customStyle="1" w:styleId="H4G">
    <w:name w:val="_ H_4_G"/>
    <w:basedOn w:val="a"/>
    <w:next w:val="a"/>
    <w:qFormat/>
    <w:rsid w:val="00E92F15"/>
    <w:pPr>
      <w:keepNext/>
      <w:keepLines/>
      <w:tabs>
        <w:tab w:val="right" w:pos="851"/>
      </w:tabs>
      <w:suppressAutoHyphens/>
      <w:spacing w:before="240" w:after="120" w:line="240" w:lineRule="exact"/>
      <w:ind w:left="1134" w:right="1134" w:hanging="1134"/>
      <w:outlineLvl w:val="3"/>
    </w:pPr>
    <w:rPr>
      <w:rFonts w:eastAsia="Times New Roman"/>
      <w:i/>
      <w:lang w:val="ru-RU" w:eastAsia="ru-RU"/>
    </w:rPr>
  </w:style>
  <w:style w:type="paragraph" w:customStyle="1" w:styleId="H56G">
    <w:name w:val="_ H_5/6_G"/>
    <w:basedOn w:val="a"/>
    <w:next w:val="a"/>
    <w:qFormat/>
    <w:rsid w:val="00E92F15"/>
    <w:pPr>
      <w:keepNext/>
      <w:keepLines/>
      <w:tabs>
        <w:tab w:val="right" w:pos="851"/>
      </w:tabs>
      <w:suppressAutoHyphens/>
      <w:spacing w:before="240" w:after="120" w:line="240" w:lineRule="exact"/>
      <w:ind w:left="1134" w:right="1134" w:hanging="1134"/>
    </w:pPr>
    <w:rPr>
      <w:rFonts w:eastAsia="Times New Roman"/>
      <w:lang w:val="ru-RU" w:eastAsia="ru-RU"/>
    </w:rPr>
  </w:style>
  <w:style w:type="paragraph" w:customStyle="1" w:styleId="SingleTxtG">
    <w:name w:val="_ Single Txt_G"/>
    <w:basedOn w:val="a"/>
    <w:qFormat/>
    <w:rsid w:val="00906901"/>
    <w:pPr>
      <w:suppressAutoHyphens/>
      <w:spacing w:after="120" w:line="240" w:lineRule="atLeast"/>
      <w:ind w:left="1134" w:right="1134"/>
      <w:jc w:val="both"/>
    </w:pPr>
    <w:rPr>
      <w:rFonts w:eastAsia="Times New Roman"/>
      <w:lang w:val="ru-RU" w:eastAsia="en-US"/>
    </w:rPr>
  </w:style>
  <w:style w:type="paragraph" w:customStyle="1" w:styleId="SLG">
    <w:name w:val="__S_L_G"/>
    <w:basedOn w:val="a"/>
    <w:next w:val="a"/>
    <w:qFormat/>
    <w:rsid w:val="00E92F15"/>
    <w:pPr>
      <w:keepNext/>
      <w:keepLines/>
      <w:suppressAutoHyphens/>
      <w:spacing w:before="240" w:after="240" w:line="580" w:lineRule="exact"/>
      <w:ind w:left="1134" w:right="1134"/>
    </w:pPr>
    <w:rPr>
      <w:rFonts w:eastAsia="Times New Roman"/>
      <w:b/>
      <w:sz w:val="56"/>
      <w:lang w:val="ru-RU" w:eastAsia="ru-RU"/>
    </w:rPr>
  </w:style>
  <w:style w:type="paragraph" w:customStyle="1" w:styleId="SMG">
    <w:name w:val="__S_M_G"/>
    <w:basedOn w:val="a"/>
    <w:next w:val="a"/>
    <w:qFormat/>
    <w:rsid w:val="00E92F15"/>
    <w:pPr>
      <w:keepNext/>
      <w:keepLines/>
      <w:suppressAutoHyphens/>
      <w:spacing w:before="240" w:after="240" w:line="420" w:lineRule="exact"/>
      <w:ind w:left="1134" w:right="1134"/>
    </w:pPr>
    <w:rPr>
      <w:rFonts w:eastAsia="Times New Roman"/>
      <w:b/>
      <w:sz w:val="40"/>
      <w:lang w:val="ru-RU" w:eastAsia="ru-RU"/>
    </w:rPr>
  </w:style>
  <w:style w:type="paragraph" w:customStyle="1" w:styleId="SSG">
    <w:name w:val="__S_S_G"/>
    <w:basedOn w:val="a"/>
    <w:next w:val="a"/>
    <w:qFormat/>
    <w:rsid w:val="00E92F15"/>
    <w:pPr>
      <w:keepNext/>
      <w:keepLines/>
      <w:suppressAutoHyphens/>
      <w:spacing w:before="240" w:after="240" w:line="300" w:lineRule="exact"/>
      <w:ind w:left="1134" w:right="1134"/>
    </w:pPr>
    <w:rPr>
      <w:rFonts w:eastAsia="Times New Roman"/>
      <w:b/>
      <w:sz w:val="28"/>
      <w:lang w:val="ru-RU" w:eastAsia="ru-RU"/>
    </w:rPr>
  </w:style>
  <w:style w:type="paragraph" w:customStyle="1" w:styleId="XLargeG">
    <w:name w:val="__XLarge_G"/>
    <w:basedOn w:val="a"/>
    <w:next w:val="a"/>
    <w:qFormat/>
    <w:rsid w:val="00E92F15"/>
    <w:pPr>
      <w:keepNext/>
      <w:keepLines/>
      <w:suppressAutoHyphens/>
      <w:spacing w:before="240" w:after="240" w:line="420" w:lineRule="exact"/>
      <w:ind w:left="1134" w:right="1134"/>
    </w:pPr>
    <w:rPr>
      <w:rFonts w:eastAsia="Times New Roman"/>
      <w:b/>
      <w:sz w:val="40"/>
      <w:lang w:val="ru-RU" w:eastAsia="ru-RU"/>
    </w:rPr>
  </w:style>
  <w:style w:type="paragraph" w:customStyle="1" w:styleId="Bullet1G">
    <w:name w:val="_Bullet 1_G"/>
    <w:basedOn w:val="a"/>
    <w:qFormat/>
    <w:rsid w:val="00E92F15"/>
    <w:pPr>
      <w:numPr>
        <w:numId w:val="19"/>
      </w:numPr>
      <w:suppressAutoHyphens/>
      <w:spacing w:after="120" w:line="240" w:lineRule="atLeast"/>
      <w:ind w:right="1134"/>
      <w:jc w:val="both"/>
    </w:pPr>
    <w:rPr>
      <w:rFonts w:eastAsia="Times New Roman"/>
      <w:lang w:val="ru-RU" w:eastAsia="ru-RU"/>
    </w:rPr>
  </w:style>
  <w:style w:type="paragraph" w:customStyle="1" w:styleId="Bullet2G">
    <w:name w:val="_Bullet 2_G"/>
    <w:basedOn w:val="a"/>
    <w:qFormat/>
    <w:rsid w:val="00E92F15"/>
    <w:pPr>
      <w:numPr>
        <w:numId w:val="20"/>
      </w:numPr>
      <w:suppressAutoHyphens/>
      <w:spacing w:after="120" w:line="240" w:lineRule="atLeast"/>
      <w:ind w:right="1134"/>
      <w:jc w:val="both"/>
    </w:pPr>
    <w:rPr>
      <w:rFonts w:eastAsia="Times New Roman"/>
      <w:lang w:val="ru-RU" w:eastAsia="ru-RU"/>
    </w:rPr>
  </w:style>
  <w:style w:type="paragraph" w:customStyle="1" w:styleId="ParaNoG">
    <w:name w:val="_ParaNo._G"/>
    <w:basedOn w:val="a"/>
    <w:next w:val="a"/>
    <w:qFormat/>
    <w:rsid w:val="00906901"/>
    <w:pPr>
      <w:numPr>
        <w:numId w:val="21"/>
      </w:numPr>
      <w:tabs>
        <w:tab w:val="clear" w:pos="1491"/>
      </w:tabs>
      <w:suppressAutoHyphens/>
      <w:spacing w:after="120" w:line="240" w:lineRule="atLeast"/>
      <w:ind w:right="1134"/>
      <w:jc w:val="both"/>
      <w:outlineLvl w:val="0"/>
    </w:pPr>
    <w:rPr>
      <w:rFonts w:eastAsia="Times New Roman"/>
      <w:lang w:val="ru-RU" w:eastAsia="ru-RU"/>
    </w:rPr>
  </w:style>
  <w:style w:type="table" w:customStyle="1" w:styleId="TabNum">
    <w:name w:val="_TabNum"/>
    <w:basedOn w:val="a1"/>
    <w:rsid w:val="00E92F15"/>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E92F15"/>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6_GA"/>
    <w:basedOn w:val="a"/>
    <w:next w:val="a"/>
    <w:link w:val="a6"/>
    <w:uiPriority w:val="99"/>
    <w:qFormat/>
    <w:rsid w:val="00E92F15"/>
    <w:pPr>
      <w:pBdr>
        <w:bottom w:val="single" w:sz="4" w:space="4" w:color="auto"/>
      </w:pBdr>
      <w:tabs>
        <w:tab w:val="right" w:pos="9639"/>
      </w:tabs>
      <w:suppressAutoHyphens/>
      <w:spacing w:line="240" w:lineRule="atLeast"/>
    </w:pPr>
    <w:rPr>
      <w:rFonts w:eastAsia="Times New Roman"/>
      <w:b/>
      <w:sz w:val="18"/>
      <w:lang w:eastAsia="ru-RU"/>
    </w:rPr>
  </w:style>
  <w:style w:type="character" w:customStyle="1" w:styleId="a6">
    <w:name w:val="Верхний колонтитул Знак"/>
    <w:aliases w:val="6_G Знак,6_GA Знак"/>
    <w:basedOn w:val="a0"/>
    <w:link w:val="a5"/>
    <w:uiPriority w:val="99"/>
    <w:rsid w:val="00E92F15"/>
    <w:rPr>
      <w:b/>
      <w:sz w:val="18"/>
      <w:lang w:val="en-GB" w:eastAsia="ru-RU"/>
    </w:rPr>
  </w:style>
  <w:style w:type="character" w:styleId="a7">
    <w:name w:val="page number"/>
    <w:aliases w:val="7_G"/>
    <w:basedOn w:val="a0"/>
    <w:qFormat/>
    <w:rsid w:val="00E92F15"/>
    <w:rPr>
      <w:rFonts w:ascii="Times New Roman" w:hAnsi="Times New Roman"/>
      <w:b/>
      <w:sz w:val="18"/>
    </w:rPr>
  </w:style>
  <w:style w:type="paragraph" w:styleId="a8">
    <w:name w:val="footer"/>
    <w:aliases w:val="3_G,3_GA"/>
    <w:basedOn w:val="a"/>
    <w:link w:val="a9"/>
    <w:uiPriority w:val="99"/>
    <w:qFormat/>
    <w:rsid w:val="00E92F15"/>
    <w:pPr>
      <w:tabs>
        <w:tab w:val="right" w:pos="9639"/>
      </w:tabs>
      <w:suppressAutoHyphens/>
      <w:spacing w:line="240" w:lineRule="atLeast"/>
    </w:pPr>
    <w:rPr>
      <w:rFonts w:eastAsia="Times New Roman"/>
      <w:sz w:val="16"/>
      <w:lang w:eastAsia="ru-RU"/>
    </w:rPr>
  </w:style>
  <w:style w:type="character" w:customStyle="1" w:styleId="a9">
    <w:name w:val="Нижний колонтитул Знак"/>
    <w:aliases w:val="3_G Знак,3_GA Знак"/>
    <w:basedOn w:val="a0"/>
    <w:link w:val="a8"/>
    <w:uiPriority w:val="99"/>
    <w:rsid w:val="00E92F15"/>
    <w:rPr>
      <w:sz w:val="16"/>
      <w:lang w:val="en-GB" w:eastAsia="ru-RU"/>
    </w:rPr>
  </w:style>
  <w:style w:type="character" w:styleId="aa">
    <w:name w:val="footnote reference"/>
    <w:aliases w:val="4_G,4_GA,ftref,BVI fnr,16 Point,Superscript 6 Point,Footnote Reference Number,nota pié di pagina,Footnote symbol,Footnote reference number,Times 10 Point,Exposant 3 Point,EN Footnote Reference,note TESI"/>
    <w:basedOn w:val="a0"/>
    <w:qFormat/>
    <w:rsid w:val="00E92F15"/>
    <w:rPr>
      <w:rFonts w:ascii="Times New Roman" w:hAnsi="Times New Roman"/>
      <w:dstrike w:val="0"/>
      <w:sz w:val="18"/>
      <w:vertAlign w:val="superscript"/>
    </w:rPr>
  </w:style>
  <w:style w:type="character" w:styleId="ab">
    <w:name w:val="endnote reference"/>
    <w:aliases w:val="1_G"/>
    <w:basedOn w:val="aa"/>
    <w:qFormat/>
    <w:rsid w:val="00E92F15"/>
    <w:rPr>
      <w:rFonts w:ascii="Times New Roman" w:hAnsi="Times New Roman"/>
      <w:dstrike w:val="0"/>
      <w:sz w:val="18"/>
      <w:vertAlign w:val="superscript"/>
    </w:rPr>
  </w:style>
  <w:style w:type="table" w:styleId="ac">
    <w:name w:val="Table Grid"/>
    <w:basedOn w:val="a1"/>
    <w:uiPriority w:val="59"/>
    <w:rsid w:val="00983128"/>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single space,Sharp - Footnote Text,Footnote Text - Sharp Char Char,Footnote Text - Sharp Char,FOOTNOTES,fn,Footnote Text Char1 Char,Footnote Text Char Char Char,Footnote Text Char Char Char Char Char Char Char Char Char Char Char"/>
    <w:basedOn w:val="a"/>
    <w:link w:val="ae"/>
    <w:qFormat/>
    <w:rsid w:val="00E92F15"/>
    <w:pPr>
      <w:tabs>
        <w:tab w:val="right" w:pos="1021"/>
      </w:tabs>
      <w:suppressAutoHyphens/>
      <w:spacing w:line="220" w:lineRule="exact"/>
      <w:ind w:left="1134" w:right="1134" w:hanging="1134"/>
    </w:pPr>
    <w:rPr>
      <w:rFonts w:eastAsia="Times New Roman"/>
      <w:sz w:val="18"/>
      <w:lang w:val="ru-RU" w:eastAsia="ru-RU"/>
    </w:rPr>
  </w:style>
  <w:style w:type="character" w:customStyle="1" w:styleId="ae">
    <w:name w:val="Текст сноски Знак"/>
    <w:aliases w:val="5_G Знак,single space Знак,Sharp - Footnote Text Знак,Footnote Text - Sharp Char Char Знак,Footnote Text - Sharp Char Знак,FOOTNOTES Знак,fn Знак,Footnote Text Char1 Char Знак,Footnote Text Char Char Char Знак"/>
    <w:basedOn w:val="a0"/>
    <w:link w:val="ad"/>
    <w:rsid w:val="00E92F15"/>
    <w:rPr>
      <w:sz w:val="18"/>
      <w:lang w:val="ru-RU" w:eastAsia="ru-RU"/>
    </w:rPr>
  </w:style>
  <w:style w:type="paragraph" w:styleId="af">
    <w:name w:val="endnote text"/>
    <w:aliases w:val="2_G"/>
    <w:basedOn w:val="ad"/>
    <w:link w:val="af0"/>
    <w:qFormat/>
    <w:rsid w:val="00E92F15"/>
  </w:style>
  <w:style w:type="character" w:customStyle="1" w:styleId="af0">
    <w:name w:val="Текст концевой сноски Знак"/>
    <w:aliases w:val="2_G Знак"/>
    <w:basedOn w:val="a0"/>
    <w:link w:val="af"/>
    <w:rsid w:val="00E92F15"/>
    <w:rPr>
      <w:sz w:val="18"/>
      <w:lang w:val="ru-RU" w:eastAsia="ru-RU"/>
    </w:rPr>
  </w:style>
  <w:style w:type="character" w:styleId="af1">
    <w:name w:val="Hyperlink"/>
    <w:basedOn w:val="a0"/>
    <w:rsid w:val="00E92F15"/>
    <w:rPr>
      <w:color w:val="0000FF" w:themeColor="hyperlink"/>
      <w:u w:val="none"/>
    </w:rPr>
  </w:style>
  <w:style w:type="character" w:styleId="af2">
    <w:name w:val="FollowedHyperlink"/>
    <w:basedOn w:val="a0"/>
    <w:rsid w:val="00E92F15"/>
    <w:rPr>
      <w:color w:val="800080" w:themeColor="followedHyperlink"/>
      <w:u w:val="none"/>
    </w:rPr>
  </w:style>
  <w:style w:type="paragraph" w:customStyle="1" w:styleId="HChGA">
    <w:name w:val="_ H _Ch_GA"/>
    <w:basedOn w:val="a"/>
    <w:next w:val="a"/>
    <w:qFormat/>
    <w:rsid w:val="00EA12AB"/>
    <w:pPr>
      <w:keepNext/>
      <w:keepLines/>
      <w:tabs>
        <w:tab w:val="right" w:pos="1021"/>
      </w:tabs>
      <w:suppressAutoHyphens/>
      <w:bidi/>
      <w:spacing w:before="360" w:after="240" w:line="440" w:lineRule="exact"/>
      <w:ind w:left="1247" w:right="1247" w:hanging="1247"/>
      <w:jc w:val="lowKashida"/>
    </w:pPr>
    <w:rPr>
      <w:rFonts w:eastAsia="Times New Roman" w:cs="Traditional Arabic"/>
      <w:b/>
      <w:bCs/>
      <w:sz w:val="28"/>
      <w:szCs w:val="38"/>
      <w:lang w:eastAsia="en-US"/>
    </w:rPr>
  </w:style>
  <w:style w:type="character" w:styleId="af3">
    <w:name w:val="Emphasis"/>
    <w:uiPriority w:val="20"/>
    <w:qFormat/>
    <w:rsid w:val="00EA12AB"/>
    <w:rPr>
      <w:i/>
      <w:iCs/>
    </w:rPr>
  </w:style>
  <w:style w:type="paragraph" w:styleId="af4">
    <w:name w:val="No Spacing"/>
    <w:uiPriority w:val="1"/>
    <w:qFormat/>
    <w:rsid w:val="00EA12AB"/>
    <w:rPr>
      <w:rFonts w:asciiTheme="minorHAnsi" w:eastAsiaTheme="minorHAnsi" w:hAnsiTheme="minorHAnsi" w:cstheme="minorBidi"/>
      <w:sz w:val="22"/>
      <w:szCs w:val="22"/>
      <w:lang w:val="en-GB" w:eastAsia="en-US"/>
    </w:rPr>
  </w:style>
  <w:style w:type="character" w:styleId="af5">
    <w:name w:val="Strong"/>
    <w:basedOn w:val="a0"/>
    <w:uiPriority w:val="22"/>
    <w:qFormat/>
    <w:rsid w:val="00EA12AB"/>
    <w:rPr>
      <w:b/>
      <w:bCs/>
    </w:rPr>
  </w:style>
  <w:style w:type="character" w:customStyle="1" w:styleId="tlid-translation">
    <w:name w:val="tlid-translation"/>
    <w:basedOn w:val="a0"/>
    <w:rsid w:val="00EA12AB"/>
  </w:style>
  <w:style w:type="paragraph" w:customStyle="1" w:styleId="SingleTxtGA">
    <w:name w:val="_ Single Txt_GA"/>
    <w:basedOn w:val="a"/>
    <w:qFormat/>
    <w:rsid w:val="00EA12AB"/>
    <w:pPr>
      <w:tabs>
        <w:tab w:val="left" w:pos="1928"/>
        <w:tab w:val="left" w:pos="2608"/>
        <w:tab w:val="left" w:pos="3289"/>
        <w:tab w:val="left" w:pos="3969"/>
        <w:tab w:val="left" w:pos="4649"/>
        <w:tab w:val="left" w:pos="5330"/>
      </w:tabs>
      <w:bidi/>
      <w:spacing w:after="120" w:line="380" w:lineRule="exact"/>
      <w:ind w:left="1247" w:right="1247"/>
      <w:jc w:val="lowKashida"/>
    </w:pPr>
    <w:rPr>
      <w:rFonts w:eastAsia="Times New Roman" w:cs="Traditional Arabic"/>
      <w:szCs w:val="30"/>
      <w:lang w:val="en-US" w:eastAsia="en-US"/>
    </w:rPr>
  </w:style>
  <w:style w:type="paragraph" w:styleId="af6">
    <w:name w:val="List Paragraph"/>
    <w:basedOn w:val="a"/>
    <w:link w:val="af7"/>
    <w:uiPriority w:val="34"/>
    <w:qFormat/>
    <w:rsid w:val="00EA12AB"/>
    <w:pPr>
      <w:bidi/>
      <w:spacing w:line="240" w:lineRule="atLeast"/>
      <w:ind w:left="720"/>
      <w:contextualSpacing/>
      <w:jc w:val="lowKashida"/>
    </w:pPr>
    <w:rPr>
      <w:rFonts w:eastAsia="Times New Roman" w:cs="Traditional Arabic"/>
      <w:szCs w:val="30"/>
      <w:lang w:val="en-US" w:eastAsia="en-US"/>
    </w:rPr>
  </w:style>
  <w:style w:type="character" w:customStyle="1" w:styleId="af7">
    <w:name w:val="Абзац списка Знак"/>
    <w:link w:val="af6"/>
    <w:uiPriority w:val="34"/>
    <w:rsid w:val="00EA12AB"/>
    <w:rPr>
      <w:rFonts w:cs="Traditional Arabic"/>
      <w:szCs w:val="30"/>
      <w:lang w:val="en-US" w:eastAsia="en-US"/>
    </w:rPr>
  </w:style>
  <w:style w:type="character" w:customStyle="1" w:styleId="shorttext">
    <w:name w:val="short_text"/>
    <w:basedOn w:val="a0"/>
    <w:rsid w:val="00EA12AB"/>
  </w:style>
  <w:style w:type="character" w:customStyle="1" w:styleId="apple-converted-space">
    <w:name w:val="apple-converted-space"/>
    <w:basedOn w:val="a0"/>
    <w:rsid w:val="00EA12AB"/>
  </w:style>
  <w:style w:type="character" w:customStyle="1" w:styleId="60">
    <w:name w:val="Заголовок 6 Знак"/>
    <w:basedOn w:val="a0"/>
    <w:link w:val="6"/>
    <w:semiHidden/>
    <w:rsid w:val="00051B02"/>
    <w:rPr>
      <w:rFonts w:eastAsiaTheme="minorHAnsi" w:cstheme="minorBidi"/>
      <w:b/>
      <w:bCs/>
      <w:sz w:val="22"/>
      <w:szCs w:val="22"/>
      <w:lang w:val="ru-RU" w:eastAsia="en-US"/>
    </w:rPr>
  </w:style>
  <w:style w:type="paragraph" w:customStyle="1" w:styleId="Bullet1GA">
    <w:name w:val="_Bullet 1_GA"/>
    <w:basedOn w:val="a"/>
    <w:qFormat/>
    <w:rsid w:val="00EB5F7A"/>
    <w:pPr>
      <w:numPr>
        <w:numId w:val="46"/>
      </w:numPr>
      <w:suppressAutoHyphens/>
      <w:spacing w:after="120" w:line="380" w:lineRule="exact"/>
      <w:ind w:right="1247"/>
      <w:jc w:val="lowKashida"/>
    </w:pPr>
    <w:rPr>
      <w:rFonts w:eastAsia="Times New Roman" w:cs="Traditional Arabic"/>
      <w:szCs w:val="3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8" Type="http://schemas.openxmlformats.org/officeDocument/2006/relationships/hyperlink" Target="http://muqtafi.birzeit.edu/Legislation/getLeg.aspx?pid=42842&amp;Ed=1" TargetMode="External"/><Relationship Id="rId3" Type="http://schemas.openxmlformats.org/officeDocument/2006/relationships/diagramQuickStyle" Target="diagrams/quickStyle1.xml"/><Relationship Id="rId7" Type="http://schemas.openxmlformats.org/officeDocument/2006/relationships/hyperlink" Target="https://ar.wikipedia.org/wiki/%D8%AA%D9%82%D9%88%D9%8A%D9%85_%D9%85%D9%8A%D9%84%D8%A7%D8%AF%D9%8A" TargetMode="External"/><Relationship Id="rId2" Type="http://schemas.openxmlformats.org/officeDocument/2006/relationships/diagramLayout" Target="diagrams/layout1.xml"/><Relationship Id="rId1" Type="http://schemas.openxmlformats.org/officeDocument/2006/relationships/diagramData" Target="diagrams/data1.xml"/><Relationship Id="rId6" Type="http://schemas.openxmlformats.org/officeDocument/2006/relationships/hyperlink" Target="https://ar.wikipedia.org/w/index.php?title=%D8%AF%D9%88%D8%B1%D8%A9_%D8%A7%D9%84%D9%82%D9%85%D8%B1_%D8%A7%D9%84%D8%B8%D8%A7%D9%87%D8%B1%D9%8A%D8%A9&amp;action=edit&amp;redlink=1" TargetMode="External"/><Relationship Id="rId5" Type="http://schemas.microsoft.com/office/2007/relationships/diagramDrawing" Target="diagrams/drawing1.xml"/><Relationship Id="rId4" Type="http://schemas.openxmlformats.org/officeDocument/2006/relationships/diagramColors" Target="diagrams/colors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CRPD.dotm"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4C59882-9114-4752-9403-97FD21E66DE5}"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B9142144-BCB2-452C-AD35-D76F815DAE11}">
      <dgm:prSet phldrT="[Text]" custT="1"/>
      <dgm:spPr>
        <a:xfrm>
          <a:off x="2043070" y="0"/>
          <a:ext cx="724705" cy="362352"/>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ar-SA" sz="1000" b="1">
              <a:solidFill>
                <a:sysClr val="window" lastClr="FFFFFF"/>
              </a:solidFill>
              <a:latin typeface="Calibri"/>
              <a:ea typeface="+mn-ea"/>
              <a:cs typeface="Arial" panose="020B0604020202020204" pitchFamily="34" charset="0"/>
            </a:rPr>
            <a:t>قطاع الاعاقة </a:t>
          </a:r>
          <a:endParaRPr lang="en-US" sz="1000" b="1">
            <a:solidFill>
              <a:sysClr val="window" lastClr="FFFFFF"/>
            </a:solidFill>
            <a:latin typeface="Calibri"/>
            <a:ea typeface="+mn-ea"/>
            <a:cs typeface="+mn-cs"/>
          </a:endParaRPr>
        </a:p>
      </dgm:t>
    </dgm:pt>
    <dgm:pt modelId="{720EA7E8-6472-4471-81A9-9DDFCFC219F8}" type="sibTrans" cxnId="{254678A4-35D5-4B1C-AB6B-ECEC45CA3195}">
      <dgm:prSet/>
      <dgm:spPr/>
      <dgm:t>
        <a:bodyPr/>
        <a:lstStyle/>
        <a:p>
          <a:endParaRPr lang="en-US"/>
        </a:p>
      </dgm:t>
    </dgm:pt>
    <dgm:pt modelId="{D411C4B1-4644-4071-9BB9-2D12EB027598}" type="parTrans" cxnId="{254678A4-35D5-4B1C-AB6B-ECEC45CA3195}">
      <dgm:prSet/>
      <dgm:spPr/>
      <dgm:t>
        <a:bodyPr/>
        <a:lstStyle/>
        <a:p>
          <a:endParaRPr lang="en-US"/>
        </a:p>
      </dgm:t>
    </dgm:pt>
    <dgm:pt modelId="{BDFB5D6E-D280-4228-AA82-EA09856DBEDF}">
      <dgm:prSet phldrT="[Text]" custT="1"/>
      <dgm:spPr>
        <a:xfrm>
          <a:off x="414609" y="515292"/>
          <a:ext cx="724705" cy="362352"/>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ar-SA" sz="900" b="1">
              <a:solidFill>
                <a:sysClr val="window" lastClr="FFFFFF"/>
              </a:solidFill>
              <a:latin typeface="Calibri"/>
              <a:ea typeface="+mn-ea"/>
              <a:cs typeface="Arial" panose="020B0604020202020204" pitchFamily="34" charset="0"/>
            </a:rPr>
            <a:t>السلطة التشريعية</a:t>
          </a:r>
          <a:endParaRPr lang="en-US" sz="900" b="1">
            <a:solidFill>
              <a:sysClr val="window" lastClr="FFFFFF"/>
            </a:solidFill>
            <a:latin typeface="Calibri"/>
            <a:ea typeface="+mn-ea"/>
            <a:cs typeface="+mn-cs"/>
          </a:endParaRPr>
        </a:p>
      </dgm:t>
    </dgm:pt>
    <dgm:pt modelId="{02E35ABB-2D56-4C8C-BA5C-495633A5AEDB}" type="sibTrans" cxnId="{BEFFBC7A-E877-4AF7-94F9-1767955D5C92}">
      <dgm:prSet/>
      <dgm:spPr/>
      <dgm:t>
        <a:bodyPr/>
        <a:lstStyle/>
        <a:p>
          <a:endParaRPr lang="en-US"/>
        </a:p>
      </dgm:t>
    </dgm:pt>
    <dgm:pt modelId="{EC5E5591-0AA4-40CB-87EC-C08C961E82DF}" type="parTrans" cxnId="{BEFFBC7A-E877-4AF7-94F9-1767955D5C92}">
      <dgm:prSet/>
      <dgm:spPr>
        <a:xfrm>
          <a:off x="776962" y="362352"/>
          <a:ext cx="1628460" cy="152939"/>
        </a:xfrm>
        <a:noFill/>
        <a:ln w="25400" cap="flat" cmpd="sng" algn="ctr">
          <a:solidFill>
            <a:srgbClr val="4F81BD">
              <a:shade val="60000"/>
              <a:hueOff val="0"/>
              <a:satOff val="0"/>
              <a:lumOff val="0"/>
              <a:alphaOff val="0"/>
            </a:srgbClr>
          </a:solidFill>
          <a:prstDash val="solid"/>
        </a:ln>
        <a:effectLst/>
      </dgm:spPr>
      <dgm:t>
        <a:bodyPr/>
        <a:lstStyle/>
        <a:p>
          <a:endParaRPr lang="en-US"/>
        </a:p>
      </dgm:t>
    </dgm:pt>
    <dgm:pt modelId="{720F0C17-B09A-4F08-BBDF-F01B9B672DA2}">
      <dgm:prSet/>
      <dgm:spPr>
        <a:xfrm>
          <a:off x="595786" y="1029833"/>
          <a:ext cx="724705" cy="362352"/>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ar-SA" b="1">
              <a:solidFill>
                <a:sysClr val="window" lastClr="FFFFFF"/>
              </a:solidFill>
              <a:latin typeface="Calibri"/>
              <a:ea typeface="+mn-ea"/>
              <a:cs typeface="Arial" panose="020B0604020202020204" pitchFamily="34" charset="0"/>
            </a:rPr>
            <a:t>المجلس التشريعي</a:t>
          </a:r>
          <a:endParaRPr lang="en-US" b="1">
            <a:solidFill>
              <a:sysClr val="window" lastClr="FFFFFF"/>
            </a:solidFill>
            <a:latin typeface="Calibri"/>
            <a:ea typeface="+mn-ea"/>
            <a:cs typeface="+mn-cs"/>
          </a:endParaRPr>
        </a:p>
      </dgm:t>
    </dgm:pt>
    <dgm:pt modelId="{AE40AACF-9589-4F7B-850B-21C8DA224841}" type="sibTrans" cxnId="{8735671B-AF82-4110-B5EC-D0A4BF48C583}">
      <dgm:prSet/>
      <dgm:spPr/>
      <dgm:t>
        <a:bodyPr/>
        <a:lstStyle/>
        <a:p>
          <a:endParaRPr lang="en-US"/>
        </a:p>
      </dgm:t>
    </dgm:pt>
    <dgm:pt modelId="{BEDB9D9C-F56B-4CA2-B905-540E3A1F8E0F}" type="parTrans" cxnId="{8735671B-AF82-4110-B5EC-D0A4BF48C583}">
      <dgm:prSet/>
      <dgm:spPr>
        <a:xfrm>
          <a:off x="487080" y="877645"/>
          <a:ext cx="108705" cy="333364"/>
        </a:xfr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17A82B86-4D37-41F2-BC1B-5303112D775B}">
      <dgm:prSet phldrT="[Text]" custT="1"/>
      <dgm:spPr>
        <a:xfrm>
          <a:off x="2103771" y="515292"/>
          <a:ext cx="724705" cy="362352"/>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ar-SA" sz="1000" b="1">
              <a:solidFill>
                <a:sysClr val="window" lastClr="FFFFFF"/>
              </a:solidFill>
              <a:latin typeface="Calibri"/>
              <a:ea typeface="+mn-ea"/>
              <a:cs typeface="Arial" panose="020B0604020202020204" pitchFamily="34" charset="0"/>
            </a:rPr>
            <a:t>السلطة التنفيذية</a:t>
          </a:r>
          <a:endParaRPr lang="en-US" sz="1000" b="1">
            <a:solidFill>
              <a:sysClr val="window" lastClr="FFFFFF"/>
            </a:solidFill>
            <a:latin typeface="Calibri"/>
            <a:ea typeface="+mn-ea"/>
            <a:cs typeface="+mn-cs"/>
          </a:endParaRPr>
        </a:p>
      </dgm:t>
    </dgm:pt>
    <dgm:pt modelId="{65ACA0E0-2D6E-471E-BDEE-3E7E94B9551D}" type="sibTrans" cxnId="{2867594C-E5A3-4815-925C-A064AEA58097}">
      <dgm:prSet/>
      <dgm:spPr/>
      <dgm:t>
        <a:bodyPr/>
        <a:lstStyle/>
        <a:p>
          <a:endParaRPr lang="en-US"/>
        </a:p>
      </dgm:t>
    </dgm:pt>
    <dgm:pt modelId="{585EA1ED-22AE-45C3-913B-04BE2CB4BBAE}" type="parTrans" cxnId="{2867594C-E5A3-4815-925C-A064AEA58097}">
      <dgm:prSet/>
      <dgm:spPr>
        <a:xfrm>
          <a:off x="2359703" y="362352"/>
          <a:ext cx="91440" cy="152939"/>
        </a:xfrm>
        <a:noFill/>
        <a:ln w="25400" cap="flat" cmpd="sng" algn="ctr">
          <a:solidFill>
            <a:srgbClr val="4F81BD">
              <a:shade val="60000"/>
              <a:hueOff val="0"/>
              <a:satOff val="0"/>
              <a:lumOff val="0"/>
              <a:alphaOff val="0"/>
            </a:srgbClr>
          </a:solidFill>
          <a:prstDash val="solid"/>
        </a:ln>
        <a:effectLst/>
      </dgm:spPr>
      <dgm:t>
        <a:bodyPr/>
        <a:lstStyle/>
        <a:p>
          <a:endParaRPr lang="en-US"/>
        </a:p>
      </dgm:t>
    </dgm:pt>
    <dgm:pt modelId="{FC8ADF35-65EB-4F6B-94F4-067702EA6292}">
      <dgm:prSet custT="1"/>
      <dgm:spPr>
        <a:xfrm>
          <a:off x="1390650" y="992471"/>
          <a:ext cx="1986889" cy="872581"/>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r" rtl="1">
            <a:buNone/>
          </a:pPr>
          <a:r>
            <a:rPr lang="ar-SA" sz="1200" b="1">
              <a:solidFill>
                <a:sysClr val="window" lastClr="FFFFFF"/>
              </a:solidFill>
              <a:latin typeface="Calibri"/>
              <a:ea typeface="+mn-ea"/>
              <a:cs typeface="Arial" panose="020B0604020202020204" pitchFamily="34" charset="0"/>
            </a:rPr>
            <a:t>وزارة التنمية الاجتماعية/ وزارة الصحة/وزارةالتربية/الشرطة/ وزارة العدل/ وزارة العمل/الجهاز المركزي للاحصاء الفلسطيني</a:t>
          </a:r>
          <a:endParaRPr lang="en-US" sz="1200" b="1">
            <a:solidFill>
              <a:sysClr val="window" lastClr="FFFFFF"/>
            </a:solidFill>
            <a:latin typeface="Calibri"/>
            <a:ea typeface="+mn-ea"/>
            <a:cs typeface="+mn-cs"/>
          </a:endParaRPr>
        </a:p>
      </dgm:t>
    </dgm:pt>
    <dgm:pt modelId="{EF63EF04-FD7D-4D37-94CC-D2AD8737AF57}" type="sibTrans" cxnId="{4FF7D20B-5095-47A6-809A-9F3B66471E87}">
      <dgm:prSet/>
      <dgm:spPr/>
      <dgm:t>
        <a:bodyPr/>
        <a:lstStyle/>
        <a:p>
          <a:endParaRPr lang="en-US"/>
        </a:p>
      </dgm:t>
    </dgm:pt>
    <dgm:pt modelId="{0820DFED-8959-4BF5-9341-E3971806E8E5}" type="parTrans" cxnId="{4FF7D20B-5095-47A6-809A-9F3B66471E87}">
      <dgm:prSet/>
      <dgm:spPr>
        <a:xfrm>
          <a:off x="2338375" y="877645"/>
          <a:ext cx="91440" cy="114826"/>
        </a:xfr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9E648BB9-A334-4FE1-B71C-49849527352F}">
      <dgm:prSet custT="1"/>
      <dgm:spPr>
        <a:xfrm>
          <a:off x="1040422" y="2054603"/>
          <a:ext cx="994658" cy="510131"/>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r" rtl="1">
            <a:buNone/>
          </a:pPr>
          <a:r>
            <a:rPr lang="ar-SA" sz="1200" b="1">
              <a:solidFill>
                <a:sysClr val="window" lastClr="FFFFFF"/>
              </a:solidFill>
              <a:latin typeface="Calibri"/>
              <a:ea typeface="+mn-ea"/>
              <a:cs typeface="Arial" panose="020B0604020202020204" pitchFamily="34" charset="0"/>
            </a:rPr>
            <a:t>المجلس الاعلى للاشخاص ذوي الاعاقة، </a:t>
          </a:r>
          <a:endParaRPr lang="en-US" sz="1200" b="1">
            <a:solidFill>
              <a:sysClr val="window" lastClr="FFFFFF"/>
            </a:solidFill>
            <a:latin typeface="Calibri"/>
            <a:ea typeface="+mn-ea"/>
            <a:cs typeface="+mn-cs"/>
          </a:endParaRPr>
        </a:p>
      </dgm:t>
    </dgm:pt>
    <dgm:pt modelId="{88C060DF-5ED6-4BBD-9C16-BA12AC58BDAA}" type="sibTrans" cxnId="{C4C1F2F3-328F-448B-9CC5-2EEE598E82EA}">
      <dgm:prSet/>
      <dgm:spPr/>
      <dgm:t>
        <a:bodyPr/>
        <a:lstStyle/>
        <a:p>
          <a:endParaRPr lang="en-US"/>
        </a:p>
      </dgm:t>
    </dgm:pt>
    <dgm:pt modelId="{7E269293-24E1-4321-9D6B-44A3D5F85FE4}" type="parTrans" cxnId="{C4C1F2F3-328F-448B-9CC5-2EEE598E82EA}">
      <dgm:prSet/>
      <dgm:spPr>
        <a:xfrm>
          <a:off x="1537751" y="1865053"/>
          <a:ext cx="846344" cy="189550"/>
        </a:xfr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C386CB27-42B5-495C-A9FF-D773A7F1C6EF}">
      <dgm:prSet custT="1"/>
      <dgm:spPr>
        <a:xfrm>
          <a:off x="1250844" y="2648083"/>
          <a:ext cx="2021407" cy="501775"/>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r" rtl="1">
            <a:buNone/>
          </a:pPr>
          <a:r>
            <a:rPr lang="ar-SA" sz="1200" b="1">
              <a:solidFill>
                <a:sysClr val="window" lastClr="FFFFFF"/>
              </a:solidFill>
              <a:latin typeface="Calibri"/>
              <a:ea typeface="+mn-ea"/>
              <a:cs typeface="Arial" panose="020B0604020202020204" pitchFamily="34" charset="0"/>
            </a:rPr>
            <a:t>مؤسسات حكومية+مؤسسات غير حكومية تقدم خدمات متنوعة وتعمل في سبيل تطبيق حقوق ذوي الاعاقة</a:t>
          </a:r>
          <a:endParaRPr lang="en-US" sz="1200" b="1">
            <a:solidFill>
              <a:sysClr val="window" lastClr="FFFFFF"/>
            </a:solidFill>
            <a:latin typeface="Calibri"/>
            <a:ea typeface="+mn-ea"/>
            <a:cs typeface="+mn-cs"/>
          </a:endParaRPr>
        </a:p>
      </dgm:t>
    </dgm:pt>
    <dgm:pt modelId="{1B517AA9-220E-4C31-8402-C12362A8ED17}" type="sibTrans" cxnId="{47A8A496-3167-474F-880A-84437A515D5C}">
      <dgm:prSet/>
      <dgm:spPr/>
      <dgm:t>
        <a:bodyPr/>
        <a:lstStyle/>
        <a:p>
          <a:endParaRPr lang="en-US"/>
        </a:p>
      </dgm:t>
    </dgm:pt>
    <dgm:pt modelId="{96CD74F4-9E23-4937-8F6D-578D1EAFE0AF}" type="parTrans" cxnId="{47A8A496-3167-474F-880A-84437A515D5C}">
      <dgm:prSet/>
      <dgm:spPr>
        <a:xfrm>
          <a:off x="1139887" y="2564735"/>
          <a:ext cx="110956" cy="334236"/>
        </a:xfr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1E077819-BCA1-4DD6-9439-517EDA6345A8}">
      <dgm:prSet/>
      <dgm:spPr>
        <a:xfrm>
          <a:off x="2134017" y="2090107"/>
          <a:ext cx="1704558" cy="52111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r" rtl="1">
            <a:buNone/>
          </a:pPr>
          <a:r>
            <a:rPr lang="ar-SA" b="1">
              <a:solidFill>
                <a:sysClr val="window" lastClr="FFFFFF"/>
              </a:solidFill>
              <a:latin typeface="Calibri"/>
              <a:ea typeface="+mn-ea"/>
              <a:cs typeface="Arial" panose="020B0604020202020204" pitchFamily="34" charset="0"/>
            </a:rPr>
            <a:t>بطاقة ذوي الاعاقة+مؤسسات حكومية تعمل في مجال الاعاقة</a:t>
          </a:r>
          <a:endParaRPr lang="en-US" b="1">
            <a:solidFill>
              <a:sysClr val="window" lastClr="FFFFFF"/>
            </a:solidFill>
            <a:latin typeface="Calibri"/>
            <a:ea typeface="+mn-ea"/>
            <a:cs typeface="+mn-cs"/>
          </a:endParaRPr>
        </a:p>
      </dgm:t>
    </dgm:pt>
    <dgm:pt modelId="{CEE46F8A-71C5-452C-B268-61037204A590}" type="sibTrans" cxnId="{430C6EF5-A566-4813-9B70-B086200CC0BC}">
      <dgm:prSet/>
      <dgm:spPr/>
      <dgm:t>
        <a:bodyPr/>
        <a:lstStyle/>
        <a:p>
          <a:endParaRPr lang="en-US"/>
        </a:p>
      </dgm:t>
    </dgm:pt>
    <dgm:pt modelId="{E241C393-39AD-45BD-AC8B-C540C3374BFA}" type="parTrans" cxnId="{430C6EF5-A566-4813-9B70-B086200CC0BC}">
      <dgm:prSet/>
      <dgm:spPr>
        <a:xfrm>
          <a:off x="2384095" y="1865053"/>
          <a:ext cx="602201" cy="225053"/>
        </a:xfr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407B5065-4F26-42C6-9B3D-4ECD2EAE6842}">
      <dgm:prSet custT="1"/>
      <dgm:spPr>
        <a:xfrm>
          <a:off x="3611757" y="1113268"/>
          <a:ext cx="1298107" cy="694394"/>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r" rtl="1">
            <a:buNone/>
          </a:pPr>
          <a:r>
            <a:rPr lang="ar-SA" sz="1200" b="1">
              <a:solidFill>
                <a:sysClr val="window" lastClr="FFFFFF"/>
              </a:solidFill>
              <a:latin typeface="Calibri"/>
              <a:ea typeface="+mn-ea"/>
              <a:cs typeface="Arial" panose="020B0604020202020204" pitchFamily="34" charset="0"/>
            </a:rPr>
            <a:t>النيابة العامة </a:t>
          </a:r>
        </a:p>
        <a:p>
          <a:pPr algn="r" rtl="1">
            <a:buNone/>
          </a:pPr>
          <a:r>
            <a:rPr lang="ar-SA" sz="1200" b="1">
              <a:solidFill>
                <a:sysClr val="window" lastClr="FFFFFF"/>
              </a:solidFill>
              <a:latin typeface="Calibri"/>
              <a:ea typeface="+mn-ea"/>
              <a:cs typeface="Arial" panose="020B0604020202020204" pitchFamily="34" charset="0"/>
            </a:rPr>
            <a:t>مجلس القضاء الاعلى </a:t>
          </a:r>
        </a:p>
        <a:p>
          <a:pPr algn="r" rtl="1">
            <a:buNone/>
          </a:pPr>
          <a:r>
            <a:rPr lang="ar-SA" sz="1200" b="1">
              <a:solidFill>
                <a:sysClr val="window" lastClr="FFFFFF"/>
              </a:solidFill>
              <a:latin typeface="Calibri"/>
              <a:ea typeface="+mn-ea"/>
              <a:cs typeface="Arial" panose="020B0604020202020204" pitchFamily="34" charset="0"/>
            </a:rPr>
            <a:t>القضاء الشرعي</a:t>
          </a:r>
          <a:endParaRPr lang="en-US" sz="1200" b="1">
            <a:solidFill>
              <a:sysClr val="window" lastClr="FFFFFF"/>
            </a:solidFill>
            <a:latin typeface="Calibri"/>
            <a:ea typeface="+mn-ea"/>
            <a:cs typeface="+mn-cs"/>
          </a:endParaRPr>
        </a:p>
      </dgm:t>
    </dgm:pt>
    <dgm:pt modelId="{1C7DC82F-5BF0-4878-8822-ECFD94DAF9A2}" type="sibTrans" cxnId="{0349F642-87CE-4DE4-8E94-A12B21505A2C}">
      <dgm:prSet/>
      <dgm:spPr/>
      <dgm:t>
        <a:bodyPr/>
        <a:lstStyle/>
        <a:p>
          <a:endParaRPr lang="en-US"/>
        </a:p>
      </dgm:t>
    </dgm:pt>
    <dgm:pt modelId="{33319028-055B-420A-BAD8-1B6445281063}" type="parTrans" cxnId="{0349F642-87CE-4DE4-8E94-A12B21505A2C}">
      <dgm:prSet/>
      <dgm:spPr>
        <a:xfrm>
          <a:off x="3458343" y="961080"/>
          <a:ext cx="153414" cy="499385"/>
        </a:xfr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1699E3EF-22FC-47B4-A920-5966F88DBEEB}">
      <dgm:prSet phldrT="[Text]" custT="1"/>
      <dgm:spPr>
        <a:xfrm>
          <a:off x="3356067" y="515292"/>
          <a:ext cx="1022762" cy="445788"/>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ar-SA" sz="1000" b="1">
              <a:solidFill>
                <a:sysClr val="window" lastClr="FFFFFF"/>
              </a:solidFill>
              <a:latin typeface="Calibri"/>
              <a:ea typeface="+mn-ea"/>
              <a:cs typeface="Arial" panose="020B0604020202020204" pitchFamily="34" charset="0"/>
            </a:rPr>
            <a:t>السلطة القضائية</a:t>
          </a:r>
          <a:endParaRPr lang="en-US" sz="1000" b="1">
            <a:solidFill>
              <a:sysClr val="window" lastClr="FFFFFF"/>
            </a:solidFill>
            <a:latin typeface="Calibri"/>
            <a:ea typeface="+mn-ea"/>
            <a:cs typeface="+mn-cs"/>
          </a:endParaRPr>
        </a:p>
      </dgm:t>
    </dgm:pt>
    <dgm:pt modelId="{4CD21A61-CE96-4C02-B939-B31F6A732F4F}" type="sibTrans" cxnId="{24E92BA3-7DF8-46E3-A6B2-A05CE4F2764E}">
      <dgm:prSet/>
      <dgm:spPr/>
      <dgm:t>
        <a:bodyPr/>
        <a:lstStyle/>
        <a:p>
          <a:endParaRPr lang="en-US"/>
        </a:p>
      </dgm:t>
    </dgm:pt>
    <dgm:pt modelId="{BC3E3D91-C330-43C7-9413-356568253459}" type="parTrans" cxnId="{24E92BA3-7DF8-46E3-A6B2-A05CE4F2764E}">
      <dgm:prSet/>
      <dgm:spPr>
        <a:xfrm>
          <a:off x="2405423" y="362352"/>
          <a:ext cx="1462025" cy="152939"/>
        </a:xfrm>
        <a:noFill/>
        <a:ln w="25400" cap="flat" cmpd="sng" algn="ctr">
          <a:solidFill>
            <a:srgbClr val="4F81BD">
              <a:shade val="60000"/>
              <a:hueOff val="0"/>
              <a:satOff val="0"/>
              <a:lumOff val="0"/>
              <a:alphaOff val="0"/>
            </a:srgbClr>
          </a:solidFill>
          <a:prstDash val="solid"/>
        </a:ln>
        <a:effectLst/>
      </dgm:spPr>
      <dgm:t>
        <a:bodyPr/>
        <a:lstStyle/>
        <a:p>
          <a:endParaRPr lang="en-US"/>
        </a:p>
      </dgm:t>
    </dgm:pt>
    <dgm:pt modelId="{6B3445E5-1306-4AA3-8E3B-CCD5204F4068}" type="pres">
      <dgm:prSet presAssocID="{44C59882-9114-4752-9403-97FD21E66DE5}" presName="hierChild1" presStyleCnt="0">
        <dgm:presLayoutVars>
          <dgm:orgChart val="1"/>
          <dgm:chPref val="1"/>
          <dgm:dir/>
          <dgm:animOne val="branch"/>
          <dgm:animLvl val="lvl"/>
          <dgm:resizeHandles/>
        </dgm:presLayoutVars>
      </dgm:prSet>
      <dgm:spPr/>
    </dgm:pt>
    <dgm:pt modelId="{DA1C0662-7F5C-4199-BBB7-B580E52F4C66}" type="pres">
      <dgm:prSet presAssocID="{B9142144-BCB2-452C-AD35-D76F815DAE11}" presName="hierRoot1" presStyleCnt="0">
        <dgm:presLayoutVars>
          <dgm:hierBranch val="init"/>
        </dgm:presLayoutVars>
      </dgm:prSet>
      <dgm:spPr/>
    </dgm:pt>
    <dgm:pt modelId="{97B37042-1015-44C8-B65B-9C68EB8C1C57}" type="pres">
      <dgm:prSet presAssocID="{B9142144-BCB2-452C-AD35-D76F815DAE11}" presName="rootComposite1" presStyleCnt="0"/>
      <dgm:spPr/>
    </dgm:pt>
    <dgm:pt modelId="{AB4F87F8-FA69-457B-829A-4F6049858A92}" type="pres">
      <dgm:prSet presAssocID="{B9142144-BCB2-452C-AD35-D76F815DAE11}" presName="rootText1" presStyleLbl="node0" presStyleIdx="0" presStyleCnt="1" custLinFactNeighborX="1201" custLinFactNeighborY="-315">
        <dgm:presLayoutVars>
          <dgm:chPref val="3"/>
        </dgm:presLayoutVars>
      </dgm:prSet>
      <dgm:spPr>
        <a:prstGeom prst="rect">
          <a:avLst/>
        </a:prstGeom>
      </dgm:spPr>
    </dgm:pt>
    <dgm:pt modelId="{333E9642-940E-401F-97A7-C871F60A558F}" type="pres">
      <dgm:prSet presAssocID="{B9142144-BCB2-452C-AD35-D76F815DAE11}" presName="rootConnector1" presStyleLbl="node1" presStyleIdx="0" presStyleCnt="0"/>
      <dgm:spPr/>
    </dgm:pt>
    <dgm:pt modelId="{3FC2BF1B-FEEE-4FE4-A47C-8921650C33F2}" type="pres">
      <dgm:prSet presAssocID="{B9142144-BCB2-452C-AD35-D76F815DAE11}" presName="hierChild2" presStyleCnt="0"/>
      <dgm:spPr/>
    </dgm:pt>
    <dgm:pt modelId="{77FDC3FD-0AA0-400B-BBCD-6EA71A778AE6}" type="pres">
      <dgm:prSet presAssocID="{EC5E5591-0AA4-40CB-87EC-C08C961E82DF}" presName="Name37" presStyleLbl="parChTrans1D2" presStyleIdx="0" presStyleCnt="3"/>
      <dgm:spPr>
        <a:custGeom>
          <a:avLst/>
          <a:gdLst/>
          <a:ahLst/>
          <a:cxnLst/>
          <a:rect l="0" t="0" r="0" b="0"/>
          <a:pathLst>
            <a:path>
              <a:moveTo>
                <a:pt x="1628460" y="0"/>
              </a:moveTo>
              <a:lnTo>
                <a:pt x="1628460" y="76845"/>
              </a:lnTo>
              <a:lnTo>
                <a:pt x="0" y="76845"/>
              </a:lnTo>
              <a:lnTo>
                <a:pt x="0" y="152939"/>
              </a:lnTo>
            </a:path>
          </a:pathLst>
        </a:custGeom>
      </dgm:spPr>
    </dgm:pt>
    <dgm:pt modelId="{767C7A22-57B2-4F75-9F6B-9AC6797B4752}" type="pres">
      <dgm:prSet presAssocID="{BDFB5D6E-D280-4228-AA82-EA09856DBEDF}" presName="hierRoot2" presStyleCnt="0">
        <dgm:presLayoutVars>
          <dgm:hierBranch val="init"/>
        </dgm:presLayoutVars>
      </dgm:prSet>
      <dgm:spPr/>
    </dgm:pt>
    <dgm:pt modelId="{D4B2AB3D-18A5-49F8-95DD-9D3724F3CE3F}" type="pres">
      <dgm:prSet presAssocID="{BDFB5D6E-D280-4228-AA82-EA09856DBEDF}" presName="rootComposite" presStyleCnt="0"/>
      <dgm:spPr/>
    </dgm:pt>
    <dgm:pt modelId="{66DD63BD-A28E-4F5A-8E38-A7435657E1EC}" type="pres">
      <dgm:prSet presAssocID="{BDFB5D6E-D280-4228-AA82-EA09856DBEDF}" presName="rootText" presStyleLbl="node2" presStyleIdx="0" presStyleCnt="3">
        <dgm:presLayoutVars>
          <dgm:chPref val="3"/>
        </dgm:presLayoutVars>
      </dgm:prSet>
      <dgm:spPr>
        <a:prstGeom prst="rect">
          <a:avLst/>
        </a:prstGeom>
      </dgm:spPr>
    </dgm:pt>
    <dgm:pt modelId="{D85F87B3-F730-4FD4-844B-5B5552A58802}" type="pres">
      <dgm:prSet presAssocID="{BDFB5D6E-D280-4228-AA82-EA09856DBEDF}" presName="rootConnector" presStyleLbl="node2" presStyleIdx="0" presStyleCnt="3"/>
      <dgm:spPr/>
    </dgm:pt>
    <dgm:pt modelId="{2AE6932B-D85E-4176-9476-552B24272C97}" type="pres">
      <dgm:prSet presAssocID="{BDFB5D6E-D280-4228-AA82-EA09856DBEDF}" presName="hierChild4" presStyleCnt="0"/>
      <dgm:spPr/>
    </dgm:pt>
    <dgm:pt modelId="{523A343E-011F-473C-AE57-54F3E18AE0D6}" type="pres">
      <dgm:prSet presAssocID="{BEDB9D9C-F56B-4CA2-B905-540E3A1F8E0F}" presName="Name37" presStyleLbl="parChTrans1D3" presStyleIdx="0" presStyleCnt="3"/>
      <dgm:spPr>
        <a:custGeom>
          <a:avLst/>
          <a:gdLst/>
          <a:ahLst/>
          <a:cxnLst/>
          <a:rect l="0" t="0" r="0" b="0"/>
          <a:pathLst>
            <a:path>
              <a:moveTo>
                <a:pt x="0" y="0"/>
              </a:moveTo>
              <a:lnTo>
                <a:pt x="0" y="333364"/>
              </a:lnTo>
              <a:lnTo>
                <a:pt x="108705" y="333364"/>
              </a:lnTo>
            </a:path>
          </a:pathLst>
        </a:custGeom>
      </dgm:spPr>
    </dgm:pt>
    <dgm:pt modelId="{0141FB65-1E58-4B90-A581-4D8FC3087828}" type="pres">
      <dgm:prSet presAssocID="{720F0C17-B09A-4F08-BBDF-F01B9B672DA2}" presName="hierRoot2" presStyleCnt="0">
        <dgm:presLayoutVars>
          <dgm:hierBranch val="init"/>
        </dgm:presLayoutVars>
      </dgm:prSet>
      <dgm:spPr/>
    </dgm:pt>
    <dgm:pt modelId="{BE4B4537-B8BA-43A6-9C71-D8AB1B294B6E}" type="pres">
      <dgm:prSet presAssocID="{720F0C17-B09A-4F08-BBDF-F01B9B672DA2}" presName="rootComposite" presStyleCnt="0"/>
      <dgm:spPr/>
    </dgm:pt>
    <dgm:pt modelId="{7762417B-D5DA-40A0-B4A5-1EB5C84712BE}" type="pres">
      <dgm:prSet presAssocID="{720F0C17-B09A-4F08-BBDF-F01B9B672DA2}" presName="rootText" presStyleLbl="node3" presStyleIdx="0" presStyleCnt="3">
        <dgm:presLayoutVars>
          <dgm:chPref val="3"/>
        </dgm:presLayoutVars>
      </dgm:prSet>
      <dgm:spPr>
        <a:prstGeom prst="rect">
          <a:avLst/>
        </a:prstGeom>
      </dgm:spPr>
    </dgm:pt>
    <dgm:pt modelId="{15064EE1-AB9F-4385-9019-234A7A0291EF}" type="pres">
      <dgm:prSet presAssocID="{720F0C17-B09A-4F08-BBDF-F01B9B672DA2}" presName="rootConnector" presStyleLbl="node3" presStyleIdx="0" presStyleCnt="3"/>
      <dgm:spPr/>
    </dgm:pt>
    <dgm:pt modelId="{7ED037A3-044B-47D9-A350-A6A35CFA785A}" type="pres">
      <dgm:prSet presAssocID="{720F0C17-B09A-4F08-BBDF-F01B9B672DA2}" presName="hierChild4" presStyleCnt="0"/>
      <dgm:spPr/>
    </dgm:pt>
    <dgm:pt modelId="{755A1F2D-A3EA-4E8B-8728-C15DC87F77C7}" type="pres">
      <dgm:prSet presAssocID="{720F0C17-B09A-4F08-BBDF-F01B9B672DA2}" presName="hierChild5" presStyleCnt="0"/>
      <dgm:spPr/>
    </dgm:pt>
    <dgm:pt modelId="{8BF041CC-86D2-4A4F-A75C-2807444058A7}" type="pres">
      <dgm:prSet presAssocID="{BDFB5D6E-D280-4228-AA82-EA09856DBEDF}" presName="hierChild5" presStyleCnt="0"/>
      <dgm:spPr/>
    </dgm:pt>
    <dgm:pt modelId="{9BF93B13-69F5-4351-BBE2-ED2899B32154}" type="pres">
      <dgm:prSet presAssocID="{585EA1ED-22AE-45C3-913B-04BE2CB4BBAE}" presName="Name37" presStyleLbl="parChTrans1D2" presStyleIdx="1" presStyleCnt="3"/>
      <dgm:spPr>
        <a:custGeom>
          <a:avLst/>
          <a:gdLst/>
          <a:ahLst/>
          <a:cxnLst/>
          <a:rect l="0" t="0" r="0" b="0"/>
          <a:pathLst>
            <a:path>
              <a:moveTo>
                <a:pt x="45720" y="0"/>
              </a:moveTo>
              <a:lnTo>
                <a:pt x="45720" y="76845"/>
              </a:lnTo>
              <a:lnTo>
                <a:pt x="106421" y="76845"/>
              </a:lnTo>
              <a:lnTo>
                <a:pt x="106421" y="152939"/>
              </a:lnTo>
            </a:path>
          </a:pathLst>
        </a:custGeom>
      </dgm:spPr>
    </dgm:pt>
    <dgm:pt modelId="{68A022D9-6704-4856-A6C9-6C7D1EA89009}" type="pres">
      <dgm:prSet presAssocID="{17A82B86-4D37-41F2-BC1B-5303112D775B}" presName="hierRoot2" presStyleCnt="0">
        <dgm:presLayoutVars>
          <dgm:hierBranch val="init"/>
        </dgm:presLayoutVars>
      </dgm:prSet>
      <dgm:spPr/>
    </dgm:pt>
    <dgm:pt modelId="{631EB699-9EB8-4AE1-A353-5C3EA9D07B7D}" type="pres">
      <dgm:prSet presAssocID="{17A82B86-4D37-41F2-BC1B-5303112D775B}" presName="rootComposite" presStyleCnt="0"/>
      <dgm:spPr/>
    </dgm:pt>
    <dgm:pt modelId="{6C5B4DF8-0642-45EF-8F2A-E642D6532B7F}" type="pres">
      <dgm:prSet presAssocID="{17A82B86-4D37-41F2-BC1B-5303112D775B}" presName="rootText" presStyleLbl="node2" presStyleIdx="1" presStyleCnt="3">
        <dgm:presLayoutVars>
          <dgm:chPref val="3"/>
        </dgm:presLayoutVars>
      </dgm:prSet>
      <dgm:spPr>
        <a:prstGeom prst="rect">
          <a:avLst/>
        </a:prstGeom>
      </dgm:spPr>
    </dgm:pt>
    <dgm:pt modelId="{97A8940F-54ED-4936-BD1D-5D6CB73A7BB9}" type="pres">
      <dgm:prSet presAssocID="{17A82B86-4D37-41F2-BC1B-5303112D775B}" presName="rootConnector" presStyleLbl="node2" presStyleIdx="1" presStyleCnt="3"/>
      <dgm:spPr/>
    </dgm:pt>
    <dgm:pt modelId="{750B1BB6-5C62-4D0B-BBBE-86CC9A9DAA65}" type="pres">
      <dgm:prSet presAssocID="{17A82B86-4D37-41F2-BC1B-5303112D775B}" presName="hierChild4" presStyleCnt="0"/>
      <dgm:spPr/>
    </dgm:pt>
    <dgm:pt modelId="{D38A5921-99EE-46CF-99A0-DE13803412D6}" type="pres">
      <dgm:prSet presAssocID="{0820DFED-8959-4BF5-9341-E3971806E8E5}" presName="Name37" presStyleLbl="parChTrans1D3" presStyleIdx="1" presStyleCnt="3"/>
      <dgm:spPr>
        <a:custGeom>
          <a:avLst/>
          <a:gdLst/>
          <a:ahLst/>
          <a:cxnLst/>
          <a:rect l="0" t="0" r="0" b="0"/>
          <a:pathLst>
            <a:path>
              <a:moveTo>
                <a:pt x="127749" y="0"/>
              </a:moveTo>
              <a:lnTo>
                <a:pt x="127749" y="38731"/>
              </a:lnTo>
              <a:lnTo>
                <a:pt x="45720" y="38731"/>
              </a:lnTo>
              <a:lnTo>
                <a:pt x="45720" y="114826"/>
              </a:lnTo>
            </a:path>
          </a:pathLst>
        </a:custGeom>
      </dgm:spPr>
    </dgm:pt>
    <dgm:pt modelId="{D4B3E0D2-6FFF-4D41-8E22-2EB5D9542EEE}" type="pres">
      <dgm:prSet presAssocID="{FC8ADF35-65EB-4F6B-94F4-067702EA6292}" presName="hierRoot2" presStyleCnt="0">
        <dgm:presLayoutVars>
          <dgm:hierBranch val="init"/>
        </dgm:presLayoutVars>
      </dgm:prSet>
      <dgm:spPr/>
    </dgm:pt>
    <dgm:pt modelId="{B152E654-8297-4C04-84DA-74EDE4A7431F}" type="pres">
      <dgm:prSet presAssocID="{FC8ADF35-65EB-4F6B-94F4-067702EA6292}" presName="rootComposite" presStyleCnt="0"/>
      <dgm:spPr/>
    </dgm:pt>
    <dgm:pt modelId="{A7673C49-DAD4-4DDF-90A8-B39A2B94B360}" type="pres">
      <dgm:prSet presAssocID="{FC8ADF35-65EB-4F6B-94F4-067702EA6292}" presName="rootText" presStyleLbl="node3" presStyleIdx="1" presStyleCnt="3" custScaleX="274165" custScaleY="240810" custLinFactNeighborX="-11319" custLinFactNeighborY="-10311">
        <dgm:presLayoutVars>
          <dgm:chPref val="3"/>
        </dgm:presLayoutVars>
      </dgm:prSet>
      <dgm:spPr>
        <a:prstGeom prst="rect">
          <a:avLst/>
        </a:prstGeom>
      </dgm:spPr>
    </dgm:pt>
    <dgm:pt modelId="{60BB5AC1-D018-47C4-BAD3-D8D97E3C72EA}" type="pres">
      <dgm:prSet presAssocID="{FC8ADF35-65EB-4F6B-94F4-067702EA6292}" presName="rootConnector" presStyleLbl="node3" presStyleIdx="1" presStyleCnt="3"/>
      <dgm:spPr/>
    </dgm:pt>
    <dgm:pt modelId="{43F000C3-5A9E-4ADC-AAB4-9F1BE0196D28}" type="pres">
      <dgm:prSet presAssocID="{FC8ADF35-65EB-4F6B-94F4-067702EA6292}" presName="hierChild4" presStyleCnt="0"/>
      <dgm:spPr/>
    </dgm:pt>
    <dgm:pt modelId="{1CC6E8C3-8B06-4B8D-A80E-D330D253BDBE}" type="pres">
      <dgm:prSet presAssocID="{7E269293-24E1-4321-9D6B-44A3D5F85FE4}" presName="Name37" presStyleLbl="parChTrans1D4" presStyleIdx="0" presStyleCnt="3"/>
      <dgm:spPr>
        <a:custGeom>
          <a:avLst/>
          <a:gdLst/>
          <a:ahLst/>
          <a:cxnLst/>
          <a:rect l="0" t="0" r="0" b="0"/>
          <a:pathLst>
            <a:path>
              <a:moveTo>
                <a:pt x="846344" y="0"/>
              </a:moveTo>
              <a:lnTo>
                <a:pt x="846344" y="113456"/>
              </a:lnTo>
              <a:lnTo>
                <a:pt x="0" y="113456"/>
              </a:lnTo>
              <a:lnTo>
                <a:pt x="0" y="189550"/>
              </a:lnTo>
            </a:path>
          </a:pathLst>
        </a:custGeom>
      </dgm:spPr>
    </dgm:pt>
    <dgm:pt modelId="{72C2EDE9-F0E9-4179-98B9-B42D1FCD628B}" type="pres">
      <dgm:prSet presAssocID="{9E648BB9-A334-4FE1-B71C-49849527352F}" presName="hierRoot2" presStyleCnt="0">
        <dgm:presLayoutVars>
          <dgm:hierBranch val="init"/>
        </dgm:presLayoutVars>
      </dgm:prSet>
      <dgm:spPr/>
    </dgm:pt>
    <dgm:pt modelId="{2423E5A1-B315-47D3-842A-C4FF303136CB}" type="pres">
      <dgm:prSet presAssocID="{9E648BB9-A334-4FE1-B71C-49849527352F}" presName="rootComposite" presStyleCnt="0"/>
      <dgm:spPr/>
    </dgm:pt>
    <dgm:pt modelId="{FC6732CE-DB29-46F3-B128-F602D2EB72EE}" type="pres">
      <dgm:prSet presAssocID="{9E648BB9-A334-4FE1-B71C-49849527352F}" presName="rootText" presStyleLbl="node4" presStyleIdx="0" presStyleCnt="3" custScaleX="137250" custScaleY="140783">
        <dgm:presLayoutVars>
          <dgm:chPref val="3"/>
        </dgm:presLayoutVars>
      </dgm:prSet>
      <dgm:spPr>
        <a:prstGeom prst="rect">
          <a:avLst/>
        </a:prstGeom>
      </dgm:spPr>
    </dgm:pt>
    <dgm:pt modelId="{42A23CA7-3DD5-4FA5-BC5C-BE6BBF76E782}" type="pres">
      <dgm:prSet presAssocID="{9E648BB9-A334-4FE1-B71C-49849527352F}" presName="rootConnector" presStyleLbl="node4" presStyleIdx="0" presStyleCnt="3"/>
      <dgm:spPr/>
    </dgm:pt>
    <dgm:pt modelId="{90B336D9-4C8F-4365-8D31-238F9CB45BE4}" type="pres">
      <dgm:prSet presAssocID="{9E648BB9-A334-4FE1-B71C-49849527352F}" presName="hierChild4" presStyleCnt="0"/>
      <dgm:spPr/>
    </dgm:pt>
    <dgm:pt modelId="{F6BCCB65-56AB-4A09-AC89-00EDBD36EC42}" type="pres">
      <dgm:prSet presAssocID="{96CD74F4-9E23-4937-8F6D-578D1EAFE0AF}" presName="Name37" presStyleLbl="parChTrans1D4" presStyleIdx="1" presStyleCnt="3"/>
      <dgm:spPr>
        <a:custGeom>
          <a:avLst/>
          <a:gdLst/>
          <a:ahLst/>
          <a:cxnLst/>
          <a:rect l="0" t="0" r="0" b="0"/>
          <a:pathLst>
            <a:path>
              <a:moveTo>
                <a:pt x="0" y="0"/>
              </a:moveTo>
              <a:lnTo>
                <a:pt x="0" y="334236"/>
              </a:lnTo>
              <a:lnTo>
                <a:pt x="110956" y="334236"/>
              </a:lnTo>
            </a:path>
          </a:pathLst>
        </a:custGeom>
      </dgm:spPr>
    </dgm:pt>
    <dgm:pt modelId="{04D24EB7-0CC9-49FF-A54D-3C6279FBC13B}" type="pres">
      <dgm:prSet presAssocID="{C386CB27-42B5-495C-A9FF-D773A7F1C6EF}" presName="hierRoot2" presStyleCnt="0">
        <dgm:presLayoutVars>
          <dgm:hierBranch val="init"/>
        </dgm:presLayoutVars>
      </dgm:prSet>
      <dgm:spPr/>
    </dgm:pt>
    <dgm:pt modelId="{50075BE9-F630-40B7-AE92-EDF849BB73A7}" type="pres">
      <dgm:prSet presAssocID="{C386CB27-42B5-495C-A9FF-D773A7F1C6EF}" presName="rootComposite" presStyleCnt="0"/>
      <dgm:spPr/>
    </dgm:pt>
    <dgm:pt modelId="{39D1CE77-2702-4D0E-B974-F3C227752D83}" type="pres">
      <dgm:prSet presAssocID="{C386CB27-42B5-495C-A9FF-D773A7F1C6EF}" presName="rootText" presStyleLbl="node4" presStyleIdx="1" presStyleCnt="3" custScaleX="278928" custScaleY="138477" custLinFactNeighborX="-5277" custLinFactNeighborY="-18998">
        <dgm:presLayoutVars>
          <dgm:chPref val="3"/>
        </dgm:presLayoutVars>
      </dgm:prSet>
      <dgm:spPr>
        <a:prstGeom prst="rect">
          <a:avLst/>
        </a:prstGeom>
      </dgm:spPr>
    </dgm:pt>
    <dgm:pt modelId="{01FB194D-F1D1-4905-84C0-D4DE0B8A87DB}" type="pres">
      <dgm:prSet presAssocID="{C386CB27-42B5-495C-A9FF-D773A7F1C6EF}" presName="rootConnector" presStyleLbl="node4" presStyleIdx="1" presStyleCnt="3"/>
      <dgm:spPr/>
    </dgm:pt>
    <dgm:pt modelId="{B390CF34-83C0-472C-AB60-7F9841C762D4}" type="pres">
      <dgm:prSet presAssocID="{C386CB27-42B5-495C-A9FF-D773A7F1C6EF}" presName="hierChild4" presStyleCnt="0"/>
      <dgm:spPr/>
    </dgm:pt>
    <dgm:pt modelId="{A3BED8DB-C034-439E-BA7A-BA8BD8636590}" type="pres">
      <dgm:prSet presAssocID="{C386CB27-42B5-495C-A9FF-D773A7F1C6EF}" presName="hierChild5" presStyleCnt="0"/>
      <dgm:spPr/>
    </dgm:pt>
    <dgm:pt modelId="{8D31CD1E-324D-48A1-9ACD-1A1270789A17}" type="pres">
      <dgm:prSet presAssocID="{9E648BB9-A334-4FE1-B71C-49849527352F}" presName="hierChild5" presStyleCnt="0"/>
      <dgm:spPr/>
    </dgm:pt>
    <dgm:pt modelId="{CB4377AF-12C1-4F39-9554-A3814A290174}" type="pres">
      <dgm:prSet presAssocID="{E241C393-39AD-45BD-AC8B-C540C3374BFA}" presName="Name37" presStyleLbl="parChTrans1D4" presStyleIdx="2" presStyleCnt="3"/>
      <dgm:spPr>
        <a:custGeom>
          <a:avLst/>
          <a:gdLst/>
          <a:ahLst/>
          <a:cxnLst/>
          <a:rect l="0" t="0" r="0" b="0"/>
          <a:pathLst>
            <a:path>
              <a:moveTo>
                <a:pt x="0" y="0"/>
              </a:moveTo>
              <a:lnTo>
                <a:pt x="0" y="148959"/>
              </a:lnTo>
              <a:lnTo>
                <a:pt x="602201" y="148959"/>
              </a:lnTo>
              <a:lnTo>
                <a:pt x="602201" y="225053"/>
              </a:lnTo>
            </a:path>
          </a:pathLst>
        </a:custGeom>
      </dgm:spPr>
    </dgm:pt>
    <dgm:pt modelId="{BE039C90-4315-4082-8DDB-995DC55E7ECF}" type="pres">
      <dgm:prSet presAssocID="{1E077819-BCA1-4DD6-9439-517EDA6345A8}" presName="hierRoot2" presStyleCnt="0">
        <dgm:presLayoutVars>
          <dgm:hierBranch val="init"/>
        </dgm:presLayoutVars>
      </dgm:prSet>
      <dgm:spPr/>
    </dgm:pt>
    <dgm:pt modelId="{D1304C00-329C-48E4-8358-292C94F5BF02}" type="pres">
      <dgm:prSet presAssocID="{1E077819-BCA1-4DD6-9439-517EDA6345A8}" presName="rootComposite" presStyleCnt="0"/>
      <dgm:spPr/>
    </dgm:pt>
    <dgm:pt modelId="{165C7384-2D46-4474-80B6-E928517ACDD1}" type="pres">
      <dgm:prSet presAssocID="{1E077819-BCA1-4DD6-9439-517EDA6345A8}" presName="rootText" presStyleLbl="node4" presStyleIdx="2" presStyleCnt="3" custScaleX="235207" custScaleY="143813" custLinFactNeighborX="-7348" custLinFactNeighborY="9798">
        <dgm:presLayoutVars>
          <dgm:chPref val="3"/>
        </dgm:presLayoutVars>
      </dgm:prSet>
      <dgm:spPr>
        <a:prstGeom prst="rect">
          <a:avLst/>
        </a:prstGeom>
      </dgm:spPr>
    </dgm:pt>
    <dgm:pt modelId="{3083C270-A987-4B23-BBCC-1E6ADF06F021}" type="pres">
      <dgm:prSet presAssocID="{1E077819-BCA1-4DD6-9439-517EDA6345A8}" presName="rootConnector" presStyleLbl="node4" presStyleIdx="2" presStyleCnt="3"/>
      <dgm:spPr/>
    </dgm:pt>
    <dgm:pt modelId="{9951EC54-2BF1-4685-BAC8-57F4F9ABC427}" type="pres">
      <dgm:prSet presAssocID="{1E077819-BCA1-4DD6-9439-517EDA6345A8}" presName="hierChild4" presStyleCnt="0"/>
      <dgm:spPr/>
    </dgm:pt>
    <dgm:pt modelId="{8FEB1A89-E3B7-42BF-ABFF-3EFB791650E8}" type="pres">
      <dgm:prSet presAssocID="{1E077819-BCA1-4DD6-9439-517EDA6345A8}" presName="hierChild5" presStyleCnt="0"/>
      <dgm:spPr/>
    </dgm:pt>
    <dgm:pt modelId="{B9B63C44-E165-4BCB-A967-4361A50560BA}" type="pres">
      <dgm:prSet presAssocID="{FC8ADF35-65EB-4F6B-94F4-067702EA6292}" presName="hierChild5" presStyleCnt="0"/>
      <dgm:spPr/>
    </dgm:pt>
    <dgm:pt modelId="{7748C8F9-A04C-4554-A3E4-36F267D97FDC}" type="pres">
      <dgm:prSet presAssocID="{17A82B86-4D37-41F2-BC1B-5303112D775B}" presName="hierChild5" presStyleCnt="0"/>
      <dgm:spPr/>
    </dgm:pt>
    <dgm:pt modelId="{6896F329-896F-4F85-8C09-A7FCCE043646}" type="pres">
      <dgm:prSet presAssocID="{BC3E3D91-C330-43C7-9413-356568253459}" presName="Name37" presStyleLbl="parChTrans1D2" presStyleIdx="2" presStyleCnt="3"/>
      <dgm:spPr>
        <a:custGeom>
          <a:avLst/>
          <a:gdLst/>
          <a:ahLst/>
          <a:cxnLst/>
          <a:rect l="0" t="0" r="0" b="0"/>
          <a:pathLst>
            <a:path>
              <a:moveTo>
                <a:pt x="0" y="0"/>
              </a:moveTo>
              <a:lnTo>
                <a:pt x="0" y="76845"/>
              </a:lnTo>
              <a:lnTo>
                <a:pt x="1462025" y="76845"/>
              </a:lnTo>
              <a:lnTo>
                <a:pt x="1462025" y="152939"/>
              </a:lnTo>
            </a:path>
          </a:pathLst>
        </a:custGeom>
      </dgm:spPr>
    </dgm:pt>
    <dgm:pt modelId="{55EC92E2-D828-48F8-B147-B0AA4BAA556A}" type="pres">
      <dgm:prSet presAssocID="{1699E3EF-22FC-47B4-A920-5966F88DBEEB}" presName="hierRoot2" presStyleCnt="0">
        <dgm:presLayoutVars>
          <dgm:hierBranch val="init"/>
        </dgm:presLayoutVars>
      </dgm:prSet>
      <dgm:spPr/>
    </dgm:pt>
    <dgm:pt modelId="{D2270C66-4BB1-4715-AF3D-9FA1E22E1C41}" type="pres">
      <dgm:prSet presAssocID="{1699E3EF-22FC-47B4-A920-5966F88DBEEB}" presName="rootComposite" presStyleCnt="0"/>
      <dgm:spPr/>
    </dgm:pt>
    <dgm:pt modelId="{5CDCB31D-9B78-401B-80F3-067CBCC79311}" type="pres">
      <dgm:prSet presAssocID="{1699E3EF-22FC-47B4-A920-5966F88DBEEB}" presName="rootText" presStyleLbl="node2" presStyleIdx="2" presStyleCnt="3" custScaleX="141128" custScaleY="123026">
        <dgm:presLayoutVars>
          <dgm:chPref val="3"/>
        </dgm:presLayoutVars>
      </dgm:prSet>
      <dgm:spPr>
        <a:prstGeom prst="rect">
          <a:avLst/>
        </a:prstGeom>
      </dgm:spPr>
    </dgm:pt>
    <dgm:pt modelId="{DA3DB57D-5643-4F80-B798-55D7073C0DF5}" type="pres">
      <dgm:prSet presAssocID="{1699E3EF-22FC-47B4-A920-5966F88DBEEB}" presName="rootConnector" presStyleLbl="node2" presStyleIdx="2" presStyleCnt="3"/>
      <dgm:spPr/>
    </dgm:pt>
    <dgm:pt modelId="{E722EAB7-E27A-4047-8CC5-85C38193017F}" type="pres">
      <dgm:prSet presAssocID="{1699E3EF-22FC-47B4-A920-5966F88DBEEB}" presName="hierChild4" presStyleCnt="0"/>
      <dgm:spPr/>
    </dgm:pt>
    <dgm:pt modelId="{44F6C670-80A7-49E9-81B1-38CE39E119A3}" type="pres">
      <dgm:prSet presAssocID="{33319028-055B-420A-BAD8-1B6445281063}" presName="Name37" presStyleLbl="parChTrans1D3" presStyleIdx="2" presStyleCnt="3"/>
      <dgm:spPr>
        <a:custGeom>
          <a:avLst/>
          <a:gdLst/>
          <a:ahLst/>
          <a:cxnLst/>
          <a:rect l="0" t="0" r="0" b="0"/>
          <a:pathLst>
            <a:path>
              <a:moveTo>
                <a:pt x="0" y="0"/>
              </a:moveTo>
              <a:lnTo>
                <a:pt x="0" y="499385"/>
              </a:lnTo>
              <a:lnTo>
                <a:pt x="153414" y="499385"/>
              </a:lnTo>
            </a:path>
          </a:pathLst>
        </a:custGeom>
      </dgm:spPr>
    </dgm:pt>
    <dgm:pt modelId="{B3C2DD58-4C4B-4F9E-9BCB-764188FE7714}" type="pres">
      <dgm:prSet presAssocID="{407B5065-4F26-42C6-9B3D-4ECD2EAE6842}" presName="hierRoot2" presStyleCnt="0">
        <dgm:presLayoutVars>
          <dgm:hierBranch val="init"/>
        </dgm:presLayoutVars>
      </dgm:prSet>
      <dgm:spPr/>
    </dgm:pt>
    <dgm:pt modelId="{A28E4452-D49F-45C3-9A49-1666BD60F116}" type="pres">
      <dgm:prSet presAssocID="{407B5065-4F26-42C6-9B3D-4ECD2EAE6842}" presName="rootComposite" presStyleCnt="0"/>
      <dgm:spPr/>
    </dgm:pt>
    <dgm:pt modelId="{D2632152-6CDC-44D9-8800-939423A2E3F5}" type="pres">
      <dgm:prSet presAssocID="{407B5065-4F26-42C6-9B3D-4ECD2EAE6842}" presName="rootText" presStyleLbl="node3" presStyleIdx="2" presStyleCnt="3" custScaleX="179122" custScaleY="191635">
        <dgm:presLayoutVars>
          <dgm:chPref val="3"/>
        </dgm:presLayoutVars>
      </dgm:prSet>
      <dgm:spPr>
        <a:prstGeom prst="rect">
          <a:avLst/>
        </a:prstGeom>
      </dgm:spPr>
    </dgm:pt>
    <dgm:pt modelId="{B0AB4301-8D04-4371-AD93-0C465C2B421B}" type="pres">
      <dgm:prSet presAssocID="{407B5065-4F26-42C6-9B3D-4ECD2EAE6842}" presName="rootConnector" presStyleLbl="node3" presStyleIdx="2" presStyleCnt="3"/>
      <dgm:spPr/>
    </dgm:pt>
    <dgm:pt modelId="{2A9C7166-AE9B-4E4D-884F-6C2D98DE337B}" type="pres">
      <dgm:prSet presAssocID="{407B5065-4F26-42C6-9B3D-4ECD2EAE6842}" presName="hierChild4" presStyleCnt="0"/>
      <dgm:spPr/>
    </dgm:pt>
    <dgm:pt modelId="{8352E2E2-144F-4A6B-975E-F1A7BEF69BF4}" type="pres">
      <dgm:prSet presAssocID="{407B5065-4F26-42C6-9B3D-4ECD2EAE6842}" presName="hierChild5" presStyleCnt="0"/>
      <dgm:spPr/>
    </dgm:pt>
    <dgm:pt modelId="{43AF5E71-AF02-43F2-8403-E7C6437797B9}" type="pres">
      <dgm:prSet presAssocID="{1699E3EF-22FC-47B4-A920-5966F88DBEEB}" presName="hierChild5" presStyleCnt="0"/>
      <dgm:spPr/>
    </dgm:pt>
    <dgm:pt modelId="{4CF6DFA6-5AE5-473A-886B-77F22F3CF076}" type="pres">
      <dgm:prSet presAssocID="{B9142144-BCB2-452C-AD35-D76F815DAE11}" presName="hierChild3" presStyleCnt="0"/>
      <dgm:spPr/>
    </dgm:pt>
  </dgm:ptLst>
  <dgm:cxnLst>
    <dgm:cxn modelId="{2414C401-B46A-4A7B-833C-B64A9F83AC29}" type="presOf" srcId="{9E648BB9-A334-4FE1-B71C-49849527352F}" destId="{42A23CA7-3DD5-4FA5-BC5C-BE6BBF76E782}" srcOrd="1" destOrd="0" presId="urn:microsoft.com/office/officeart/2005/8/layout/orgChart1"/>
    <dgm:cxn modelId="{4FF7D20B-5095-47A6-809A-9F3B66471E87}" srcId="{17A82B86-4D37-41F2-BC1B-5303112D775B}" destId="{FC8ADF35-65EB-4F6B-94F4-067702EA6292}" srcOrd="0" destOrd="0" parTransId="{0820DFED-8959-4BF5-9341-E3971806E8E5}" sibTransId="{EF63EF04-FD7D-4D37-94CC-D2AD8737AF57}"/>
    <dgm:cxn modelId="{956A920F-D876-4F89-9A72-69EF84253821}" type="presOf" srcId="{96CD74F4-9E23-4937-8F6D-578D1EAFE0AF}" destId="{F6BCCB65-56AB-4A09-AC89-00EDBD36EC42}" srcOrd="0" destOrd="0" presId="urn:microsoft.com/office/officeart/2005/8/layout/orgChart1"/>
    <dgm:cxn modelId="{BC5B5510-3B02-46EE-92AC-9515333CB76C}" type="presOf" srcId="{B9142144-BCB2-452C-AD35-D76F815DAE11}" destId="{333E9642-940E-401F-97A7-C871F60A558F}" srcOrd="1" destOrd="0" presId="urn:microsoft.com/office/officeart/2005/8/layout/orgChart1"/>
    <dgm:cxn modelId="{910E4415-7612-41E2-8AEA-DCAF266BCE96}" type="presOf" srcId="{7E269293-24E1-4321-9D6B-44A3D5F85FE4}" destId="{1CC6E8C3-8B06-4B8D-A80E-D330D253BDBE}" srcOrd="0" destOrd="0" presId="urn:microsoft.com/office/officeart/2005/8/layout/orgChart1"/>
    <dgm:cxn modelId="{2F798719-E745-4C16-80B3-4316138B8221}" type="presOf" srcId="{44C59882-9114-4752-9403-97FD21E66DE5}" destId="{6B3445E5-1306-4AA3-8E3B-CCD5204F4068}" srcOrd="0" destOrd="0" presId="urn:microsoft.com/office/officeart/2005/8/layout/orgChart1"/>
    <dgm:cxn modelId="{8735671B-AF82-4110-B5EC-D0A4BF48C583}" srcId="{BDFB5D6E-D280-4228-AA82-EA09856DBEDF}" destId="{720F0C17-B09A-4F08-BBDF-F01B9B672DA2}" srcOrd="0" destOrd="0" parTransId="{BEDB9D9C-F56B-4CA2-B905-540E3A1F8E0F}" sibTransId="{AE40AACF-9589-4F7B-850B-21C8DA224841}"/>
    <dgm:cxn modelId="{9AD58620-28BF-443E-95C4-A74104D6500A}" type="presOf" srcId="{17A82B86-4D37-41F2-BC1B-5303112D775B}" destId="{97A8940F-54ED-4936-BD1D-5D6CB73A7BB9}" srcOrd="1" destOrd="0" presId="urn:microsoft.com/office/officeart/2005/8/layout/orgChart1"/>
    <dgm:cxn modelId="{75E31724-A0F2-4FAE-951C-88AB0CE520CC}" type="presOf" srcId="{C386CB27-42B5-495C-A9FF-D773A7F1C6EF}" destId="{01FB194D-F1D1-4905-84C0-D4DE0B8A87DB}" srcOrd="1" destOrd="0" presId="urn:microsoft.com/office/officeart/2005/8/layout/orgChart1"/>
    <dgm:cxn modelId="{493D422A-2DCD-407C-B9FE-2A2C2353768C}" type="presOf" srcId="{407B5065-4F26-42C6-9B3D-4ECD2EAE6842}" destId="{B0AB4301-8D04-4371-AD93-0C465C2B421B}" srcOrd="1" destOrd="0" presId="urn:microsoft.com/office/officeart/2005/8/layout/orgChart1"/>
    <dgm:cxn modelId="{45F63331-06F1-4C57-8DB0-F79BD1337B79}" type="presOf" srcId="{B9142144-BCB2-452C-AD35-D76F815DAE11}" destId="{AB4F87F8-FA69-457B-829A-4F6049858A92}" srcOrd="0" destOrd="0" presId="urn:microsoft.com/office/officeart/2005/8/layout/orgChart1"/>
    <dgm:cxn modelId="{2E2C7536-8FB5-470B-8B22-001C52EA08A3}" type="presOf" srcId="{0820DFED-8959-4BF5-9341-E3971806E8E5}" destId="{D38A5921-99EE-46CF-99A0-DE13803412D6}" srcOrd="0" destOrd="0" presId="urn:microsoft.com/office/officeart/2005/8/layout/orgChart1"/>
    <dgm:cxn modelId="{CA67D43A-5901-42E9-84A2-B1766CA80D5C}" type="presOf" srcId="{BEDB9D9C-F56B-4CA2-B905-540E3A1F8E0F}" destId="{523A343E-011F-473C-AE57-54F3E18AE0D6}" srcOrd="0" destOrd="0" presId="urn:microsoft.com/office/officeart/2005/8/layout/orgChart1"/>
    <dgm:cxn modelId="{471D9040-3FDE-4149-835E-465D7D1445CD}" type="presOf" srcId="{17A82B86-4D37-41F2-BC1B-5303112D775B}" destId="{6C5B4DF8-0642-45EF-8F2A-E642D6532B7F}" srcOrd="0" destOrd="0" presId="urn:microsoft.com/office/officeart/2005/8/layout/orgChart1"/>
    <dgm:cxn modelId="{78515360-4973-4956-B775-78B525060A5F}" type="presOf" srcId="{585EA1ED-22AE-45C3-913B-04BE2CB4BBAE}" destId="{9BF93B13-69F5-4351-BBE2-ED2899B32154}" srcOrd="0" destOrd="0" presId="urn:microsoft.com/office/officeart/2005/8/layout/orgChart1"/>
    <dgm:cxn modelId="{0349F642-87CE-4DE4-8E94-A12B21505A2C}" srcId="{1699E3EF-22FC-47B4-A920-5966F88DBEEB}" destId="{407B5065-4F26-42C6-9B3D-4ECD2EAE6842}" srcOrd="0" destOrd="0" parTransId="{33319028-055B-420A-BAD8-1B6445281063}" sibTransId="{1C7DC82F-5BF0-4878-8822-ECFD94DAF9A2}"/>
    <dgm:cxn modelId="{131E6347-D6EB-4322-8F31-93810957A09B}" type="presOf" srcId="{C386CB27-42B5-495C-A9FF-D773A7F1C6EF}" destId="{39D1CE77-2702-4D0E-B974-F3C227752D83}" srcOrd="0" destOrd="0" presId="urn:microsoft.com/office/officeart/2005/8/layout/orgChart1"/>
    <dgm:cxn modelId="{AEF4506A-E61D-4517-8C24-C64A5878D982}" type="presOf" srcId="{33319028-055B-420A-BAD8-1B6445281063}" destId="{44F6C670-80A7-49E9-81B1-38CE39E119A3}" srcOrd="0" destOrd="0" presId="urn:microsoft.com/office/officeart/2005/8/layout/orgChart1"/>
    <dgm:cxn modelId="{2867594C-E5A3-4815-925C-A064AEA58097}" srcId="{B9142144-BCB2-452C-AD35-D76F815DAE11}" destId="{17A82B86-4D37-41F2-BC1B-5303112D775B}" srcOrd="1" destOrd="0" parTransId="{585EA1ED-22AE-45C3-913B-04BE2CB4BBAE}" sibTransId="{65ACA0E0-2D6E-471E-BDEE-3E7E94B9551D}"/>
    <dgm:cxn modelId="{6311056F-99A4-42F1-B629-CF451AC4A71F}" type="presOf" srcId="{EC5E5591-0AA4-40CB-87EC-C08C961E82DF}" destId="{77FDC3FD-0AA0-400B-BBCD-6EA71A778AE6}" srcOrd="0" destOrd="0" presId="urn:microsoft.com/office/officeart/2005/8/layout/orgChart1"/>
    <dgm:cxn modelId="{BEFFBC7A-E877-4AF7-94F9-1767955D5C92}" srcId="{B9142144-BCB2-452C-AD35-D76F815DAE11}" destId="{BDFB5D6E-D280-4228-AA82-EA09856DBEDF}" srcOrd="0" destOrd="0" parTransId="{EC5E5591-0AA4-40CB-87EC-C08C961E82DF}" sibTransId="{02E35ABB-2D56-4C8C-BA5C-495633A5AEDB}"/>
    <dgm:cxn modelId="{39321D80-E602-439D-9ABF-8B7926C5CF3C}" type="presOf" srcId="{720F0C17-B09A-4F08-BBDF-F01B9B672DA2}" destId="{15064EE1-AB9F-4385-9019-234A7A0291EF}" srcOrd="1" destOrd="0" presId="urn:microsoft.com/office/officeart/2005/8/layout/orgChart1"/>
    <dgm:cxn modelId="{A473A383-78E2-439E-95D2-62FC6C6BFC29}" type="presOf" srcId="{407B5065-4F26-42C6-9B3D-4ECD2EAE6842}" destId="{D2632152-6CDC-44D9-8800-939423A2E3F5}" srcOrd="0" destOrd="0" presId="urn:microsoft.com/office/officeart/2005/8/layout/orgChart1"/>
    <dgm:cxn modelId="{96BEFF83-D32F-4491-95B6-096123B54925}" type="presOf" srcId="{1699E3EF-22FC-47B4-A920-5966F88DBEEB}" destId="{DA3DB57D-5643-4F80-B798-55D7073C0DF5}" srcOrd="1" destOrd="0" presId="urn:microsoft.com/office/officeart/2005/8/layout/orgChart1"/>
    <dgm:cxn modelId="{35040B95-D385-4E46-93C7-864FA82CEB52}" type="presOf" srcId="{FC8ADF35-65EB-4F6B-94F4-067702EA6292}" destId="{60BB5AC1-D018-47C4-BAD3-D8D97E3C72EA}" srcOrd="1" destOrd="0" presId="urn:microsoft.com/office/officeart/2005/8/layout/orgChart1"/>
    <dgm:cxn modelId="{47A8A496-3167-474F-880A-84437A515D5C}" srcId="{9E648BB9-A334-4FE1-B71C-49849527352F}" destId="{C386CB27-42B5-495C-A9FF-D773A7F1C6EF}" srcOrd="0" destOrd="0" parTransId="{96CD74F4-9E23-4937-8F6D-578D1EAFE0AF}" sibTransId="{1B517AA9-220E-4C31-8402-C12362A8ED17}"/>
    <dgm:cxn modelId="{5FB2969A-ED1D-4B1A-84EE-A609449D9B2D}" type="presOf" srcId="{720F0C17-B09A-4F08-BBDF-F01B9B672DA2}" destId="{7762417B-D5DA-40A0-B4A5-1EB5C84712BE}" srcOrd="0" destOrd="0" presId="urn:microsoft.com/office/officeart/2005/8/layout/orgChart1"/>
    <dgm:cxn modelId="{2A9E35A1-1A06-4DA0-BD48-2102E35C1110}" type="presOf" srcId="{BC3E3D91-C330-43C7-9413-356568253459}" destId="{6896F329-896F-4F85-8C09-A7FCCE043646}" srcOrd="0" destOrd="0" presId="urn:microsoft.com/office/officeart/2005/8/layout/orgChart1"/>
    <dgm:cxn modelId="{24E92BA3-7DF8-46E3-A6B2-A05CE4F2764E}" srcId="{B9142144-BCB2-452C-AD35-D76F815DAE11}" destId="{1699E3EF-22FC-47B4-A920-5966F88DBEEB}" srcOrd="2" destOrd="0" parTransId="{BC3E3D91-C330-43C7-9413-356568253459}" sibTransId="{4CD21A61-CE96-4C02-B939-B31F6A732F4F}"/>
    <dgm:cxn modelId="{254678A4-35D5-4B1C-AB6B-ECEC45CA3195}" srcId="{44C59882-9114-4752-9403-97FD21E66DE5}" destId="{B9142144-BCB2-452C-AD35-D76F815DAE11}" srcOrd="0" destOrd="0" parTransId="{D411C4B1-4644-4071-9BB9-2D12EB027598}" sibTransId="{720EA7E8-6472-4471-81A9-9DDFCFC219F8}"/>
    <dgm:cxn modelId="{058703B3-1CC4-4C93-851E-60816D28CF1B}" type="presOf" srcId="{BDFB5D6E-D280-4228-AA82-EA09856DBEDF}" destId="{D85F87B3-F730-4FD4-844B-5B5552A58802}" srcOrd="1" destOrd="0" presId="urn:microsoft.com/office/officeart/2005/8/layout/orgChart1"/>
    <dgm:cxn modelId="{D595E6B4-7FC2-47D4-944E-CB8803A69C82}" type="presOf" srcId="{E241C393-39AD-45BD-AC8B-C540C3374BFA}" destId="{CB4377AF-12C1-4F39-9554-A3814A290174}" srcOrd="0" destOrd="0" presId="urn:microsoft.com/office/officeart/2005/8/layout/orgChart1"/>
    <dgm:cxn modelId="{CACAD9B8-F9AD-4054-A3E1-C6055271599D}" type="presOf" srcId="{1E077819-BCA1-4DD6-9439-517EDA6345A8}" destId="{165C7384-2D46-4474-80B6-E928517ACDD1}" srcOrd="0" destOrd="0" presId="urn:microsoft.com/office/officeart/2005/8/layout/orgChart1"/>
    <dgm:cxn modelId="{10F466BF-1B7F-4D39-A97D-BB191652BD75}" type="presOf" srcId="{1699E3EF-22FC-47B4-A920-5966F88DBEEB}" destId="{5CDCB31D-9B78-401B-80F3-067CBCC79311}" srcOrd="0" destOrd="0" presId="urn:microsoft.com/office/officeart/2005/8/layout/orgChart1"/>
    <dgm:cxn modelId="{0F6220DB-6D78-4977-8AE5-A0742F1E87F4}" type="presOf" srcId="{FC8ADF35-65EB-4F6B-94F4-067702EA6292}" destId="{A7673C49-DAD4-4DDF-90A8-B39A2B94B360}" srcOrd="0" destOrd="0" presId="urn:microsoft.com/office/officeart/2005/8/layout/orgChart1"/>
    <dgm:cxn modelId="{91D272DF-17AD-41E1-BB20-CC03967587D0}" type="presOf" srcId="{BDFB5D6E-D280-4228-AA82-EA09856DBEDF}" destId="{66DD63BD-A28E-4F5A-8E38-A7435657E1EC}" srcOrd="0" destOrd="0" presId="urn:microsoft.com/office/officeart/2005/8/layout/orgChart1"/>
    <dgm:cxn modelId="{07A7A4F2-5997-4CB1-A2DF-8C4B5A0A57B4}" type="presOf" srcId="{1E077819-BCA1-4DD6-9439-517EDA6345A8}" destId="{3083C270-A987-4B23-BBCC-1E6ADF06F021}" srcOrd="1" destOrd="0" presId="urn:microsoft.com/office/officeart/2005/8/layout/orgChart1"/>
    <dgm:cxn modelId="{C4C1F2F3-328F-448B-9CC5-2EEE598E82EA}" srcId="{FC8ADF35-65EB-4F6B-94F4-067702EA6292}" destId="{9E648BB9-A334-4FE1-B71C-49849527352F}" srcOrd="0" destOrd="0" parTransId="{7E269293-24E1-4321-9D6B-44A3D5F85FE4}" sibTransId="{88C060DF-5ED6-4BBD-9C16-BA12AC58BDAA}"/>
    <dgm:cxn modelId="{430C6EF5-A566-4813-9B70-B086200CC0BC}" srcId="{FC8ADF35-65EB-4F6B-94F4-067702EA6292}" destId="{1E077819-BCA1-4DD6-9439-517EDA6345A8}" srcOrd="1" destOrd="0" parTransId="{E241C393-39AD-45BD-AC8B-C540C3374BFA}" sibTransId="{CEE46F8A-71C5-452C-B268-61037204A590}"/>
    <dgm:cxn modelId="{A1006CF7-D8FA-4A75-B5D5-FE24AF34C5E8}" type="presOf" srcId="{9E648BB9-A334-4FE1-B71C-49849527352F}" destId="{FC6732CE-DB29-46F3-B128-F602D2EB72EE}" srcOrd="0" destOrd="0" presId="urn:microsoft.com/office/officeart/2005/8/layout/orgChart1"/>
    <dgm:cxn modelId="{791C9F8C-23FE-49F5-8B87-3C03118E4139}" type="presParOf" srcId="{6B3445E5-1306-4AA3-8E3B-CCD5204F4068}" destId="{DA1C0662-7F5C-4199-BBB7-B580E52F4C66}" srcOrd="0" destOrd="0" presId="urn:microsoft.com/office/officeart/2005/8/layout/orgChart1"/>
    <dgm:cxn modelId="{C90D9494-69CA-4100-AC50-AB126464453B}" type="presParOf" srcId="{DA1C0662-7F5C-4199-BBB7-B580E52F4C66}" destId="{97B37042-1015-44C8-B65B-9C68EB8C1C57}" srcOrd="0" destOrd="0" presId="urn:microsoft.com/office/officeart/2005/8/layout/orgChart1"/>
    <dgm:cxn modelId="{5BA2554C-EB09-48EE-A89C-109C322FB1D7}" type="presParOf" srcId="{97B37042-1015-44C8-B65B-9C68EB8C1C57}" destId="{AB4F87F8-FA69-457B-829A-4F6049858A92}" srcOrd="0" destOrd="0" presId="urn:microsoft.com/office/officeart/2005/8/layout/orgChart1"/>
    <dgm:cxn modelId="{75A8FE78-6418-4B5E-8034-0E41D1058919}" type="presParOf" srcId="{97B37042-1015-44C8-B65B-9C68EB8C1C57}" destId="{333E9642-940E-401F-97A7-C871F60A558F}" srcOrd="1" destOrd="0" presId="urn:microsoft.com/office/officeart/2005/8/layout/orgChart1"/>
    <dgm:cxn modelId="{70D70FAA-C31A-45AB-9711-D7A52D91D879}" type="presParOf" srcId="{DA1C0662-7F5C-4199-BBB7-B580E52F4C66}" destId="{3FC2BF1B-FEEE-4FE4-A47C-8921650C33F2}" srcOrd="1" destOrd="0" presId="urn:microsoft.com/office/officeart/2005/8/layout/orgChart1"/>
    <dgm:cxn modelId="{108CD91F-6DF3-4747-AFB9-A7557244B6A7}" type="presParOf" srcId="{3FC2BF1B-FEEE-4FE4-A47C-8921650C33F2}" destId="{77FDC3FD-0AA0-400B-BBCD-6EA71A778AE6}" srcOrd="0" destOrd="0" presId="urn:microsoft.com/office/officeart/2005/8/layout/orgChart1"/>
    <dgm:cxn modelId="{79BCCFF4-BD9F-4B75-BCA3-9A28324DB59B}" type="presParOf" srcId="{3FC2BF1B-FEEE-4FE4-A47C-8921650C33F2}" destId="{767C7A22-57B2-4F75-9F6B-9AC6797B4752}" srcOrd="1" destOrd="0" presId="urn:microsoft.com/office/officeart/2005/8/layout/orgChart1"/>
    <dgm:cxn modelId="{36D553F1-BFB9-4F7F-AC65-48B420FF1FD3}" type="presParOf" srcId="{767C7A22-57B2-4F75-9F6B-9AC6797B4752}" destId="{D4B2AB3D-18A5-49F8-95DD-9D3724F3CE3F}" srcOrd="0" destOrd="0" presId="urn:microsoft.com/office/officeart/2005/8/layout/orgChart1"/>
    <dgm:cxn modelId="{B53AFB5B-02DE-40FF-A70C-9B75A3264A38}" type="presParOf" srcId="{D4B2AB3D-18A5-49F8-95DD-9D3724F3CE3F}" destId="{66DD63BD-A28E-4F5A-8E38-A7435657E1EC}" srcOrd="0" destOrd="0" presId="urn:microsoft.com/office/officeart/2005/8/layout/orgChart1"/>
    <dgm:cxn modelId="{0146F54B-622E-431A-B5F6-C77AF0634FFF}" type="presParOf" srcId="{D4B2AB3D-18A5-49F8-95DD-9D3724F3CE3F}" destId="{D85F87B3-F730-4FD4-844B-5B5552A58802}" srcOrd="1" destOrd="0" presId="urn:microsoft.com/office/officeart/2005/8/layout/orgChart1"/>
    <dgm:cxn modelId="{D999DD27-58F9-457B-8B9E-8C0D32D3B154}" type="presParOf" srcId="{767C7A22-57B2-4F75-9F6B-9AC6797B4752}" destId="{2AE6932B-D85E-4176-9476-552B24272C97}" srcOrd="1" destOrd="0" presId="urn:microsoft.com/office/officeart/2005/8/layout/orgChart1"/>
    <dgm:cxn modelId="{F530E982-51CD-4A4A-8C18-338D52250FA4}" type="presParOf" srcId="{2AE6932B-D85E-4176-9476-552B24272C97}" destId="{523A343E-011F-473C-AE57-54F3E18AE0D6}" srcOrd="0" destOrd="0" presId="urn:microsoft.com/office/officeart/2005/8/layout/orgChart1"/>
    <dgm:cxn modelId="{766CB4FC-B800-47E3-8A98-5B534D39A09C}" type="presParOf" srcId="{2AE6932B-D85E-4176-9476-552B24272C97}" destId="{0141FB65-1E58-4B90-A581-4D8FC3087828}" srcOrd="1" destOrd="0" presId="urn:microsoft.com/office/officeart/2005/8/layout/orgChart1"/>
    <dgm:cxn modelId="{823954C1-97AB-4D7D-88C0-521945B67DAF}" type="presParOf" srcId="{0141FB65-1E58-4B90-A581-4D8FC3087828}" destId="{BE4B4537-B8BA-43A6-9C71-D8AB1B294B6E}" srcOrd="0" destOrd="0" presId="urn:microsoft.com/office/officeart/2005/8/layout/orgChart1"/>
    <dgm:cxn modelId="{9E914A6A-2362-4131-AC4A-7C2AC24A315B}" type="presParOf" srcId="{BE4B4537-B8BA-43A6-9C71-D8AB1B294B6E}" destId="{7762417B-D5DA-40A0-B4A5-1EB5C84712BE}" srcOrd="0" destOrd="0" presId="urn:microsoft.com/office/officeart/2005/8/layout/orgChart1"/>
    <dgm:cxn modelId="{D77AE739-D6CC-4775-A4E3-2F91116C0D95}" type="presParOf" srcId="{BE4B4537-B8BA-43A6-9C71-D8AB1B294B6E}" destId="{15064EE1-AB9F-4385-9019-234A7A0291EF}" srcOrd="1" destOrd="0" presId="urn:microsoft.com/office/officeart/2005/8/layout/orgChart1"/>
    <dgm:cxn modelId="{7A3B7340-CC72-43BD-8E9A-73F8F32128D5}" type="presParOf" srcId="{0141FB65-1E58-4B90-A581-4D8FC3087828}" destId="{7ED037A3-044B-47D9-A350-A6A35CFA785A}" srcOrd="1" destOrd="0" presId="urn:microsoft.com/office/officeart/2005/8/layout/orgChart1"/>
    <dgm:cxn modelId="{7429FCFA-02B6-4FB9-A690-EB05A9F26F6E}" type="presParOf" srcId="{0141FB65-1E58-4B90-A581-4D8FC3087828}" destId="{755A1F2D-A3EA-4E8B-8728-C15DC87F77C7}" srcOrd="2" destOrd="0" presId="urn:microsoft.com/office/officeart/2005/8/layout/orgChart1"/>
    <dgm:cxn modelId="{3EB73802-D1B1-4E10-A282-7ECF7637C328}" type="presParOf" srcId="{767C7A22-57B2-4F75-9F6B-9AC6797B4752}" destId="{8BF041CC-86D2-4A4F-A75C-2807444058A7}" srcOrd="2" destOrd="0" presId="urn:microsoft.com/office/officeart/2005/8/layout/orgChart1"/>
    <dgm:cxn modelId="{4539FF4C-51DF-4E5B-90A6-63893B707D6D}" type="presParOf" srcId="{3FC2BF1B-FEEE-4FE4-A47C-8921650C33F2}" destId="{9BF93B13-69F5-4351-BBE2-ED2899B32154}" srcOrd="2" destOrd="0" presId="urn:microsoft.com/office/officeart/2005/8/layout/orgChart1"/>
    <dgm:cxn modelId="{B5498287-DB8D-407A-BF7F-C000DE1C1E0B}" type="presParOf" srcId="{3FC2BF1B-FEEE-4FE4-A47C-8921650C33F2}" destId="{68A022D9-6704-4856-A6C9-6C7D1EA89009}" srcOrd="3" destOrd="0" presId="urn:microsoft.com/office/officeart/2005/8/layout/orgChart1"/>
    <dgm:cxn modelId="{296EE2A5-6200-478D-9B2E-1E4CC017D415}" type="presParOf" srcId="{68A022D9-6704-4856-A6C9-6C7D1EA89009}" destId="{631EB699-9EB8-4AE1-A353-5C3EA9D07B7D}" srcOrd="0" destOrd="0" presId="urn:microsoft.com/office/officeart/2005/8/layout/orgChart1"/>
    <dgm:cxn modelId="{C720DF30-D451-400A-B5E9-B3A32CBB22D1}" type="presParOf" srcId="{631EB699-9EB8-4AE1-A353-5C3EA9D07B7D}" destId="{6C5B4DF8-0642-45EF-8F2A-E642D6532B7F}" srcOrd="0" destOrd="0" presId="urn:microsoft.com/office/officeart/2005/8/layout/orgChart1"/>
    <dgm:cxn modelId="{A0043A8B-33C8-42B3-8EFE-D31463347902}" type="presParOf" srcId="{631EB699-9EB8-4AE1-A353-5C3EA9D07B7D}" destId="{97A8940F-54ED-4936-BD1D-5D6CB73A7BB9}" srcOrd="1" destOrd="0" presId="urn:microsoft.com/office/officeart/2005/8/layout/orgChart1"/>
    <dgm:cxn modelId="{E326BF91-3715-453F-A2E7-79D85EFFCDA4}" type="presParOf" srcId="{68A022D9-6704-4856-A6C9-6C7D1EA89009}" destId="{750B1BB6-5C62-4D0B-BBBE-86CC9A9DAA65}" srcOrd="1" destOrd="0" presId="urn:microsoft.com/office/officeart/2005/8/layout/orgChart1"/>
    <dgm:cxn modelId="{A02897B4-3948-45B1-80A8-B1EE00A864DD}" type="presParOf" srcId="{750B1BB6-5C62-4D0B-BBBE-86CC9A9DAA65}" destId="{D38A5921-99EE-46CF-99A0-DE13803412D6}" srcOrd="0" destOrd="0" presId="urn:microsoft.com/office/officeart/2005/8/layout/orgChart1"/>
    <dgm:cxn modelId="{DCBFBFD6-9246-4B44-AE1B-860D9AA0E351}" type="presParOf" srcId="{750B1BB6-5C62-4D0B-BBBE-86CC9A9DAA65}" destId="{D4B3E0D2-6FFF-4D41-8E22-2EB5D9542EEE}" srcOrd="1" destOrd="0" presId="urn:microsoft.com/office/officeart/2005/8/layout/orgChart1"/>
    <dgm:cxn modelId="{66A04851-6EA0-4228-9FBF-6FE646C7A915}" type="presParOf" srcId="{D4B3E0D2-6FFF-4D41-8E22-2EB5D9542EEE}" destId="{B152E654-8297-4C04-84DA-74EDE4A7431F}" srcOrd="0" destOrd="0" presId="urn:microsoft.com/office/officeart/2005/8/layout/orgChart1"/>
    <dgm:cxn modelId="{90D0698B-F5E9-4B4E-AF53-55A703D38E62}" type="presParOf" srcId="{B152E654-8297-4C04-84DA-74EDE4A7431F}" destId="{A7673C49-DAD4-4DDF-90A8-B39A2B94B360}" srcOrd="0" destOrd="0" presId="urn:microsoft.com/office/officeart/2005/8/layout/orgChart1"/>
    <dgm:cxn modelId="{BB194E5D-BC6C-4863-9A58-BDA5BBFD6203}" type="presParOf" srcId="{B152E654-8297-4C04-84DA-74EDE4A7431F}" destId="{60BB5AC1-D018-47C4-BAD3-D8D97E3C72EA}" srcOrd="1" destOrd="0" presId="urn:microsoft.com/office/officeart/2005/8/layout/orgChart1"/>
    <dgm:cxn modelId="{8E591415-1B95-49CD-8D12-E755A7274545}" type="presParOf" srcId="{D4B3E0D2-6FFF-4D41-8E22-2EB5D9542EEE}" destId="{43F000C3-5A9E-4ADC-AAB4-9F1BE0196D28}" srcOrd="1" destOrd="0" presId="urn:microsoft.com/office/officeart/2005/8/layout/orgChart1"/>
    <dgm:cxn modelId="{73C5EE3B-3D4B-4352-9BA2-5FFF510F4A3F}" type="presParOf" srcId="{43F000C3-5A9E-4ADC-AAB4-9F1BE0196D28}" destId="{1CC6E8C3-8B06-4B8D-A80E-D330D253BDBE}" srcOrd="0" destOrd="0" presId="urn:microsoft.com/office/officeart/2005/8/layout/orgChart1"/>
    <dgm:cxn modelId="{9891D522-C18C-41D3-98DD-395402B51CD5}" type="presParOf" srcId="{43F000C3-5A9E-4ADC-AAB4-9F1BE0196D28}" destId="{72C2EDE9-F0E9-4179-98B9-B42D1FCD628B}" srcOrd="1" destOrd="0" presId="urn:microsoft.com/office/officeart/2005/8/layout/orgChart1"/>
    <dgm:cxn modelId="{A2D886CD-E350-4766-A70B-6B90E555F941}" type="presParOf" srcId="{72C2EDE9-F0E9-4179-98B9-B42D1FCD628B}" destId="{2423E5A1-B315-47D3-842A-C4FF303136CB}" srcOrd="0" destOrd="0" presId="urn:microsoft.com/office/officeart/2005/8/layout/orgChart1"/>
    <dgm:cxn modelId="{867CC4B3-3E92-4B2B-AF41-209FBB51F186}" type="presParOf" srcId="{2423E5A1-B315-47D3-842A-C4FF303136CB}" destId="{FC6732CE-DB29-46F3-B128-F602D2EB72EE}" srcOrd="0" destOrd="0" presId="urn:microsoft.com/office/officeart/2005/8/layout/orgChart1"/>
    <dgm:cxn modelId="{F5AF9086-C7D1-464C-8B5B-A63F0381E75E}" type="presParOf" srcId="{2423E5A1-B315-47D3-842A-C4FF303136CB}" destId="{42A23CA7-3DD5-4FA5-BC5C-BE6BBF76E782}" srcOrd="1" destOrd="0" presId="urn:microsoft.com/office/officeart/2005/8/layout/orgChart1"/>
    <dgm:cxn modelId="{01224F6F-2A45-4D2B-8EA0-15E05CF5E097}" type="presParOf" srcId="{72C2EDE9-F0E9-4179-98B9-B42D1FCD628B}" destId="{90B336D9-4C8F-4365-8D31-238F9CB45BE4}" srcOrd="1" destOrd="0" presId="urn:microsoft.com/office/officeart/2005/8/layout/orgChart1"/>
    <dgm:cxn modelId="{9AB0C93E-2545-49BF-A66A-A8FBF4BBE4A5}" type="presParOf" srcId="{90B336D9-4C8F-4365-8D31-238F9CB45BE4}" destId="{F6BCCB65-56AB-4A09-AC89-00EDBD36EC42}" srcOrd="0" destOrd="0" presId="urn:microsoft.com/office/officeart/2005/8/layout/orgChart1"/>
    <dgm:cxn modelId="{56EE3EC5-FB28-4B52-ACDF-4E463AFFD0F0}" type="presParOf" srcId="{90B336D9-4C8F-4365-8D31-238F9CB45BE4}" destId="{04D24EB7-0CC9-49FF-A54D-3C6279FBC13B}" srcOrd="1" destOrd="0" presId="urn:microsoft.com/office/officeart/2005/8/layout/orgChart1"/>
    <dgm:cxn modelId="{8F856406-8163-4A48-B129-F67FBA6927B9}" type="presParOf" srcId="{04D24EB7-0CC9-49FF-A54D-3C6279FBC13B}" destId="{50075BE9-F630-40B7-AE92-EDF849BB73A7}" srcOrd="0" destOrd="0" presId="urn:microsoft.com/office/officeart/2005/8/layout/orgChart1"/>
    <dgm:cxn modelId="{4B4F6281-BCD2-40CB-B042-5A4FA8F523DD}" type="presParOf" srcId="{50075BE9-F630-40B7-AE92-EDF849BB73A7}" destId="{39D1CE77-2702-4D0E-B974-F3C227752D83}" srcOrd="0" destOrd="0" presId="urn:microsoft.com/office/officeart/2005/8/layout/orgChart1"/>
    <dgm:cxn modelId="{062F3CAE-6883-46FA-9EFD-5C648CD0E90C}" type="presParOf" srcId="{50075BE9-F630-40B7-AE92-EDF849BB73A7}" destId="{01FB194D-F1D1-4905-84C0-D4DE0B8A87DB}" srcOrd="1" destOrd="0" presId="urn:microsoft.com/office/officeart/2005/8/layout/orgChart1"/>
    <dgm:cxn modelId="{133C1C8D-B6A6-4BC3-8009-13A00274FA7B}" type="presParOf" srcId="{04D24EB7-0CC9-49FF-A54D-3C6279FBC13B}" destId="{B390CF34-83C0-472C-AB60-7F9841C762D4}" srcOrd="1" destOrd="0" presId="urn:microsoft.com/office/officeart/2005/8/layout/orgChart1"/>
    <dgm:cxn modelId="{6857252B-0CCC-4E48-A1AB-012736A59C62}" type="presParOf" srcId="{04D24EB7-0CC9-49FF-A54D-3C6279FBC13B}" destId="{A3BED8DB-C034-439E-BA7A-BA8BD8636590}" srcOrd="2" destOrd="0" presId="urn:microsoft.com/office/officeart/2005/8/layout/orgChart1"/>
    <dgm:cxn modelId="{6F02FA86-3648-42A1-A12B-A8D727A98BF6}" type="presParOf" srcId="{72C2EDE9-F0E9-4179-98B9-B42D1FCD628B}" destId="{8D31CD1E-324D-48A1-9ACD-1A1270789A17}" srcOrd="2" destOrd="0" presId="urn:microsoft.com/office/officeart/2005/8/layout/orgChart1"/>
    <dgm:cxn modelId="{47705DE1-E538-4AB2-9DCD-8FD0D43D48B8}" type="presParOf" srcId="{43F000C3-5A9E-4ADC-AAB4-9F1BE0196D28}" destId="{CB4377AF-12C1-4F39-9554-A3814A290174}" srcOrd="2" destOrd="0" presId="urn:microsoft.com/office/officeart/2005/8/layout/orgChart1"/>
    <dgm:cxn modelId="{0E66275E-8197-4AB2-BE87-3BCE5649A969}" type="presParOf" srcId="{43F000C3-5A9E-4ADC-AAB4-9F1BE0196D28}" destId="{BE039C90-4315-4082-8DDB-995DC55E7ECF}" srcOrd="3" destOrd="0" presId="urn:microsoft.com/office/officeart/2005/8/layout/orgChart1"/>
    <dgm:cxn modelId="{191F9B22-D685-491E-88F6-367588C921E9}" type="presParOf" srcId="{BE039C90-4315-4082-8DDB-995DC55E7ECF}" destId="{D1304C00-329C-48E4-8358-292C94F5BF02}" srcOrd="0" destOrd="0" presId="urn:microsoft.com/office/officeart/2005/8/layout/orgChart1"/>
    <dgm:cxn modelId="{B061B021-F34B-4931-BB3A-E9E5DED1F5DD}" type="presParOf" srcId="{D1304C00-329C-48E4-8358-292C94F5BF02}" destId="{165C7384-2D46-4474-80B6-E928517ACDD1}" srcOrd="0" destOrd="0" presId="urn:microsoft.com/office/officeart/2005/8/layout/orgChart1"/>
    <dgm:cxn modelId="{5534AC76-A810-4896-87AB-8F6E5E3B77FF}" type="presParOf" srcId="{D1304C00-329C-48E4-8358-292C94F5BF02}" destId="{3083C270-A987-4B23-BBCC-1E6ADF06F021}" srcOrd="1" destOrd="0" presId="urn:microsoft.com/office/officeart/2005/8/layout/orgChart1"/>
    <dgm:cxn modelId="{B95EC42A-D04E-4335-8951-8106E7C1086C}" type="presParOf" srcId="{BE039C90-4315-4082-8DDB-995DC55E7ECF}" destId="{9951EC54-2BF1-4685-BAC8-57F4F9ABC427}" srcOrd="1" destOrd="0" presId="urn:microsoft.com/office/officeart/2005/8/layout/orgChart1"/>
    <dgm:cxn modelId="{DC35E314-28C0-49C2-B042-F73F8C9EF758}" type="presParOf" srcId="{BE039C90-4315-4082-8DDB-995DC55E7ECF}" destId="{8FEB1A89-E3B7-42BF-ABFF-3EFB791650E8}" srcOrd="2" destOrd="0" presId="urn:microsoft.com/office/officeart/2005/8/layout/orgChart1"/>
    <dgm:cxn modelId="{BDF9B8FE-0DDC-48F0-9936-262C30044DF3}" type="presParOf" srcId="{D4B3E0D2-6FFF-4D41-8E22-2EB5D9542EEE}" destId="{B9B63C44-E165-4BCB-A967-4361A50560BA}" srcOrd="2" destOrd="0" presId="urn:microsoft.com/office/officeart/2005/8/layout/orgChart1"/>
    <dgm:cxn modelId="{259EA735-89B9-4BE8-9509-5875688EBF82}" type="presParOf" srcId="{68A022D9-6704-4856-A6C9-6C7D1EA89009}" destId="{7748C8F9-A04C-4554-A3E4-36F267D97FDC}" srcOrd="2" destOrd="0" presId="urn:microsoft.com/office/officeart/2005/8/layout/orgChart1"/>
    <dgm:cxn modelId="{5595C3D5-57FB-4E4D-B493-5DED511CF7DD}" type="presParOf" srcId="{3FC2BF1B-FEEE-4FE4-A47C-8921650C33F2}" destId="{6896F329-896F-4F85-8C09-A7FCCE043646}" srcOrd="4" destOrd="0" presId="urn:microsoft.com/office/officeart/2005/8/layout/orgChart1"/>
    <dgm:cxn modelId="{129AE7E7-0725-4552-AE0D-5ED569F7D855}" type="presParOf" srcId="{3FC2BF1B-FEEE-4FE4-A47C-8921650C33F2}" destId="{55EC92E2-D828-48F8-B147-B0AA4BAA556A}" srcOrd="5" destOrd="0" presId="urn:microsoft.com/office/officeart/2005/8/layout/orgChart1"/>
    <dgm:cxn modelId="{99B894D4-A261-4E3F-A59B-7B86F0FE2839}" type="presParOf" srcId="{55EC92E2-D828-48F8-B147-B0AA4BAA556A}" destId="{D2270C66-4BB1-4715-AF3D-9FA1E22E1C41}" srcOrd="0" destOrd="0" presId="urn:microsoft.com/office/officeart/2005/8/layout/orgChart1"/>
    <dgm:cxn modelId="{E9CE1714-B687-47B6-9959-3654BA195205}" type="presParOf" srcId="{D2270C66-4BB1-4715-AF3D-9FA1E22E1C41}" destId="{5CDCB31D-9B78-401B-80F3-067CBCC79311}" srcOrd="0" destOrd="0" presId="urn:microsoft.com/office/officeart/2005/8/layout/orgChart1"/>
    <dgm:cxn modelId="{0023135A-1995-4904-A3E2-92952309E092}" type="presParOf" srcId="{D2270C66-4BB1-4715-AF3D-9FA1E22E1C41}" destId="{DA3DB57D-5643-4F80-B798-55D7073C0DF5}" srcOrd="1" destOrd="0" presId="urn:microsoft.com/office/officeart/2005/8/layout/orgChart1"/>
    <dgm:cxn modelId="{D6F69B36-3FD0-4EBB-A51B-1CB0D55D6D83}" type="presParOf" srcId="{55EC92E2-D828-48F8-B147-B0AA4BAA556A}" destId="{E722EAB7-E27A-4047-8CC5-85C38193017F}" srcOrd="1" destOrd="0" presId="urn:microsoft.com/office/officeart/2005/8/layout/orgChart1"/>
    <dgm:cxn modelId="{F910FAE6-10A3-42E8-83CB-7AB21CD63AFC}" type="presParOf" srcId="{E722EAB7-E27A-4047-8CC5-85C38193017F}" destId="{44F6C670-80A7-49E9-81B1-38CE39E119A3}" srcOrd="0" destOrd="0" presId="urn:microsoft.com/office/officeart/2005/8/layout/orgChart1"/>
    <dgm:cxn modelId="{54BF5F2D-F1F4-4853-A681-4F7CF797155F}" type="presParOf" srcId="{E722EAB7-E27A-4047-8CC5-85C38193017F}" destId="{B3C2DD58-4C4B-4F9E-9BCB-764188FE7714}" srcOrd="1" destOrd="0" presId="urn:microsoft.com/office/officeart/2005/8/layout/orgChart1"/>
    <dgm:cxn modelId="{9656F284-DE81-4B76-8DFF-25C1619B6D43}" type="presParOf" srcId="{B3C2DD58-4C4B-4F9E-9BCB-764188FE7714}" destId="{A28E4452-D49F-45C3-9A49-1666BD60F116}" srcOrd="0" destOrd="0" presId="urn:microsoft.com/office/officeart/2005/8/layout/orgChart1"/>
    <dgm:cxn modelId="{92DBBAF0-7265-40E1-B509-164B240B3F2A}" type="presParOf" srcId="{A28E4452-D49F-45C3-9A49-1666BD60F116}" destId="{D2632152-6CDC-44D9-8800-939423A2E3F5}" srcOrd="0" destOrd="0" presId="urn:microsoft.com/office/officeart/2005/8/layout/orgChart1"/>
    <dgm:cxn modelId="{F6BBC76E-C43D-46F0-8409-80C5F366EFF2}" type="presParOf" srcId="{A28E4452-D49F-45C3-9A49-1666BD60F116}" destId="{B0AB4301-8D04-4371-AD93-0C465C2B421B}" srcOrd="1" destOrd="0" presId="urn:microsoft.com/office/officeart/2005/8/layout/orgChart1"/>
    <dgm:cxn modelId="{2EC14B95-CB14-4B9D-A8B9-6850B2D99FE2}" type="presParOf" srcId="{B3C2DD58-4C4B-4F9E-9BCB-764188FE7714}" destId="{2A9C7166-AE9B-4E4D-884F-6C2D98DE337B}" srcOrd="1" destOrd="0" presId="urn:microsoft.com/office/officeart/2005/8/layout/orgChart1"/>
    <dgm:cxn modelId="{250A4397-9CCD-4170-A4FA-9FB5B921E3E9}" type="presParOf" srcId="{B3C2DD58-4C4B-4F9E-9BCB-764188FE7714}" destId="{8352E2E2-144F-4A6B-975E-F1A7BEF69BF4}" srcOrd="2" destOrd="0" presId="urn:microsoft.com/office/officeart/2005/8/layout/orgChart1"/>
    <dgm:cxn modelId="{5B255D2C-F54E-4891-A482-917AA22DF77A}" type="presParOf" srcId="{55EC92E2-D828-48F8-B147-B0AA4BAA556A}" destId="{43AF5E71-AF02-43F2-8403-E7C6437797B9}" srcOrd="2" destOrd="0" presId="urn:microsoft.com/office/officeart/2005/8/layout/orgChart1"/>
    <dgm:cxn modelId="{46AFD36A-EFA4-4D98-B8F9-2742690F4803}" type="presParOf" srcId="{DA1C0662-7F5C-4199-BBB7-B580E52F4C66}" destId="{4CF6DFA6-5AE5-473A-886B-77F22F3CF076}" srcOrd="2" destOrd="0" presId="urn:microsoft.com/office/officeart/2005/8/layout/orgChart1"/>
  </dgm:cxnLst>
  <dgm:bg/>
  <dgm:whole/>
  <dgm:extLst>
    <a:ext uri="http://schemas.microsoft.com/office/drawing/2008/diagram">
      <dsp:dataModelExt xmlns:dsp="http://schemas.microsoft.com/office/drawing/2008/diagram" relId="rId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4F6C670-80A7-49E9-81B1-38CE39E119A3}">
      <dsp:nvSpPr>
        <dsp:cNvPr id="0" name=""/>
        <dsp:cNvSpPr/>
      </dsp:nvSpPr>
      <dsp:spPr>
        <a:xfrm>
          <a:off x="3461643" y="963001"/>
          <a:ext cx="153560" cy="499862"/>
        </a:xfrm>
        <a:custGeom>
          <a:avLst/>
          <a:gdLst/>
          <a:ahLst/>
          <a:cxnLst/>
          <a:rect l="0" t="0" r="0" b="0"/>
          <a:pathLst>
            <a:path>
              <a:moveTo>
                <a:pt x="0" y="0"/>
              </a:moveTo>
              <a:lnTo>
                <a:pt x="0" y="499385"/>
              </a:lnTo>
              <a:lnTo>
                <a:pt x="153414" y="499385"/>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896F329-896F-4F85-8C09-A7FCCE043646}">
      <dsp:nvSpPr>
        <dsp:cNvPr id="0" name=""/>
        <dsp:cNvSpPr/>
      </dsp:nvSpPr>
      <dsp:spPr>
        <a:xfrm>
          <a:off x="2407718" y="363312"/>
          <a:ext cx="1463419" cy="153475"/>
        </a:xfrm>
        <a:custGeom>
          <a:avLst/>
          <a:gdLst/>
          <a:ahLst/>
          <a:cxnLst/>
          <a:rect l="0" t="0" r="0" b="0"/>
          <a:pathLst>
            <a:path>
              <a:moveTo>
                <a:pt x="0" y="0"/>
              </a:moveTo>
              <a:lnTo>
                <a:pt x="0" y="76845"/>
              </a:lnTo>
              <a:lnTo>
                <a:pt x="1462025" y="76845"/>
              </a:lnTo>
              <a:lnTo>
                <a:pt x="1462025" y="152939"/>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CB4377AF-12C1-4F39-9554-A3814A290174}">
      <dsp:nvSpPr>
        <dsp:cNvPr id="0" name=""/>
        <dsp:cNvSpPr/>
      </dsp:nvSpPr>
      <dsp:spPr>
        <a:xfrm>
          <a:off x="2386370" y="1867836"/>
          <a:ext cx="602776" cy="225268"/>
        </a:xfrm>
        <a:custGeom>
          <a:avLst/>
          <a:gdLst/>
          <a:ahLst/>
          <a:cxnLst/>
          <a:rect l="0" t="0" r="0" b="0"/>
          <a:pathLst>
            <a:path>
              <a:moveTo>
                <a:pt x="0" y="0"/>
              </a:moveTo>
              <a:lnTo>
                <a:pt x="0" y="148959"/>
              </a:lnTo>
              <a:lnTo>
                <a:pt x="602201" y="148959"/>
              </a:lnTo>
              <a:lnTo>
                <a:pt x="602201" y="225053"/>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F6BCCB65-56AB-4A09-AC89-00EDBD36EC42}">
      <dsp:nvSpPr>
        <dsp:cNvPr id="0" name=""/>
        <dsp:cNvSpPr/>
      </dsp:nvSpPr>
      <dsp:spPr>
        <a:xfrm>
          <a:off x="1140975" y="2568186"/>
          <a:ext cx="111061" cy="334555"/>
        </a:xfrm>
        <a:custGeom>
          <a:avLst/>
          <a:gdLst/>
          <a:ahLst/>
          <a:cxnLst/>
          <a:rect l="0" t="0" r="0" b="0"/>
          <a:pathLst>
            <a:path>
              <a:moveTo>
                <a:pt x="0" y="0"/>
              </a:moveTo>
              <a:lnTo>
                <a:pt x="0" y="334236"/>
              </a:lnTo>
              <a:lnTo>
                <a:pt x="110956" y="334236"/>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1CC6E8C3-8B06-4B8D-A80E-D330D253BDBE}">
      <dsp:nvSpPr>
        <dsp:cNvPr id="0" name=""/>
        <dsp:cNvSpPr/>
      </dsp:nvSpPr>
      <dsp:spPr>
        <a:xfrm>
          <a:off x="1539218" y="1867836"/>
          <a:ext cx="847151" cy="189731"/>
        </a:xfrm>
        <a:custGeom>
          <a:avLst/>
          <a:gdLst/>
          <a:ahLst/>
          <a:cxnLst/>
          <a:rect l="0" t="0" r="0" b="0"/>
          <a:pathLst>
            <a:path>
              <a:moveTo>
                <a:pt x="846344" y="0"/>
              </a:moveTo>
              <a:lnTo>
                <a:pt x="846344" y="113456"/>
              </a:lnTo>
              <a:lnTo>
                <a:pt x="0" y="113456"/>
              </a:lnTo>
              <a:lnTo>
                <a:pt x="0" y="189550"/>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D38A5921-99EE-46CF-99A0-DE13803412D6}">
      <dsp:nvSpPr>
        <dsp:cNvPr id="0" name=""/>
        <dsp:cNvSpPr/>
      </dsp:nvSpPr>
      <dsp:spPr>
        <a:xfrm>
          <a:off x="2340650" y="879486"/>
          <a:ext cx="91440" cy="114935"/>
        </a:xfrm>
        <a:custGeom>
          <a:avLst/>
          <a:gdLst/>
          <a:ahLst/>
          <a:cxnLst/>
          <a:rect l="0" t="0" r="0" b="0"/>
          <a:pathLst>
            <a:path>
              <a:moveTo>
                <a:pt x="127749" y="0"/>
              </a:moveTo>
              <a:lnTo>
                <a:pt x="127749" y="38731"/>
              </a:lnTo>
              <a:lnTo>
                <a:pt x="45720" y="38731"/>
              </a:lnTo>
              <a:lnTo>
                <a:pt x="45720" y="114826"/>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BF93B13-69F5-4351-BBE2-ED2899B32154}">
      <dsp:nvSpPr>
        <dsp:cNvPr id="0" name=""/>
        <dsp:cNvSpPr/>
      </dsp:nvSpPr>
      <dsp:spPr>
        <a:xfrm>
          <a:off x="2361998" y="363312"/>
          <a:ext cx="91440" cy="153475"/>
        </a:xfrm>
        <a:custGeom>
          <a:avLst/>
          <a:gdLst/>
          <a:ahLst/>
          <a:cxnLst/>
          <a:rect l="0" t="0" r="0" b="0"/>
          <a:pathLst>
            <a:path>
              <a:moveTo>
                <a:pt x="45720" y="0"/>
              </a:moveTo>
              <a:lnTo>
                <a:pt x="45720" y="76845"/>
              </a:lnTo>
              <a:lnTo>
                <a:pt x="106421" y="76845"/>
              </a:lnTo>
              <a:lnTo>
                <a:pt x="106421" y="152939"/>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523A343E-011F-473C-AE57-54F3E18AE0D6}">
      <dsp:nvSpPr>
        <dsp:cNvPr id="0" name=""/>
        <dsp:cNvSpPr/>
      </dsp:nvSpPr>
      <dsp:spPr>
        <a:xfrm>
          <a:off x="487544" y="879486"/>
          <a:ext cx="108809" cy="333682"/>
        </a:xfrm>
        <a:custGeom>
          <a:avLst/>
          <a:gdLst/>
          <a:ahLst/>
          <a:cxnLst/>
          <a:rect l="0" t="0" r="0" b="0"/>
          <a:pathLst>
            <a:path>
              <a:moveTo>
                <a:pt x="0" y="0"/>
              </a:moveTo>
              <a:lnTo>
                <a:pt x="0" y="333364"/>
              </a:lnTo>
              <a:lnTo>
                <a:pt x="108705" y="333364"/>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77FDC3FD-0AA0-400B-BBCD-6EA71A778AE6}">
      <dsp:nvSpPr>
        <dsp:cNvPr id="0" name=""/>
        <dsp:cNvSpPr/>
      </dsp:nvSpPr>
      <dsp:spPr>
        <a:xfrm>
          <a:off x="777703" y="363312"/>
          <a:ext cx="1630014" cy="153475"/>
        </a:xfrm>
        <a:custGeom>
          <a:avLst/>
          <a:gdLst/>
          <a:ahLst/>
          <a:cxnLst/>
          <a:rect l="0" t="0" r="0" b="0"/>
          <a:pathLst>
            <a:path>
              <a:moveTo>
                <a:pt x="1628460" y="0"/>
              </a:moveTo>
              <a:lnTo>
                <a:pt x="1628460" y="76845"/>
              </a:lnTo>
              <a:lnTo>
                <a:pt x="0" y="76845"/>
              </a:lnTo>
              <a:lnTo>
                <a:pt x="0" y="152939"/>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AB4F87F8-FA69-457B-829A-4F6049858A92}">
      <dsp:nvSpPr>
        <dsp:cNvPr id="0" name=""/>
        <dsp:cNvSpPr/>
      </dsp:nvSpPr>
      <dsp:spPr>
        <a:xfrm>
          <a:off x="2045019" y="613"/>
          <a:ext cx="725397" cy="362698"/>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ar-SA" sz="1000" b="1" kern="1200">
              <a:solidFill>
                <a:sysClr val="window" lastClr="FFFFFF"/>
              </a:solidFill>
              <a:latin typeface="Calibri"/>
              <a:ea typeface="+mn-ea"/>
              <a:cs typeface="Arial" panose="020B0604020202020204" pitchFamily="34" charset="0"/>
            </a:rPr>
            <a:t>قطاع الاعاقة </a:t>
          </a:r>
          <a:endParaRPr lang="en-US" sz="1000" b="1" kern="1200">
            <a:solidFill>
              <a:sysClr val="window" lastClr="FFFFFF"/>
            </a:solidFill>
            <a:latin typeface="Calibri"/>
            <a:ea typeface="+mn-ea"/>
            <a:cs typeface="+mn-cs"/>
          </a:endParaRPr>
        </a:p>
      </dsp:txBody>
      <dsp:txXfrm>
        <a:off x="2045019" y="613"/>
        <a:ext cx="725397" cy="362698"/>
      </dsp:txXfrm>
    </dsp:sp>
    <dsp:sp modelId="{66DD63BD-A28E-4F5A-8E38-A7435657E1EC}">
      <dsp:nvSpPr>
        <dsp:cNvPr id="0" name=""/>
        <dsp:cNvSpPr/>
      </dsp:nvSpPr>
      <dsp:spPr>
        <a:xfrm>
          <a:off x="415005" y="516788"/>
          <a:ext cx="725397" cy="362698"/>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ar-SA" sz="900" b="1" kern="1200">
              <a:solidFill>
                <a:sysClr val="window" lastClr="FFFFFF"/>
              </a:solidFill>
              <a:latin typeface="Calibri"/>
              <a:ea typeface="+mn-ea"/>
              <a:cs typeface="Arial" panose="020B0604020202020204" pitchFamily="34" charset="0"/>
            </a:rPr>
            <a:t>السلطة التشريعية</a:t>
          </a:r>
          <a:endParaRPr lang="en-US" sz="900" b="1" kern="1200">
            <a:solidFill>
              <a:sysClr val="window" lastClr="FFFFFF"/>
            </a:solidFill>
            <a:latin typeface="Calibri"/>
            <a:ea typeface="+mn-ea"/>
            <a:cs typeface="+mn-cs"/>
          </a:endParaRPr>
        </a:p>
      </dsp:txBody>
      <dsp:txXfrm>
        <a:off x="415005" y="516788"/>
        <a:ext cx="725397" cy="362698"/>
      </dsp:txXfrm>
    </dsp:sp>
    <dsp:sp modelId="{7762417B-D5DA-40A0-B4A5-1EB5C84712BE}">
      <dsp:nvSpPr>
        <dsp:cNvPr id="0" name=""/>
        <dsp:cNvSpPr/>
      </dsp:nvSpPr>
      <dsp:spPr>
        <a:xfrm>
          <a:off x="596354" y="1031820"/>
          <a:ext cx="725397" cy="362698"/>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ar-SA" sz="1200" b="1" kern="1200">
              <a:solidFill>
                <a:sysClr val="window" lastClr="FFFFFF"/>
              </a:solidFill>
              <a:latin typeface="Calibri"/>
              <a:ea typeface="+mn-ea"/>
              <a:cs typeface="Arial" panose="020B0604020202020204" pitchFamily="34" charset="0"/>
            </a:rPr>
            <a:t>المجلس التشريعي</a:t>
          </a:r>
          <a:endParaRPr lang="en-US" sz="1200" b="1" kern="1200">
            <a:solidFill>
              <a:sysClr val="window" lastClr="FFFFFF"/>
            </a:solidFill>
            <a:latin typeface="Calibri"/>
            <a:ea typeface="+mn-ea"/>
            <a:cs typeface="+mn-cs"/>
          </a:endParaRPr>
        </a:p>
      </dsp:txBody>
      <dsp:txXfrm>
        <a:off x="596354" y="1031820"/>
        <a:ext cx="725397" cy="362698"/>
      </dsp:txXfrm>
    </dsp:sp>
    <dsp:sp modelId="{6C5B4DF8-0642-45EF-8F2A-E642D6532B7F}">
      <dsp:nvSpPr>
        <dsp:cNvPr id="0" name=""/>
        <dsp:cNvSpPr/>
      </dsp:nvSpPr>
      <dsp:spPr>
        <a:xfrm>
          <a:off x="2105779" y="516788"/>
          <a:ext cx="725397" cy="362698"/>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ar-SA" sz="1000" b="1" kern="1200">
              <a:solidFill>
                <a:sysClr val="window" lastClr="FFFFFF"/>
              </a:solidFill>
              <a:latin typeface="Calibri"/>
              <a:ea typeface="+mn-ea"/>
              <a:cs typeface="Arial" panose="020B0604020202020204" pitchFamily="34" charset="0"/>
            </a:rPr>
            <a:t>السلطة التنفيذية</a:t>
          </a:r>
          <a:endParaRPr lang="en-US" sz="1000" b="1" kern="1200">
            <a:solidFill>
              <a:sysClr val="window" lastClr="FFFFFF"/>
            </a:solidFill>
            <a:latin typeface="Calibri"/>
            <a:ea typeface="+mn-ea"/>
            <a:cs typeface="+mn-cs"/>
          </a:endParaRPr>
        </a:p>
      </dsp:txBody>
      <dsp:txXfrm>
        <a:off x="2105779" y="516788"/>
        <a:ext cx="725397" cy="362698"/>
      </dsp:txXfrm>
    </dsp:sp>
    <dsp:sp modelId="{A7673C49-DAD4-4DDF-90A8-B39A2B94B360}">
      <dsp:nvSpPr>
        <dsp:cNvPr id="0" name=""/>
        <dsp:cNvSpPr/>
      </dsp:nvSpPr>
      <dsp:spPr>
        <a:xfrm>
          <a:off x="1391977" y="994422"/>
          <a:ext cx="1988785" cy="873414"/>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r" defTabSz="533400" rtl="1">
            <a:lnSpc>
              <a:spcPct val="90000"/>
            </a:lnSpc>
            <a:spcBef>
              <a:spcPct val="0"/>
            </a:spcBef>
            <a:spcAft>
              <a:spcPct val="35000"/>
            </a:spcAft>
            <a:buNone/>
          </a:pPr>
          <a:r>
            <a:rPr lang="ar-SA" sz="1200" b="1" kern="1200">
              <a:solidFill>
                <a:sysClr val="window" lastClr="FFFFFF"/>
              </a:solidFill>
              <a:latin typeface="Calibri"/>
              <a:ea typeface="+mn-ea"/>
              <a:cs typeface="Arial" panose="020B0604020202020204" pitchFamily="34" charset="0"/>
            </a:rPr>
            <a:t>وزارة التنمية الاجتماعية/ وزارة الصحة/وزارةالتربية/الشرطة/ وزارة العدل/ وزارة العمل/الجهاز المركزي للاحصاء الفلسطيني</a:t>
          </a:r>
          <a:endParaRPr lang="en-US" sz="1200" b="1" kern="1200">
            <a:solidFill>
              <a:sysClr val="window" lastClr="FFFFFF"/>
            </a:solidFill>
            <a:latin typeface="Calibri"/>
            <a:ea typeface="+mn-ea"/>
            <a:cs typeface="+mn-cs"/>
          </a:endParaRPr>
        </a:p>
      </dsp:txBody>
      <dsp:txXfrm>
        <a:off x="1391977" y="994422"/>
        <a:ext cx="1988785" cy="873414"/>
      </dsp:txXfrm>
    </dsp:sp>
    <dsp:sp modelId="{FC6732CE-DB29-46F3-B128-F602D2EB72EE}">
      <dsp:nvSpPr>
        <dsp:cNvPr id="0" name=""/>
        <dsp:cNvSpPr/>
      </dsp:nvSpPr>
      <dsp:spPr>
        <a:xfrm>
          <a:off x="1041414" y="2057568"/>
          <a:ext cx="995607" cy="510617"/>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r" defTabSz="533400" rtl="1">
            <a:lnSpc>
              <a:spcPct val="90000"/>
            </a:lnSpc>
            <a:spcBef>
              <a:spcPct val="0"/>
            </a:spcBef>
            <a:spcAft>
              <a:spcPct val="35000"/>
            </a:spcAft>
            <a:buNone/>
          </a:pPr>
          <a:r>
            <a:rPr lang="ar-SA" sz="1200" b="1" kern="1200">
              <a:solidFill>
                <a:sysClr val="window" lastClr="FFFFFF"/>
              </a:solidFill>
              <a:latin typeface="Calibri"/>
              <a:ea typeface="+mn-ea"/>
              <a:cs typeface="Arial" panose="020B0604020202020204" pitchFamily="34" charset="0"/>
            </a:rPr>
            <a:t>المجلس الاعلى للاشخاص ذوي الاعاقة، </a:t>
          </a:r>
          <a:endParaRPr lang="en-US" sz="1200" b="1" kern="1200">
            <a:solidFill>
              <a:sysClr val="window" lastClr="FFFFFF"/>
            </a:solidFill>
            <a:latin typeface="Calibri"/>
            <a:ea typeface="+mn-ea"/>
            <a:cs typeface="+mn-cs"/>
          </a:endParaRPr>
        </a:p>
      </dsp:txBody>
      <dsp:txXfrm>
        <a:off x="1041414" y="2057568"/>
        <a:ext cx="995607" cy="510617"/>
      </dsp:txXfrm>
    </dsp:sp>
    <dsp:sp modelId="{39D1CE77-2702-4D0E-B974-F3C227752D83}">
      <dsp:nvSpPr>
        <dsp:cNvPr id="0" name=""/>
        <dsp:cNvSpPr/>
      </dsp:nvSpPr>
      <dsp:spPr>
        <a:xfrm>
          <a:off x="1252037" y="2651614"/>
          <a:ext cx="2023335" cy="502254"/>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r" defTabSz="533400" rtl="1">
            <a:lnSpc>
              <a:spcPct val="90000"/>
            </a:lnSpc>
            <a:spcBef>
              <a:spcPct val="0"/>
            </a:spcBef>
            <a:spcAft>
              <a:spcPct val="35000"/>
            </a:spcAft>
            <a:buNone/>
          </a:pPr>
          <a:r>
            <a:rPr lang="ar-SA" sz="1200" b="1" kern="1200">
              <a:solidFill>
                <a:sysClr val="window" lastClr="FFFFFF"/>
              </a:solidFill>
              <a:latin typeface="Calibri"/>
              <a:ea typeface="+mn-ea"/>
              <a:cs typeface="Arial" panose="020B0604020202020204" pitchFamily="34" charset="0"/>
            </a:rPr>
            <a:t>مؤسسات حكومية+مؤسسات غير حكومية تقدم خدمات متنوعة وتعمل في سبيل تطبيق حقوق ذوي الاعاقة</a:t>
          </a:r>
          <a:endParaRPr lang="en-US" sz="1200" b="1" kern="1200">
            <a:solidFill>
              <a:sysClr val="window" lastClr="FFFFFF"/>
            </a:solidFill>
            <a:latin typeface="Calibri"/>
            <a:ea typeface="+mn-ea"/>
            <a:cs typeface="+mn-cs"/>
          </a:endParaRPr>
        </a:p>
      </dsp:txBody>
      <dsp:txXfrm>
        <a:off x="1252037" y="2651614"/>
        <a:ext cx="2023335" cy="502254"/>
      </dsp:txXfrm>
    </dsp:sp>
    <dsp:sp modelId="{165C7384-2D46-4474-80B6-E928517ACDD1}">
      <dsp:nvSpPr>
        <dsp:cNvPr id="0" name=""/>
        <dsp:cNvSpPr/>
      </dsp:nvSpPr>
      <dsp:spPr>
        <a:xfrm>
          <a:off x="2136053" y="2093105"/>
          <a:ext cx="1706184" cy="521607"/>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r" defTabSz="533400" rtl="1">
            <a:lnSpc>
              <a:spcPct val="90000"/>
            </a:lnSpc>
            <a:spcBef>
              <a:spcPct val="0"/>
            </a:spcBef>
            <a:spcAft>
              <a:spcPct val="35000"/>
            </a:spcAft>
            <a:buNone/>
          </a:pPr>
          <a:r>
            <a:rPr lang="ar-SA" sz="1200" b="1" kern="1200">
              <a:solidFill>
                <a:sysClr val="window" lastClr="FFFFFF"/>
              </a:solidFill>
              <a:latin typeface="Calibri"/>
              <a:ea typeface="+mn-ea"/>
              <a:cs typeface="Arial" panose="020B0604020202020204" pitchFamily="34" charset="0"/>
            </a:rPr>
            <a:t>بطاقة ذوي الاعاقة+مؤسسات حكومية تعمل في مجال الاعاقة</a:t>
          </a:r>
          <a:endParaRPr lang="en-US" sz="1200" b="1" kern="1200">
            <a:solidFill>
              <a:sysClr val="window" lastClr="FFFFFF"/>
            </a:solidFill>
            <a:latin typeface="Calibri"/>
            <a:ea typeface="+mn-ea"/>
            <a:cs typeface="+mn-cs"/>
          </a:endParaRPr>
        </a:p>
      </dsp:txBody>
      <dsp:txXfrm>
        <a:off x="2136053" y="2093105"/>
        <a:ext cx="1706184" cy="521607"/>
      </dsp:txXfrm>
    </dsp:sp>
    <dsp:sp modelId="{5CDCB31D-9B78-401B-80F3-067CBCC79311}">
      <dsp:nvSpPr>
        <dsp:cNvPr id="0" name=""/>
        <dsp:cNvSpPr/>
      </dsp:nvSpPr>
      <dsp:spPr>
        <a:xfrm>
          <a:off x="3359269" y="516788"/>
          <a:ext cx="1023738" cy="44621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ar-SA" sz="1000" b="1" kern="1200">
              <a:solidFill>
                <a:sysClr val="window" lastClr="FFFFFF"/>
              </a:solidFill>
              <a:latin typeface="Calibri"/>
              <a:ea typeface="+mn-ea"/>
              <a:cs typeface="Arial" panose="020B0604020202020204" pitchFamily="34" charset="0"/>
            </a:rPr>
            <a:t>السلطة القضائية</a:t>
          </a:r>
          <a:endParaRPr lang="en-US" sz="1000" b="1" kern="1200">
            <a:solidFill>
              <a:sysClr val="window" lastClr="FFFFFF"/>
            </a:solidFill>
            <a:latin typeface="Calibri"/>
            <a:ea typeface="+mn-ea"/>
            <a:cs typeface="+mn-cs"/>
          </a:endParaRPr>
        </a:p>
      </dsp:txBody>
      <dsp:txXfrm>
        <a:off x="3359269" y="516788"/>
        <a:ext cx="1023738" cy="446213"/>
      </dsp:txXfrm>
    </dsp:sp>
    <dsp:sp modelId="{D2632152-6CDC-44D9-8800-939423A2E3F5}">
      <dsp:nvSpPr>
        <dsp:cNvPr id="0" name=""/>
        <dsp:cNvSpPr/>
      </dsp:nvSpPr>
      <dsp:spPr>
        <a:xfrm>
          <a:off x="3615203" y="1115335"/>
          <a:ext cx="1299345" cy="695057"/>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r" defTabSz="533400" rtl="1">
            <a:lnSpc>
              <a:spcPct val="90000"/>
            </a:lnSpc>
            <a:spcBef>
              <a:spcPct val="0"/>
            </a:spcBef>
            <a:spcAft>
              <a:spcPct val="35000"/>
            </a:spcAft>
            <a:buNone/>
          </a:pPr>
          <a:r>
            <a:rPr lang="ar-SA" sz="1200" b="1" kern="1200">
              <a:solidFill>
                <a:sysClr val="window" lastClr="FFFFFF"/>
              </a:solidFill>
              <a:latin typeface="Calibri"/>
              <a:ea typeface="+mn-ea"/>
              <a:cs typeface="Arial" panose="020B0604020202020204" pitchFamily="34" charset="0"/>
            </a:rPr>
            <a:t>النيابة العامة </a:t>
          </a:r>
        </a:p>
        <a:p>
          <a:pPr marL="0" lvl="0" indent="0" algn="r" defTabSz="533400" rtl="1">
            <a:lnSpc>
              <a:spcPct val="90000"/>
            </a:lnSpc>
            <a:spcBef>
              <a:spcPct val="0"/>
            </a:spcBef>
            <a:spcAft>
              <a:spcPct val="35000"/>
            </a:spcAft>
            <a:buNone/>
          </a:pPr>
          <a:r>
            <a:rPr lang="ar-SA" sz="1200" b="1" kern="1200">
              <a:solidFill>
                <a:sysClr val="window" lastClr="FFFFFF"/>
              </a:solidFill>
              <a:latin typeface="Calibri"/>
              <a:ea typeface="+mn-ea"/>
              <a:cs typeface="Arial" panose="020B0604020202020204" pitchFamily="34" charset="0"/>
            </a:rPr>
            <a:t>مجلس القضاء الاعلى </a:t>
          </a:r>
        </a:p>
        <a:p>
          <a:pPr marL="0" lvl="0" indent="0" algn="r" defTabSz="533400" rtl="1">
            <a:lnSpc>
              <a:spcPct val="90000"/>
            </a:lnSpc>
            <a:spcBef>
              <a:spcPct val="0"/>
            </a:spcBef>
            <a:spcAft>
              <a:spcPct val="35000"/>
            </a:spcAft>
            <a:buNone/>
          </a:pPr>
          <a:r>
            <a:rPr lang="ar-SA" sz="1200" b="1" kern="1200">
              <a:solidFill>
                <a:sysClr val="window" lastClr="FFFFFF"/>
              </a:solidFill>
              <a:latin typeface="Calibri"/>
              <a:ea typeface="+mn-ea"/>
              <a:cs typeface="Arial" panose="020B0604020202020204" pitchFamily="34" charset="0"/>
            </a:rPr>
            <a:t>القضاء الشرعي</a:t>
          </a:r>
          <a:endParaRPr lang="en-US" sz="1200" b="1" kern="1200">
            <a:solidFill>
              <a:sysClr val="window" lastClr="FFFFFF"/>
            </a:solidFill>
            <a:latin typeface="Calibri"/>
            <a:ea typeface="+mn-ea"/>
            <a:cs typeface="+mn-cs"/>
          </a:endParaRPr>
        </a:p>
      </dsp:txBody>
      <dsp:txXfrm>
        <a:off x="3615203" y="1115335"/>
        <a:ext cx="1299345" cy="69505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E3C271-5CFA-4992-A61D-1BEFD9393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2</TotalTime>
  <Pages>75</Pages>
  <Words>38591</Words>
  <Characters>219970</Characters>
  <Application>Microsoft Office Word</Application>
  <DocSecurity>0</DocSecurity>
  <Lines>1833</Lines>
  <Paragraphs>516</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CRPD/C/PSE/1</vt:lpstr>
      <vt:lpstr>A/</vt:lpstr>
      <vt:lpstr>A/</vt:lpstr>
    </vt:vector>
  </TitlesOfParts>
  <Company>DCM</Company>
  <LinksUpToDate>false</LinksUpToDate>
  <CharactersWithSpaces>258045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CRPD/C/PSE/1</dc:title>
  <dc:subject/>
  <dc:creator>Elena IZOTOVA</dc:creator>
  <cp:keywords/>
  <cp:lastModifiedBy>Elena IZOTOVA</cp:lastModifiedBy>
  <cp:revision>3</cp:revision>
  <cp:lastPrinted>2020-06-04T07:46:00Z</cp:lastPrinted>
  <dcterms:created xsi:type="dcterms:W3CDTF">2020-06-04T07:46:00Z</dcterms:created>
  <dcterms:modified xsi:type="dcterms:W3CDTF">2020-06-04T07:48:00Z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