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3349E4">
        <w:trPr>
          <w:trHeight w:hRule="exact" w:val="851"/>
        </w:trPr>
        <w:tc>
          <w:tcPr>
            <w:tcW w:w="142" w:type="dxa"/>
            <w:tcBorders>
              <w:bottom w:val="single" w:sz="4" w:space="0" w:color="auto"/>
            </w:tcBorders>
          </w:tcPr>
          <w:p w:rsidR="002D5AAC" w:rsidRDefault="002D5AAC" w:rsidP="000D7271">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0D7271" w:rsidP="000D7271">
            <w:pPr>
              <w:jc w:val="right"/>
            </w:pPr>
            <w:r w:rsidRPr="000D7271">
              <w:rPr>
                <w:sz w:val="40"/>
              </w:rPr>
              <w:t>CRPD</w:t>
            </w:r>
            <w:r>
              <w:t>/C/SEN/1</w:t>
            </w:r>
          </w:p>
        </w:tc>
      </w:tr>
      <w:tr w:rsidR="002D5AAC" w:rsidRPr="00EB1E0E" w:rsidTr="003349E4">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инвалидов</w:t>
            </w:r>
          </w:p>
        </w:tc>
        <w:tc>
          <w:tcPr>
            <w:tcW w:w="2819" w:type="dxa"/>
            <w:tcBorders>
              <w:top w:val="single" w:sz="4" w:space="0" w:color="auto"/>
              <w:bottom w:val="single" w:sz="12" w:space="0" w:color="auto"/>
            </w:tcBorders>
          </w:tcPr>
          <w:p w:rsidR="002D5AAC" w:rsidRDefault="000D7271" w:rsidP="003349E4">
            <w:pPr>
              <w:spacing w:before="240"/>
              <w:rPr>
                <w:lang w:val="en-US"/>
              </w:rPr>
            </w:pPr>
            <w:r>
              <w:rPr>
                <w:lang w:val="en-US"/>
              </w:rPr>
              <w:t>Distr.: General</w:t>
            </w:r>
          </w:p>
          <w:p w:rsidR="000D7271" w:rsidRDefault="000D7271" w:rsidP="000D7271">
            <w:pPr>
              <w:spacing w:line="240" w:lineRule="exact"/>
              <w:rPr>
                <w:lang w:val="en-US"/>
              </w:rPr>
            </w:pPr>
            <w:r>
              <w:rPr>
                <w:lang w:val="en-US"/>
              </w:rPr>
              <w:t>27 July 2018</w:t>
            </w:r>
          </w:p>
          <w:p w:rsidR="000D7271" w:rsidRDefault="000D7271" w:rsidP="000D7271">
            <w:pPr>
              <w:spacing w:line="240" w:lineRule="exact"/>
              <w:rPr>
                <w:lang w:val="en-US"/>
              </w:rPr>
            </w:pPr>
            <w:r>
              <w:rPr>
                <w:lang w:val="en-US"/>
              </w:rPr>
              <w:t>Russian</w:t>
            </w:r>
          </w:p>
          <w:p w:rsidR="000D7271" w:rsidRDefault="000D7271" w:rsidP="000D7271">
            <w:pPr>
              <w:spacing w:line="240" w:lineRule="exact"/>
              <w:rPr>
                <w:lang w:val="en-US"/>
              </w:rPr>
            </w:pPr>
            <w:r>
              <w:rPr>
                <w:lang w:val="en-US"/>
              </w:rPr>
              <w:t>Original: French</w:t>
            </w:r>
          </w:p>
          <w:p w:rsidR="000D7271" w:rsidRPr="008934D2" w:rsidRDefault="000D7271" w:rsidP="000D7271">
            <w:pPr>
              <w:spacing w:line="240" w:lineRule="exact"/>
              <w:rPr>
                <w:lang w:val="en-US"/>
              </w:rPr>
            </w:pPr>
            <w:r>
              <w:rPr>
                <w:lang w:val="en-US"/>
              </w:rPr>
              <w:t>English, French, Russian and Spanish only</w:t>
            </w:r>
          </w:p>
        </w:tc>
      </w:tr>
    </w:tbl>
    <w:p w:rsidR="000D7271" w:rsidRPr="000D7271" w:rsidRDefault="000D7271" w:rsidP="000D7271">
      <w:pPr>
        <w:spacing w:before="120"/>
        <w:rPr>
          <w:b/>
          <w:sz w:val="24"/>
          <w:szCs w:val="24"/>
        </w:rPr>
      </w:pPr>
      <w:r w:rsidRPr="000D7271">
        <w:rPr>
          <w:b/>
          <w:sz w:val="24"/>
          <w:szCs w:val="24"/>
        </w:rPr>
        <w:t>Комитет по правам инвалидов</w:t>
      </w:r>
    </w:p>
    <w:p w:rsidR="000D7271" w:rsidRPr="000D7271" w:rsidRDefault="000D7271" w:rsidP="000D7271">
      <w:pPr>
        <w:pStyle w:val="HChGR"/>
      </w:pPr>
      <w:r w:rsidRPr="000D7271">
        <w:tab/>
      </w:r>
      <w:r w:rsidRPr="000D7271">
        <w:tab/>
        <w:t>Первоначальный доклад, представленный Сенегалом в</w:t>
      </w:r>
      <w:r>
        <w:rPr>
          <w:lang w:val="en-US"/>
        </w:rPr>
        <w:t> </w:t>
      </w:r>
      <w:r w:rsidRPr="000D7271">
        <w:t>соответствии со статьей 35 Конвенции, подлежавший представлению в</w:t>
      </w:r>
      <w:r w:rsidR="006550CB">
        <w:t xml:space="preserve"> </w:t>
      </w:r>
      <w:r w:rsidRPr="000D7271">
        <w:t>2012 году</w:t>
      </w:r>
      <w:r w:rsidRPr="000D7271">
        <w:rPr>
          <w:b w:val="0"/>
          <w:bCs/>
          <w:sz w:val="20"/>
        </w:rPr>
        <w:footnoteReference w:customMarkFollows="1" w:id="1"/>
        <w:t>*</w:t>
      </w:r>
      <w:bookmarkStart w:id="0" w:name="_Toc286990684"/>
      <w:bookmarkEnd w:id="0"/>
    </w:p>
    <w:p w:rsidR="000D7271" w:rsidRPr="000D7271" w:rsidRDefault="000D7271" w:rsidP="000D7271">
      <w:pPr>
        <w:pStyle w:val="SingleTxtGR"/>
        <w:jc w:val="right"/>
      </w:pPr>
      <w:r w:rsidRPr="000D7271">
        <w:t>[Дата получения: 23 марта 2015 года]</w:t>
      </w:r>
    </w:p>
    <w:p w:rsidR="000D7271" w:rsidRPr="000D7271" w:rsidRDefault="000D7271" w:rsidP="000D7271">
      <w:pPr>
        <w:pStyle w:val="SingleTxtGR"/>
      </w:pPr>
      <w:r w:rsidRPr="000D7271">
        <w:br w:type="page"/>
      </w:r>
    </w:p>
    <w:p w:rsidR="000D7271" w:rsidRDefault="000D7271" w:rsidP="000D7271">
      <w:pPr>
        <w:spacing w:after="120"/>
        <w:rPr>
          <w:sz w:val="28"/>
        </w:rPr>
      </w:pPr>
      <w:r>
        <w:rPr>
          <w:sz w:val="28"/>
        </w:rPr>
        <w:lastRenderedPageBreak/>
        <w:t>Содержание</w:t>
      </w:r>
    </w:p>
    <w:p w:rsidR="000D7271" w:rsidRDefault="000D7271" w:rsidP="000D7271">
      <w:pPr>
        <w:tabs>
          <w:tab w:val="right" w:pos="9638"/>
        </w:tabs>
        <w:spacing w:after="120"/>
        <w:ind w:left="283"/>
        <w:rPr>
          <w:sz w:val="18"/>
        </w:rPr>
      </w:pPr>
      <w:r>
        <w:rPr>
          <w:i/>
          <w:sz w:val="18"/>
        </w:rPr>
        <w:tab/>
        <w:t>Стр.</w:t>
      </w:r>
    </w:p>
    <w:p w:rsidR="000D7271" w:rsidRPr="000D7271" w:rsidRDefault="000D7271" w:rsidP="000D7271">
      <w:pPr>
        <w:tabs>
          <w:tab w:val="right" w:pos="850"/>
          <w:tab w:val="left" w:pos="1134"/>
          <w:tab w:val="left" w:pos="1559"/>
          <w:tab w:val="left" w:pos="1984"/>
          <w:tab w:val="left" w:leader="dot" w:pos="8787"/>
          <w:tab w:val="right" w:pos="9638"/>
        </w:tabs>
        <w:spacing w:after="120"/>
      </w:pPr>
      <w:r w:rsidRPr="000D7271">
        <w:tab/>
      </w:r>
      <w:r w:rsidRPr="000D7271">
        <w:tab/>
        <w:t>Общее введение</w:t>
      </w:r>
      <w:r w:rsidRPr="000D7271">
        <w:tab/>
      </w:r>
      <w:r w:rsidRPr="000D7271">
        <w:tab/>
        <w:t>3</w:t>
      </w:r>
    </w:p>
    <w:p w:rsidR="000D7271" w:rsidRPr="000D7271"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Статьи 1–4: </w:t>
      </w:r>
      <w:r>
        <w:tab/>
      </w:r>
      <w:r w:rsidRPr="000D7271">
        <w:t>Общие принципы Конвенции</w:t>
      </w:r>
      <w:r w:rsidRPr="000D7271">
        <w:tab/>
      </w:r>
      <w:r w:rsidRPr="000D7271">
        <w:tab/>
        <w:t>3</w:t>
      </w:r>
    </w:p>
    <w:p w:rsidR="000D7271" w:rsidRPr="000D7271"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5: </w:t>
      </w:r>
      <w:r>
        <w:tab/>
      </w:r>
      <w:r w:rsidRPr="000D7271">
        <w:t xml:space="preserve">Равенство и </w:t>
      </w:r>
      <w:proofErr w:type="spellStart"/>
      <w:r w:rsidRPr="000D7271">
        <w:t>недискриминация</w:t>
      </w:r>
      <w:proofErr w:type="spellEnd"/>
      <w:r w:rsidRPr="000D7271">
        <w:tab/>
      </w:r>
      <w:r w:rsidRPr="000D7271">
        <w:tab/>
        <w:t>12</w:t>
      </w:r>
    </w:p>
    <w:p w:rsidR="000D7271" w:rsidRPr="000D7271"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6: </w:t>
      </w:r>
      <w:r>
        <w:tab/>
      </w:r>
      <w:r w:rsidRPr="000D7271">
        <w:t>Женщины-инвалиды</w:t>
      </w:r>
      <w:r w:rsidRPr="000D7271">
        <w:tab/>
      </w:r>
      <w:r w:rsidRPr="000D7271">
        <w:tab/>
        <w:t>15</w:t>
      </w:r>
    </w:p>
    <w:p w:rsidR="000D7271" w:rsidRPr="000D7271"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7: </w:t>
      </w:r>
      <w:r>
        <w:tab/>
      </w:r>
      <w:r w:rsidRPr="000D7271">
        <w:t>Дети-инвалиды</w:t>
      </w:r>
      <w:bookmarkStart w:id="1" w:name="_GoBack"/>
      <w:bookmarkEnd w:id="1"/>
      <w:r w:rsidRPr="000D7271">
        <w:tab/>
      </w:r>
      <w:r w:rsidRPr="000D7271">
        <w:tab/>
        <w:t>18</w:t>
      </w:r>
    </w:p>
    <w:p w:rsidR="000D7271" w:rsidRPr="000D7271"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8: </w:t>
      </w:r>
      <w:r>
        <w:tab/>
      </w:r>
      <w:r w:rsidRPr="000D7271">
        <w:t>Просветительно-воспитательная работа</w:t>
      </w:r>
      <w:r w:rsidRPr="000D7271">
        <w:tab/>
      </w:r>
      <w:r w:rsidRPr="000D7271">
        <w:tab/>
        <w:t>20</w:t>
      </w:r>
    </w:p>
    <w:p w:rsidR="000D7271" w:rsidRPr="000D7271"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9: </w:t>
      </w:r>
      <w:r>
        <w:tab/>
      </w:r>
      <w:r w:rsidRPr="000D7271">
        <w:t>Доступность</w:t>
      </w:r>
      <w:r w:rsidRPr="000D7271">
        <w:tab/>
      </w:r>
      <w:r w:rsidRPr="000D7271">
        <w:tab/>
        <w:t>21</w:t>
      </w:r>
    </w:p>
    <w:p w:rsidR="000D7271" w:rsidRPr="00EB1E0E"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10: </w:t>
      </w:r>
      <w:r>
        <w:tab/>
      </w:r>
      <w:r w:rsidRPr="000D7271">
        <w:t>Право на жизнь</w:t>
      </w:r>
      <w:r w:rsidRPr="000D7271">
        <w:tab/>
      </w:r>
      <w:r w:rsidRPr="000D7271">
        <w:tab/>
        <w:t>2</w:t>
      </w:r>
      <w:r w:rsidR="00D45E39" w:rsidRPr="00EB1E0E">
        <w:t>2</w:t>
      </w:r>
    </w:p>
    <w:p w:rsidR="000D7271" w:rsidRPr="000D7271"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11: </w:t>
      </w:r>
      <w:r>
        <w:tab/>
      </w:r>
      <w:r w:rsidRPr="000D7271">
        <w:t>Ситуации риска и чрезвычайные гуманитарные ситуации</w:t>
      </w:r>
      <w:r w:rsidRPr="000D7271">
        <w:tab/>
      </w:r>
      <w:r w:rsidRPr="000D7271">
        <w:tab/>
        <w:t>23</w:t>
      </w:r>
    </w:p>
    <w:p w:rsidR="000D7271" w:rsidRPr="000D7271"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12: </w:t>
      </w:r>
      <w:r>
        <w:tab/>
      </w:r>
      <w:r w:rsidRPr="000D7271">
        <w:t>Равенство перед законом</w:t>
      </w:r>
      <w:r w:rsidRPr="000D7271">
        <w:tab/>
      </w:r>
      <w:r w:rsidRPr="000D7271">
        <w:tab/>
        <w:t>24</w:t>
      </w:r>
    </w:p>
    <w:p w:rsidR="000D7271" w:rsidRPr="000D7271"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13: </w:t>
      </w:r>
      <w:r>
        <w:tab/>
      </w:r>
      <w:r w:rsidRPr="000D7271">
        <w:t xml:space="preserve">Доступ к правосудию </w:t>
      </w:r>
      <w:r w:rsidRPr="000D7271">
        <w:tab/>
      </w:r>
      <w:r w:rsidRPr="000D7271">
        <w:tab/>
        <w:t>25</w:t>
      </w:r>
    </w:p>
    <w:p w:rsidR="000D7271" w:rsidRPr="000D7271"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14: </w:t>
      </w:r>
      <w:r>
        <w:tab/>
      </w:r>
      <w:r w:rsidRPr="000D7271">
        <w:t>Свобода и личная неприкосновенность</w:t>
      </w:r>
      <w:r w:rsidRPr="000D7271">
        <w:tab/>
      </w:r>
      <w:r w:rsidRPr="000D7271">
        <w:tab/>
        <w:t>27</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tab/>
      </w:r>
      <w:r>
        <w:tab/>
      </w:r>
      <w:r w:rsidRPr="000D7271">
        <w:t xml:space="preserve">Статья 15: </w:t>
      </w:r>
      <w:r>
        <w:tab/>
      </w:r>
      <w:r w:rsidRPr="000D7271">
        <w:t xml:space="preserve">Свобода от пыток и жестоких, бесчеловечных или унижающих </w:t>
      </w:r>
      <w:r>
        <w:br/>
      </w:r>
      <w:r w:rsidRPr="000D7271">
        <w:t>достоинство видов обращения и наказания</w:t>
      </w:r>
      <w:r w:rsidRPr="000D7271">
        <w:tab/>
      </w:r>
      <w:r w:rsidRPr="000D7271">
        <w:tab/>
      </w:r>
      <w:r w:rsidR="00D45E39" w:rsidRPr="00D45E39">
        <w:t>29</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16: </w:t>
      </w:r>
      <w:r>
        <w:tab/>
      </w:r>
      <w:r w:rsidRPr="000D7271">
        <w:t>Свобода от эксплуатации, насилия и надругательства</w:t>
      </w:r>
      <w:r w:rsidRPr="000D7271">
        <w:tab/>
      </w:r>
      <w:r w:rsidRPr="000D7271">
        <w:tab/>
        <w:t>3</w:t>
      </w:r>
      <w:r w:rsidR="00D45E39" w:rsidRPr="00D45E39">
        <w:t>0</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17: </w:t>
      </w:r>
      <w:r>
        <w:tab/>
      </w:r>
      <w:r w:rsidRPr="000D7271">
        <w:t>Защита личной целостности</w:t>
      </w:r>
      <w:r w:rsidRPr="000D7271">
        <w:tab/>
      </w:r>
      <w:r w:rsidRPr="000D7271">
        <w:tab/>
        <w:t>3</w:t>
      </w:r>
      <w:r w:rsidR="00D45E39" w:rsidRPr="00D45E39">
        <w:t>0</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18: </w:t>
      </w:r>
      <w:r>
        <w:tab/>
      </w:r>
      <w:r w:rsidRPr="000D7271">
        <w:t>Свобода передвижения и гражданство</w:t>
      </w:r>
      <w:r w:rsidRPr="000D7271">
        <w:tab/>
      </w:r>
      <w:r w:rsidRPr="000D7271">
        <w:tab/>
        <w:t>3</w:t>
      </w:r>
      <w:r w:rsidR="00D45E39" w:rsidRPr="00D45E39">
        <w:t>1</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19: </w:t>
      </w:r>
      <w:r>
        <w:tab/>
      </w:r>
      <w:r w:rsidRPr="000D7271">
        <w:t>Самостоятельный образ жизни и вовлеченность в местное сообщество</w:t>
      </w:r>
      <w:r w:rsidRPr="000D7271">
        <w:tab/>
      </w:r>
      <w:r w:rsidRPr="000D7271">
        <w:tab/>
        <w:t>3</w:t>
      </w:r>
      <w:r w:rsidR="00D45E39" w:rsidRPr="00D45E39">
        <w:t>2</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20: </w:t>
      </w:r>
      <w:r>
        <w:tab/>
      </w:r>
      <w:r w:rsidRPr="000D7271">
        <w:t xml:space="preserve">Индивидуальная мобильность </w:t>
      </w:r>
      <w:r w:rsidRPr="000D7271">
        <w:tab/>
      </w:r>
      <w:r w:rsidRPr="000D7271">
        <w:tab/>
        <w:t>3</w:t>
      </w:r>
      <w:r w:rsidR="00D45E39" w:rsidRPr="00D45E39">
        <w:t>3</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21: </w:t>
      </w:r>
      <w:r>
        <w:tab/>
      </w:r>
      <w:r w:rsidRPr="000D7271">
        <w:t>Свобода выражения мнения и убеждений и доступ к информации</w:t>
      </w:r>
      <w:r w:rsidRPr="000D7271">
        <w:tab/>
      </w:r>
      <w:r w:rsidRPr="000D7271">
        <w:tab/>
        <w:t>3</w:t>
      </w:r>
      <w:r w:rsidR="00D45E39" w:rsidRPr="00D45E39">
        <w:t>4</w:t>
      </w:r>
    </w:p>
    <w:p w:rsidR="000D7271" w:rsidRPr="000D7271"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22: </w:t>
      </w:r>
      <w:r>
        <w:tab/>
      </w:r>
      <w:r w:rsidRPr="000D7271">
        <w:t>Неприкосновенность частной жизни</w:t>
      </w:r>
      <w:r w:rsidRPr="000D7271">
        <w:tab/>
      </w:r>
      <w:r w:rsidRPr="000D7271">
        <w:tab/>
        <w:t>36</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23: </w:t>
      </w:r>
      <w:r>
        <w:tab/>
      </w:r>
      <w:r w:rsidRPr="000D7271">
        <w:t>Уважение дома и семьи</w:t>
      </w:r>
      <w:r w:rsidRPr="000D7271">
        <w:tab/>
      </w:r>
      <w:r w:rsidRPr="000D7271">
        <w:tab/>
        <w:t>3</w:t>
      </w:r>
      <w:r w:rsidR="00D45E39" w:rsidRPr="00D45E39">
        <w:t>6</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24: </w:t>
      </w:r>
      <w:r>
        <w:tab/>
      </w:r>
      <w:r w:rsidRPr="000D7271">
        <w:t>Образование</w:t>
      </w:r>
      <w:r w:rsidRPr="000D7271">
        <w:tab/>
      </w:r>
      <w:r w:rsidRPr="000D7271">
        <w:tab/>
        <w:t>3</w:t>
      </w:r>
      <w:r w:rsidR="00D45E39" w:rsidRPr="00D45E39">
        <w:t>7</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25: </w:t>
      </w:r>
      <w:r>
        <w:tab/>
      </w:r>
      <w:r w:rsidRPr="000D7271">
        <w:t>Здоровье</w:t>
      </w:r>
      <w:r w:rsidRPr="000D7271">
        <w:tab/>
      </w:r>
      <w:r w:rsidRPr="000D7271">
        <w:tab/>
        <w:t>4</w:t>
      </w:r>
      <w:r w:rsidR="00D45E39" w:rsidRPr="00D45E39">
        <w:t>0</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26: </w:t>
      </w:r>
      <w:r>
        <w:tab/>
      </w:r>
      <w:proofErr w:type="spellStart"/>
      <w:r w:rsidRPr="000D7271">
        <w:t>Абилитация</w:t>
      </w:r>
      <w:proofErr w:type="spellEnd"/>
      <w:r w:rsidRPr="000D7271">
        <w:t xml:space="preserve"> и реабилитация</w:t>
      </w:r>
      <w:r w:rsidRPr="000D7271">
        <w:tab/>
      </w:r>
      <w:r w:rsidRPr="000D7271">
        <w:tab/>
        <w:t>4</w:t>
      </w:r>
      <w:r w:rsidR="00D45E39" w:rsidRPr="00D45E39">
        <w:t>2</w:t>
      </w:r>
    </w:p>
    <w:p w:rsidR="000D7271" w:rsidRPr="000D7271"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27: </w:t>
      </w:r>
      <w:r>
        <w:tab/>
      </w:r>
      <w:r w:rsidRPr="000D7271">
        <w:t>Труд и занятость</w:t>
      </w:r>
      <w:r w:rsidRPr="000D7271">
        <w:tab/>
      </w:r>
      <w:r w:rsidRPr="000D7271">
        <w:tab/>
        <w:t>44</w:t>
      </w:r>
    </w:p>
    <w:p w:rsidR="000D7271" w:rsidRPr="000D7271"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28: </w:t>
      </w:r>
      <w:r>
        <w:tab/>
      </w:r>
      <w:r w:rsidRPr="000D7271">
        <w:t>Достаточный жизненный уровень и социальная защита</w:t>
      </w:r>
      <w:r w:rsidRPr="000D7271">
        <w:tab/>
      </w:r>
      <w:r w:rsidRPr="000D7271">
        <w:tab/>
        <w:t>45</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29: </w:t>
      </w:r>
      <w:r>
        <w:tab/>
      </w:r>
      <w:r w:rsidRPr="000D7271">
        <w:t>Участие в политической и общественной жизни</w:t>
      </w:r>
      <w:r w:rsidRPr="000D7271">
        <w:tab/>
      </w:r>
      <w:r w:rsidRPr="000D7271">
        <w:tab/>
        <w:t>4</w:t>
      </w:r>
      <w:r w:rsidR="00D45E39" w:rsidRPr="00D45E39">
        <w:t>6</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30: </w:t>
      </w:r>
      <w:r>
        <w:tab/>
      </w:r>
      <w:r w:rsidRPr="000D7271">
        <w:t xml:space="preserve">Участие в культурной жизни, проведении досуга и отдыха </w:t>
      </w:r>
      <w:r>
        <w:br/>
      </w:r>
      <w:r w:rsidRPr="000D7271">
        <w:t>и занятии спортом</w:t>
      </w:r>
      <w:r w:rsidRPr="000D7271">
        <w:tab/>
      </w:r>
      <w:r w:rsidRPr="000D7271">
        <w:tab/>
        <w:t>4</w:t>
      </w:r>
      <w:r w:rsidR="00D45E39" w:rsidRPr="00D45E39">
        <w:t>7</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31: </w:t>
      </w:r>
      <w:r>
        <w:tab/>
      </w:r>
      <w:r w:rsidRPr="000D7271">
        <w:t xml:space="preserve">Статистика и сбор данных </w:t>
      </w:r>
      <w:r w:rsidRPr="000D7271">
        <w:tab/>
      </w:r>
      <w:r w:rsidRPr="000D7271">
        <w:tab/>
        <w:t>4</w:t>
      </w:r>
      <w:r w:rsidR="00D45E39" w:rsidRPr="00D45E39">
        <w:t>7</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32: </w:t>
      </w:r>
      <w:r>
        <w:tab/>
      </w:r>
      <w:r w:rsidRPr="000D7271">
        <w:t>Международное сотрудничество</w:t>
      </w:r>
      <w:r w:rsidRPr="000D7271">
        <w:tab/>
      </w:r>
      <w:r w:rsidRPr="000D7271">
        <w:tab/>
        <w:t>4</w:t>
      </w:r>
      <w:r w:rsidR="00D45E39" w:rsidRPr="00D45E39">
        <w:t>8</w:t>
      </w:r>
    </w:p>
    <w:p w:rsidR="000D7271" w:rsidRPr="00D45E39" w:rsidRDefault="000D7271" w:rsidP="000D7271">
      <w:pPr>
        <w:tabs>
          <w:tab w:val="right" w:pos="850"/>
          <w:tab w:val="left" w:pos="1134"/>
          <w:tab w:val="left" w:pos="1559"/>
          <w:tab w:val="left" w:pos="2268"/>
          <w:tab w:val="left" w:leader="dot" w:pos="8787"/>
          <w:tab w:val="right" w:pos="9638"/>
        </w:tabs>
        <w:spacing w:after="120"/>
        <w:ind w:left="2268" w:hanging="2268"/>
      </w:pPr>
      <w:r w:rsidRPr="000D7271">
        <w:tab/>
      </w:r>
      <w:r w:rsidRPr="000D7271">
        <w:tab/>
        <w:t xml:space="preserve">Статья 33: </w:t>
      </w:r>
      <w:r>
        <w:tab/>
      </w:r>
      <w:r w:rsidRPr="000D7271">
        <w:t>Национальное осуществление и мониторинг</w:t>
      </w:r>
      <w:r w:rsidRPr="000D7271">
        <w:tab/>
      </w:r>
      <w:r w:rsidRPr="000D7271">
        <w:tab/>
      </w:r>
      <w:r w:rsidR="00D45E39" w:rsidRPr="00D45E39">
        <w:t>49</w:t>
      </w:r>
    </w:p>
    <w:p w:rsidR="000D7271" w:rsidRPr="00EB1E0E" w:rsidRDefault="000D7271" w:rsidP="000D7271">
      <w:pPr>
        <w:tabs>
          <w:tab w:val="right" w:pos="850"/>
          <w:tab w:val="left" w:pos="1134"/>
          <w:tab w:val="left" w:pos="1559"/>
          <w:tab w:val="left" w:leader="dot" w:pos="8787"/>
          <w:tab w:val="right" w:pos="9638"/>
        </w:tabs>
        <w:spacing w:after="120"/>
      </w:pPr>
      <w:r w:rsidRPr="000D7271">
        <w:tab/>
      </w:r>
      <w:r w:rsidRPr="000D7271">
        <w:tab/>
        <w:t>Ориентировочный список литературы</w:t>
      </w:r>
      <w:r w:rsidRPr="000D7271">
        <w:tab/>
      </w:r>
      <w:r w:rsidRPr="000D7271">
        <w:tab/>
        <w:t>5</w:t>
      </w:r>
      <w:r w:rsidR="00D45E39" w:rsidRPr="00EB1E0E">
        <w:t>1</w:t>
      </w:r>
    </w:p>
    <w:p w:rsidR="000D7271" w:rsidRPr="000D7271" w:rsidRDefault="000D7271" w:rsidP="000D7271">
      <w:pPr>
        <w:pStyle w:val="SingleTxtGR"/>
        <w:rPr>
          <w:bCs/>
        </w:rPr>
      </w:pPr>
      <w:r w:rsidRPr="000D7271">
        <w:br w:type="page"/>
      </w:r>
    </w:p>
    <w:p w:rsidR="000D7271" w:rsidRPr="000D7271" w:rsidRDefault="000D7271" w:rsidP="000D7271">
      <w:pPr>
        <w:pStyle w:val="HChGR"/>
      </w:pPr>
      <w:r w:rsidRPr="000D7271">
        <w:tab/>
      </w:r>
      <w:r w:rsidRPr="000D7271">
        <w:tab/>
        <w:t>Общее введение</w:t>
      </w:r>
    </w:p>
    <w:p w:rsidR="000D7271" w:rsidRPr="000D7271" w:rsidRDefault="000D7271" w:rsidP="000D7271">
      <w:pPr>
        <w:pStyle w:val="SingleTxtGR"/>
      </w:pPr>
      <w:r w:rsidRPr="000D7271">
        <w:t>1.</w:t>
      </w:r>
      <w:r w:rsidRPr="000D7271">
        <w:tab/>
        <w:t>Сенегал ратифицировал Конвенцию о правах инвалидов Законом № 2009-30 от 2 декабря 2009 года. В результате ратификации эта Конвенция стала частью внутренней правовой системы Сенегала, в которой она получила преимущественную силу перед законами в соответствии со статьей 98 Конституции. Таким образом, наряду с Конституцией, законами и нормативными актами Конвенция теперь является частью национальной нормативно-правовой базы, которую государственные органы обязаны применять.</w:t>
      </w:r>
    </w:p>
    <w:p w:rsidR="000D7271" w:rsidRPr="000D7271" w:rsidRDefault="000D7271" w:rsidP="000D7271">
      <w:pPr>
        <w:pStyle w:val="SingleTxtGR"/>
      </w:pPr>
      <w:r w:rsidRPr="000D7271">
        <w:t>2.</w:t>
      </w:r>
      <w:r w:rsidRPr="000D7271">
        <w:tab/>
        <w:t>Подготовка первоначального доклада страны по инвалидности является мерой, предусмотренной положениями статьи 35 Конвенции Организации Объединенных Наций о правах инвалидов, которая была ратифицирована Сенегалом 2 октября 2009</w:t>
      </w:r>
      <w:r>
        <w:rPr>
          <w:lang w:val="en-US"/>
        </w:rPr>
        <w:t> </w:t>
      </w:r>
      <w:r w:rsidRPr="000D7271">
        <w:t xml:space="preserve">года. </w:t>
      </w:r>
    </w:p>
    <w:p w:rsidR="000D7271" w:rsidRPr="000D7271" w:rsidRDefault="000D7271" w:rsidP="000D7271">
      <w:pPr>
        <w:pStyle w:val="SingleTxtGR"/>
      </w:pPr>
      <w:r w:rsidRPr="000D7271">
        <w:t>3.</w:t>
      </w:r>
      <w:r w:rsidRPr="000D7271">
        <w:tab/>
        <w:t>Поощрение прав инвалидов является одной из забот властей Сенегала</w:t>
      </w:r>
      <w:r w:rsidR="00161DF6">
        <w:t>,</w:t>
      </w:r>
      <w:r w:rsidRPr="000D7271">
        <w:t xml:space="preserve"> и в частности президента Республики г-на Маки </w:t>
      </w:r>
      <w:proofErr w:type="spellStart"/>
      <w:r w:rsidRPr="000D7271">
        <w:t>Салла</w:t>
      </w:r>
      <w:proofErr w:type="spellEnd"/>
      <w:r w:rsidRPr="000D7271">
        <w:t>. Его приверженность этому делу была продемонстрирована сразу же после вступления в должность в качестве главы государства путем подписания первого декрета о порядке применения Закона об ориентации социальной политики № 2010-15 от 6 июля 2010 года, касающегося</w:t>
      </w:r>
      <w:r>
        <w:t xml:space="preserve"> </w:t>
      </w:r>
      <w:r w:rsidRPr="000D7271">
        <w:t xml:space="preserve">поощрения и защиты прав инвалидов. </w:t>
      </w:r>
    </w:p>
    <w:p w:rsidR="000D7271" w:rsidRPr="000D7271" w:rsidRDefault="000D7271" w:rsidP="000D7271">
      <w:pPr>
        <w:pStyle w:val="SingleTxtGR"/>
      </w:pPr>
      <w:r w:rsidRPr="000D7271">
        <w:t>4.</w:t>
      </w:r>
      <w:r w:rsidRPr="000D7271">
        <w:tab/>
        <w:t xml:space="preserve">Понятие инвалидности за последние тридцать (30) лет претерпело концептуальную эволюцию, в результате чего было выработано следующее определение: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 </w:t>
      </w:r>
    </w:p>
    <w:p w:rsidR="000D7271" w:rsidRPr="000D7271" w:rsidRDefault="000D7271" w:rsidP="000D7271">
      <w:pPr>
        <w:pStyle w:val="SingleTxtGR"/>
      </w:pPr>
      <w:r w:rsidRPr="000D7271">
        <w:t>5.</w:t>
      </w:r>
      <w:r w:rsidRPr="000D7271">
        <w:tab/>
        <w:t xml:space="preserve">Должный учет инвалидности является вопросом развития в силу ее тесной связи с вопросами нищеты. В действительности инвалидность может повысить риск нищеты. Например, инвалиды и их семьи с большей степенью вероятности могут оказаться в неблагоприятных экономических и социальных условиях и подвергаться пагубным видам практики, чем другие лица. </w:t>
      </w:r>
    </w:p>
    <w:p w:rsidR="000D7271" w:rsidRPr="000D7271" w:rsidRDefault="000D7271" w:rsidP="000D7271">
      <w:pPr>
        <w:pStyle w:val="SingleTxtGR"/>
      </w:pPr>
      <w:r w:rsidRPr="000D7271">
        <w:t>6.</w:t>
      </w:r>
      <w:r w:rsidRPr="000D7271">
        <w:tab/>
      </w:r>
      <w:proofErr w:type="gramStart"/>
      <w:r w:rsidRPr="000D7271">
        <w:t>В</w:t>
      </w:r>
      <w:proofErr w:type="gramEnd"/>
      <w:r w:rsidRPr="000D7271">
        <w:t xml:space="preserve"> методологическом плане подготовка настоящего доклада опирается на поход, подразумевающий участие, который состоит из двух основных этапов: </w:t>
      </w:r>
    </w:p>
    <w:p w:rsidR="000D7271" w:rsidRPr="000D7271" w:rsidRDefault="000D7271" w:rsidP="000D7271">
      <w:pPr>
        <w:pStyle w:val="Bullet1GR"/>
      </w:pPr>
      <w:r w:rsidRPr="000D7271">
        <w:t xml:space="preserve">прежде всего по итогам проведения аналитических исследований и обследований на местах с ориентацией на различные учреждения Управлением по правам человека (УПЧ) при Министерстве юстиции был подготовлен первый вариант текста; </w:t>
      </w:r>
    </w:p>
    <w:p w:rsidR="000D7271" w:rsidRPr="000D7271" w:rsidRDefault="000D7271" w:rsidP="000D7271">
      <w:pPr>
        <w:pStyle w:val="Bullet1GR"/>
      </w:pPr>
      <w:r w:rsidRPr="000D7271">
        <w:t xml:space="preserve">затем под техническим контролем Министерства здравоохранения и социальной поддержки этот доклад был значительно расширен в ходе рабочего совещания по обмену знаниями за счет включения в него всех субъектов, занимающихся вопросами инвалидности. </w:t>
      </w:r>
    </w:p>
    <w:p w:rsidR="000D7271" w:rsidRPr="000D7271" w:rsidRDefault="000D7271" w:rsidP="000D7271">
      <w:pPr>
        <w:pStyle w:val="SingleTxtGR"/>
      </w:pPr>
      <w:r w:rsidRPr="000D7271">
        <w:t>7.</w:t>
      </w:r>
      <w:r w:rsidRPr="000D7271">
        <w:tab/>
        <w:t>И наконец, он был представлен для замечаний в Сенегальский комитет по правам человека, национальное правозащитное учреждение, а также в Национальный консультативный совет по правам человека, административную структуру для защиты и поощрения прав человека.</w:t>
      </w:r>
    </w:p>
    <w:p w:rsidR="000D7271" w:rsidRPr="000D7271" w:rsidRDefault="000D7271" w:rsidP="000D7271">
      <w:pPr>
        <w:pStyle w:val="SingleTxtGR"/>
      </w:pPr>
      <w:r w:rsidRPr="000D7271">
        <w:t>8.</w:t>
      </w:r>
      <w:r w:rsidRPr="000D7271">
        <w:tab/>
      </w:r>
      <w:proofErr w:type="gramStart"/>
      <w:r w:rsidRPr="000D7271">
        <w:t>В</w:t>
      </w:r>
      <w:proofErr w:type="gramEnd"/>
      <w:r w:rsidRPr="000D7271">
        <w:t xml:space="preserve"> техническом плане в настоящем докладе приводится общая информация юридического и программного характера, отображающая уровень осуществления национальной государственной политики в области инвалидности. </w:t>
      </w:r>
    </w:p>
    <w:p w:rsidR="000D7271" w:rsidRPr="000D7271" w:rsidRDefault="000D7271" w:rsidP="000D7271">
      <w:pPr>
        <w:pStyle w:val="HChGR"/>
      </w:pPr>
      <w:r w:rsidRPr="000D7271">
        <w:tab/>
      </w:r>
      <w:r w:rsidRPr="000D7271">
        <w:tab/>
        <w:t>Статьи</w:t>
      </w:r>
      <w:r>
        <w:t xml:space="preserve"> </w:t>
      </w:r>
      <w:r w:rsidRPr="000D7271">
        <w:t xml:space="preserve">1–4: Общие принципы Конвенции </w:t>
      </w:r>
    </w:p>
    <w:p w:rsidR="000D7271" w:rsidRPr="000D7271" w:rsidRDefault="000D7271" w:rsidP="000D7271">
      <w:pPr>
        <w:pStyle w:val="SingleTxtGR"/>
      </w:pPr>
      <w:r w:rsidRPr="000D7271">
        <w:t>9.</w:t>
      </w:r>
      <w:r w:rsidRPr="000D7271">
        <w:tab/>
      </w:r>
      <w:proofErr w:type="gramStart"/>
      <w:r w:rsidRPr="000D7271">
        <w:t>В</w:t>
      </w:r>
      <w:proofErr w:type="gramEnd"/>
      <w:r w:rsidRPr="000D7271">
        <w:t xml:space="preserve"> статьях</w:t>
      </w:r>
      <w:r>
        <w:t xml:space="preserve"> </w:t>
      </w:r>
      <w:r w:rsidRPr="000D7271">
        <w:t>1–4 Конвенции рассматриваются цель, общие принципы, определения некоторых понятий и обязательства государств-участников.</w:t>
      </w:r>
    </w:p>
    <w:p w:rsidR="000D7271" w:rsidRPr="000D7271" w:rsidRDefault="000D7271" w:rsidP="000D7271">
      <w:pPr>
        <w:pStyle w:val="SingleTxtGR"/>
      </w:pPr>
      <w:r w:rsidRPr="000D7271">
        <w:t>10.</w:t>
      </w:r>
      <w:r w:rsidRPr="000D7271">
        <w:tab/>
        <w:t xml:space="preserve">Согласно всеобщей переписи населения 2013 года 59 из 1000 граждан Сенегала имеют инвалидность в какой-либо форме. Лица женского пола затронуты в большей степени </w:t>
      </w:r>
      <w:r>
        <w:t>–</w:t>
      </w:r>
      <w:r w:rsidRPr="000D7271">
        <w:t xml:space="preserve"> соотношение полов составляет 88 мужчин на каждые 100 женщин. Кроме того, наиболее распространенной формой инвалидности являются трудности при ходьбе и проблемы со зрением (по 1,5</w:t>
      </w:r>
      <w:r>
        <w:t>%</w:t>
      </w:r>
      <w:r w:rsidRPr="000D7271">
        <w:t xml:space="preserve"> населения в каждой категории) по сравнению с проблемами со слухом, трудностями с концентрацией и трудностями с уходом за собой (0,6, 0,8 и 0,5</w:t>
      </w:r>
      <w:r>
        <w:t>%</w:t>
      </w:r>
      <w:r w:rsidRPr="000D7271">
        <w:t xml:space="preserve"> соответственно).</w:t>
      </w:r>
    </w:p>
    <w:p w:rsidR="000D7271" w:rsidRPr="000D7271" w:rsidRDefault="000D7271" w:rsidP="000D7271">
      <w:pPr>
        <w:pStyle w:val="SingleTxtGR"/>
      </w:pPr>
      <w:r w:rsidRPr="000D7271">
        <w:t>11.</w:t>
      </w:r>
      <w:r w:rsidRPr="000D7271">
        <w:tab/>
        <w:t xml:space="preserve">На региональном уровне в регионах </w:t>
      </w:r>
      <w:proofErr w:type="spellStart"/>
      <w:r w:rsidRPr="000D7271">
        <w:t>Зигиншор</w:t>
      </w:r>
      <w:proofErr w:type="spellEnd"/>
      <w:r w:rsidRPr="000D7271">
        <w:t xml:space="preserve"> и Матам отмечается самый высокий показатель распространенности, составляющий 8,1</w:t>
      </w:r>
      <w:r>
        <w:t>%</w:t>
      </w:r>
      <w:r w:rsidRPr="000D7271">
        <w:t xml:space="preserve"> инвалидов от общей численности населения каждого из этих регионов, а в</w:t>
      </w:r>
      <w:r>
        <w:t xml:space="preserve"> </w:t>
      </w:r>
      <w:proofErr w:type="spellStart"/>
      <w:r w:rsidRPr="000D7271">
        <w:t>Диурбеле</w:t>
      </w:r>
      <w:proofErr w:type="spellEnd"/>
      <w:r w:rsidRPr="000D7271">
        <w:t xml:space="preserve"> и </w:t>
      </w:r>
      <w:proofErr w:type="spellStart"/>
      <w:r w:rsidRPr="000D7271">
        <w:t>Каолаке</w:t>
      </w:r>
      <w:proofErr w:type="spellEnd"/>
      <w:r w:rsidRPr="000D7271">
        <w:t xml:space="preserve"> зарегистрирован самый низкий показатель распространенности, составляющий 5</w:t>
      </w:r>
      <w:r>
        <w:t>%</w:t>
      </w:r>
      <w:r w:rsidRPr="000D7271">
        <w:t xml:space="preserve"> инвалидов от общей численности населения каждого из этих регионов.</w:t>
      </w:r>
    </w:p>
    <w:p w:rsidR="000D7271" w:rsidRPr="000D7271" w:rsidRDefault="000D7271" w:rsidP="000D7271">
      <w:pPr>
        <w:pStyle w:val="SingleTxtGR"/>
      </w:pPr>
      <w:r w:rsidRPr="000D7271">
        <w:t>12.</w:t>
      </w:r>
      <w:r w:rsidRPr="000D7271">
        <w:tab/>
        <w:t xml:space="preserve">В Сенегале нет единого определения инвалидности, однако существует несколько определений, отличающихся в зависимости от используемых критериев. </w:t>
      </w:r>
    </w:p>
    <w:p w:rsidR="000D7271" w:rsidRPr="000D7271" w:rsidRDefault="000D7271" w:rsidP="000D7271">
      <w:pPr>
        <w:pStyle w:val="SingleTxtGR"/>
      </w:pPr>
      <w:r w:rsidRPr="000D7271">
        <w:t>13.</w:t>
      </w:r>
      <w:r w:rsidRPr="000D7271">
        <w:tab/>
        <w:t>Определение концепции: понятие инвалидности определяется в Докладе о всеобщей переписи населения как признак, по которому группы людей, живущих с инвалидностью, отличаются от других групп населения. В целом, инвалидность подразумевает взаимодействие функциональных способностей отдельного лица с физической, культурной и политической средой. Более конкретно, лицами, живущими с инвалидностью, по определению являются лица, которые подвергаются повышенному по сравнению с остальным населением риску столкнуться с ограничениями при выполнении конкретных задач или при выполнении каких-либо действий, связанных с конкретными функциями. Эта группа, как правило, включает в себя лиц, которые сталкиваются с трудностями при осуществлении базовых видов деятельности, таких как ходьба или слуховое восприятие, даже если такие ограничения могут быть частично устранены с помощью вспомогательных средств, благоприятных условий или обильных ресурсов. Лица, живущие с инвалидностью, также могут не сталкиваться с трудностями при выполнении четко обозначенных задач, таких как мытье или одевание, или при выполнении работ на основе широкого участия, например благодаря осуществлению необходимых адаптационных мер на уровне этих лиц или окружающей их среды. Однако такие лица подвергаются в большей степени, чем население в целом, риску того, что они будут ограничены в осуществлении некоторых видов деятельности или в участии в таких видах деятельности. Они сталкиваются с трудностями при осуществлении некоторых базовых видов деятельности, выполнение которых будет представляться для них невозможным без надлежащих адаптационных мер.</w:t>
      </w:r>
    </w:p>
    <w:p w:rsidR="000D7271" w:rsidRPr="000D7271" w:rsidRDefault="000D7271" w:rsidP="000D7271">
      <w:pPr>
        <w:pStyle w:val="H1GR"/>
      </w:pPr>
      <w:r w:rsidRPr="000D7271">
        <w:tab/>
      </w:r>
      <w:r w:rsidRPr="000D7271">
        <w:tab/>
        <w:t xml:space="preserve">Используемые переменные </w:t>
      </w:r>
    </w:p>
    <w:p w:rsidR="000D7271" w:rsidRPr="000D7271" w:rsidRDefault="000D7271" w:rsidP="000D7271">
      <w:pPr>
        <w:pStyle w:val="H23GR"/>
        <w:rPr>
          <w:i/>
        </w:rPr>
      </w:pPr>
      <w:r w:rsidRPr="000D7271">
        <w:tab/>
      </w:r>
      <w:r w:rsidRPr="000D7271">
        <w:tab/>
        <w:t xml:space="preserve">Острота зрения и слуха </w:t>
      </w:r>
    </w:p>
    <w:p w:rsidR="000D7271" w:rsidRPr="000D7271" w:rsidRDefault="000D7271" w:rsidP="000D7271">
      <w:pPr>
        <w:pStyle w:val="SingleTxtGR"/>
      </w:pPr>
      <w:r w:rsidRPr="000D7271">
        <w:t>14.</w:t>
      </w:r>
      <w:r w:rsidRPr="000D7271">
        <w:tab/>
        <w:t>Такие устройства, как очки позволяют некоторым</w:t>
      </w:r>
      <w:r>
        <w:t xml:space="preserve"> </w:t>
      </w:r>
      <w:r w:rsidRPr="000D7271">
        <w:t>слабовидящим почти полностью компенсировать проблемы со зрением; в противном случае количество слабовидящих по оценкам было более высоким. То же самое верно и в отношении слуха. Подход, используемый во Всеобщей переписи населения, жилищных условий, сельского хозяйства и животноводства для преодоления этих ограничений, заключался в том, чтобы задавать вопросы о трудностях со зрением даже в очках, если опрашиваемое лицо их обычно носит, и о трудностях со слухом даже при использовании слухового аппарата, если опрашиваемое лицо обычно его использует.</w:t>
      </w:r>
    </w:p>
    <w:p w:rsidR="000D7271" w:rsidRPr="000D7271" w:rsidRDefault="000D7271" w:rsidP="000D7271">
      <w:pPr>
        <w:pStyle w:val="H23GR"/>
        <w:rPr>
          <w:i/>
        </w:rPr>
      </w:pPr>
      <w:r w:rsidRPr="000D7271">
        <w:tab/>
      </w:r>
      <w:r w:rsidRPr="000D7271">
        <w:tab/>
        <w:t xml:space="preserve">Движение </w:t>
      </w:r>
    </w:p>
    <w:p w:rsidR="000D7271" w:rsidRPr="000D7271" w:rsidRDefault="000D7271" w:rsidP="000D7271">
      <w:pPr>
        <w:pStyle w:val="SingleTxtGR"/>
      </w:pPr>
      <w:r w:rsidRPr="000D7271">
        <w:t>15.</w:t>
      </w:r>
      <w:r w:rsidRPr="000D7271">
        <w:tab/>
        <w:t xml:space="preserve">Способность передвигаться является хорошим показателем одной из главных физических функций и одной из основных причин ограничения участия. Эта функция также является одним из основных видов деятельности, выполнение которой может быть указано самим субъектом. </w:t>
      </w:r>
    </w:p>
    <w:p w:rsidR="000D7271" w:rsidRPr="000D7271" w:rsidRDefault="000D7271" w:rsidP="000D7271">
      <w:pPr>
        <w:pStyle w:val="H23GR"/>
        <w:rPr>
          <w:i/>
        </w:rPr>
      </w:pPr>
      <w:r w:rsidRPr="000D7271">
        <w:tab/>
      </w:r>
      <w:r w:rsidRPr="000D7271">
        <w:tab/>
        <w:t xml:space="preserve">Когнитивные способности </w:t>
      </w:r>
    </w:p>
    <w:p w:rsidR="000D7271" w:rsidRPr="000D7271" w:rsidRDefault="000D7271" w:rsidP="000D7271">
      <w:pPr>
        <w:pStyle w:val="SingleTxtGR"/>
      </w:pPr>
      <w:r w:rsidRPr="000D7271">
        <w:t>16.</w:t>
      </w:r>
      <w:r w:rsidRPr="000D7271">
        <w:tab/>
        <w:t xml:space="preserve">Из числа ключевых областей когнитивные способности являются наиболее сложными для выявления. Когнитивные способности охватывают многочисленные функции, такие как память, концентрация внимания, принятие решений, восприятие устной речи и письменного текста, нахождение пути или ориентация по карте, выполнение математических вычислений, чтение и мышление. При этом избранные переменные относились в первую очередь к памяти, концентрации внимания и общению. Чтение и выполнение математических вычислений или другие приобретенные способности зависят от других факторов, таких как, например, система образования. </w:t>
      </w:r>
    </w:p>
    <w:p w:rsidR="000D7271" w:rsidRPr="000D7271" w:rsidRDefault="000D7271" w:rsidP="000D7271">
      <w:pPr>
        <w:pStyle w:val="H1GR"/>
      </w:pPr>
      <w:r w:rsidRPr="000D7271">
        <w:tab/>
      </w:r>
      <w:r w:rsidRPr="000D7271">
        <w:tab/>
        <w:t>Положение и структура населения, живущего с инвалидностью</w:t>
      </w:r>
    </w:p>
    <w:p w:rsidR="000D7271" w:rsidRPr="000D7271" w:rsidRDefault="000D7271" w:rsidP="000D7271">
      <w:pPr>
        <w:pStyle w:val="H23GR"/>
        <w:rPr>
          <w:i/>
        </w:rPr>
      </w:pPr>
      <w:r>
        <w:tab/>
      </w:r>
      <w:r w:rsidRPr="000D7271">
        <w:t>1.</w:t>
      </w:r>
      <w:r w:rsidRPr="000D7271">
        <w:tab/>
      </w:r>
      <w:r w:rsidRPr="000D7271">
        <w:tab/>
        <w:t>Распространенность инвалидности на национальном уровне и с разбивкой по</w:t>
      </w:r>
      <w:r>
        <w:t> </w:t>
      </w:r>
      <w:r w:rsidRPr="000D7271">
        <w:t xml:space="preserve">районам проживания </w:t>
      </w:r>
    </w:p>
    <w:p w:rsidR="000D7271" w:rsidRPr="000D7271" w:rsidRDefault="000D7271" w:rsidP="000D7271">
      <w:pPr>
        <w:pStyle w:val="SingleTxtGR"/>
      </w:pPr>
      <w:r w:rsidRPr="000D7271">
        <w:t>17.</w:t>
      </w:r>
      <w:r w:rsidRPr="000D7271">
        <w:tab/>
        <w:t>В 2013 году распространенность инвалидности среди населения Сенегала в возрасте от одного года составляла 5,9</w:t>
      </w:r>
      <w:r>
        <w:t>%</w:t>
      </w:r>
      <w:r w:rsidRPr="000D7271">
        <w:t>. С разбивкой по полу распространенность среди женщин выше, чем среди мужчин и составляет соответственно 6,2</w:t>
      </w:r>
      <w:r>
        <w:t>%</w:t>
      </w:r>
      <w:r w:rsidRPr="000D7271">
        <w:t xml:space="preserve"> и 5,6</w:t>
      </w:r>
      <w:r>
        <w:t>%</w:t>
      </w:r>
      <w:r w:rsidRPr="000D7271">
        <w:t xml:space="preserve"> лиц с ограниченными возможностями. Такие различия в распространенности инвалидности между мужчинами и женщинами являются более значительными в городских районах (6,3 и 5,3</w:t>
      </w:r>
      <w:r>
        <w:t>%</w:t>
      </w:r>
      <w:r w:rsidRPr="000D7271">
        <w:t>), чем в сельских (5,8 и 6,1</w:t>
      </w:r>
      <w:r>
        <w:t>%</w:t>
      </w:r>
      <w:r w:rsidRPr="000D7271">
        <w:t>). В целом, распространенность инвалидности в сельских районах (6,0</w:t>
      </w:r>
      <w:r>
        <w:t>%</w:t>
      </w:r>
      <w:r w:rsidRPr="000D7271">
        <w:t>) выше, чем в городских (5,8</w:t>
      </w:r>
      <w:r>
        <w:t>%</w:t>
      </w:r>
      <w:r w:rsidRPr="000D7271">
        <w:t>), хотя разница между ними является довольно-таки незначительной.</w:t>
      </w:r>
    </w:p>
    <w:p w:rsidR="000D7271" w:rsidRPr="000D7271" w:rsidRDefault="000D7271" w:rsidP="000D7271">
      <w:pPr>
        <w:pStyle w:val="SingleTxtGR"/>
      </w:pPr>
      <w:r w:rsidRPr="000D7271">
        <w:t>18.</w:t>
      </w:r>
      <w:r w:rsidRPr="000D7271">
        <w:tab/>
        <w:t>При рассмотрении различных форм ограничений в зависимости от степени сложности и места проживания представляется, что на национальном уровне наиболее распространенными являются трудности со зрением и с ходьбой, поскольку каждый из этих двух видов ограничений затрагивает 1,5</w:t>
      </w:r>
      <w:r>
        <w:t>%</w:t>
      </w:r>
      <w:r w:rsidRPr="000D7271">
        <w:t xml:space="preserve"> населения. Нарушение слуха, трудности с концентрацией внимания и сложности с уходом за собой наблюдаются напротив в небольшой части населения, составляющей соответственно 0,6, 0,8 и 0,5</w:t>
      </w:r>
      <w:r>
        <w:t>%</w:t>
      </w:r>
      <w:r w:rsidRPr="000D7271">
        <w:t>. Эта тенденция, наблюдаемая на национальном уровне, также сохраняется независимо от места проживания. При этом как в городских, так и сельских районах ограничения зрения и движения являются наиболее распространенными формами инвалидности. При рассмотрении уровня сложности с разбивкой по месту жительства и функциональным областям можно отметить концентрацию лиц с инвалидностью среди лиц, испытывающих некоторые трудности. Из 5,9</w:t>
      </w:r>
      <w:r>
        <w:t>%</w:t>
      </w:r>
      <w:r w:rsidRPr="000D7271">
        <w:t xml:space="preserve"> лиц с какой-либо формой инвалидности на национальном уровне 4,2</w:t>
      </w:r>
      <w:r>
        <w:t>%</w:t>
      </w:r>
      <w:r w:rsidRPr="000D7271">
        <w:t xml:space="preserve"> имеют инвалидность в наиболее умеренной степени (некоторые трудности). Аналогичным образом среди инвалидов, проживающих в городских и сельских районах, первый уровень (некоторые трудности) по шкале тяжести является наиболее распространенным и составляет соответственно 4,3 и 4,2</w:t>
      </w:r>
      <w:r>
        <w:t>%</w:t>
      </w:r>
      <w:r w:rsidRPr="000D7271">
        <w:t>.</w:t>
      </w:r>
    </w:p>
    <w:p w:rsidR="000D7271" w:rsidRPr="000D7271" w:rsidRDefault="000D7271" w:rsidP="000D7271">
      <w:pPr>
        <w:pStyle w:val="H23GR"/>
      </w:pPr>
      <w:r w:rsidRPr="000D7271">
        <w:rPr>
          <w:b w:val="0"/>
        </w:rPr>
        <w:tab/>
      </w:r>
      <w:r w:rsidRPr="000D7271">
        <w:rPr>
          <w:b w:val="0"/>
        </w:rPr>
        <w:tab/>
        <w:t xml:space="preserve">Таблица 1 </w:t>
      </w:r>
      <w:r w:rsidRPr="000D7271">
        <w:rPr>
          <w:b w:val="0"/>
        </w:rPr>
        <w:br/>
      </w:r>
      <w:r w:rsidRPr="000D7271">
        <w:t>Распространенность инвалидности (в</w:t>
      </w:r>
      <w:r w:rsidR="00D70810" w:rsidRPr="00D70810">
        <w:t xml:space="preserve"> </w:t>
      </w:r>
      <w:r>
        <w:t>%</w:t>
      </w:r>
      <w:r w:rsidRPr="000D7271">
        <w:t>) с разбивкой по функциональным областям и степени тяжести в 2013 году</w:t>
      </w:r>
    </w:p>
    <w:tbl>
      <w:tblPr>
        <w:tblStyle w:val="TabNum"/>
        <w:tblW w:w="7370" w:type="dxa"/>
        <w:tblInd w:w="1134" w:type="dxa"/>
        <w:tblLayout w:type="fixed"/>
        <w:tblLook w:val="05E0" w:firstRow="1" w:lastRow="1" w:firstColumn="1" w:lastColumn="1" w:noHBand="0" w:noVBand="1"/>
      </w:tblPr>
      <w:tblGrid>
        <w:gridCol w:w="1985"/>
        <w:gridCol w:w="1134"/>
        <w:gridCol w:w="1081"/>
        <w:gridCol w:w="1133"/>
        <w:gridCol w:w="1188"/>
        <w:gridCol w:w="849"/>
      </w:tblGrid>
      <w:tr w:rsidR="000D7271" w:rsidRPr="000D7271" w:rsidTr="00C04B99">
        <w:trPr>
          <w:tblHeader/>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auto"/>
          </w:tcPr>
          <w:p w:rsidR="000D7271" w:rsidRPr="000D7271" w:rsidRDefault="000D7271" w:rsidP="00C04B99">
            <w:pPr>
              <w:suppressAutoHyphens w:val="0"/>
              <w:spacing w:line="200" w:lineRule="atLeast"/>
              <w:rPr>
                <w:i/>
                <w:sz w:val="16"/>
              </w:rPr>
            </w:pPr>
            <w:r w:rsidRPr="000D7271">
              <w:rPr>
                <w:i/>
                <w:sz w:val="16"/>
              </w:rPr>
              <w:t xml:space="preserve">Функциональные </w:t>
            </w:r>
            <w:r w:rsidR="00C04B99">
              <w:rPr>
                <w:i/>
                <w:sz w:val="16"/>
              </w:rPr>
              <w:br/>
            </w:r>
            <w:r w:rsidRPr="000D7271">
              <w:rPr>
                <w:i/>
                <w:sz w:val="16"/>
              </w:rPr>
              <w:t>области</w:t>
            </w:r>
          </w:p>
        </w:tc>
        <w:tc>
          <w:tcPr>
            <w:tcW w:w="4536" w:type="dxa"/>
            <w:gridSpan w:val="4"/>
            <w:tcBorders>
              <w:top w:val="single" w:sz="4" w:space="0" w:color="auto"/>
              <w:bottom w:val="single" w:sz="4" w:space="0" w:color="auto"/>
            </w:tcBorders>
            <w:shd w:val="clear" w:color="auto" w:fill="auto"/>
          </w:tcPr>
          <w:p w:rsidR="000D7271" w:rsidRPr="000D7271" w:rsidRDefault="000D7271" w:rsidP="00C04B99">
            <w:pPr>
              <w:suppressAutoHyphens w:val="0"/>
              <w:spacing w:line="200" w:lineRule="atLeast"/>
              <w:jc w:val="center"/>
              <w:cnfStyle w:val="000000000000" w:firstRow="0" w:lastRow="0" w:firstColumn="0" w:lastColumn="0" w:oddVBand="0" w:evenVBand="0" w:oddHBand="0" w:evenHBand="0" w:firstRowFirstColumn="0" w:firstRowLastColumn="0" w:lastRowFirstColumn="0" w:lastRowLastColumn="0"/>
              <w:rPr>
                <w:i/>
                <w:sz w:val="16"/>
              </w:rPr>
            </w:pPr>
            <w:r w:rsidRPr="000D7271">
              <w:rPr>
                <w:i/>
                <w:sz w:val="16"/>
              </w:rPr>
              <w:t>Степень тяжести</w:t>
            </w:r>
          </w:p>
        </w:tc>
        <w:tc>
          <w:tcPr>
            <w:tcW w:w="849" w:type="dxa"/>
            <w:vMerge w:val="restart"/>
            <w:tcBorders>
              <w:top w:val="single" w:sz="4" w:space="0" w:color="auto"/>
              <w:bottom w:val="nil"/>
            </w:tcBorders>
            <w:shd w:val="clear" w:color="auto" w:fill="auto"/>
          </w:tcPr>
          <w:p w:rsidR="000D7271" w:rsidRPr="000D7271"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p>
          <w:p w:rsidR="000D7271" w:rsidRPr="000D7271"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0D7271">
              <w:rPr>
                <w:i/>
                <w:sz w:val="16"/>
              </w:rPr>
              <w:t>Итого</w:t>
            </w:r>
          </w:p>
        </w:tc>
      </w:tr>
      <w:tr w:rsidR="000D7271" w:rsidRPr="000D7271" w:rsidTr="00C04B99">
        <w:trPr>
          <w:tblHeader/>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12" w:space="0" w:color="auto"/>
            </w:tcBorders>
            <w:shd w:val="clear" w:color="auto" w:fill="auto"/>
          </w:tcPr>
          <w:p w:rsidR="000D7271" w:rsidRPr="000D7271" w:rsidRDefault="000D7271" w:rsidP="00C04B99">
            <w:pPr>
              <w:suppressAutoHyphens w:val="0"/>
              <w:spacing w:line="200" w:lineRule="atLeast"/>
              <w:rPr>
                <w:i/>
                <w:sz w:val="16"/>
              </w:rPr>
            </w:pPr>
          </w:p>
        </w:tc>
        <w:tc>
          <w:tcPr>
            <w:tcW w:w="1134" w:type="dxa"/>
            <w:tcBorders>
              <w:top w:val="single" w:sz="4" w:space="0" w:color="auto"/>
              <w:bottom w:val="single" w:sz="12" w:space="0" w:color="auto"/>
            </w:tcBorders>
            <w:shd w:val="clear" w:color="auto" w:fill="auto"/>
          </w:tcPr>
          <w:p w:rsidR="000D7271" w:rsidRPr="000D7271"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0D7271">
              <w:rPr>
                <w:i/>
                <w:sz w:val="16"/>
              </w:rPr>
              <w:t>Отсутствие трудностей</w:t>
            </w:r>
          </w:p>
        </w:tc>
        <w:tc>
          <w:tcPr>
            <w:tcW w:w="1081" w:type="dxa"/>
            <w:tcBorders>
              <w:top w:val="single" w:sz="4" w:space="0" w:color="auto"/>
              <w:bottom w:val="single" w:sz="12" w:space="0" w:color="auto"/>
            </w:tcBorders>
            <w:shd w:val="clear" w:color="auto" w:fill="auto"/>
          </w:tcPr>
          <w:p w:rsidR="000D7271" w:rsidRPr="000D7271"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0D7271">
              <w:rPr>
                <w:i/>
                <w:sz w:val="16"/>
              </w:rPr>
              <w:t>Некоторые трудности</w:t>
            </w:r>
          </w:p>
        </w:tc>
        <w:tc>
          <w:tcPr>
            <w:tcW w:w="1133" w:type="dxa"/>
            <w:tcBorders>
              <w:top w:val="single" w:sz="4" w:space="0" w:color="auto"/>
              <w:bottom w:val="single" w:sz="12" w:space="0" w:color="auto"/>
            </w:tcBorders>
            <w:shd w:val="clear" w:color="auto" w:fill="auto"/>
          </w:tcPr>
          <w:p w:rsidR="000D7271" w:rsidRPr="000D7271"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0D7271">
              <w:rPr>
                <w:i/>
                <w:sz w:val="16"/>
              </w:rPr>
              <w:t>Значительные трудности</w:t>
            </w:r>
          </w:p>
        </w:tc>
        <w:tc>
          <w:tcPr>
            <w:tcW w:w="1188" w:type="dxa"/>
            <w:tcBorders>
              <w:top w:val="single" w:sz="4" w:space="0" w:color="auto"/>
              <w:bottom w:val="single" w:sz="12" w:space="0" w:color="auto"/>
            </w:tcBorders>
            <w:shd w:val="clear" w:color="auto" w:fill="auto"/>
          </w:tcPr>
          <w:p w:rsidR="000D7271" w:rsidRPr="000D7271"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0D7271">
              <w:rPr>
                <w:i/>
                <w:sz w:val="16"/>
              </w:rPr>
              <w:t>Не в состоянии выполнить</w:t>
            </w:r>
          </w:p>
        </w:tc>
        <w:tc>
          <w:tcPr>
            <w:tcW w:w="849" w:type="dxa"/>
            <w:vMerge/>
            <w:tcBorders>
              <w:top w:val="nil"/>
              <w:bottom w:val="single" w:sz="12" w:space="0" w:color="auto"/>
            </w:tcBorders>
            <w:shd w:val="clear" w:color="auto" w:fill="auto"/>
          </w:tcPr>
          <w:p w:rsidR="000D7271" w:rsidRPr="000D7271"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Borders>
              <w:top w:val="single" w:sz="12" w:space="0" w:color="auto"/>
            </w:tcBorders>
          </w:tcPr>
          <w:p w:rsidR="000D7271" w:rsidRPr="000D7271" w:rsidRDefault="000D7271" w:rsidP="00C04B99">
            <w:pPr>
              <w:spacing w:before="20" w:after="20" w:line="220" w:lineRule="atLeast"/>
              <w:rPr>
                <w:b/>
              </w:rPr>
            </w:pPr>
          </w:p>
        </w:tc>
        <w:tc>
          <w:tcPr>
            <w:tcW w:w="4536" w:type="dxa"/>
            <w:gridSpan w:val="4"/>
            <w:tcBorders>
              <w:top w:val="single" w:sz="12"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Городская среда</w:t>
            </w:r>
          </w:p>
        </w:tc>
        <w:tc>
          <w:tcPr>
            <w:tcW w:w="849" w:type="dxa"/>
            <w:tcBorders>
              <w:top w:val="single" w:sz="12"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Зрение</w:t>
            </w:r>
          </w:p>
        </w:tc>
        <w:tc>
          <w:tcPr>
            <w:tcW w:w="1134"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98,2</w:t>
            </w:r>
          </w:p>
        </w:tc>
        <w:tc>
          <w:tcPr>
            <w:tcW w:w="1081"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1,5</w:t>
            </w:r>
          </w:p>
        </w:tc>
        <w:tc>
          <w:tcPr>
            <w:tcW w:w="1133"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0,2</w:t>
            </w:r>
          </w:p>
        </w:tc>
        <w:tc>
          <w:tcPr>
            <w:tcW w:w="1188"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849"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1,8</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Слух</w:t>
            </w:r>
          </w:p>
        </w:tc>
        <w:tc>
          <w:tcPr>
            <w:tcW w:w="1134"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99,5</w:t>
            </w:r>
          </w:p>
        </w:tc>
        <w:tc>
          <w:tcPr>
            <w:tcW w:w="1081"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0,4</w:t>
            </w:r>
          </w:p>
        </w:tc>
        <w:tc>
          <w:tcPr>
            <w:tcW w:w="1133"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1188"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849"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0,5</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Двигательная функция</w:t>
            </w:r>
          </w:p>
        </w:tc>
        <w:tc>
          <w:tcPr>
            <w:tcW w:w="1134" w:type="dxa"/>
            <w:tcBorders>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98,5</w:t>
            </w:r>
          </w:p>
        </w:tc>
        <w:tc>
          <w:tcPr>
            <w:tcW w:w="1081" w:type="dxa"/>
            <w:tcBorders>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1,2</w:t>
            </w:r>
          </w:p>
        </w:tc>
        <w:tc>
          <w:tcPr>
            <w:tcW w:w="1133" w:type="dxa"/>
            <w:tcBorders>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0,3</w:t>
            </w:r>
          </w:p>
        </w:tc>
        <w:tc>
          <w:tcPr>
            <w:tcW w:w="1188" w:type="dxa"/>
            <w:tcBorders>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0,0</w:t>
            </w:r>
          </w:p>
        </w:tc>
        <w:tc>
          <w:tcPr>
            <w:tcW w:w="849" w:type="dxa"/>
            <w:tcBorders>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1,5</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Память</w:t>
            </w:r>
          </w:p>
        </w:tc>
        <w:tc>
          <w:tcPr>
            <w:tcW w:w="1134" w:type="dxa"/>
            <w:tcBorders>
              <w:top w:val="nil"/>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99,3</w:t>
            </w:r>
          </w:p>
        </w:tc>
        <w:tc>
          <w:tcPr>
            <w:tcW w:w="1081" w:type="dxa"/>
            <w:tcBorders>
              <w:top w:val="nil"/>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0,5</w:t>
            </w:r>
          </w:p>
        </w:tc>
        <w:tc>
          <w:tcPr>
            <w:tcW w:w="1133" w:type="dxa"/>
            <w:tcBorders>
              <w:top w:val="nil"/>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1188" w:type="dxa"/>
            <w:tcBorders>
              <w:top w:val="nil"/>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0,0</w:t>
            </w:r>
          </w:p>
        </w:tc>
        <w:tc>
          <w:tcPr>
            <w:tcW w:w="849" w:type="dxa"/>
            <w:tcBorders>
              <w:top w:val="nil"/>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0,7</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Уход за собой</w:t>
            </w:r>
          </w:p>
        </w:tc>
        <w:tc>
          <w:tcPr>
            <w:tcW w:w="1134" w:type="dxa"/>
            <w:tcBorders>
              <w:top w:val="nil"/>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99,5</w:t>
            </w:r>
          </w:p>
        </w:tc>
        <w:tc>
          <w:tcPr>
            <w:tcW w:w="1081" w:type="dxa"/>
            <w:tcBorders>
              <w:top w:val="nil"/>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0,2</w:t>
            </w:r>
          </w:p>
        </w:tc>
        <w:tc>
          <w:tcPr>
            <w:tcW w:w="1133" w:type="dxa"/>
            <w:tcBorders>
              <w:top w:val="nil"/>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0,2</w:t>
            </w:r>
          </w:p>
        </w:tc>
        <w:tc>
          <w:tcPr>
            <w:tcW w:w="1188" w:type="dxa"/>
            <w:tcBorders>
              <w:top w:val="nil"/>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849" w:type="dxa"/>
            <w:tcBorders>
              <w:top w:val="nil"/>
              <w:bottom w:val="nil"/>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0,5</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rsidR="000D7271" w:rsidRPr="000D7271" w:rsidRDefault="000D7271" w:rsidP="00C04B99">
            <w:pPr>
              <w:spacing w:before="20" w:after="20" w:line="220" w:lineRule="atLeast"/>
            </w:pPr>
            <w:r w:rsidRPr="000D7271">
              <w:t>Общение</w:t>
            </w:r>
          </w:p>
        </w:tc>
        <w:tc>
          <w:tcPr>
            <w:tcW w:w="1134" w:type="dxa"/>
            <w:tcBorders>
              <w:top w:val="nil"/>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99,2</w:t>
            </w:r>
          </w:p>
        </w:tc>
        <w:tc>
          <w:tcPr>
            <w:tcW w:w="1081" w:type="dxa"/>
            <w:tcBorders>
              <w:top w:val="nil"/>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0,4</w:t>
            </w:r>
          </w:p>
        </w:tc>
        <w:tc>
          <w:tcPr>
            <w:tcW w:w="1133" w:type="dxa"/>
            <w:tcBorders>
              <w:top w:val="nil"/>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0,2</w:t>
            </w:r>
          </w:p>
        </w:tc>
        <w:tc>
          <w:tcPr>
            <w:tcW w:w="1188" w:type="dxa"/>
            <w:tcBorders>
              <w:top w:val="nil"/>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0,2</w:t>
            </w:r>
          </w:p>
        </w:tc>
        <w:tc>
          <w:tcPr>
            <w:tcW w:w="849" w:type="dxa"/>
            <w:tcBorders>
              <w:top w:val="nil"/>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0,8</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shd w:val="clear" w:color="auto" w:fill="auto"/>
          </w:tcPr>
          <w:p w:rsidR="000D7271" w:rsidRPr="000D7271" w:rsidRDefault="000D7271" w:rsidP="00C04B99">
            <w:pPr>
              <w:spacing w:before="20" w:after="20" w:line="220" w:lineRule="atLeast"/>
              <w:ind w:left="283"/>
              <w:rPr>
                <w:b/>
              </w:rPr>
            </w:pPr>
            <w:r w:rsidRPr="000D7271">
              <w:rPr>
                <w:b/>
              </w:rPr>
              <w:t>Итого</w:t>
            </w:r>
          </w:p>
        </w:tc>
        <w:tc>
          <w:tcPr>
            <w:tcW w:w="1134" w:type="dxa"/>
            <w:tcBorders>
              <w:top w:val="single" w:sz="4" w:space="0" w:color="auto"/>
              <w:bottom w:val="single" w:sz="4"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94,2</w:t>
            </w:r>
          </w:p>
        </w:tc>
        <w:tc>
          <w:tcPr>
            <w:tcW w:w="1081" w:type="dxa"/>
            <w:tcBorders>
              <w:top w:val="single" w:sz="4" w:space="0" w:color="auto"/>
              <w:bottom w:val="single" w:sz="4"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4,3</w:t>
            </w:r>
          </w:p>
        </w:tc>
        <w:tc>
          <w:tcPr>
            <w:tcW w:w="1133" w:type="dxa"/>
            <w:tcBorders>
              <w:top w:val="single" w:sz="4" w:space="0" w:color="auto"/>
              <w:bottom w:val="single" w:sz="4"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1,1</w:t>
            </w:r>
          </w:p>
        </w:tc>
        <w:tc>
          <w:tcPr>
            <w:tcW w:w="1188" w:type="dxa"/>
            <w:tcBorders>
              <w:top w:val="single" w:sz="4" w:space="0" w:color="auto"/>
              <w:bottom w:val="single" w:sz="4"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0,5</w:t>
            </w:r>
          </w:p>
        </w:tc>
        <w:tc>
          <w:tcPr>
            <w:tcW w:w="849" w:type="dxa"/>
            <w:tcBorders>
              <w:top w:val="single" w:sz="4" w:space="0" w:color="auto"/>
              <w:bottom w:val="single" w:sz="4"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5,8</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tcBorders>
          </w:tcPr>
          <w:p w:rsidR="000D7271" w:rsidRPr="000D7271" w:rsidRDefault="000D7271" w:rsidP="00C04B99">
            <w:pPr>
              <w:spacing w:before="20" w:after="20" w:line="220" w:lineRule="atLeast"/>
              <w:rPr>
                <w:b/>
              </w:rPr>
            </w:pPr>
          </w:p>
        </w:tc>
        <w:tc>
          <w:tcPr>
            <w:tcW w:w="4536" w:type="dxa"/>
            <w:gridSpan w:val="4"/>
            <w:tcBorders>
              <w:top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Сельская местность</w:t>
            </w:r>
          </w:p>
        </w:tc>
        <w:tc>
          <w:tcPr>
            <w:tcW w:w="849" w:type="dxa"/>
            <w:tcBorders>
              <w:top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Зрение</w:t>
            </w:r>
          </w:p>
        </w:tc>
        <w:tc>
          <w:tcPr>
            <w:tcW w:w="1134"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98,7</w:t>
            </w:r>
          </w:p>
        </w:tc>
        <w:tc>
          <w:tcPr>
            <w:tcW w:w="1081"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0,9</w:t>
            </w:r>
          </w:p>
        </w:tc>
        <w:tc>
          <w:tcPr>
            <w:tcW w:w="1133"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0,2</w:t>
            </w:r>
          </w:p>
        </w:tc>
        <w:tc>
          <w:tcPr>
            <w:tcW w:w="1188"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849"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1,3</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Слух</w:t>
            </w:r>
          </w:p>
        </w:tc>
        <w:tc>
          <w:tcPr>
            <w:tcW w:w="1134"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99,3</w:t>
            </w:r>
          </w:p>
        </w:tc>
        <w:tc>
          <w:tcPr>
            <w:tcW w:w="1081"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0,5</w:t>
            </w:r>
          </w:p>
        </w:tc>
        <w:tc>
          <w:tcPr>
            <w:tcW w:w="1133"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1188"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849"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0,7</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Движение</w:t>
            </w:r>
          </w:p>
        </w:tc>
        <w:tc>
          <w:tcPr>
            <w:tcW w:w="1134"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98,5</w:t>
            </w:r>
          </w:p>
        </w:tc>
        <w:tc>
          <w:tcPr>
            <w:tcW w:w="1081"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1,2</w:t>
            </w:r>
          </w:p>
        </w:tc>
        <w:tc>
          <w:tcPr>
            <w:tcW w:w="1133"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0,3</w:t>
            </w:r>
          </w:p>
        </w:tc>
        <w:tc>
          <w:tcPr>
            <w:tcW w:w="1188"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0,0</w:t>
            </w:r>
          </w:p>
        </w:tc>
        <w:tc>
          <w:tcPr>
            <w:tcW w:w="849"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1,5</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Память</w:t>
            </w:r>
          </w:p>
        </w:tc>
        <w:tc>
          <w:tcPr>
            <w:tcW w:w="1134"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99,2</w:t>
            </w:r>
          </w:p>
        </w:tc>
        <w:tc>
          <w:tcPr>
            <w:tcW w:w="1081"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0,6</w:t>
            </w:r>
          </w:p>
        </w:tc>
        <w:tc>
          <w:tcPr>
            <w:tcW w:w="1133"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0,2</w:t>
            </w:r>
          </w:p>
        </w:tc>
        <w:tc>
          <w:tcPr>
            <w:tcW w:w="1188"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849"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0,8</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Уход за собой</w:t>
            </w:r>
          </w:p>
        </w:tc>
        <w:tc>
          <w:tcPr>
            <w:tcW w:w="1134"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99,4</w:t>
            </w:r>
          </w:p>
        </w:tc>
        <w:tc>
          <w:tcPr>
            <w:tcW w:w="1081"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0,3</w:t>
            </w:r>
          </w:p>
        </w:tc>
        <w:tc>
          <w:tcPr>
            <w:tcW w:w="1133"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0,2</w:t>
            </w:r>
          </w:p>
        </w:tc>
        <w:tc>
          <w:tcPr>
            <w:tcW w:w="1188"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849"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0,6</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rsidR="000D7271" w:rsidRPr="000D7271" w:rsidRDefault="000D7271" w:rsidP="00C04B99">
            <w:pPr>
              <w:spacing w:before="20" w:after="20" w:line="220" w:lineRule="atLeast"/>
            </w:pPr>
            <w:r w:rsidRPr="000D7271">
              <w:t>Общение</w:t>
            </w:r>
          </w:p>
        </w:tc>
        <w:tc>
          <w:tcPr>
            <w:tcW w:w="1134" w:type="dxa"/>
            <w:tcBorders>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98,9</w:t>
            </w:r>
          </w:p>
        </w:tc>
        <w:tc>
          <w:tcPr>
            <w:tcW w:w="1081" w:type="dxa"/>
            <w:tcBorders>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0,6</w:t>
            </w:r>
          </w:p>
        </w:tc>
        <w:tc>
          <w:tcPr>
            <w:tcW w:w="1133" w:type="dxa"/>
            <w:tcBorders>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0,3</w:t>
            </w:r>
          </w:p>
        </w:tc>
        <w:tc>
          <w:tcPr>
            <w:tcW w:w="1188" w:type="dxa"/>
            <w:tcBorders>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0,2</w:t>
            </w:r>
          </w:p>
        </w:tc>
        <w:tc>
          <w:tcPr>
            <w:tcW w:w="849" w:type="dxa"/>
            <w:tcBorders>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1,1</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bottom w:val="single" w:sz="4" w:space="0" w:color="auto"/>
            </w:tcBorders>
            <w:shd w:val="clear" w:color="auto" w:fill="auto"/>
          </w:tcPr>
          <w:p w:rsidR="000D7271" w:rsidRPr="000D7271" w:rsidRDefault="000D7271" w:rsidP="00C04B99">
            <w:pPr>
              <w:spacing w:before="20" w:after="20" w:line="220" w:lineRule="atLeast"/>
              <w:ind w:left="283"/>
              <w:rPr>
                <w:b/>
              </w:rPr>
            </w:pPr>
            <w:r w:rsidRPr="000D7271">
              <w:rPr>
                <w:b/>
              </w:rPr>
              <w:t>Итого</w:t>
            </w:r>
          </w:p>
        </w:tc>
        <w:tc>
          <w:tcPr>
            <w:tcW w:w="1134" w:type="dxa"/>
            <w:tcBorders>
              <w:top w:val="single" w:sz="4" w:space="0" w:color="auto"/>
              <w:bottom w:val="single" w:sz="4"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94,0</w:t>
            </w:r>
          </w:p>
        </w:tc>
        <w:tc>
          <w:tcPr>
            <w:tcW w:w="1081" w:type="dxa"/>
            <w:tcBorders>
              <w:top w:val="single" w:sz="4" w:space="0" w:color="auto"/>
              <w:bottom w:val="single" w:sz="4"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4,2</w:t>
            </w:r>
          </w:p>
        </w:tc>
        <w:tc>
          <w:tcPr>
            <w:tcW w:w="1133" w:type="dxa"/>
            <w:tcBorders>
              <w:top w:val="single" w:sz="4" w:space="0" w:color="auto"/>
              <w:bottom w:val="single" w:sz="4"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1,2</w:t>
            </w:r>
          </w:p>
        </w:tc>
        <w:tc>
          <w:tcPr>
            <w:tcW w:w="1188" w:type="dxa"/>
            <w:tcBorders>
              <w:top w:val="single" w:sz="4" w:space="0" w:color="auto"/>
              <w:bottom w:val="single" w:sz="4"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0,6</w:t>
            </w:r>
          </w:p>
        </w:tc>
        <w:tc>
          <w:tcPr>
            <w:tcW w:w="849" w:type="dxa"/>
            <w:tcBorders>
              <w:top w:val="single" w:sz="4" w:space="0" w:color="auto"/>
              <w:bottom w:val="single" w:sz="4"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6,0</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tcBorders>
          </w:tcPr>
          <w:p w:rsidR="000D7271" w:rsidRPr="000D7271" w:rsidRDefault="000D7271" w:rsidP="00C04B99">
            <w:pPr>
              <w:spacing w:before="20" w:after="20" w:line="220" w:lineRule="atLeast"/>
              <w:rPr>
                <w:b/>
              </w:rPr>
            </w:pPr>
          </w:p>
        </w:tc>
        <w:tc>
          <w:tcPr>
            <w:tcW w:w="4536" w:type="dxa"/>
            <w:gridSpan w:val="4"/>
            <w:tcBorders>
              <w:top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Вместе</w:t>
            </w:r>
          </w:p>
        </w:tc>
        <w:tc>
          <w:tcPr>
            <w:tcW w:w="849" w:type="dxa"/>
            <w:tcBorders>
              <w:top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Зрение</w:t>
            </w:r>
          </w:p>
        </w:tc>
        <w:tc>
          <w:tcPr>
            <w:tcW w:w="1134"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98,5</w:t>
            </w:r>
          </w:p>
        </w:tc>
        <w:tc>
          <w:tcPr>
            <w:tcW w:w="1081"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1,2</w:t>
            </w:r>
          </w:p>
        </w:tc>
        <w:tc>
          <w:tcPr>
            <w:tcW w:w="1133"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0,2</w:t>
            </w:r>
          </w:p>
        </w:tc>
        <w:tc>
          <w:tcPr>
            <w:tcW w:w="1188"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849"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1,5</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Слух</w:t>
            </w:r>
          </w:p>
        </w:tc>
        <w:tc>
          <w:tcPr>
            <w:tcW w:w="1134"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99,4</w:t>
            </w:r>
          </w:p>
        </w:tc>
        <w:tc>
          <w:tcPr>
            <w:tcW w:w="1081"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0,5</w:t>
            </w:r>
          </w:p>
        </w:tc>
        <w:tc>
          <w:tcPr>
            <w:tcW w:w="1133"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1188"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849"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0,6</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Движение</w:t>
            </w:r>
          </w:p>
        </w:tc>
        <w:tc>
          <w:tcPr>
            <w:tcW w:w="1134"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98,5</w:t>
            </w:r>
          </w:p>
        </w:tc>
        <w:tc>
          <w:tcPr>
            <w:tcW w:w="1081"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1,2</w:t>
            </w:r>
          </w:p>
        </w:tc>
        <w:tc>
          <w:tcPr>
            <w:tcW w:w="1133"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0,3</w:t>
            </w:r>
          </w:p>
        </w:tc>
        <w:tc>
          <w:tcPr>
            <w:tcW w:w="1188"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0,0</w:t>
            </w:r>
          </w:p>
        </w:tc>
        <w:tc>
          <w:tcPr>
            <w:tcW w:w="849"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1,5</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Память</w:t>
            </w:r>
          </w:p>
        </w:tc>
        <w:tc>
          <w:tcPr>
            <w:tcW w:w="1134"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99,2</w:t>
            </w:r>
          </w:p>
        </w:tc>
        <w:tc>
          <w:tcPr>
            <w:tcW w:w="1081"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0,6</w:t>
            </w:r>
          </w:p>
        </w:tc>
        <w:tc>
          <w:tcPr>
            <w:tcW w:w="1133"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1188"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0,0</w:t>
            </w:r>
          </w:p>
        </w:tc>
        <w:tc>
          <w:tcPr>
            <w:tcW w:w="849"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0,8</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Pr>
          <w:p w:rsidR="000D7271" w:rsidRPr="000D7271" w:rsidRDefault="000D7271" w:rsidP="00C04B99">
            <w:pPr>
              <w:spacing w:before="20" w:after="20" w:line="220" w:lineRule="atLeast"/>
            </w:pPr>
            <w:r w:rsidRPr="000D7271">
              <w:t>Уход за собой</w:t>
            </w:r>
          </w:p>
        </w:tc>
        <w:tc>
          <w:tcPr>
            <w:tcW w:w="1134"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99,5</w:t>
            </w:r>
          </w:p>
        </w:tc>
        <w:tc>
          <w:tcPr>
            <w:tcW w:w="1081"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0,3</w:t>
            </w:r>
          </w:p>
        </w:tc>
        <w:tc>
          <w:tcPr>
            <w:tcW w:w="1133"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0,2</w:t>
            </w:r>
          </w:p>
        </w:tc>
        <w:tc>
          <w:tcPr>
            <w:tcW w:w="1188"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0,1</w:t>
            </w:r>
          </w:p>
        </w:tc>
        <w:tc>
          <w:tcPr>
            <w:tcW w:w="849" w:type="dxa"/>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0,5</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tcBorders>
          </w:tcPr>
          <w:p w:rsidR="000D7271" w:rsidRPr="000D7271" w:rsidRDefault="000D7271" w:rsidP="00C04B99">
            <w:pPr>
              <w:spacing w:before="20" w:after="20" w:line="220" w:lineRule="atLeast"/>
            </w:pPr>
            <w:r w:rsidRPr="000D7271">
              <w:t>Общение</w:t>
            </w:r>
          </w:p>
        </w:tc>
        <w:tc>
          <w:tcPr>
            <w:tcW w:w="1134" w:type="dxa"/>
            <w:tcBorders>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99,0</w:t>
            </w:r>
          </w:p>
        </w:tc>
        <w:tc>
          <w:tcPr>
            <w:tcW w:w="1081" w:type="dxa"/>
            <w:tcBorders>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0,5</w:t>
            </w:r>
          </w:p>
        </w:tc>
        <w:tc>
          <w:tcPr>
            <w:tcW w:w="1133" w:type="dxa"/>
            <w:tcBorders>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0,3</w:t>
            </w:r>
          </w:p>
        </w:tc>
        <w:tc>
          <w:tcPr>
            <w:tcW w:w="1188" w:type="dxa"/>
            <w:tcBorders>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0,2</w:t>
            </w:r>
          </w:p>
        </w:tc>
        <w:tc>
          <w:tcPr>
            <w:tcW w:w="849" w:type="dxa"/>
            <w:tcBorders>
              <w:bottom w:val="single" w:sz="4" w:space="0" w:color="auto"/>
            </w:tcBorders>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0D7271">
              <w:t>1,0</w:t>
            </w:r>
          </w:p>
        </w:tc>
      </w:tr>
      <w:tr w:rsidR="000D7271" w:rsidRPr="000D7271" w:rsidTr="00C04B99">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tcBorders>
            <w:shd w:val="clear" w:color="auto" w:fill="auto"/>
          </w:tcPr>
          <w:p w:rsidR="000D7271" w:rsidRPr="000D7271" w:rsidRDefault="000D7271" w:rsidP="00C04B99">
            <w:pPr>
              <w:spacing w:before="20" w:after="20" w:line="220" w:lineRule="atLeast"/>
              <w:ind w:left="283"/>
              <w:rPr>
                <w:b/>
              </w:rPr>
            </w:pPr>
            <w:r w:rsidRPr="000D7271">
              <w:rPr>
                <w:b/>
              </w:rPr>
              <w:t>Итого</w:t>
            </w:r>
          </w:p>
        </w:tc>
        <w:tc>
          <w:tcPr>
            <w:tcW w:w="1134" w:type="dxa"/>
            <w:tcBorders>
              <w:top w:val="single" w:sz="4" w:space="0" w:color="auto"/>
              <w:bottom w:val="single" w:sz="12"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94,1</w:t>
            </w:r>
          </w:p>
        </w:tc>
        <w:tc>
          <w:tcPr>
            <w:tcW w:w="1081" w:type="dxa"/>
            <w:tcBorders>
              <w:top w:val="single" w:sz="4" w:space="0" w:color="auto"/>
              <w:bottom w:val="single" w:sz="12"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4,2</w:t>
            </w:r>
          </w:p>
        </w:tc>
        <w:tc>
          <w:tcPr>
            <w:tcW w:w="1133" w:type="dxa"/>
            <w:tcBorders>
              <w:top w:val="single" w:sz="4" w:space="0" w:color="auto"/>
              <w:bottom w:val="single" w:sz="12"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1,2</w:t>
            </w:r>
          </w:p>
        </w:tc>
        <w:tc>
          <w:tcPr>
            <w:tcW w:w="1188" w:type="dxa"/>
            <w:tcBorders>
              <w:top w:val="single" w:sz="4" w:space="0" w:color="auto"/>
              <w:bottom w:val="single" w:sz="12"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0,5</w:t>
            </w:r>
          </w:p>
        </w:tc>
        <w:tc>
          <w:tcPr>
            <w:tcW w:w="849" w:type="dxa"/>
            <w:tcBorders>
              <w:top w:val="single" w:sz="4" w:space="0" w:color="auto"/>
              <w:bottom w:val="single" w:sz="12" w:space="0" w:color="auto"/>
            </w:tcBorders>
            <w:shd w:val="clear" w:color="auto" w:fill="auto"/>
          </w:tcPr>
          <w:p w:rsidR="000D7271" w:rsidRPr="000D7271"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rPr>
                <w:b/>
              </w:rPr>
            </w:pPr>
            <w:r w:rsidRPr="000D7271">
              <w:rPr>
                <w:b/>
              </w:rPr>
              <w:t>5,9</w:t>
            </w:r>
          </w:p>
        </w:tc>
      </w:tr>
    </w:tbl>
    <w:p w:rsidR="000D7271" w:rsidRPr="00C04B99" w:rsidRDefault="000D7271" w:rsidP="00C04B99">
      <w:pPr>
        <w:pStyle w:val="SingleTxtGR"/>
        <w:spacing w:before="120" w:after="240"/>
        <w:ind w:firstLine="142"/>
        <w:rPr>
          <w:iCs/>
          <w:sz w:val="18"/>
          <w:szCs w:val="18"/>
          <w:lang w:val="fr-CH"/>
        </w:rPr>
      </w:pPr>
      <w:r w:rsidRPr="00C04B99">
        <w:rPr>
          <w:i/>
          <w:sz w:val="18"/>
          <w:szCs w:val="18"/>
        </w:rPr>
        <w:t>Источник:</w:t>
      </w:r>
      <w:r w:rsidRPr="00C04B99">
        <w:rPr>
          <w:sz w:val="18"/>
          <w:szCs w:val="18"/>
        </w:rPr>
        <w:t xml:space="preserve"> ANSD.RGPHAE 2013.</w:t>
      </w:r>
    </w:p>
    <w:p w:rsidR="000D7271" w:rsidRPr="000D7271" w:rsidRDefault="00C04B99" w:rsidP="00C04B99">
      <w:pPr>
        <w:pStyle w:val="H23GR"/>
        <w:rPr>
          <w:i/>
        </w:rPr>
      </w:pPr>
      <w:r>
        <w:tab/>
      </w:r>
      <w:r w:rsidR="000D7271" w:rsidRPr="000D7271">
        <w:t>2.</w:t>
      </w:r>
      <w:r w:rsidR="000D7271" w:rsidRPr="000D7271">
        <w:tab/>
      </w:r>
      <w:r w:rsidR="000D7271" w:rsidRPr="000D7271">
        <w:tab/>
        <w:t xml:space="preserve">Распространенность инвалидности с разбивкой по региону проживания </w:t>
      </w:r>
    </w:p>
    <w:p w:rsidR="000D7271" w:rsidRPr="000D7271" w:rsidRDefault="000D7271" w:rsidP="000D7271">
      <w:pPr>
        <w:pStyle w:val="SingleTxtGR"/>
      </w:pPr>
      <w:r w:rsidRPr="000D7271">
        <w:t>19.</w:t>
      </w:r>
      <w:r w:rsidRPr="000D7271">
        <w:tab/>
        <w:t xml:space="preserve">Анализ различных форм ограничений в зависимости от района проживания позволил выявить наличие региональных различий в распространенности инвалидности. В целом, наиболее высокий показатель распространенности отмечается в регионах </w:t>
      </w:r>
      <w:proofErr w:type="spellStart"/>
      <w:r w:rsidRPr="000D7271">
        <w:t>Зигиншор</w:t>
      </w:r>
      <w:proofErr w:type="spellEnd"/>
      <w:r w:rsidRPr="000D7271">
        <w:t xml:space="preserve"> и Матам и составляет 8,1</w:t>
      </w:r>
      <w:r>
        <w:t>%</w:t>
      </w:r>
      <w:r w:rsidRPr="000D7271">
        <w:t xml:space="preserve"> инвалидов от общей численности населения каждого из этих регионов. В регионах </w:t>
      </w:r>
      <w:proofErr w:type="spellStart"/>
      <w:r w:rsidRPr="000D7271">
        <w:t>Каолак</w:t>
      </w:r>
      <w:proofErr w:type="spellEnd"/>
      <w:r w:rsidRPr="000D7271">
        <w:t xml:space="preserve"> и </w:t>
      </w:r>
      <w:proofErr w:type="spellStart"/>
      <w:r w:rsidRPr="000D7271">
        <w:t>Диурбель</w:t>
      </w:r>
      <w:proofErr w:type="spellEnd"/>
      <w:r w:rsidRPr="000D7271">
        <w:t xml:space="preserve"> зарегистрирован самый низкий показатель распространенности, составляющий 5</w:t>
      </w:r>
      <w:r>
        <w:t>%</w:t>
      </w:r>
      <w:r w:rsidRPr="000D7271">
        <w:t xml:space="preserve"> лиц, живущих с инвалидностью.</w:t>
      </w:r>
    </w:p>
    <w:p w:rsidR="000D7271" w:rsidRPr="000D7271" w:rsidRDefault="000D7271" w:rsidP="00C04B99">
      <w:pPr>
        <w:pStyle w:val="H23GR"/>
      </w:pPr>
      <w:r w:rsidRPr="00C04B99">
        <w:rPr>
          <w:b w:val="0"/>
        </w:rPr>
        <w:tab/>
      </w:r>
      <w:r w:rsidRPr="00C04B99">
        <w:rPr>
          <w:b w:val="0"/>
        </w:rPr>
        <w:tab/>
        <w:t xml:space="preserve">Диаграмма </w:t>
      </w:r>
      <w:r w:rsidRPr="00C04B99">
        <w:rPr>
          <w:b w:val="0"/>
        </w:rPr>
        <w:br/>
      </w:r>
      <w:r w:rsidRPr="000D7271">
        <w:t>Распространенность (в</w:t>
      </w:r>
      <w:r w:rsidR="00D70810" w:rsidRPr="00D70810">
        <w:t xml:space="preserve"> </w:t>
      </w:r>
      <w:r>
        <w:t>%</w:t>
      </w:r>
      <w:r w:rsidRPr="000D7271">
        <w:t>) с разбивкой по региону проживания в 2013</w:t>
      </w:r>
      <w:r w:rsidRPr="000D7271">
        <w:rPr>
          <w:lang w:val="en-US"/>
        </w:rPr>
        <w:t> </w:t>
      </w:r>
      <w:r w:rsidRPr="000D7271">
        <w:t xml:space="preserve">году </w:t>
      </w:r>
    </w:p>
    <w:p w:rsidR="000D7271" w:rsidRPr="000D7271" w:rsidRDefault="000D7271" w:rsidP="000D7271">
      <w:pPr>
        <w:pStyle w:val="SingleTxtGR"/>
        <w:rPr>
          <w:b/>
        </w:rPr>
      </w:pPr>
      <w:r w:rsidRPr="000D7271">
        <w:rPr>
          <w:b/>
          <w:noProof/>
          <w:lang w:eastAsia="ru-RU"/>
        </w:rPr>
        <w:drawing>
          <wp:inline distT="0" distB="0" distL="0" distR="0" wp14:anchorId="28C4AB42" wp14:editId="1BEAC0A5">
            <wp:extent cx="4673600" cy="275769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045" cy="2795134"/>
                    </a:xfrm>
                    <a:prstGeom prst="rect">
                      <a:avLst/>
                    </a:prstGeom>
                    <a:noFill/>
                    <a:ln>
                      <a:noFill/>
                    </a:ln>
                  </pic:spPr>
                </pic:pic>
              </a:graphicData>
            </a:graphic>
          </wp:inline>
        </w:drawing>
      </w:r>
    </w:p>
    <w:p w:rsidR="000D7271" w:rsidRPr="00C04B99" w:rsidRDefault="000D7271" w:rsidP="00C04B99">
      <w:pPr>
        <w:pStyle w:val="SingleTxtGR"/>
        <w:spacing w:before="120" w:after="240"/>
        <w:ind w:firstLine="142"/>
        <w:rPr>
          <w:iCs/>
          <w:sz w:val="18"/>
          <w:szCs w:val="18"/>
        </w:rPr>
      </w:pPr>
      <w:r w:rsidRPr="00C04B99">
        <w:rPr>
          <w:i/>
          <w:sz w:val="18"/>
          <w:szCs w:val="18"/>
        </w:rPr>
        <w:t>Источник:</w:t>
      </w:r>
      <w:r w:rsidRPr="00C04B99">
        <w:rPr>
          <w:sz w:val="18"/>
          <w:szCs w:val="18"/>
        </w:rPr>
        <w:t xml:space="preserve"> ANSD.RGPHAE 2013.</w:t>
      </w:r>
    </w:p>
    <w:p w:rsidR="000D7271" w:rsidRPr="000D7271" w:rsidRDefault="000D7271" w:rsidP="00C04B99">
      <w:pPr>
        <w:pStyle w:val="H23GR"/>
      </w:pPr>
      <w:r w:rsidRPr="00C04B99">
        <w:rPr>
          <w:b w:val="0"/>
        </w:rPr>
        <w:tab/>
      </w:r>
      <w:r w:rsidRPr="00C04B99">
        <w:rPr>
          <w:b w:val="0"/>
        </w:rPr>
        <w:tab/>
        <w:t xml:space="preserve">Таблица 2 </w:t>
      </w:r>
      <w:r w:rsidRPr="00C04B99">
        <w:rPr>
          <w:b w:val="0"/>
        </w:rPr>
        <w:br/>
      </w:r>
      <w:r w:rsidRPr="000D7271">
        <w:t>Распространенность инвалидности (в</w:t>
      </w:r>
      <w:r w:rsidR="00D70810" w:rsidRPr="00D70810">
        <w:t xml:space="preserve"> </w:t>
      </w:r>
      <w:r>
        <w:t>%</w:t>
      </w:r>
      <w:r w:rsidRPr="000D7271">
        <w:t>) с разбивкой по региону проживания в</w:t>
      </w:r>
      <w:r w:rsidR="00D70810">
        <w:rPr>
          <w:lang w:val="en-US"/>
        </w:rPr>
        <w:t> </w:t>
      </w:r>
      <w:r w:rsidRPr="000D7271">
        <w:t>зависимости от типа инвалидности в 2013 году</w:t>
      </w:r>
    </w:p>
    <w:tbl>
      <w:tblPr>
        <w:tblStyle w:val="TabNum"/>
        <w:tblW w:w="7370" w:type="dxa"/>
        <w:tblInd w:w="1134" w:type="dxa"/>
        <w:tblLayout w:type="fixed"/>
        <w:tblLook w:val="05E0" w:firstRow="1" w:lastRow="1" w:firstColumn="1" w:lastColumn="1" w:noHBand="0" w:noVBand="1"/>
      </w:tblPr>
      <w:tblGrid>
        <w:gridCol w:w="1176"/>
        <w:gridCol w:w="905"/>
        <w:gridCol w:w="905"/>
        <w:gridCol w:w="905"/>
        <w:gridCol w:w="905"/>
        <w:gridCol w:w="905"/>
        <w:gridCol w:w="906"/>
        <w:gridCol w:w="763"/>
      </w:tblGrid>
      <w:tr w:rsidR="000D7271" w:rsidRPr="00C04B99" w:rsidTr="00C04B99">
        <w:trPr>
          <w:tblHeader/>
        </w:trPr>
        <w:tc>
          <w:tcPr>
            <w:cnfStyle w:val="001000000000" w:firstRow="0" w:lastRow="0" w:firstColumn="1" w:lastColumn="0" w:oddVBand="0" w:evenVBand="0" w:oddHBand="0" w:evenHBand="0" w:firstRowFirstColumn="0" w:firstRowLastColumn="0" w:lastRowFirstColumn="0" w:lastRowLastColumn="0"/>
            <w:tcW w:w="1176" w:type="dxa"/>
            <w:vMerge w:val="restart"/>
            <w:shd w:val="clear" w:color="auto" w:fill="auto"/>
          </w:tcPr>
          <w:p w:rsidR="000D7271" w:rsidRPr="00C04B99" w:rsidRDefault="000D7271" w:rsidP="00C04B99">
            <w:pPr>
              <w:suppressAutoHyphens w:val="0"/>
              <w:spacing w:line="200" w:lineRule="atLeast"/>
              <w:rPr>
                <w:i/>
                <w:sz w:val="16"/>
              </w:rPr>
            </w:pPr>
            <w:r w:rsidRPr="00C04B99">
              <w:rPr>
                <w:i/>
                <w:sz w:val="16"/>
              </w:rPr>
              <w:t>Регионы</w:t>
            </w:r>
          </w:p>
        </w:tc>
        <w:tc>
          <w:tcPr>
            <w:tcW w:w="5431" w:type="dxa"/>
            <w:gridSpan w:val="6"/>
            <w:tcBorders>
              <w:top w:val="single" w:sz="4" w:space="0" w:color="auto"/>
              <w:bottom w:val="single" w:sz="4" w:space="0" w:color="auto"/>
            </w:tcBorders>
            <w:shd w:val="clear" w:color="auto" w:fill="auto"/>
          </w:tcPr>
          <w:p w:rsidR="000D7271" w:rsidRPr="00C04B99" w:rsidRDefault="000D7271" w:rsidP="00C04B99">
            <w:pPr>
              <w:suppressAutoHyphens w:val="0"/>
              <w:spacing w:line="200" w:lineRule="atLeast"/>
              <w:jc w:val="center"/>
              <w:cnfStyle w:val="000000000000" w:firstRow="0" w:lastRow="0" w:firstColumn="0" w:lastColumn="0" w:oddVBand="0" w:evenVBand="0" w:oddHBand="0" w:evenHBand="0" w:firstRowFirstColumn="0" w:firstRowLastColumn="0" w:lastRowFirstColumn="0" w:lastRowLastColumn="0"/>
              <w:rPr>
                <w:i/>
                <w:sz w:val="16"/>
              </w:rPr>
            </w:pPr>
            <w:r w:rsidRPr="00C04B99">
              <w:rPr>
                <w:i/>
                <w:sz w:val="16"/>
              </w:rPr>
              <w:t>Тип инвалидности</w:t>
            </w:r>
          </w:p>
        </w:tc>
        <w:tc>
          <w:tcPr>
            <w:tcW w:w="763" w:type="dxa"/>
            <w:vMerge w:val="restart"/>
            <w:tcBorders>
              <w:top w:val="single" w:sz="4" w:space="0" w:color="auto"/>
              <w:bottom w:val="nil"/>
            </w:tcBorders>
            <w:shd w:val="clear" w:color="auto" w:fill="auto"/>
          </w:tcPr>
          <w:p w:rsidR="000D7271" w:rsidRPr="00C04B99"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p>
          <w:p w:rsidR="000D7271" w:rsidRPr="00C04B99"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C04B99">
              <w:rPr>
                <w:i/>
                <w:sz w:val="16"/>
              </w:rPr>
              <w:t>Итого</w:t>
            </w:r>
          </w:p>
        </w:tc>
      </w:tr>
      <w:tr w:rsidR="000D7271" w:rsidRPr="00C04B99" w:rsidTr="00C04B99">
        <w:trPr>
          <w:tblHeader/>
        </w:trPr>
        <w:tc>
          <w:tcPr>
            <w:cnfStyle w:val="001000000000" w:firstRow="0" w:lastRow="0" w:firstColumn="1" w:lastColumn="0" w:oddVBand="0" w:evenVBand="0" w:oddHBand="0" w:evenHBand="0" w:firstRowFirstColumn="0" w:firstRowLastColumn="0" w:lastRowFirstColumn="0" w:lastRowLastColumn="0"/>
            <w:tcW w:w="1176" w:type="dxa"/>
            <w:vMerge/>
            <w:tcBorders>
              <w:bottom w:val="single" w:sz="12" w:space="0" w:color="auto"/>
            </w:tcBorders>
            <w:shd w:val="clear" w:color="auto" w:fill="auto"/>
          </w:tcPr>
          <w:p w:rsidR="000D7271" w:rsidRPr="00C04B99" w:rsidRDefault="000D7271" w:rsidP="00C04B99">
            <w:pPr>
              <w:suppressAutoHyphens w:val="0"/>
              <w:spacing w:line="200" w:lineRule="atLeast"/>
              <w:rPr>
                <w:i/>
                <w:sz w:val="16"/>
              </w:rPr>
            </w:pPr>
          </w:p>
        </w:tc>
        <w:tc>
          <w:tcPr>
            <w:tcW w:w="905" w:type="dxa"/>
            <w:tcBorders>
              <w:top w:val="single" w:sz="4" w:space="0" w:color="auto"/>
              <w:bottom w:val="single" w:sz="12" w:space="0" w:color="auto"/>
            </w:tcBorders>
            <w:shd w:val="clear" w:color="auto" w:fill="auto"/>
          </w:tcPr>
          <w:p w:rsidR="000D7271" w:rsidRPr="00C04B99"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C04B99">
              <w:rPr>
                <w:i/>
                <w:sz w:val="16"/>
              </w:rPr>
              <w:t>Проблемы со зрением</w:t>
            </w:r>
          </w:p>
        </w:tc>
        <w:tc>
          <w:tcPr>
            <w:tcW w:w="905" w:type="dxa"/>
            <w:tcBorders>
              <w:top w:val="single" w:sz="4" w:space="0" w:color="auto"/>
              <w:bottom w:val="single" w:sz="12" w:space="0" w:color="auto"/>
            </w:tcBorders>
            <w:shd w:val="clear" w:color="auto" w:fill="auto"/>
          </w:tcPr>
          <w:p w:rsidR="000D7271" w:rsidRPr="00C04B99"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C04B99">
              <w:rPr>
                <w:i/>
                <w:sz w:val="16"/>
              </w:rPr>
              <w:t>Проблемы со слухом</w:t>
            </w:r>
          </w:p>
        </w:tc>
        <w:tc>
          <w:tcPr>
            <w:tcW w:w="905" w:type="dxa"/>
            <w:tcBorders>
              <w:top w:val="single" w:sz="4" w:space="0" w:color="auto"/>
              <w:bottom w:val="single" w:sz="12" w:space="0" w:color="auto"/>
            </w:tcBorders>
            <w:shd w:val="clear" w:color="auto" w:fill="auto"/>
          </w:tcPr>
          <w:p w:rsidR="000D7271" w:rsidRPr="00C04B99"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C04B99">
              <w:rPr>
                <w:i/>
                <w:sz w:val="16"/>
              </w:rPr>
              <w:t xml:space="preserve">Проблемы </w:t>
            </w:r>
            <w:r w:rsidRPr="00C04B99">
              <w:rPr>
                <w:i/>
                <w:sz w:val="16"/>
              </w:rPr>
              <w:br/>
              <w:t>с ходьбой</w:t>
            </w:r>
          </w:p>
        </w:tc>
        <w:tc>
          <w:tcPr>
            <w:tcW w:w="905" w:type="dxa"/>
            <w:tcBorders>
              <w:top w:val="single" w:sz="4" w:space="0" w:color="auto"/>
              <w:bottom w:val="single" w:sz="12" w:space="0" w:color="auto"/>
            </w:tcBorders>
            <w:shd w:val="clear" w:color="auto" w:fill="auto"/>
          </w:tcPr>
          <w:p w:rsidR="000D7271" w:rsidRPr="00C04B99"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C04B99">
              <w:rPr>
                <w:i/>
                <w:sz w:val="16"/>
              </w:rPr>
              <w:t>Проблемы</w:t>
            </w:r>
            <w:r w:rsidRPr="00C04B99">
              <w:rPr>
                <w:i/>
                <w:sz w:val="16"/>
              </w:rPr>
              <w:br/>
              <w:t xml:space="preserve"> с памятью</w:t>
            </w:r>
          </w:p>
        </w:tc>
        <w:tc>
          <w:tcPr>
            <w:tcW w:w="905" w:type="dxa"/>
            <w:tcBorders>
              <w:top w:val="single" w:sz="4" w:space="0" w:color="auto"/>
              <w:bottom w:val="single" w:sz="12" w:space="0" w:color="auto"/>
            </w:tcBorders>
            <w:shd w:val="clear" w:color="auto" w:fill="auto"/>
          </w:tcPr>
          <w:p w:rsidR="000D7271" w:rsidRPr="00C04B99"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C04B99">
              <w:rPr>
                <w:i/>
                <w:sz w:val="16"/>
              </w:rPr>
              <w:t xml:space="preserve">Трудности при уходе </w:t>
            </w:r>
            <w:r w:rsidRPr="00C04B99">
              <w:rPr>
                <w:i/>
                <w:sz w:val="16"/>
              </w:rPr>
              <w:br/>
              <w:t>за собой</w:t>
            </w:r>
          </w:p>
        </w:tc>
        <w:tc>
          <w:tcPr>
            <w:tcW w:w="906" w:type="dxa"/>
            <w:tcBorders>
              <w:top w:val="single" w:sz="4" w:space="0" w:color="auto"/>
              <w:bottom w:val="single" w:sz="12" w:space="0" w:color="auto"/>
            </w:tcBorders>
            <w:shd w:val="clear" w:color="auto" w:fill="auto"/>
          </w:tcPr>
          <w:p w:rsidR="000D7271" w:rsidRPr="00C04B99"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C04B99">
              <w:rPr>
                <w:i/>
                <w:sz w:val="16"/>
              </w:rPr>
              <w:t>Сложности с общением</w:t>
            </w:r>
          </w:p>
        </w:tc>
        <w:tc>
          <w:tcPr>
            <w:tcW w:w="763" w:type="dxa"/>
            <w:vMerge/>
            <w:tcBorders>
              <w:top w:val="nil"/>
              <w:bottom w:val="single" w:sz="12" w:space="0" w:color="auto"/>
            </w:tcBorders>
            <w:shd w:val="clear" w:color="auto" w:fill="auto"/>
          </w:tcPr>
          <w:p w:rsidR="000D7271" w:rsidRPr="00C04B99" w:rsidRDefault="000D7271" w:rsidP="00C04B99">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Borders>
              <w:top w:val="single" w:sz="12" w:space="0" w:color="auto"/>
            </w:tcBorders>
          </w:tcPr>
          <w:p w:rsidR="000D7271" w:rsidRPr="00C04B99" w:rsidRDefault="000D7271" w:rsidP="00C04B99">
            <w:pPr>
              <w:spacing w:before="20" w:after="20" w:line="220" w:lineRule="atLeast"/>
            </w:pPr>
            <w:r w:rsidRPr="00C04B99">
              <w:t>Дакар</w:t>
            </w:r>
          </w:p>
        </w:tc>
        <w:tc>
          <w:tcPr>
            <w:tcW w:w="905" w:type="dxa"/>
            <w:tcBorders>
              <w:top w:val="single" w:sz="12" w:space="0" w:color="auto"/>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2,1</w:t>
            </w:r>
          </w:p>
        </w:tc>
        <w:tc>
          <w:tcPr>
            <w:tcW w:w="905" w:type="dxa"/>
            <w:tcBorders>
              <w:top w:val="single" w:sz="12" w:space="0" w:color="auto"/>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0,5</w:t>
            </w:r>
          </w:p>
        </w:tc>
        <w:tc>
          <w:tcPr>
            <w:tcW w:w="905" w:type="dxa"/>
            <w:tcBorders>
              <w:top w:val="single" w:sz="12" w:space="0" w:color="auto"/>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1,5</w:t>
            </w:r>
          </w:p>
        </w:tc>
        <w:tc>
          <w:tcPr>
            <w:tcW w:w="905" w:type="dxa"/>
            <w:tcBorders>
              <w:top w:val="single" w:sz="12" w:space="0" w:color="auto"/>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905" w:type="dxa"/>
            <w:tcBorders>
              <w:top w:val="single" w:sz="12" w:space="0" w:color="auto"/>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0,5</w:t>
            </w:r>
          </w:p>
        </w:tc>
        <w:tc>
          <w:tcPr>
            <w:tcW w:w="906" w:type="dxa"/>
            <w:tcBorders>
              <w:top w:val="single" w:sz="12" w:space="0" w:color="auto"/>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763" w:type="dxa"/>
            <w:tcBorders>
              <w:top w:val="single" w:sz="12" w:space="0" w:color="auto"/>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5,9</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proofErr w:type="spellStart"/>
            <w:r w:rsidRPr="00C04B99">
              <w:t>Зигиншор</w:t>
            </w:r>
            <w:proofErr w:type="spellEnd"/>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2,6</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0,8</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1,9</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1,3</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0,9</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8,1</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proofErr w:type="spellStart"/>
            <w:r w:rsidRPr="00C04B99">
              <w:t>Диурбель</w:t>
            </w:r>
            <w:proofErr w:type="spellEnd"/>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1,1</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0,6</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1,4</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0,6</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0,5</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0,8</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5,0</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r w:rsidRPr="00C04B99">
              <w:t>Сен-Луи</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1,6</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0,6</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2,0</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0,6</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0,9</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6,3</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proofErr w:type="spellStart"/>
            <w:r w:rsidRPr="00C04B99">
              <w:t>Тамбакунда</w:t>
            </w:r>
            <w:proofErr w:type="spellEnd"/>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1,0</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0,8</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1,1</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0,8</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0,5</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1,5</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5,7</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proofErr w:type="spellStart"/>
            <w:r w:rsidRPr="00C04B99">
              <w:t>Каолак</w:t>
            </w:r>
            <w:proofErr w:type="spellEnd"/>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1,2</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0,6</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1,4</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0,6</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0,5</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5,0</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proofErr w:type="spellStart"/>
            <w:r w:rsidRPr="00C04B99">
              <w:t>Тиес</w:t>
            </w:r>
            <w:proofErr w:type="spellEnd"/>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1,4</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0,6</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1,4</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0,8</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0,6</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1,0</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5,8</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r w:rsidRPr="00C04B99">
              <w:t>Луга</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1,2</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1,5</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0,5</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1,1</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5,7</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proofErr w:type="spellStart"/>
            <w:r w:rsidRPr="00C04B99">
              <w:t>Фатик</w:t>
            </w:r>
            <w:proofErr w:type="spellEnd"/>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1,5</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1,8</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1,0</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0,5</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0,8</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6,4</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proofErr w:type="spellStart"/>
            <w:r w:rsidRPr="00C04B99">
              <w:t>Колда</w:t>
            </w:r>
            <w:proofErr w:type="spellEnd"/>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1,2</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1,0</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1,4</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5,7</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r w:rsidRPr="00C04B99">
              <w:t>Матам</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1,6</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0,9</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2,2</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1,1</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1,6</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8,1</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proofErr w:type="spellStart"/>
            <w:r w:rsidRPr="00C04B99">
              <w:t>Кафрин</w:t>
            </w:r>
            <w:proofErr w:type="spellEnd"/>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1,2</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0,8</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1,5</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1,0</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0,4</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0,8</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5,7</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proofErr w:type="spellStart"/>
            <w:r w:rsidRPr="00C04B99">
              <w:t>Кедугу</w:t>
            </w:r>
            <w:proofErr w:type="spellEnd"/>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1,0</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0,8</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1,1</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0,6</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0,6</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1,9</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5,9</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proofErr w:type="spellStart"/>
            <w:r w:rsidRPr="00C04B99">
              <w:t>Седиу</w:t>
            </w:r>
            <w:proofErr w:type="spellEnd"/>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1,1</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1,0</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0,7</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0,6</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1,0</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5,2</w:t>
            </w:r>
          </w:p>
        </w:tc>
      </w:tr>
      <w:tr w:rsidR="000D7271" w:rsidRPr="00C04B99" w:rsidTr="00D70810">
        <w:tc>
          <w:tcPr>
            <w:cnfStyle w:val="001000000000" w:firstRow="0" w:lastRow="0" w:firstColumn="1" w:lastColumn="0" w:oddVBand="0" w:evenVBand="0" w:oddHBand="0" w:evenHBand="0" w:firstRowFirstColumn="0" w:firstRowLastColumn="0" w:lastRowFirstColumn="0" w:lastRowLastColumn="0"/>
            <w:tcW w:w="1176" w:type="dxa"/>
          </w:tcPr>
          <w:p w:rsidR="000D7271" w:rsidRPr="00C04B99" w:rsidRDefault="000D7271" w:rsidP="00C04B99">
            <w:pPr>
              <w:spacing w:before="20" w:after="20" w:line="220" w:lineRule="atLeast"/>
            </w:pPr>
            <w:r w:rsidRPr="00C04B99">
              <w:t>Вместе</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1,5</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0,6</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1,5</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0,8</w:t>
            </w:r>
          </w:p>
        </w:tc>
        <w:tc>
          <w:tcPr>
            <w:tcW w:w="905"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0,5</w:t>
            </w:r>
          </w:p>
        </w:tc>
        <w:tc>
          <w:tcPr>
            <w:tcW w:w="906"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1,0</w:t>
            </w:r>
          </w:p>
        </w:tc>
        <w:tc>
          <w:tcPr>
            <w:tcW w:w="763"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5,9</w:t>
            </w:r>
          </w:p>
        </w:tc>
      </w:tr>
    </w:tbl>
    <w:p w:rsidR="000D7271" w:rsidRPr="00C04B99" w:rsidRDefault="000D7271" w:rsidP="00C04B99">
      <w:pPr>
        <w:pStyle w:val="SingleTxtGR"/>
        <w:spacing w:before="120" w:after="240"/>
        <w:ind w:firstLine="142"/>
        <w:rPr>
          <w:i/>
          <w:sz w:val="18"/>
          <w:szCs w:val="18"/>
          <w:lang w:val="fr-CH"/>
        </w:rPr>
      </w:pPr>
      <w:r w:rsidRPr="00C04B99">
        <w:rPr>
          <w:i/>
          <w:sz w:val="18"/>
          <w:szCs w:val="18"/>
        </w:rPr>
        <w:t>Источник:</w:t>
      </w:r>
      <w:r w:rsidRPr="00C04B99">
        <w:rPr>
          <w:sz w:val="18"/>
          <w:szCs w:val="18"/>
        </w:rPr>
        <w:t xml:space="preserve"> ANSD.RGPHAE 2013.</w:t>
      </w:r>
    </w:p>
    <w:p w:rsidR="000D7271" w:rsidRPr="000D7271" w:rsidRDefault="000D7271" w:rsidP="000D7271">
      <w:pPr>
        <w:pStyle w:val="SingleTxtGR"/>
      </w:pPr>
      <w:r w:rsidRPr="000D7271">
        <w:t>20.</w:t>
      </w:r>
      <w:r w:rsidRPr="000D7271">
        <w:tab/>
        <w:t>Что касается типов инвалидности, то можно сделать следующие наблюдения.</w:t>
      </w:r>
    </w:p>
    <w:p w:rsidR="000D7271" w:rsidRPr="000D7271" w:rsidRDefault="000D7271" w:rsidP="00C04B99">
      <w:pPr>
        <w:pStyle w:val="H4GR"/>
      </w:pPr>
      <w:r w:rsidRPr="000D7271">
        <w:tab/>
      </w:r>
      <w:r w:rsidRPr="000D7271">
        <w:tab/>
        <w:t xml:space="preserve">Лица, испытывающие проблемы со зрением </w:t>
      </w:r>
    </w:p>
    <w:p w:rsidR="000D7271" w:rsidRPr="000D7271" w:rsidRDefault="000D7271" w:rsidP="000D7271">
      <w:pPr>
        <w:pStyle w:val="SingleTxtGR"/>
      </w:pPr>
      <w:r w:rsidRPr="000D7271">
        <w:t>21.</w:t>
      </w:r>
      <w:r w:rsidRPr="000D7271">
        <w:tab/>
      </w:r>
      <w:proofErr w:type="gramStart"/>
      <w:r w:rsidRPr="000D7271">
        <w:t>В</w:t>
      </w:r>
      <w:proofErr w:type="gramEnd"/>
      <w:r w:rsidRPr="000D7271">
        <w:t xml:space="preserve"> регионах Дакара и </w:t>
      </w:r>
      <w:proofErr w:type="spellStart"/>
      <w:r w:rsidRPr="000D7271">
        <w:t>Зигиншор</w:t>
      </w:r>
      <w:proofErr w:type="spellEnd"/>
      <w:r w:rsidRPr="000D7271">
        <w:t xml:space="preserve"> отмечаются самые высокие показатели распространенности проблем со зрением, составляющие соответственно 2,1 и 2,6</w:t>
      </w:r>
      <w:r>
        <w:t>%</w:t>
      </w:r>
      <w:r w:rsidRPr="000D7271">
        <w:t xml:space="preserve">. Показатели распространенности в регионах </w:t>
      </w:r>
      <w:proofErr w:type="spellStart"/>
      <w:r w:rsidRPr="000D7271">
        <w:t>Фатик</w:t>
      </w:r>
      <w:proofErr w:type="spellEnd"/>
      <w:r w:rsidRPr="000D7271">
        <w:t>, Сен-Луи и Матам находятся в верхних пределах среднего показателя по стране и находятся в диапазоне от 1,5 до 1,6</w:t>
      </w:r>
      <w:r>
        <w:t>%</w:t>
      </w:r>
      <w:r w:rsidRPr="000D7271">
        <w:t xml:space="preserve">. Самые низкие показатели отмечаются в регионах </w:t>
      </w:r>
      <w:proofErr w:type="spellStart"/>
      <w:r w:rsidRPr="000D7271">
        <w:t>Тамбакунда</w:t>
      </w:r>
      <w:proofErr w:type="spellEnd"/>
      <w:r w:rsidRPr="000D7271">
        <w:t xml:space="preserve"> (1</w:t>
      </w:r>
      <w:r>
        <w:t>%</w:t>
      </w:r>
      <w:r w:rsidRPr="000D7271">
        <w:t xml:space="preserve">) и </w:t>
      </w:r>
      <w:proofErr w:type="spellStart"/>
      <w:r w:rsidRPr="000D7271">
        <w:t>Кедугу</w:t>
      </w:r>
      <w:proofErr w:type="spellEnd"/>
      <w:r w:rsidRPr="000D7271">
        <w:t xml:space="preserve"> (1</w:t>
      </w:r>
      <w:r>
        <w:t>%</w:t>
      </w:r>
      <w:r w:rsidRPr="000D7271">
        <w:t xml:space="preserve">). </w:t>
      </w:r>
    </w:p>
    <w:p w:rsidR="000D7271" w:rsidRPr="000D7271" w:rsidRDefault="000D7271" w:rsidP="00C04B99">
      <w:pPr>
        <w:pStyle w:val="H4GR"/>
      </w:pPr>
      <w:r w:rsidRPr="000D7271">
        <w:tab/>
      </w:r>
      <w:r w:rsidRPr="000D7271">
        <w:tab/>
        <w:t xml:space="preserve">Лица, испытывающие проблемы со слухом </w:t>
      </w:r>
    </w:p>
    <w:p w:rsidR="000D7271" w:rsidRPr="000D7271" w:rsidRDefault="000D7271" w:rsidP="000D7271">
      <w:pPr>
        <w:pStyle w:val="SingleTxtGR"/>
      </w:pPr>
      <w:r w:rsidRPr="000D7271">
        <w:t>22.</w:t>
      </w:r>
      <w:r w:rsidRPr="000D7271">
        <w:tab/>
        <w:t>Независимо от рассматриваемого региона, эти лица составляют менее 1</w:t>
      </w:r>
      <w:r>
        <w:t>%</w:t>
      </w:r>
      <w:r w:rsidRPr="000D7271">
        <w:t xml:space="preserve"> населения. В целом, региональные различия являются довольно-таки незначительными применительно к распространенности проблем со слухом. </w:t>
      </w:r>
    </w:p>
    <w:p w:rsidR="000D7271" w:rsidRPr="00C04B99" w:rsidRDefault="000D7271" w:rsidP="00C04B99">
      <w:pPr>
        <w:pStyle w:val="H4GR"/>
      </w:pPr>
      <w:r w:rsidRPr="00C04B99">
        <w:tab/>
      </w:r>
      <w:r w:rsidRPr="00C04B99">
        <w:tab/>
        <w:t xml:space="preserve">Лица, испытывающие трудности при ходьбе </w:t>
      </w:r>
    </w:p>
    <w:p w:rsidR="000D7271" w:rsidRPr="000D7271" w:rsidRDefault="000D7271" w:rsidP="000D7271">
      <w:pPr>
        <w:pStyle w:val="SingleTxtGR"/>
      </w:pPr>
      <w:r w:rsidRPr="000D7271">
        <w:t>23.</w:t>
      </w:r>
      <w:r w:rsidRPr="000D7271">
        <w:tab/>
        <w:t xml:space="preserve">Уровни распространенности инвалидности в форме проблем с опорно-двигательным аппаратом являются рекордными в регионах Матам, Сен-Луи и </w:t>
      </w:r>
      <w:proofErr w:type="spellStart"/>
      <w:r w:rsidRPr="000D7271">
        <w:t>Зигиншор</w:t>
      </w:r>
      <w:proofErr w:type="spellEnd"/>
      <w:r w:rsidRPr="000D7271">
        <w:t xml:space="preserve"> и составляют 2,2, 2,0 и 1,9</w:t>
      </w:r>
      <w:r>
        <w:t>%</w:t>
      </w:r>
      <w:r w:rsidRPr="000D7271">
        <w:t xml:space="preserve"> соответственно. Самые низкие показатели распространенности были зарегистрированы в регионах </w:t>
      </w:r>
      <w:proofErr w:type="spellStart"/>
      <w:r w:rsidRPr="000D7271">
        <w:t>Колда</w:t>
      </w:r>
      <w:proofErr w:type="spellEnd"/>
      <w:r w:rsidRPr="000D7271">
        <w:t xml:space="preserve">, </w:t>
      </w:r>
      <w:proofErr w:type="spellStart"/>
      <w:r w:rsidRPr="000D7271">
        <w:t>Седиу</w:t>
      </w:r>
      <w:proofErr w:type="spellEnd"/>
      <w:r w:rsidRPr="000D7271">
        <w:t xml:space="preserve">, </w:t>
      </w:r>
      <w:proofErr w:type="spellStart"/>
      <w:r w:rsidRPr="000D7271">
        <w:t>Кедугу</w:t>
      </w:r>
      <w:proofErr w:type="spellEnd"/>
      <w:r w:rsidRPr="000D7271">
        <w:t xml:space="preserve">, и </w:t>
      </w:r>
      <w:proofErr w:type="spellStart"/>
      <w:r w:rsidRPr="000D7271">
        <w:t>Тамбакунда</w:t>
      </w:r>
      <w:proofErr w:type="spellEnd"/>
      <w:r w:rsidRPr="000D7271">
        <w:t xml:space="preserve"> и находятся в диапазоне от 1,0 до 1,1</w:t>
      </w:r>
      <w:r>
        <w:t>%</w:t>
      </w:r>
      <w:r w:rsidRPr="000D7271">
        <w:t xml:space="preserve">. </w:t>
      </w:r>
    </w:p>
    <w:p w:rsidR="000D7271" w:rsidRPr="00C04B99" w:rsidRDefault="000D7271" w:rsidP="00C04B99">
      <w:pPr>
        <w:pStyle w:val="H4GR"/>
      </w:pPr>
      <w:r w:rsidRPr="00C04B99">
        <w:tab/>
      </w:r>
      <w:r w:rsidRPr="00C04B99">
        <w:tab/>
        <w:t xml:space="preserve">Лица, испытывающие проблемы с памятью </w:t>
      </w:r>
    </w:p>
    <w:p w:rsidR="000D7271" w:rsidRPr="000D7271" w:rsidRDefault="000D7271" w:rsidP="000D7271">
      <w:pPr>
        <w:pStyle w:val="SingleTxtGR"/>
      </w:pPr>
      <w:r w:rsidRPr="000D7271">
        <w:t>24.</w:t>
      </w:r>
      <w:r w:rsidRPr="000D7271">
        <w:tab/>
        <w:t xml:space="preserve">Проблемы с памятью и способностью концентрироваться в большей степени присутствуют в регионах </w:t>
      </w:r>
      <w:proofErr w:type="spellStart"/>
      <w:r w:rsidRPr="000D7271">
        <w:t>Зигиншор</w:t>
      </w:r>
      <w:proofErr w:type="spellEnd"/>
      <w:r w:rsidRPr="000D7271">
        <w:t xml:space="preserve"> и Матам, и их распространенность составляет соответственно 1,3 и 1,1</w:t>
      </w:r>
      <w:r>
        <w:t>%</w:t>
      </w:r>
      <w:r w:rsidRPr="000D7271">
        <w:t xml:space="preserve">. Это контрастирует с положением дел в этой области в регионах </w:t>
      </w:r>
      <w:proofErr w:type="spellStart"/>
      <w:r w:rsidRPr="000D7271">
        <w:t>Диурбель</w:t>
      </w:r>
      <w:proofErr w:type="spellEnd"/>
      <w:r w:rsidRPr="000D7271">
        <w:t xml:space="preserve">, </w:t>
      </w:r>
      <w:proofErr w:type="spellStart"/>
      <w:r w:rsidRPr="000D7271">
        <w:t>Каолак</w:t>
      </w:r>
      <w:proofErr w:type="spellEnd"/>
      <w:r w:rsidRPr="000D7271">
        <w:t xml:space="preserve"> и </w:t>
      </w:r>
      <w:proofErr w:type="spellStart"/>
      <w:r w:rsidRPr="000D7271">
        <w:t>Кедугу</w:t>
      </w:r>
      <w:proofErr w:type="spellEnd"/>
      <w:r w:rsidRPr="000D7271">
        <w:t>, в которых отмечается 0,6</w:t>
      </w:r>
      <w:r>
        <w:t>%</w:t>
      </w:r>
      <w:r w:rsidRPr="000D7271">
        <w:t xml:space="preserve"> людей, испытывающих трудности со способностью концентрироваться. </w:t>
      </w:r>
    </w:p>
    <w:p w:rsidR="000D7271" w:rsidRPr="00C04B99" w:rsidRDefault="000D7271" w:rsidP="00C04B99">
      <w:pPr>
        <w:pStyle w:val="H4GR"/>
      </w:pPr>
      <w:r w:rsidRPr="00C04B99">
        <w:tab/>
      </w:r>
      <w:r w:rsidRPr="00C04B99">
        <w:tab/>
        <w:t xml:space="preserve">Лица, испытывающие трудности с уходом за собой </w:t>
      </w:r>
    </w:p>
    <w:p w:rsidR="000D7271" w:rsidRPr="000D7271" w:rsidRDefault="000D7271" w:rsidP="000D7271">
      <w:pPr>
        <w:pStyle w:val="SingleTxtGR"/>
      </w:pPr>
      <w:r w:rsidRPr="000D7271">
        <w:t>25.</w:t>
      </w:r>
      <w:r w:rsidRPr="000D7271">
        <w:tab/>
        <w:t>Как и в случае инвалидности в связи с проблемами со слухом трудности с уходом за собой являются довольно-таки редкими вне зависимости от региона проживания, поскольку они затрагивают менее 1</w:t>
      </w:r>
      <w:r>
        <w:t>%</w:t>
      </w:r>
      <w:r w:rsidRPr="000D7271">
        <w:t xml:space="preserve"> населения с разбивкой по регионам. Кроме того, не существует каких-либо существенных различий между регионами проживания, и показатели распространенности колеблются в диапазоне от 0,5 до 0,7</w:t>
      </w:r>
      <w:r>
        <w:t>%</w:t>
      </w:r>
      <w:r w:rsidRPr="000D7271">
        <w:t xml:space="preserve">. </w:t>
      </w:r>
    </w:p>
    <w:p w:rsidR="000D7271" w:rsidRPr="00C04B99" w:rsidRDefault="000D7271" w:rsidP="00C04B99">
      <w:pPr>
        <w:pStyle w:val="H4GR"/>
      </w:pPr>
      <w:r w:rsidRPr="00C04B99">
        <w:tab/>
      </w:r>
      <w:r w:rsidRPr="00C04B99">
        <w:tab/>
        <w:t xml:space="preserve">Лица, испытывающие трудности с общением </w:t>
      </w:r>
    </w:p>
    <w:p w:rsidR="000D7271" w:rsidRPr="000D7271" w:rsidRDefault="000D7271" w:rsidP="000D7271">
      <w:pPr>
        <w:pStyle w:val="SingleTxtGR"/>
      </w:pPr>
      <w:r w:rsidRPr="000D7271">
        <w:t>26.</w:t>
      </w:r>
      <w:r w:rsidRPr="000D7271">
        <w:tab/>
        <w:t xml:space="preserve">Наибольшая доля лиц, страдающих от этой формы инвалидности, находится в регионах </w:t>
      </w:r>
      <w:proofErr w:type="spellStart"/>
      <w:r w:rsidRPr="000D7271">
        <w:t>Кедугу</w:t>
      </w:r>
      <w:proofErr w:type="spellEnd"/>
      <w:r w:rsidRPr="000D7271">
        <w:t xml:space="preserve"> (1,9</w:t>
      </w:r>
      <w:r>
        <w:t>%</w:t>
      </w:r>
      <w:r w:rsidRPr="000D7271">
        <w:t>), Матам (1,6</w:t>
      </w:r>
      <w:r>
        <w:t>%</w:t>
      </w:r>
      <w:r w:rsidRPr="000D7271">
        <w:t xml:space="preserve">) и </w:t>
      </w:r>
      <w:proofErr w:type="spellStart"/>
      <w:r w:rsidRPr="000D7271">
        <w:t>Тамбакунда</w:t>
      </w:r>
      <w:proofErr w:type="spellEnd"/>
      <w:r w:rsidRPr="000D7271">
        <w:t xml:space="preserve"> (1,5</w:t>
      </w:r>
      <w:r>
        <w:t>%</w:t>
      </w:r>
      <w:r w:rsidRPr="000D7271">
        <w:t xml:space="preserve">). Для регионов Дакар и </w:t>
      </w:r>
      <w:proofErr w:type="spellStart"/>
      <w:r w:rsidRPr="000D7271">
        <w:t>Каолак</w:t>
      </w:r>
      <w:proofErr w:type="spellEnd"/>
      <w:r w:rsidRPr="000D7271">
        <w:t>, напротив, характерен наиболее низкий показатель распространенности, составляющий 0,7</w:t>
      </w:r>
      <w:r>
        <w:t>%</w:t>
      </w:r>
      <w:r w:rsidRPr="000D7271">
        <w:t xml:space="preserve"> в каждом из этих регионов.</w:t>
      </w:r>
    </w:p>
    <w:p w:rsidR="000D7271" w:rsidRPr="000D7271" w:rsidRDefault="00C04B99" w:rsidP="00C04B99">
      <w:pPr>
        <w:pStyle w:val="H23GR"/>
        <w:rPr>
          <w:i/>
        </w:rPr>
      </w:pPr>
      <w:r>
        <w:tab/>
      </w:r>
      <w:r w:rsidR="000D7271" w:rsidRPr="000D7271">
        <w:t>3.</w:t>
      </w:r>
      <w:r w:rsidR="000D7271" w:rsidRPr="000D7271">
        <w:tab/>
      </w:r>
      <w:r w:rsidR="000D7271" w:rsidRPr="000D7271">
        <w:tab/>
        <w:t xml:space="preserve">Социально-демографические характеристики лиц с инвалидностью </w:t>
      </w:r>
    </w:p>
    <w:p w:rsidR="000D7271" w:rsidRPr="000D7271" w:rsidRDefault="00C04B99" w:rsidP="00C04B99">
      <w:pPr>
        <w:pStyle w:val="H23GR"/>
        <w:rPr>
          <w:i/>
        </w:rPr>
      </w:pPr>
      <w:r>
        <w:tab/>
      </w:r>
      <w:r w:rsidR="000D7271" w:rsidRPr="000D7271">
        <w:t>a)</w:t>
      </w:r>
      <w:r w:rsidR="000D7271" w:rsidRPr="000D7271">
        <w:tab/>
      </w:r>
      <w:r w:rsidR="000D7271" w:rsidRPr="000D7271">
        <w:tab/>
        <w:t xml:space="preserve">Структура лиц с инвалидностью с разбивкой по полу и возрасту </w:t>
      </w:r>
    </w:p>
    <w:p w:rsidR="000D7271" w:rsidRPr="000D7271" w:rsidRDefault="000D7271" w:rsidP="000D7271">
      <w:pPr>
        <w:pStyle w:val="SingleTxtGR"/>
      </w:pPr>
      <w:r w:rsidRPr="000D7271">
        <w:t>27.</w:t>
      </w:r>
      <w:r w:rsidRPr="000D7271">
        <w:tab/>
        <w:t xml:space="preserve">Согласно общему соотношению полов из числа лиц с инвалидностью большинство составляют женщины. Так на национальном уровне среди лиц, живущих с инвалидностью, на 88 мужчин приходится 100 женщин. В более подробном плане можно констатировать, что лиц мужского пола, живущих с инвалидностью, в возрасте от 0 до 14 лет больше, чем женского пола. В возрасте от 16 до 55 лет наблюдается обратная тенденция </w:t>
      </w:r>
      <w:r>
        <w:t>–</w:t>
      </w:r>
      <w:r w:rsidRPr="000D7271">
        <w:t xml:space="preserve"> число лиц женского пола, живущих с инвалидностью, более значительное, чем мужского. В возрасте старше 55 лет соотношение полов колеблется, хотя число женщин по-прежнему преобладает.</w:t>
      </w:r>
    </w:p>
    <w:p w:rsidR="000D7271" w:rsidRPr="000D7271" w:rsidRDefault="000D7271" w:rsidP="000D7271">
      <w:pPr>
        <w:pStyle w:val="SingleTxtGR"/>
      </w:pPr>
      <w:r w:rsidRPr="000D7271">
        <w:t>28.</w:t>
      </w:r>
      <w:r w:rsidRPr="000D7271">
        <w:tab/>
        <w:t>Возрастная пирамида, основанная на показателях распространенности инвалидности по возрастным группам, характеризуется суженным основанием и расширенной вершиной. Другими словами, риск оказаться в ситуации инвалидности увеличивается с возрастом. В возрасте до 40 лет показатели распространенности инвалидности являются относительно низкими, поскольку они составляют менее 10</w:t>
      </w:r>
      <w:r>
        <w:t>%</w:t>
      </w:r>
      <w:r w:rsidRPr="000D7271">
        <w:t>. После 40 лет эти показатели быстро растут, достигая 50</w:t>
      </w:r>
      <w:r>
        <w:t>%</w:t>
      </w:r>
      <w:r w:rsidRPr="000D7271">
        <w:t xml:space="preserve"> в возрасте 90 лет.</w:t>
      </w:r>
    </w:p>
    <w:p w:rsidR="000D7271" w:rsidRPr="000D7271" w:rsidRDefault="00C04B99" w:rsidP="00C04B99">
      <w:pPr>
        <w:pStyle w:val="H23GR"/>
        <w:rPr>
          <w:i/>
        </w:rPr>
      </w:pPr>
      <w:r>
        <w:tab/>
      </w:r>
      <w:r w:rsidR="000D7271" w:rsidRPr="000D7271">
        <w:t>b)</w:t>
      </w:r>
      <w:r w:rsidR="000D7271" w:rsidRPr="000D7271">
        <w:tab/>
      </w:r>
      <w:r w:rsidR="000D7271" w:rsidRPr="000D7271">
        <w:tab/>
        <w:t xml:space="preserve">Семейное положение лиц с инвалидностью </w:t>
      </w:r>
    </w:p>
    <w:p w:rsidR="000D7271" w:rsidRPr="000D7271" w:rsidRDefault="000D7271" w:rsidP="000D7271">
      <w:pPr>
        <w:pStyle w:val="SingleTxtGR"/>
      </w:pPr>
      <w:r w:rsidRPr="000D7271">
        <w:t>29.</w:t>
      </w:r>
      <w:r w:rsidRPr="000D7271">
        <w:tab/>
        <w:t>В целом, распространенность инвалидности является более высокой среди овдовевших лиц и составляет 30,5</w:t>
      </w:r>
      <w:r>
        <w:t>%</w:t>
      </w:r>
      <w:r w:rsidRPr="000D7271">
        <w:t xml:space="preserve"> лиц с ограниченными возможностями. Самая низкая доля приходится на одиноких людей и составляет 3,0</w:t>
      </w:r>
      <w:r>
        <w:t>%</w:t>
      </w:r>
      <w:r w:rsidRPr="000D7271">
        <w:t xml:space="preserve"> лиц с инвалидностью. В разбивке по полу наблюдается аналогичная тенденция </w:t>
      </w:r>
      <w:r>
        <w:t>–</w:t>
      </w:r>
      <w:r w:rsidRPr="000D7271">
        <w:t xml:space="preserve"> 31,5</w:t>
      </w:r>
      <w:r>
        <w:t>%</w:t>
      </w:r>
      <w:r w:rsidRPr="000D7271">
        <w:t xml:space="preserve"> вдовцов и 30,5</w:t>
      </w:r>
      <w:r>
        <w:t>%</w:t>
      </w:r>
      <w:r w:rsidRPr="000D7271">
        <w:t xml:space="preserve"> вдов являются инвалидами. Такие результаты необходимо анализировать очень осторожно. Действительно, структура показателей распространенности инвалидности, изложенная в пирамиде выше, демонстрирует повышение риска с возрастом. Учитывая наличие взаимосвязи между семейным положением и возрастом (одинокими лицами являются главным образом молодые люди, а вдовцами/вдовами являются главным образом люди в возрасте), полученные результаты в отношении семейного положения могли бы косвенно отражать влияние этой структуры на возраст населения, живущего с инвалидностью.</w:t>
      </w:r>
    </w:p>
    <w:p w:rsidR="00C04B99" w:rsidRDefault="00C04B99">
      <w:pPr>
        <w:suppressAutoHyphens w:val="0"/>
        <w:spacing w:line="240" w:lineRule="auto"/>
        <w:rPr>
          <w:rFonts w:eastAsia="Times New Roman" w:cs="Times New Roman"/>
          <w:szCs w:val="20"/>
          <w:lang w:eastAsia="ru-RU"/>
        </w:rPr>
      </w:pPr>
      <w:r>
        <w:rPr>
          <w:b/>
        </w:rPr>
        <w:br w:type="page"/>
      </w:r>
    </w:p>
    <w:p w:rsidR="000D7271" w:rsidRPr="000D7271" w:rsidRDefault="000D7271" w:rsidP="00C04B99">
      <w:pPr>
        <w:pStyle w:val="H23GR"/>
      </w:pPr>
      <w:r w:rsidRPr="00C04B99">
        <w:rPr>
          <w:b w:val="0"/>
        </w:rPr>
        <w:tab/>
      </w:r>
      <w:r w:rsidRPr="00C04B99">
        <w:rPr>
          <w:b w:val="0"/>
        </w:rPr>
        <w:tab/>
        <w:t xml:space="preserve">Таблица 3 </w:t>
      </w:r>
      <w:r w:rsidRPr="00C04B99">
        <w:rPr>
          <w:b w:val="0"/>
        </w:rPr>
        <w:br/>
      </w:r>
      <w:r w:rsidRPr="000D7271">
        <w:t>Распространенность инвалидности (в</w:t>
      </w:r>
      <w:r w:rsidR="00BE126F" w:rsidRPr="00BE126F">
        <w:t xml:space="preserve"> </w:t>
      </w:r>
      <w:r>
        <w:t>%</w:t>
      </w:r>
      <w:r w:rsidRPr="000D7271">
        <w:t>) с разбивкой по полу и семейному положению в 2013 году</w:t>
      </w:r>
    </w:p>
    <w:tbl>
      <w:tblPr>
        <w:tblStyle w:val="TabNum"/>
        <w:tblW w:w="7370" w:type="dxa"/>
        <w:tblInd w:w="1134" w:type="dxa"/>
        <w:tblLayout w:type="fixed"/>
        <w:tblLook w:val="05E0" w:firstRow="1" w:lastRow="1" w:firstColumn="1" w:lastColumn="1" w:noHBand="0" w:noVBand="1"/>
      </w:tblPr>
      <w:tblGrid>
        <w:gridCol w:w="2835"/>
        <w:gridCol w:w="1488"/>
        <w:gridCol w:w="1489"/>
        <w:gridCol w:w="1558"/>
      </w:tblGrid>
      <w:tr w:rsidR="000D7271" w:rsidRPr="00C04B99" w:rsidTr="00C04B99">
        <w:trPr>
          <w:tblHeader/>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auto"/>
          </w:tcPr>
          <w:p w:rsidR="000D7271" w:rsidRPr="00C04B99" w:rsidRDefault="000D7271" w:rsidP="00DF33CC">
            <w:pPr>
              <w:suppressAutoHyphens w:val="0"/>
              <w:spacing w:line="200" w:lineRule="atLeast"/>
              <w:rPr>
                <w:i/>
                <w:sz w:val="16"/>
              </w:rPr>
            </w:pPr>
            <w:r w:rsidRPr="00C04B99">
              <w:rPr>
                <w:i/>
                <w:sz w:val="16"/>
              </w:rPr>
              <w:t>Семейное положение</w:t>
            </w:r>
          </w:p>
        </w:tc>
        <w:tc>
          <w:tcPr>
            <w:tcW w:w="2977" w:type="dxa"/>
            <w:gridSpan w:val="2"/>
            <w:tcBorders>
              <w:top w:val="single" w:sz="4" w:space="0" w:color="auto"/>
              <w:bottom w:val="single" w:sz="4" w:space="0" w:color="auto"/>
            </w:tcBorders>
            <w:shd w:val="clear" w:color="auto" w:fill="auto"/>
          </w:tcPr>
          <w:p w:rsidR="000D7271" w:rsidRPr="00C04B99" w:rsidRDefault="000D7271" w:rsidP="00DF33CC">
            <w:pPr>
              <w:suppressAutoHyphens w:val="0"/>
              <w:spacing w:line="200" w:lineRule="atLeast"/>
              <w:jc w:val="center"/>
              <w:cnfStyle w:val="000000000000" w:firstRow="0" w:lastRow="0" w:firstColumn="0" w:lastColumn="0" w:oddVBand="0" w:evenVBand="0" w:oddHBand="0" w:evenHBand="0" w:firstRowFirstColumn="0" w:firstRowLastColumn="0" w:lastRowFirstColumn="0" w:lastRowLastColumn="0"/>
              <w:rPr>
                <w:i/>
                <w:sz w:val="16"/>
              </w:rPr>
            </w:pPr>
            <w:r w:rsidRPr="00C04B99">
              <w:rPr>
                <w:i/>
                <w:sz w:val="16"/>
              </w:rPr>
              <w:t>Распространенность инвалидности</w:t>
            </w:r>
          </w:p>
        </w:tc>
        <w:tc>
          <w:tcPr>
            <w:tcW w:w="1558" w:type="dxa"/>
            <w:vMerge w:val="restart"/>
            <w:tcBorders>
              <w:top w:val="single" w:sz="4" w:space="0" w:color="auto"/>
              <w:bottom w:val="nil"/>
            </w:tcBorders>
            <w:shd w:val="clear" w:color="auto" w:fill="auto"/>
          </w:tcPr>
          <w:p w:rsidR="000D7271" w:rsidRPr="00C04B99" w:rsidRDefault="000D7271" w:rsidP="00DF33CC">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p>
          <w:p w:rsidR="000D7271" w:rsidRPr="00C04B99" w:rsidRDefault="000D7271" w:rsidP="00DF33CC">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C04B99">
              <w:rPr>
                <w:i/>
                <w:sz w:val="16"/>
              </w:rPr>
              <w:t>Вместе</w:t>
            </w:r>
          </w:p>
        </w:tc>
      </w:tr>
      <w:tr w:rsidR="000D7271" w:rsidRPr="00C04B99" w:rsidTr="00C04B99">
        <w:trPr>
          <w:tblHeader/>
        </w:trPr>
        <w:tc>
          <w:tcPr>
            <w:cnfStyle w:val="001000000000" w:firstRow="0" w:lastRow="0" w:firstColumn="1" w:lastColumn="0" w:oddVBand="0" w:evenVBand="0" w:oddHBand="0" w:evenHBand="0" w:firstRowFirstColumn="0" w:firstRowLastColumn="0" w:lastRowFirstColumn="0" w:lastRowLastColumn="0"/>
            <w:tcW w:w="2835" w:type="dxa"/>
            <w:vMerge/>
            <w:tcBorders>
              <w:bottom w:val="single" w:sz="12" w:space="0" w:color="auto"/>
            </w:tcBorders>
            <w:shd w:val="clear" w:color="auto" w:fill="auto"/>
          </w:tcPr>
          <w:p w:rsidR="000D7271" w:rsidRPr="00C04B99" w:rsidRDefault="000D7271" w:rsidP="00DF33CC">
            <w:pPr>
              <w:suppressAutoHyphens w:val="0"/>
              <w:spacing w:line="200" w:lineRule="atLeast"/>
              <w:rPr>
                <w:i/>
                <w:sz w:val="16"/>
              </w:rPr>
            </w:pPr>
          </w:p>
        </w:tc>
        <w:tc>
          <w:tcPr>
            <w:tcW w:w="1488" w:type="dxa"/>
            <w:tcBorders>
              <w:top w:val="single" w:sz="4" w:space="0" w:color="auto"/>
              <w:bottom w:val="single" w:sz="12" w:space="0" w:color="auto"/>
            </w:tcBorders>
            <w:shd w:val="clear" w:color="auto" w:fill="auto"/>
          </w:tcPr>
          <w:p w:rsidR="000D7271" w:rsidRPr="00C04B99" w:rsidRDefault="000D7271" w:rsidP="00DF33CC">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C04B99">
              <w:rPr>
                <w:i/>
                <w:sz w:val="16"/>
              </w:rPr>
              <w:t>Мужской пол</w:t>
            </w:r>
          </w:p>
        </w:tc>
        <w:tc>
          <w:tcPr>
            <w:tcW w:w="1489" w:type="dxa"/>
            <w:tcBorders>
              <w:top w:val="single" w:sz="4" w:space="0" w:color="auto"/>
              <w:bottom w:val="single" w:sz="12" w:space="0" w:color="auto"/>
            </w:tcBorders>
            <w:shd w:val="clear" w:color="auto" w:fill="auto"/>
          </w:tcPr>
          <w:p w:rsidR="000D7271" w:rsidRPr="00C04B99" w:rsidRDefault="000D7271" w:rsidP="00DF33CC">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C04B99">
              <w:rPr>
                <w:i/>
                <w:sz w:val="16"/>
              </w:rPr>
              <w:t>Женский пол</w:t>
            </w:r>
          </w:p>
        </w:tc>
        <w:tc>
          <w:tcPr>
            <w:tcW w:w="1558" w:type="dxa"/>
            <w:vMerge/>
            <w:tcBorders>
              <w:top w:val="nil"/>
              <w:bottom w:val="single" w:sz="12" w:space="0" w:color="auto"/>
            </w:tcBorders>
            <w:shd w:val="clear" w:color="auto" w:fill="auto"/>
          </w:tcPr>
          <w:p w:rsidR="000D7271" w:rsidRPr="00C04B99" w:rsidRDefault="000D7271" w:rsidP="00DF33CC">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auto"/>
            </w:tcBorders>
          </w:tcPr>
          <w:p w:rsidR="000D7271" w:rsidRPr="00C04B99" w:rsidRDefault="000D7271" w:rsidP="00C04B99">
            <w:pPr>
              <w:spacing w:before="20" w:after="20" w:line="220" w:lineRule="atLeast"/>
            </w:pPr>
            <w:r w:rsidRPr="00C04B99">
              <w:t>Моногамный брак</w:t>
            </w:r>
          </w:p>
        </w:tc>
        <w:tc>
          <w:tcPr>
            <w:tcW w:w="1488" w:type="dxa"/>
            <w:tcBorders>
              <w:top w:val="single" w:sz="12" w:space="0" w:color="auto"/>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9,8</w:t>
            </w:r>
          </w:p>
        </w:tc>
        <w:tc>
          <w:tcPr>
            <w:tcW w:w="1489" w:type="dxa"/>
            <w:tcBorders>
              <w:top w:val="single" w:sz="12" w:space="0" w:color="auto"/>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7,1</w:t>
            </w:r>
          </w:p>
        </w:tc>
        <w:tc>
          <w:tcPr>
            <w:tcW w:w="1558" w:type="dxa"/>
            <w:tcBorders>
              <w:top w:val="single" w:sz="12" w:space="0" w:color="auto"/>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8,5</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2835" w:type="dxa"/>
          </w:tcPr>
          <w:p w:rsidR="000D7271" w:rsidRPr="00C04B99" w:rsidRDefault="000D7271" w:rsidP="00C04B99">
            <w:pPr>
              <w:spacing w:before="20" w:after="20" w:line="220" w:lineRule="atLeast"/>
            </w:pPr>
            <w:r w:rsidRPr="00C04B99">
              <w:t>Полигамный брак</w:t>
            </w:r>
          </w:p>
        </w:tc>
        <w:tc>
          <w:tcPr>
            <w:tcW w:w="1488"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16,9</w:t>
            </w:r>
          </w:p>
        </w:tc>
        <w:tc>
          <w:tcPr>
            <w:tcW w:w="1489"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9,6</w:t>
            </w:r>
          </w:p>
        </w:tc>
        <w:tc>
          <w:tcPr>
            <w:tcW w:w="1558"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11,6</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2835" w:type="dxa"/>
          </w:tcPr>
          <w:p w:rsidR="000D7271" w:rsidRPr="00C04B99" w:rsidRDefault="000D7271" w:rsidP="00C04B99">
            <w:pPr>
              <w:spacing w:before="20" w:after="20" w:line="220" w:lineRule="atLeast"/>
            </w:pPr>
            <w:r w:rsidRPr="00C04B99">
              <w:t>Не состоит в браке</w:t>
            </w:r>
          </w:p>
        </w:tc>
        <w:tc>
          <w:tcPr>
            <w:tcW w:w="1488" w:type="dxa"/>
            <w:tcBorders>
              <w:bottom w:val="nil"/>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2,9</w:t>
            </w:r>
          </w:p>
        </w:tc>
        <w:tc>
          <w:tcPr>
            <w:tcW w:w="1489" w:type="dxa"/>
            <w:tcBorders>
              <w:bottom w:val="nil"/>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3,1</w:t>
            </w:r>
          </w:p>
        </w:tc>
        <w:tc>
          <w:tcPr>
            <w:tcW w:w="1558" w:type="dxa"/>
            <w:tcBorders>
              <w:bottom w:val="nil"/>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3,0</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2835" w:type="dxa"/>
          </w:tcPr>
          <w:p w:rsidR="000D7271" w:rsidRPr="00C04B99" w:rsidRDefault="000D7271" w:rsidP="00C04B99">
            <w:pPr>
              <w:spacing w:before="20" w:after="20" w:line="220" w:lineRule="atLeast"/>
            </w:pPr>
            <w:r w:rsidRPr="00C04B99">
              <w:t>Вдовец/вдова</w:t>
            </w:r>
          </w:p>
        </w:tc>
        <w:tc>
          <w:tcPr>
            <w:tcW w:w="1488" w:type="dxa"/>
            <w:tcBorders>
              <w:top w:val="nil"/>
              <w:bottom w:val="nil"/>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31,5</w:t>
            </w:r>
          </w:p>
        </w:tc>
        <w:tc>
          <w:tcPr>
            <w:tcW w:w="1489" w:type="dxa"/>
            <w:tcBorders>
              <w:top w:val="nil"/>
              <w:bottom w:val="nil"/>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30,5</w:t>
            </w:r>
          </w:p>
        </w:tc>
        <w:tc>
          <w:tcPr>
            <w:tcW w:w="1558" w:type="dxa"/>
            <w:tcBorders>
              <w:top w:val="nil"/>
              <w:bottom w:val="nil"/>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30,5</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2835" w:type="dxa"/>
          </w:tcPr>
          <w:p w:rsidR="000D7271" w:rsidRPr="00C04B99" w:rsidRDefault="000D7271" w:rsidP="00C04B99">
            <w:pPr>
              <w:spacing w:before="20" w:after="20" w:line="220" w:lineRule="atLeast"/>
            </w:pPr>
            <w:r w:rsidRPr="00C04B99">
              <w:t>В разводе</w:t>
            </w:r>
          </w:p>
        </w:tc>
        <w:tc>
          <w:tcPr>
            <w:tcW w:w="1488" w:type="dxa"/>
            <w:tcBorders>
              <w:top w:val="nil"/>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13,0</w:t>
            </w:r>
          </w:p>
        </w:tc>
        <w:tc>
          <w:tcPr>
            <w:tcW w:w="1489" w:type="dxa"/>
            <w:tcBorders>
              <w:top w:val="nil"/>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10,1</w:t>
            </w:r>
          </w:p>
        </w:tc>
        <w:tc>
          <w:tcPr>
            <w:tcW w:w="1558" w:type="dxa"/>
            <w:tcBorders>
              <w:top w:val="nil"/>
            </w:tcBorders>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10,8</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2835" w:type="dxa"/>
          </w:tcPr>
          <w:p w:rsidR="000D7271" w:rsidRPr="00C04B99" w:rsidRDefault="000D7271" w:rsidP="00C04B99">
            <w:pPr>
              <w:spacing w:before="20" w:after="20" w:line="220" w:lineRule="atLeast"/>
            </w:pPr>
            <w:r w:rsidRPr="00C04B99">
              <w:t>Гражданский брак (сожительство)</w:t>
            </w:r>
          </w:p>
        </w:tc>
        <w:tc>
          <w:tcPr>
            <w:tcW w:w="1488"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6,9</w:t>
            </w:r>
          </w:p>
        </w:tc>
        <w:tc>
          <w:tcPr>
            <w:tcW w:w="1489"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17,3</w:t>
            </w:r>
          </w:p>
        </w:tc>
        <w:tc>
          <w:tcPr>
            <w:tcW w:w="1558"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13,5</w:t>
            </w:r>
          </w:p>
        </w:tc>
      </w:tr>
      <w:tr w:rsidR="000D7271" w:rsidRPr="00C04B99" w:rsidTr="00C04B99">
        <w:tc>
          <w:tcPr>
            <w:cnfStyle w:val="001000000000" w:firstRow="0" w:lastRow="0" w:firstColumn="1" w:lastColumn="0" w:oddVBand="0" w:evenVBand="0" w:oddHBand="0" w:evenHBand="0" w:firstRowFirstColumn="0" w:firstRowLastColumn="0" w:lastRowFirstColumn="0" w:lastRowLastColumn="0"/>
            <w:tcW w:w="2835" w:type="dxa"/>
          </w:tcPr>
          <w:p w:rsidR="000D7271" w:rsidRPr="00C04B99" w:rsidRDefault="000D7271" w:rsidP="00C04B99">
            <w:pPr>
              <w:spacing w:before="20" w:after="20" w:line="220" w:lineRule="atLeast"/>
            </w:pPr>
            <w:r w:rsidRPr="00C04B99">
              <w:t>Раздельное проживание</w:t>
            </w:r>
          </w:p>
        </w:tc>
        <w:tc>
          <w:tcPr>
            <w:tcW w:w="1488"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14,2</w:t>
            </w:r>
          </w:p>
        </w:tc>
        <w:tc>
          <w:tcPr>
            <w:tcW w:w="1489"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18,6</w:t>
            </w:r>
          </w:p>
        </w:tc>
        <w:tc>
          <w:tcPr>
            <w:tcW w:w="1558" w:type="dxa"/>
          </w:tcPr>
          <w:p w:rsidR="000D7271" w:rsidRPr="00C04B99" w:rsidRDefault="000D7271" w:rsidP="00C04B99">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17,1</w:t>
            </w:r>
          </w:p>
        </w:tc>
      </w:tr>
    </w:tbl>
    <w:p w:rsidR="000D7271" w:rsidRPr="00C04B99" w:rsidRDefault="000D7271" w:rsidP="00C04B99">
      <w:pPr>
        <w:pStyle w:val="SingleTxtGR"/>
        <w:spacing w:before="120" w:after="240"/>
        <w:ind w:firstLine="142"/>
        <w:rPr>
          <w:sz w:val="18"/>
          <w:szCs w:val="18"/>
          <w:lang w:val="fr-CH"/>
        </w:rPr>
      </w:pPr>
      <w:r w:rsidRPr="00DF33CC">
        <w:rPr>
          <w:i/>
          <w:sz w:val="18"/>
          <w:szCs w:val="18"/>
        </w:rPr>
        <w:t>Источник:</w:t>
      </w:r>
      <w:r w:rsidRPr="00C04B99">
        <w:rPr>
          <w:sz w:val="18"/>
          <w:szCs w:val="18"/>
        </w:rPr>
        <w:t xml:space="preserve"> ANSD.RGPHAE 2013.</w:t>
      </w:r>
    </w:p>
    <w:p w:rsidR="000D7271" w:rsidRPr="000D7271" w:rsidRDefault="00C04B99" w:rsidP="00C04B99">
      <w:pPr>
        <w:pStyle w:val="H23GR"/>
        <w:rPr>
          <w:i/>
        </w:rPr>
      </w:pPr>
      <w:r>
        <w:tab/>
      </w:r>
      <w:r w:rsidR="000D7271" w:rsidRPr="000D7271">
        <w:t>c)</w:t>
      </w:r>
      <w:r w:rsidR="000D7271" w:rsidRPr="000D7271">
        <w:tab/>
      </w:r>
      <w:r w:rsidR="000D7271" w:rsidRPr="000D7271">
        <w:tab/>
        <w:t xml:space="preserve">Обучение в школе и грамотность лиц, живущих с инвалидностью </w:t>
      </w:r>
    </w:p>
    <w:p w:rsidR="000D7271" w:rsidRPr="000D7271" w:rsidRDefault="000D7271" w:rsidP="00C04B99">
      <w:pPr>
        <w:pStyle w:val="H4GR"/>
      </w:pPr>
      <w:r w:rsidRPr="000D7271">
        <w:tab/>
      </w:r>
      <w:r w:rsidRPr="000D7271">
        <w:tab/>
        <w:t xml:space="preserve">Обучение в школе </w:t>
      </w:r>
    </w:p>
    <w:p w:rsidR="000D7271" w:rsidRPr="000D7271" w:rsidRDefault="000D7271" w:rsidP="000D7271">
      <w:pPr>
        <w:pStyle w:val="SingleTxtGR"/>
      </w:pPr>
      <w:r w:rsidRPr="000D7271">
        <w:t>30.</w:t>
      </w:r>
      <w:r w:rsidRPr="000D7271">
        <w:tab/>
        <w:t>Из графика ниже становится очевидно, что распространенность инвалидности выше среди лиц, которые никогда не посещали школу, и составляет 7,6</w:t>
      </w:r>
      <w:r>
        <w:t>%</w:t>
      </w:r>
      <w:r w:rsidRPr="000D7271">
        <w:t xml:space="preserve">. Аналогичная тенденция наблюдается и среди женщин </w:t>
      </w:r>
      <w:r>
        <w:t>–</w:t>
      </w:r>
      <w:r w:rsidRPr="000D7271">
        <w:t xml:space="preserve"> 8,3</w:t>
      </w:r>
      <w:r>
        <w:t>%</w:t>
      </w:r>
      <w:r w:rsidRPr="000D7271">
        <w:t xml:space="preserve"> инвалидов насчитывается среди женщин, которые никогда не посещали школу, по сравнению с 2,1</w:t>
      </w:r>
      <w:r>
        <w:t>%</w:t>
      </w:r>
      <w:r w:rsidRPr="000D7271">
        <w:t xml:space="preserve"> среди тех, которые посещают школу в настоящее время, и 7</w:t>
      </w:r>
      <w:r>
        <w:t>%</w:t>
      </w:r>
      <w:r w:rsidRPr="000D7271">
        <w:t xml:space="preserve"> среди тех, которые посещали школу в прошлом. Среди мужчин распространенность инвалидности выше среди тех, которые посещали школу в прошлом, и составляет 7,9</w:t>
      </w:r>
      <w:r>
        <w:t>%</w:t>
      </w:r>
      <w:r w:rsidRPr="000D7271">
        <w:t>, а 2,1</w:t>
      </w:r>
      <w:r>
        <w:t>%</w:t>
      </w:r>
      <w:r w:rsidRPr="000D7271">
        <w:t xml:space="preserve"> посещали школу на момент переписи. В целом, независимо от пола доля лиц с инвалидностью ниже среди лиц, </w:t>
      </w:r>
      <w:proofErr w:type="spellStart"/>
      <w:r w:rsidRPr="000D7271">
        <w:t>посещавщих</w:t>
      </w:r>
      <w:proofErr w:type="spellEnd"/>
      <w:r w:rsidRPr="000D7271">
        <w:t xml:space="preserve"> школу на момент переписи. </w:t>
      </w:r>
    </w:p>
    <w:p w:rsidR="000D7271" w:rsidRPr="000D7271" w:rsidRDefault="000D7271" w:rsidP="00C04B99">
      <w:pPr>
        <w:pStyle w:val="H4GR"/>
      </w:pPr>
      <w:r w:rsidRPr="000D7271">
        <w:tab/>
      </w:r>
      <w:r w:rsidRPr="000D7271">
        <w:tab/>
        <w:t xml:space="preserve">Грамотность </w:t>
      </w:r>
    </w:p>
    <w:p w:rsidR="000D7271" w:rsidRPr="000D7271" w:rsidRDefault="000D7271" w:rsidP="000D7271">
      <w:pPr>
        <w:pStyle w:val="SingleTxtGR"/>
      </w:pPr>
      <w:r w:rsidRPr="000D7271">
        <w:t>31.</w:t>
      </w:r>
      <w:r w:rsidRPr="000D7271">
        <w:tab/>
        <w:t>Независимо от пола распространенность инвалидности выше среди лиц, не умеющих читать и писать на каком-либо языке. В целом, 8,5</w:t>
      </w:r>
      <w:r>
        <w:t>%</w:t>
      </w:r>
      <w:r w:rsidRPr="000D7271">
        <w:t xml:space="preserve"> неграмотных лиц имеют инвалидность по сравнению с 5,5</w:t>
      </w:r>
      <w:r>
        <w:t>%</w:t>
      </w:r>
      <w:r w:rsidRPr="000D7271">
        <w:t xml:space="preserve"> грамотных лиц. Этот разрыв наиболее заметен среди лиц женского пола с уровнем распространенности инвалидности среди грамотных женщин, составляющим 4,7</w:t>
      </w:r>
      <w:r>
        <w:t>%</w:t>
      </w:r>
      <w:r w:rsidRPr="000D7271">
        <w:t>, по отношению к 9,1</w:t>
      </w:r>
      <w:r>
        <w:t>%</w:t>
      </w:r>
      <w:r w:rsidRPr="000D7271">
        <w:t xml:space="preserve"> среди неграмотных.</w:t>
      </w:r>
    </w:p>
    <w:p w:rsidR="000D7271" w:rsidRPr="000D7271" w:rsidRDefault="00C04B99" w:rsidP="00C04B99">
      <w:pPr>
        <w:pStyle w:val="H23GR"/>
        <w:rPr>
          <w:i/>
        </w:rPr>
      </w:pPr>
      <w:r>
        <w:tab/>
      </w:r>
      <w:r w:rsidR="000D7271" w:rsidRPr="000D7271">
        <w:t>4.</w:t>
      </w:r>
      <w:r w:rsidR="000D7271" w:rsidRPr="000D7271">
        <w:tab/>
      </w:r>
      <w:r w:rsidR="000D7271" w:rsidRPr="000D7271">
        <w:tab/>
        <w:t xml:space="preserve">Экономические характеристики лиц с инвалидностью </w:t>
      </w:r>
    </w:p>
    <w:p w:rsidR="000D7271" w:rsidRPr="000D7271" w:rsidRDefault="000D7271" w:rsidP="000D7271">
      <w:pPr>
        <w:pStyle w:val="SingleTxtGR"/>
      </w:pPr>
      <w:r w:rsidRPr="000D7271">
        <w:t>32.</w:t>
      </w:r>
      <w:r w:rsidRPr="000D7271">
        <w:tab/>
        <w:t>Труд является фактором социальной интеграции индивида как члена общества. Именно в этом смысле он занимает важное место в программах борьбы с нищетой и исключением лиц с инвалидностью. В настоящем разделе будет рассматриваться только статус занятости лиц в возрасте 15 лет и старше, а также их положение при занятости.</w:t>
      </w:r>
    </w:p>
    <w:p w:rsidR="000D7271" w:rsidRPr="000D7271" w:rsidRDefault="00C04B99" w:rsidP="00C04B99">
      <w:pPr>
        <w:pStyle w:val="H23GR"/>
        <w:rPr>
          <w:i/>
        </w:rPr>
      </w:pPr>
      <w:r>
        <w:tab/>
      </w:r>
      <w:r w:rsidR="000D7271" w:rsidRPr="000D7271">
        <w:t>a)</w:t>
      </w:r>
      <w:r w:rsidR="000D7271" w:rsidRPr="000D7271">
        <w:tab/>
        <w:t xml:space="preserve">Занятость </w:t>
      </w:r>
    </w:p>
    <w:p w:rsidR="000D7271" w:rsidRPr="000D7271" w:rsidRDefault="000D7271" w:rsidP="000D7271">
      <w:pPr>
        <w:pStyle w:val="SingleTxtGR"/>
      </w:pPr>
      <w:r w:rsidRPr="000D7271">
        <w:t>33.</w:t>
      </w:r>
      <w:r w:rsidRPr="000D7271">
        <w:tab/>
        <w:t>Сложности с интеграцией лиц с инвалидностью в мир труда хорошо известны. Поэтому важно проанализировать взаимосвязь между инвалидностью и положением дел в отношении занятости. В целом, распространенность инвалидности выше среди лиц преклонного возраста и других незанятых и безработных лиц, ранее работавших, и составляет соответственно 37,9, 16,9 и 12,2</w:t>
      </w:r>
      <w:r>
        <w:t>%</w:t>
      </w:r>
      <w:r w:rsidRPr="000D7271">
        <w:t>. В то же время самая низкая доля лиц, живущих с инвалидностью, приходится на школьников и студентов (2,3</w:t>
      </w:r>
      <w:r>
        <w:t>%</w:t>
      </w:r>
      <w:r w:rsidRPr="000D7271">
        <w:t>), занятых лиц (6,8</w:t>
      </w:r>
      <w:r>
        <w:t>%</w:t>
      </w:r>
      <w:r w:rsidRPr="000D7271">
        <w:t>) и лиц, занятых работой по дому (6,8</w:t>
      </w:r>
      <w:r>
        <w:t>%</w:t>
      </w:r>
      <w:r w:rsidRPr="000D7271">
        <w:t xml:space="preserve">). </w:t>
      </w:r>
    </w:p>
    <w:p w:rsidR="000D7271" w:rsidRPr="000D7271" w:rsidRDefault="000D7271" w:rsidP="000D7271">
      <w:pPr>
        <w:pStyle w:val="SingleTxtGR"/>
      </w:pPr>
      <w:r w:rsidRPr="000D7271">
        <w:t>34.</w:t>
      </w:r>
      <w:r w:rsidRPr="000D7271">
        <w:tab/>
        <w:t>Эта тенденция наблюдается как среди мужчин, так и среди женщин. Проблемы со зрением, слухом, опорно-двигательным аппаратом и трудности с общением или способностью концентрироваться представляют собой ограничения для профессиональной интеграции лиц с инвалидностью. Действительно, принимая во внимание нередко сложный путь получения образования этими людьми, их квалификация в большинстве случаев находится на уровне ниже среднего. К этому добавляется склонность компаний не нанимать лиц с какими-либо ограничениями.</w:t>
      </w:r>
    </w:p>
    <w:p w:rsidR="000D7271" w:rsidRPr="000D7271" w:rsidRDefault="000D7271" w:rsidP="00C04B99">
      <w:pPr>
        <w:pStyle w:val="H23GR"/>
      </w:pPr>
      <w:r w:rsidRPr="00C04B99">
        <w:rPr>
          <w:b w:val="0"/>
        </w:rPr>
        <w:tab/>
      </w:r>
      <w:r w:rsidRPr="00C04B99">
        <w:rPr>
          <w:b w:val="0"/>
        </w:rPr>
        <w:tab/>
        <w:t xml:space="preserve">Таблица 4 </w:t>
      </w:r>
      <w:r w:rsidRPr="00C04B99">
        <w:rPr>
          <w:b w:val="0"/>
        </w:rPr>
        <w:br/>
      </w:r>
      <w:r w:rsidRPr="000D7271">
        <w:t>Распространенность инвалидности (в</w:t>
      </w:r>
      <w:r w:rsidR="00BE126F" w:rsidRPr="00BE126F">
        <w:t xml:space="preserve"> </w:t>
      </w:r>
      <w:r>
        <w:t>%</w:t>
      </w:r>
      <w:r w:rsidRPr="000D7271">
        <w:t>) с разбивкой по полу в зависимости от</w:t>
      </w:r>
      <w:r w:rsidR="00C04B99">
        <w:rPr>
          <w:lang w:val="en-US"/>
        </w:rPr>
        <w:t> </w:t>
      </w:r>
      <w:r w:rsidRPr="000D7271">
        <w:t>статуса занятости в 2013 году</w:t>
      </w:r>
    </w:p>
    <w:tbl>
      <w:tblPr>
        <w:tblStyle w:val="TabNum"/>
        <w:tblW w:w="7370" w:type="dxa"/>
        <w:tblInd w:w="1134" w:type="dxa"/>
        <w:tblLayout w:type="fixed"/>
        <w:tblLook w:val="05E0" w:firstRow="1" w:lastRow="1" w:firstColumn="1" w:lastColumn="1" w:noHBand="0" w:noVBand="1"/>
      </w:tblPr>
      <w:tblGrid>
        <w:gridCol w:w="3119"/>
        <w:gridCol w:w="1488"/>
        <w:gridCol w:w="1489"/>
        <w:gridCol w:w="1274"/>
      </w:tblGrid>
      <w:tr w:rsidR="00DF33CC" w:rsidRPr="00DF33CC" w:rsidTr="00DF33CC">
        <w:trPr>
          <w:tblHeader/>
        </w:trPr>
        <w:tc>
          <w:tcPr>
            <w:cnfStyle w:val="001000000000" w:firstRow="0" w:lastRow="0" w:firstColumn="1" w:lastColumn="0" w:oddVBand="0" w:evenVBand="0" w:oddHBand="0" w:evenHBand="0" w:firstRowFirstColumn="0" w:firstRowLastColumn="0" w:lastRowFirstColumn="0" w:lastRowLastColumn="0"/>
            <w:tcW w:w="3119" w:type="dxa"/>
            <w:vMerge w:val="restart"/>
            <w:shd w:val="clear" w:color="auto" w:fill="auto"/>
          </w:tcPr>
          <w:p w:rsidR="00DF33CC" w:rsidRPr="00DF33CC" w:rsidRDefault="00DF33CC" w:rsidP="00DF33CC">
            <w:pPr>
              <w:suppressAutoHyphens w:val="0"/>
              <w:spacing w:line="200" w:lineRule="atLeast"/>
              <w:rPr>
                <w:i/>
                <w:sz w:val="16"/>
              </w:rPr>
            </w:pPr>
            <w:r w:rsidRPr="00DF33CC">
              <w:rPr>
                <w:i/>
                <w:sz w:val="16"/>
              </w:rPr>
              <w:t>Статус занятости</w:t>
            </w:r>
          </w:p>
        </w:tc>
        <w:tc>
          <w:tcPr>
            <w:tcW w:w="2977" w:type="dxa"/>
            <w:gridSpan w:val="2"/>
            <w:tcBorders>
              <w:top w:val="single" w:sz="4" w:space="0" w:color="auto"/>
              <w:bottom w:val="single" w:sz="4" w:space="0" w:color="auto"/>
            </w:tcBorders>
            <w:shd w:val="clear" w:color="auto" w:fill="auto"/>
          </w:tcPr>
          <w:p w:rsidR="00DF33CC" w:rsidRPr="00DF33CC" w:rsidRDefault="00DF33CC" w:rsidP="00DF33CC">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DF33CC">
              <w:rPr>
                <w:i/>
                <w:sz w:val="16"/>
              </w:rPr>
              <w:t>Распространенность инвалидности</w:t>
            </w:r>
          </w:p>
        </w:tc>
        <w:tc>
          <w:tcPr>
            <w:tcW w:w="1274" w:type="dxa"/>
            <w:vMerge w:val="restart"/>
            <w:tcBorders>
              <w:top w:val="single" w:sz="4" w:space="0" w:color="auto"/>
            </w:tcBorders>
            <w:shd w:val="clear" w:color="auto" w:fill="auto"/>
          </w:tcPr>
          <w:p w:rsidR="00DF33CC" w:rsidRPr="00DF33CC" w:rsidRDefault="00DF33CC" w:rsidP="00DF33CC">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DF33CC">
              <w:rPr>
                <w:i/>
                <w:sz w:val="16"/>
              </w:rPr>
              <w:t>Итого</w:t>
            </w:r>
          </w:p>
        </w:tc>
      </w:tr>
      <w:tr w:rsidR="00DF33CC" w:rsidRPr="00DF33CC" w:rsidTr="00DF33CC">
        <w:trPr>
          <w:tblHeader/>
        </w:trPr>
        <w:tc>
          <w:tcPr>
            <w:cnfStyle w:val="001000000000" w:firstRow="0" w:lastRow="0" w:firstColumn="1" w:lastColumn="0" w:oddVBand="0" w:evenVBand="0" w:oddHBand="0" w:evenHBand="0" w:firstRowFirstColumn="0" w:firstRowLastColumn="0" w:lastRowFirstColumn="0" w:lastRowLastColumn="0"/>
            <w:tcW w:w="3119" w:type="dxa"/>
            <w:vMerge/>
            <w:tcBorders>
              <w:bottom w:val="single" w:sz="12" w:space="0" w:color="auto"/>
            </w:tcBorders>
            <w:shd w:val="clear" w:color="auto" w:fill="auto"/>
          </w:tcPr>
          <w:p w:rsidR="00DF33CC" w:rsidRPr="00DF33CC" w:rsidRDefault="00DF33CC" w:rsidP="00DF33CC">
            <w:pPr>
              <w:suppressAutoHyphens w:val="0"/>
              <w:spacing w:line="200" w:lineRule="atLeast"/>
              <w:rPr>
                <w:i/>
                <w:sz w:val="16"/>
              </w:rPr>
            </w:pPr>
          </w:p>
        </w:tc>
        <w:tc>
          <w:tcPr>
            <w:tcW w:w="1488" w:type="dxa"/>
            <w:tcBorders>
              <w:top w:val="single" w:sz="4" w:space="0" w:color="auto"/>
              <w:bottom w:val="single" w:sz="12" w:space="0" w:color="auto"/>
            </w:tcBorders>
            <w:shd w:val="clear" w:color="auto" w:fill="auto"/>
          </w:tcPr>
          <w:p w:rsidR="00DF33CC" w:rsidRPr="00DF33CC" w:rsidRDefault="00DF33CC" w:rsidP="00DF33CC">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DF33CC">
              <w:rPr>
                <w:i/>
                <w:sz w:val="16"/>
              </w:rPr>
              <w:t>Мужской пол</w:t>
            </w:r>
          </w:p>
        </w:tc>
        <w:tc>
          <w:tcPr>
            <w:tcW w:w="1489" w:type="dxa"/>
            <w:tcBorders>
              <w:top w:val="single" w:sz="4" w:space="0" w:color="auto"/>
              <w:bottom w:val="single" w:sz="12" w:space="0" w:color="auto"/>
            </w:tcBorders>
            <w:shd w:val="clear" w:color="auto" w:fill="auto"/>
          </w:tcPr>
          <w:p w:rsidR="00DF33CC" w:rsidRPr="00DF33CC" w:rsidRDefault="00DF33CC" w:rsidP="00DF33CC">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r w:rsidRPr="00DF33CC">
              <w:rPr>
                <w:i/>
                <w:sz w:val="16"/>
              </w:rPr>
              <w:t>Женский пол</w:t>
            </w:r>
          </w:p>
        </w:tc>
        <w:tc>
          <w:tcPr>
            <w:tcW w:w="1274" w:type="dxa"/>
            <w:vMerge/>
            <w:tcBorders>
              <w:bottom w:val="single" w:sz="12" w:space="0" w:color="auto"/>
            </w:tcBorders>
            <w:shd w:val="clear" w:color="auto" w:fill="auto"/>
          </w:tcPr>
          <w:p w:rsidR="00DF33CC" w:rsidRPr="00DF33CC" w:rsidRDefault="00DF33CC" w:rsidP="00DF33CC">
            <w:pPr>
              <w:suppressAutoHyphens w:val="0"/>
              <w:spacing w:line="200" w:lineRule="atLeast"/>
              <w:cnfStyle w:val="000000000000" w:firstRow="0" w:lastRow="0" w:firstColumn="0" w:lastColumn="0" w:oddVBand="0" w:evenVBand="0" w:oddHBand="0" w:evenHBand="0" w:firstRowFirstColumn="0" w:firstRowLastColumn="0" w:lastRowFirstColumn="0" w:lastRowLastColumn="0"/>
              <w:rPr>
                <w:i/>
                <w:sz w:val="16"/>
              </w:rPr>
            </w:pPr>
          </w:p>
        </w:tc>
      </w:tr>
      <w:tr w:rsidR="000D7271" w:rsidRPr="00C04B99" w:rsidTr="00DF33CC">
        <w:tc>
          <w:tcPr>
            <w:cnfStyle w:val="001000000000" w:firstRow="0" w:lastRow="0" w:firstColumn="1" w:lastColumn="0" w:oddVBand="0" w:evenVBand="0" w:oddHBand="0" w:evenHBand="0" w:firstRowFirstColumn="0" w:firstRowLastColumn="0" w:lastRowFirstColumn="0" w:lastRowLastColumn="0"/>
            <w:tcW w:w="3119" w:type="dxa"/>
            <w:tcBorders>
              <w:top w:val="single" w:sz="12" w:space="0" w:color="auto"/>
            </w:tcBorders>
          </w:tcPr>
          <w:p w:rsidR="000D7271" w:rsidRPr="00C04B99" w:rsidRDefault="000D7271" w:rsidP="00DF33CC">
            <w:pPr>
              <w:spacing w:before="20" w:after="20" w:line="220" w:lineRule="atLeast"/>
            </w:pPr>
            <w:r w:rsidRPr="00C04B99">
              <w:t>Трудоустроен</w:t>
            </w:r>
          </w:p>
        </w:tc>
        <w:tc>
          <w:tcPr>
            <w:tcW w:w="1488" w:type="dxa"/>
            <w:tcBorders>
              <w:top w:val="single" w:sz="12" w:space="0" w:color="auto"/>
            </w:tcBorders>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6,3</w:t>
            </w:r>
          </w:p>
        </w:tc>
        <w:tc>
          <w:tcPr>
            <w:tcW w:w="1489" w:type="dxa"/>
            <w:tcBorders>
              <w:top w:val="single" w:sz="12" w:space="0" w:color="auto"/>
            </w:tcBorders>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8,2</w:t>
            </w:r>
          </w:p>
        </w:tc>
        <w:tc>
          <w:tcPr>
            <w:tcW w:w="1274" w:type="dxa"/>
            <w:tcBorders>
              <w:top w:val="single" w:sz="12" w:space="0" w:color="auto"/>
            </w:tcBorders>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6,8</w:t>
            </w:r>
          </w:p>
        </w:tc>
      </w:tr>
      <w:tr w:rsidR="000D7271" w:rsidRPr="00C04B99" w:rsidTr="00DF33CC">
        <w:tc>
          <w:tcPr>
            <w:cnfStyle w:val="001000000000" w:firstRow="0" w:lastRow="0" w:firstColumn="1" w:lastColumn="0" w:oddVBand="0" w:evenVBand="0" w:oddHBand="0" w:evenHBand="0" w:firstRowFirstColumn="0" w:firstRowLastColumn="0" w:lastRowFirstColumn="0" w:lastRowLastColumn="0"/>
            <w:tcW w:w="3119" w:type="dxa"/>
          </w:tcPr>
          <w:p w:rsidR="000D7271" w:rsidRPr="00C04B99" w:rsidRDefault="000D7271" w:rsidP="00DF33CC">
            <w:pPr>
              <w:spacing w:before="20" w:after="20" w:line="220" w:lineRule="atLeast"/>
            </w:pPr>
            <w:r w:rsidRPr="00C04B99">
              <w:t>Безработный, работавший раньше</w:t>
            </w:r>
          </w:p>
        </w:tc>
        <w:tc>
          <w:tcPr>
            <w:tcW w:w="1488"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12,1</w:t>
            </w:r>
          </w:p>
        </w:tc>
        <w:tc>
          <w:tcPr>
            <w:tcW w:w="1489"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12,8</w:t>
            </w:r>
          </w:p>
        </w:tc>
        <w:tc>
          <w:tcPr>
            <w:tcW w:w="1274"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12,2</w:t>
            </w:r>
          </w:p>
        </w:tc>
      </w:tr>
      <w:tr w:rsidR="000D7271" w:rsidRPr="00C04B99" w:rsidTr="00DF33CC">
        <w:tc>
          <w:tcPr>
            <w:cnfStyle w:val="001000000000" w:firstRow="0" w:lastRow="0" w:firstColumn="1" w:lastColumn="0" w:oddVBand="0" w:evenVBand="0" w:oddHBand="0" w:evenHBand="0" w:firstRowFirstColumn="0" w:firstRowLastColumn="0" w:lastRowFirstColumn="0" w:lastRowLastColumn="0"/>
            <w:tcW w:w="3119" w:type="dxa"/>
          </w:tcPr>
          <w:p w:rsidR="000D7271" w:rsidRPr="00C04B99" w:rsidRDefault="000D7271" w:rsidP="00DF33CC">
            <w:pPr>
              <w:spacing w:before="20" w:after="20" w:line="220" w:lineRule="atLeast"/>
            </w:pPr>
            <w:r w:rsidRPr="00C04B99">
              <w:t>В поиске первой работы</w:t>
            </w:r>
          </w:p>
        </w:tc>
        <w:tc>
          <w:tcPr>
            <w:tcW w:w="1488"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7,5</w:t>
            </w:r>
          </w:p>
        </w:tc>
        <w:tc>
          <w:tcPr>
            <w:tcW w:w="1489"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5,9</w:t>
            </w:r>
          </w:p>
        </w:tc>
        <w:tc>
          <w:tcPr>
            <w:tcW w:w="1274"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6,6</w:t>
            </w:r>
          </w:p>
        </w:tc>
      </w:tr>
      <w:tr w:rsidR="000D7271" w:rsidRPr="00C04B99" w:rsidTr="00DF33CC">
        <w:tc>
          <w:tcPr>
            <w:cnfStyle w:val="001000000000" w:firstRow="0" w:lastRow="0" w:firstColumn="1" w:lastColumn="0" w:oddVBand="0" w:evenVBand="0" w:oddHBand="0" w:evenHBand="0" w:firstRowFirstColumn="0" w:firstRowLastColumn="0" w:lastRowFirstColumn="0" w:lastRowLastColumn="0"/>
            <w:tcW w:w="3119" w:type="dxa"/>
          </w:tcPr>
          <w:p w:rsidR="000D7271" w:rsidRPr="00C04B99" w:rsidRDefault="000D7271" w:rsidP="00DF33CC">
            <w:pPr>
              <w:spacing w:before="20" w:after="20" w:line="220" w:lineRule="atLeast"/>
            </w:pPr>
            <w:r w:rsidRPr="00C04B99">
              <w:t>Занятость работой по дому</w:t>
            </w:r>
          </w:p>
        </w:tc>
        <w:tc>
          <w:tcPr>
            <w:tcW w:w="1488"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p>
        </w:tc>
        <w:tc>
          <w:tcPr>
            <w:tcW w:w="1489"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6,8</w:t>
            </w:r>
          </w:p>
        </w:tc>
        <w:tc>
          <w:tcPr>
            <w:tcW w:w="1274"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6,8</w:t>
            </w:r>
          </w:p>
        </w:tc>
      </w:tr>
      <w:tr w:rsidR="000D7271" w:rsidRPr="00C04B99" w:rsidTr="00DF33CC">
        <w:tc>
          <w:tcPr>
            <w:cnfStyle w:val="001000000000" w:firstRow="0" w:lastRow="0" w:firstColumn="1" w:lastColumn="0" w:oddVBand="0" w:evenVBand="0" w:oddHBand="0" w:evenHBand="0" w:firstRowFirstColumn="0" w:firstRowLastColumn="0" w:lastRowFirstColumn="0" w:lastRowLastColumn="0"/>
            <w:tcW w:w="3119" w:type="dxa"/>
          </w:tcPr>
          <w:p w:rsidR="000D7271" w:rsidRPr="00C04B99" w:rsidRDefault="000D7271" w:rsidP="00DF33CC">
            <w:pPr>
              <w:spacing w:before="20" w:after="20" w:line="220" w:lineRule="atLeast"/>
            </w:pPr>
            <w:r w:rsidRPr="00C04B99">
              <w:t>Студент/учащийся</w:t>
            </w:r>
          </w:p>
        </w:tc>
        <w:tc>
          <w:tcPr>
            <w:tcW w:w="1488"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2,1</w:t>
            </w:r>
          </w:p>
        </w:tc>
        <w:tc>
          <w:tcPr>
            <w:tcW w:w="1489"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2,6</w:t>
            </w:r>
          </w:p>
        </w:tc>
        <w:tc>
          <w:tcPr>
            <w:tcW w:w="1274"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2,3</w:t>
            </w:r>
          </w:p>
        </w:tc>
      </w:tr>
      <w:tr w:rsidR="000D7271" w:rsidRPr="00C04B99" w:rsidTr="00DF33CC">
        <w:tc>
          <w:tcPr>
            <w:cnfStyle w:val="001000000000" w:firstRow="0" w:lastRow="0" w:firstColumn="1" w:lastColumn="0" w:oddVBand="0" w:evenVBand="0" w:oddHBand="0" w:evenHBand="0" w:firstRowFirstColumn="0" w:firstRowLastColumn="0" w:lastRowFirstColumn="0" w:lastRowLastColumn="0"/>
            <w:tcW w:w="3119" w:type="dxa"/>
          </w:tcPr>
          <w:p w:rsidR="000D7271" w:rsidRPr="00C04B99" w:rsidRDefault="000D7271" w:rsidP="00DF33CC">
            <w:pPr>
              <w:spacing w:before="20" w:after="20" w:line="220" w:lineRule="atLeast"/>
            </w:pPr>
            <w:r w:rsidRPr="00C04B99">
              <w:t>Рантье</w:t>
            </w:r>
          </w:p>
        </w:tc>
        <w:tc>
          <w:tcPr>
            <w:tcW w:w="1488"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7,8</w:t>
            </w:r>
          </w:p>
        </w:tc>
        <w:tc>
          <w:tcPr>
            <w:tcW w:w="1489"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12,3</w:t>
            </w:r>
          </w:p>
        </w:tc>
        <w:tc>
          <w:tcPr>
            <w:tcW w:w="1274"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8,9</w:t>
            </w:r>
          </w:p>
        </w:tc>
      </w:tr>
      <w:tr w:rsidR="000D7271" w:rsidRPr="00C04B99" w:rsidTr="00DF33CC">
        <w:tc>
          <w:tcPr>
            <w:cnfStyle w:val="001000000000" w:firstRow="0" w:lastRow="0" w:firstColumn="1" w:lastColumn="0" w:oddVBand="0" w:evenVBand="0" w:oddHBand="0" w:evenHBand="0" w:firstRowFirstColumn="0" w:firstRowLastColumn="0" w:lastRowFirstColumn="0" w:lastRowLastColumn="0"/>
            <w:tcW w:w="3119" w:type="dxa"/>
          </w:tcPr>
          <w:p w:rsidR="000D7271" w:rsidRPr="00C04B99" w:rsidRDefault="000D7271" w:rsidP="00DF33CC">
            <w:pPr>
              <w:spacing w:before="20" w:after="20" w:line="220" w:lineRule="atLeast"/>
            </w:pPr>
            <w:r w:rsidRPr="00C04B99">
              <w:t>Пенсионер и лицо третьего возраста</w:t>
            </w:r>
          </w:p>
        </w:tc>
        <w:tc>
          <w:tcPr>
            <w:tcW w:w="1488"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37,0</w:t>
            </w:r>
          </w:p>
        </w:tc>
        <w:tc>
          <w:tcPr>
            <w:tcW w:w="1489"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39,0</w:t>
            </w:r>
          </w:p>
        </w:tc>
        <w:tc>
          <w:tcPr>
            <w:tcW w:w="1274"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37,9</w:t>
            </w:r>
          </w:p>
        </w:tc>
      </w:tr>
      <w:tr w:rsidR="000D7271" w:rsidRPr="00C04B99" w:rsidTr="00DF33CC">
        <w:tc>
          <w:tcPr>
            <w:cnfStyle w:val="001000000000" w:firstRow="0" w:lastRow="0" w:firstColumn="1" w:lastColumn="0" w:oddVBand="0" w:evenVBand="0" w:oddHBand="0" w:evenHBand="0" w:firstRowFirstColumn="0" w:firstRowLastColumn="0" w:lastRowFirstColumn="0" w:lastRowLastColumn="0"/>
            <w:tcW w:w="3119" w:type="dxa"/>
          </w:tcPr>
          <w:p w:rsidR="000D7271" w:rsidRPr="00C04B99" w:rsidRDefault="000D7271" w:rsidP="00DF33CC">
            <w:pPr>
              <w:spacing w:before="20" w:after="20" w:line="220" w:lineRule="atLeast"/>
            </w:pPr>
            <w:r w:rsidRPr="00C04B99">
              <w:t>Другие незанятые лица</w:t>
            </w:r>
          </w:p>
        </w:tc>
        <w:tc>
          <w:tcPr>
            <w:tcW w:w="1488"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14,7</w:t>
            </w:r>
          </w:p>
        </w:tc>
        <w:tc>
          <w:tcPr>
            <w:tcW w:w="1489"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19,1</w:t>
            </w:r>
          </w:p>
        </w:tc>
        <w:tc>
          <w:tcPr>
            <w:tcW w:w="1274" w:type="dxa"/>
          </w:tcPr>
          <w:p w:rsidR="000D7271" w:rsidRPr="00C04B99"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C04B99">
              <w:t>16,9</w:t>
            </w:r>
          </w:p>
        </w:tc>
      </w:tr>
    </w:tbl>
    <w:p w:rsidR="000D7271" w:rsidRPr="00DF33CC" w:rsidRDefault="000D7271" w:rsidP="00DF33CC">
      <w:pPr>
        <w:pStyle w:val="SingleTxtGR"/>
        <w:spacing w:before="120" w:after="240"/>
        <w:ind w:firstLine="142"/>
        <w:rPr>
          <w:iCs/>
          <w:sz w:val="18"/>
          <w:szCs w:val="18"/>
          <w:lang w:val="fr-CH"/>
        </w:rPr>
      </w:pPr>
      <w:r w:rsidRPr="00DF33CC">
        <w:rPr>
          <w:i/>
          <w:sz w:val="18"/>
          <w:szCs w:val="18"/>
        </w:rPr>
        <w:t>Источник:</w:t>
      </w:r>
      <w:r w:rsidRPr="00DF33CC">
        <w:rPr>
          <w:sz w:val="18"/>
          <w:szCs w:val="18"/>
        </w:rPr>
        <w:t xml:space="preserve"> ANSD.RGPHAE 2013.</w:t>
      </w:r>
    </w:p>
    <w:p w:rsidR="000D7271" w:rsidRPr="000D7271" w:rsidRDefault="000D7271" w:rsidP="000D7271">
      <w:pPr>
        <w:pStyle w:val="SingleTxtGR"/>
      </w:pPr>
      <w:r w:rsidRPr="000D7271">
        <w:t>35.</w:t>
      </w:r>
      <w:r w:rsidRPr="000D7271">
        <w:tab/>
        <w:t xml:space="preserve">Статус при занятости позволяет составить более полное представление о занятости лиц с инвалидностью. </w:t>
      </w:r>
    </w:p>
    <w:p w:rsidR="000D7271" w:rsidRPr="000D7271" w:rsidRDefault="00DF33CC" w:rsidP="00DF33CC">
      <w:pPr>
        <w:pStyle w:val="H23GR"/>
        <w:rPr>
          <w:i/>
        </w:rPr>
      </w:pPr>
      <w:r>
        <w:tab/>
      </w:r>
      <w:r w:rsidR="000D7271" w:rsidRPr="000D7271">
        <w:t>b)</w:t>
      </w:r>
      <w:r w:rsidR="000D7271" w:rsidRPr="000D7271">
        <w:tab/>
      </w:r>
      <w:r w:rsidR="000D7271" w:rsidRPr="000D7271">
        <w:tab/>
        <w:t xml:space="preserve">Статус при занятости </w:t>
      </w:r>
    </w:p>
    <w:p w:rsidR="000D7271" w:rsidRPr="000D7271" w:rsidRDefault="000D7271" w:rsidP="000D7271">
      <w:pPr>
        <w:pStyle w:val="SingleTxtGR"/>
      </w:pPr>
      <w:r w:rsidRPr="000D7271">
        <w:t>36.</w:t>
      </w:r>
      <w:r w:rsidRPr="000D7271">
        <w:tab/>
        <w:t>Статус при занятости касается занятых в настоящее время лиц или работавших ранее безработных. В целом, распространенность инвалидности выше среди прочих экономически активных лиц (8,7</w:t>
      </w:r>
      <w:r>
        <w:t>%</w:t>
      </w:r>
      <w:r w:rsidRPr="000D7271">
        <w:t>) и независимых работников (7,6</w:t>
      </w:r>
      <w:r>
        <w:t>%</w:t>
      </w:r>
      <w:r w:rsidRPr="000D7271">
        <w:t>). Напротив, такая распространенность ниже среди стажеров (2,7%), помощников по ведению домашнего хозяйства (5,7</w:t>
      </w:r>
      <w:r>
        <w:t>%</w:t>
      </w:r>
      <w:r w:rsidRPr="000D7271">
        <w:t>) и временно нанятых сотрудников (5,5</w:t>
      </w:r>
      <w:r>
        <w:t>%</w:t>
      </w:r>
      <w:r w:rsidRPr="000D7271">
        <w:t>). С разбивкой по полу наиболее высокие показатели приходятся на независимых работников среди женщин (9,5</w:t>
      </w:r>
      <w:r>
        <w:t>%</w:t>
      </w:r>
      <w:r w:rsidRPr="000D7271">
        <w:t>) и прочих экономически активных мужчин (8,3</w:t>
      </w:r>
      <w:r>
        <w:t>%</w:t>
      </w:r>
      <w:r w:rsidRPr="000D7271">
        <w:t xml:space="preserve">). Доля лиц с инвалидностью среди временно нанятых сотрудников или стажеров остается относительно низкой независимо от пола. </w:t>
      </w:r>
    </w:p>
    <w:p w:rsidR="000D7271" w:rsidRPr="000D7271" w:rsidRDefault="000D7271" w:rsidP="00DF33CC">
      <w:pPr>
        <w:pStyle w:val="H23GR"/>
      </w:pPr>
      <w:r w:rsidRPr="00DF33CC">
        <w:rPr>
          <w:b w:val="0"/>
        </w:rPr>
        <w:tab/>
      </w:r>
      <w:r w:rsidRPr="00DF33CC">
        <w:rPr>
          <w:b w:val="0"/>
        </w:rPr>
        <w:tab/>
        <w:t xml:space="preserve">Таблица 5 </w:t>
      </w:r>
      <w:r w:rsidRPr="00DF33CC">
        <w:rPr>
          <w:b w:val="0"/>
        </w:rPr>
        <w:br/>
      </w:r>
      <w:r w:rsidRPr="000D7271">
        <w:t>Распространенность инвалидности (</w:t>
      </w:r>
      <w:r w:rsidR="00BE126F" w:rsidRPr="000D7271">
        <w:t>в</w:t>
      </w:r>
      <w:r w:rsidR="00BE126F" w:rsidRPr="00BE126F">
        <w:t xml:space="preserve"> </w:t>
      </w:r>
      <w:r w:rsidRPr="000D7271">
        <w:t>%) с разбивкой по полу в зависимости от</w:t>
      </w:r>
      <w:r w:rsidR="00DF33CC">
        <w:rPr>
          <w:lang w:val="en-US"/>
        </w:rPr>
        <w:t> </w:t>
      </w:r>
      <w:r w:rsidRPr="000D7271">
        <w:t>статуса при занятости в 2013 году</w:t>
      </w:r>
    </w:p>
    <w:tbl>
      <w:tblPr>
        <w:tblStyle w:val="TabNum"/>
        <w:tblW w:w="7370" w:type="dxa"/>
        <w:tblInd w:w="1134" w:type="dxa"/>
        <w:tblLayout w:type="fixed"/>
        <w:tblLook w:val="05E0" w:firstRow="1" w:lastRow="1" w:firstColumn="1" w:lastColumn="1" w:noHBand="0" w:noVBand="1"/>
      </w:tblPr>
      <w:tblGrid>
        <w:gridCol w:w="3686"/>
        <w:gridCol w:w="1228"/>
        <w:gridCol w:w="1228"/>
        <w:gridCol w:w="1228"/>
      </w:tblGrid>
      <w:tr w:rsidR="000D7271" w:rsidRPr="00DF33CC" w:rsidTr="00DF33CC">
        <w:trPr>
          <w:tblHeader/>
        </w:trPr>
        <w:tc>
          <w:tcPr>
            <w:cnfStyle w:val="001000000000" w:firstRow="0" w:lastRow="0" w:firstColumn="1" w:lastColumn="0" w:oddVBand="0" w:evenVBand="0" w:oddHBand="0" w:evenHBand="0" w:firstRowFirstColumn="0" w:firstRowLastColumn="0" w:lastRowFirstColumn="0" w:lastRowLastColumn="0"/>
            <w:tcW w:w="3686" w:type="dxa"/>
            <w:tcBorders>
              <w:bottom w:val="single" w:sz="12" w:space="0" w:color="auto"/>
            </w:tcBorders>
            <w:shd w:val="clear" w:color="auto" w:fill="auto"/>
          </w:tcPr>
          <w:p w:rsidR="000D7271" w:rsidRPr="00DF33CC" w:rsidRDefault="000D7271" w:rsidP="00DF33CC">
            <w:pPr>
              <w:suppressAutoHyphens w:val="0"/>
              <w:spacing w:line="220" w:lineRule="atLeast"/>
              <w:rPr>
                <w:i/>
                <w:sz w:val="16"/>
              </w:rPr>
            </w:pPr>
            <w:r w:rsidRPr="00DF33CC">
              <w:rPr>
                <w:i/>
                <w:sz w:val="16"/>
              </w:rPr>
              <w:t>Статус при занятости</w:t>
            </w:r>
          </w:p>
        </w:tc>
        <w:tc>
          <w:tcPr>
            <w:tcW w:w="1228" w:type="dxa"/>
            <w:tcBorders>
              <w:top w:val="single" w:sz="4" w:space="0" w:color="auto"/>
              <w:bottom w:val="single" w:sz="12" w:space="0" w:color="auto"/>
            </w:tcBorders>
            <w:shd w:val="clear" w:color="auto" w:fill="auto"/>
          </w:tcPr>
          <w:p w:rsidR="000D7271" w:rsidRPr="00DF33CC" w:rsidRDefault="000D7271" w:rsidP="00DF33CC">
            <w:pPr>
              <w:suppressAutoHyphens w:val="0"/>
              <w:spacing w:line="220" w:lineRule="atLeast"/>
              <w:cnfStyle w:val="000000000000" w:firstRow="0" w:lastRow="0" w:firstColumn="0" w:lastColumn="0" w:oddVBand="0" w:evenVBand="0" w:oddHBand="0" w:evenHBand="0" w:firstRowFirstColumn="0" w:firstRowLastColumn="0" w:lastRowFirstColumn="0" w:lastRowLastColumn="0"/>
              <w:rPr>
                <w:i/>
                <w:sz w:val="16"/>
              </w:rPr>
            </w:pPr>
            <w:r w:rsidRPr="00DF33CC">
              <w:rPr>
                <w:i/>
                <w:sz w:val="16"/>
              </w:rPr>
              <w:t>Мужской пол</w:t>
            </w:r>
          </w:p>
        </w:tc>
        <w:tc>
          <w:tcPr>
            <w:tcW w:w="1228" w:type="dxa"/>
            <w:tcBorders>
              <w:top w:val="single" w:sz="4" w:space="0" w:color="auto"/>
              <w:bottom w:val="single" w:sz="12" w:space="0" w:color="auto"/>
            </w:tcBorders>
            <w:shd w:val="clear" w:color="auto" w:fill="auto"/>
          </w:tcPr>
          <w:p w:rsidR="000D7271" w:rsidRPr="00DF33CC" w:rsidRDefault="000D7271" w:rsidP="00DF33CC">
            <w:pPr>
              <w:suppressAutoHyphens w:val="0"/>
              <w:spacing w:line="220" w:lineRule="atLeast"/>
              <w:cnfStyle w:val="000000000000" w:firstRow="0" w:lastRow="0" w:firstColumn="0" w:lastColumn="0" w:oddVBand="0" w:evenVBand="0" w:oddHBand="0" w:evenHBand="0" w:firstRowFirstColumn="0" w:firstRowLastColumn="0" w:lastRowFirstColumn="0" w:lastRowLastColumn="0"/>
              <w:rPr>
                <w:i/>
                <w:sz w:val="16"/>
              </w:rPr>
            </w:pPr>
            <w:r w:rsidRPr="00DF33CC">
              <w:rPr>
                <w:i/>
                <w:sz w:val="16"/>
              </w:rPr>
              <w:t>Женский пол</w:t>
            </w:r>
          </w:p>
        </w:tc>
        <w:tc>
          <w:tcPr>
            <w:tcW w:w="1228" w:type="dxa"/>
            <w:tcBorders>
              <w:top w:val="single" w:sz="4" w:space="0" w:color="auto"/>
              <w:bottom w:val="single" w:sz="12" w:space="0" w:color="auto"/>
            </w:tcBorders>
            <w:shd w:val="clear" w:color="auto" w:fill="auto"/>
          </w:tcPr>
          <w:p w:rsidR="000D7271" w:rsidRPr="00DF33CC" w:rsidRDefault="000D7271" w:rsidP="00DF33CC">
            <w:pPr>
              <w:suppressAutoHyphens w:val="0"/>
              <w:spacing w:line="220" w:lineRule="atLeast"/>
              <w:cnfStyle w:val="000000000000" w:firstRow="0" w:lastRow="0" w:firstColumn="0" w:lastColumn="0" w:oddVBand="0" w:evenVBand="0" w:oddHBand="0" w:evenHBand="0" w:firstRowFirstColumn="0" w:firstRowLastColumn="0" w:lastRowFirstColumn="0" w:lastRowLastColumn="0"/>
              <w:rPr>
                <w:i/>
                <w:sz w:val="16"/>
              </w:rPr>
            </w:pPr>
            <w:r w:rsidRPr="00DF33CC">
              <w:rPr>
                <w:i/>
                <w:sz w:val="16"/>
              </w:rPr>
              <w:t>Итого</w:t>
            </w:r>
          </w:p>
        </w:tc>
      </w:tr>
      <w:tr w:rsidR="000D7271" w:rsidRPr="00DF33CC" w:rsidTr="00DF33CC">
        <w:tc>
          <w:tcPr>
            <w:cnfStyle w:val="001000000000" w:firstRow="0" w:lastRow="0" w:firstColumn="1" w:lastColumn="0" w:oddVBand="0" w:evenVBand="0" w:oddHBand="0" w:evenHBand="0" w:firstRowFirstColumn="0" w:firstRowLastColumn="0" w:lastRowFirstColumn="0" w:lastRowLastColumn="0"/>
            <w:tcW w:w="3686" w:type="dxa"/>
            <w:tcBorders>
              <w:top w:val="single" w:sz="12" w:space="0" w:color="auto"/>
            </w:tcBorders>
          </w:tcPr>
          <w:p w:rsidR="000D7271" w:rsidRPr="00DF33CC" w:rsidRDefault="000D7271" w:rsidP="00DF33CC">
            <w:pPr>
              <w:spacing w:before="20" w:after="20" w:line="220" w:lineRule="atLeast"/>
            </w:pPr>
            <w:r w:rsidRPr="00DF33CC">
              <w:t>Независимый работник</w:t>
            </w:r>
          </w:p>
        </w:tc>
        <w:tc>
          <w:tcPr>
            <w:tcW w:w="1228" w:type="dxa"/>
            <w:tcBorders>
              <w:top w:val="single" w:sz="12" w:space="0" w:color="auto"/>
            </w:tcBorders>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6,9</w:t>
            </w:r>
          </w:p>
        </w:tc>
        <w:tc>
          <w:tcPr>
            <w:tcW w:w="1228" w:type="dxa"/>
            <w:tcBorders>
              <w:top w:val="single" w:sz="12" w:space="0" w:color="auto"/>
            </w:tcBorders>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9,5</w:t>
            </w:r>
          </w:p>
        </w:tc>
        <w:tc>
          <w:tcPr>
            <w:tcW w:w="1228" w:type="dxa"/>
            <w:tcBorders>
              <w:top w:val="single" w:sz="12" w:space="0" w:color="auto"/>
            </w:tcBorders>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7,6</w:t>
            </w:r>
          </w:p>
        </w:tc>
      </w:tr>
      <w:tr w:rsidR="000D7271" w:rsidRPr="00DF33CC" w:rsidTr="00DF33CC">
        <w:tc>
          <w:tcPr>
            <w:cnfStyle w:val="001000000000" w:firstRow="0" w:lastRow="0" w:firstColumn="1" w:lastColumn="0" w:oddVBand="0" w:evenVBand="0" w:oddHBand="0" w:evenHBand="0" w:firstRowFirstColumn="0" w:firstRowLastColumn="0" w:lastRowFirstColumn="0" w:lastRowLastColumn="0"/>
            <w:tcW w:w="3686" w:type="dxa"/>
          </w:tcPr>
          <w:p w:rsidR="000D7271" w:rsidRPr="00DF33CC" w:rsidRDefault="000D7271" w:rsidP="00DF33CC">
            <w:pPr>
              <w:spacing w:before="20" w:after="20" w:line="220" w:lineRule="atLeast"/>
            </w:pPr>
            <w:r w:rsidRPr="00DF33CC">
              <w:t>Работодатель/начальник</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5,7</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6,5</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5,8</w:t>
            </w:r>
          </w:p>
        </w:tc>
      </w:tr>
      <w:tr w:rsidR="000D7271" w:rsidRPr="00DF33CC" w:rsidTr="00DF33CC">
        <w:tc>
          <w:tcPr>
            <w:cnfStyle w:val="001000000000" w:firstRow="0" w:lastRow="0" w:firstColumn="1" w:lastColumn="0" w:oddVBand="0" w:evenVBand="0" w:oddHBand="0" w:evenHBand="0" w:firstRowFirstColumn="0" w:firstRowLastColumn="0" w:lastRowFirstColumn="0" w:lastRowLastColumn="0"/>
            <w:tcW w:w="3686" w:type="dxa"/>
          </w:tcPr>
          <w:p w:rsidR="000D7271" w:rsidRPr="00DF33CC" w:rsidRDefault="000D7271" w:rsidP="00DF33CC">
            <w:pPr>
              <w:spacing w:before="20" w:after="20" w:line="220" w:lineRule="atLeast"/>
            </w:pPr>
            <w:r w:rsidRPr="00DF33CC">
              <w:t>Служащий/сотрудник, нанятый на постоянной основе</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7,0</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6,5</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6,9</w:t>
            </w:r>
          </w:p>
        </w:tc>
      </w:tr>
      <w:tr w:rsidR="000D7271" w:rsidRPr="00DF33CC" w:rsidTr="00DF33CC">
        <w:tc>
          <w:tcPr>
            <w:cnfStyle w:val="001000000000" w:firstRow="0" w:lastRow="0" w:firstColumn="1" w:lastColumn="0" w:oddVBand="0" w:evenVBand="0" w:oddHBand="0" w:evenHBand="0" w:firstRowFirstColumn="0" w:firstRowLastColumn="0" w:lastRowFirstColumn="0" w:lastRowLastColumn="0"/>
            <w:tcW w:w="3686" w:type="dxa"/>
          </w:tcPr>
          <w:p w:rsidR="000D7271" w:rsidRPr="00DF33CC" w:rsidRDefault="000D7271" w:rsidP="00DF33CC">
            <w:pPr>
              <w:spacing w:before="20" w:after="20" w:line="220" w:lineRule="atLeast"/>
            </w:pPr>
            <w:r w:rsidRPr="00DF33CC">
              <w:t>Служащий/сотрудник, нанятый на временной основе</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5,4</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5,8</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5,5</w:t>
            </w:r>
          </w:p>
        </w:tc>
      </w:tr>
      <w:tr w:rsidR="000D7271" w:rsidRPr="00DF33CC" w:rsidTr="00DF33CC">
        <w:tc>
          <w:tcPr>
            <w:cnfStyle w:val="001000000000" w:firstRow="0" w:lastRow="0" w:firstColumn="1" w:lastColumn="0" w:oddVBand="0" w:evenVBand="0" w:oddHBand="0" w:evenHBand="0" w:firstRowFirstColumn="0" w:firstRowLastColumn="0" w:lastRowFirstColumn="0" w:lastRowLastColumn="0"/>
            <w:tcW w:w="3686" w:type="dxa"/>
          </w:tcPr>
          <w:p w:rsidR="000D7271" w:rsidRPr="00DF33CC" w:rsidRDefault="000D7271" w:rsidP="00DF33CC">
            <w:pPr>
              <w:spacing w:before="20" w:after="20" w:line="220" w:lineRule="atLeast"/>
            </w:pPr>
            <w:r w:rsidRPr="00DF33CC">
              <w:t>Стажер</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2,5</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3,3</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2,7</w:t>
            </w:r>
          </w:p>
        </w:tc>
      </w:tr>
      <w:tr w:rsidR="000D7271" w:rsidRPr="00DF33CC" w:rsidTr="00DF33CC">
        <w:tc>
          <w:tcPr>
            <w:cnfStyle w:val="001000000000" w:firstRow="0" w:lastRow="0" w:firstColumn="1" w:lastColumn="0" w:oddVBand="0" w:evenVBand="0" w:oddHBand="0" w:evenHBand="0" w:firstRowFirstColumn="0" w:firstRowLastColumn="0" w:lastRowFirstColumn="0" w:lastRowLastColumn="0"/>
            <w:tcW w:w="3686" w:type="dxa"/>
          </w:tcPr>
          <w:p w:rsidR="000D7271" w:rsidRPr="00DF33CC" w:rsidRDefault="000D7271" w:rsidP="00DF33CC">
            <w:pPr>
              <w:spacing w:before="20" w:after="20" w:line="220" w:lineRule="atLeast"/>
            </w:pPr>
            <w:r w:rsidRPr="00DF33CC">
              <w:t>Помощник по ведению домашнего хозяйства</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4,8</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7,3</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5,7</w:t>
            </w:r>
          </w:p>
        </w:tc>
      </w:tr>
      <w:tr w:rsidR="000D7271" w:rsidRPr="00DF33CC" w:rsidTr="00DF33CC">
        <w:tc>
          <w:tcPr>
            <w:cnfStyle w:val="001000000000" w:firstRow="0" w:lastRow="0" w:firstColumn="1" w:lastColumn="0" w:oddVBand="0" w:evenVBand="0" w:oddHBand="0" w:evenHBand="0" w:firstRowFirstColumn="0" w:firstRowLastColumn="0" w:lastRowFirstColumn="0" w:lastRowLastColumn="0"/>
            <w:tcW w:w="3686" w:type="dxa"/>
          </w:tcPr>
          <w:p w:rsidR="000D7271" w:rsidRPr="00DF33CC" w:rsidRDefault="000D7271" w:rsidP="00DF33CC">
            <w:pPr>
              <w:spacing w:before="20" w:after="20" w:line="220" w:lineRule="atLeast"/>
            </w:pPr>
            <w:r w:rsidRPr="00DF33CC">
              <w:t>Прочее</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8,3</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9,3</w:t>
            </w:r>
          </w:p>
        </w:tc>
        <w:tc>
          <w:tcPr>
            <w:tcW w:w="1228" w:type="dxa"/>
          </w:tcPr>
          <w:p w:rsidR="000D7271" w:rsidRPr="00DF33CC" w:rsidRDefault="000D7271" w:rsidP="00DF33CC">
            <w:pPr>
              <w:spacing w:before="20" w:after="20" w:line="220" w:lineRule="atLeast"/>
              <w:cnfStyle w:val="000000000000" w:firstRow="0" w:lastRow="0" w:firstColumn="0" w:lastColumn="0" w:oddVBand="0" w:evenVBand="0" w:oddHBand="0" w:evenHBand="0" w:firstRowFirstColumn="0" w:firstRowLastColumn="0" w:lastRowFirstColumn="0" w:lastRowLastColumn="0"/>
            </w:pPr>
            <w:r w:rsidRPr="00DF33CC">
              <w:t>8,7</w:t>
            </w:r>
          </w:p>
        </w:tc>
      </w:tr>
    </w:tbl>
    <w:p w:rsidR="000D7271" w:rsidRPr="00DF33CC" w:rsidRDefault="000D7271" w:rsidP="00DF33CC">
      <w:pPr>
        <w:pStyle w:val="SingleTxtGR"/>
        <w:spacing w:before="120" w:after="240"/>
        <w:ind w:firstLine="142"/>
        <w:rPr>
          <w:sz w:val="18"/>
          <w:szCs w:val="18"/>
          <w:lang w:val="fr-CH"/>
        </w:rPr>
      </w:pPr>
      <w:r w:rsidRPr="00DF33CC">
        <w:rPr>
          <w:i/>
          <w:sz w:val="18"/>
          <w:szCs w:val="18"/>
        </w:rPr>
        <w:t xml:space="preserve">Источник: </w:t>
      </w:r>
      <w:r w:rsidRPr="00DF33CC">
        <w:rPr>
          <w:sz w:val="18"/>
          <w:szCs w:val="18"/>
        </w:rPr>
        <w:t>ANSD.RGPHAE 2013.</w:t>
      </w:r>
    </w:p>
    <w:p w:rsidR="000D7271" w:rsidRPr="000D7271" w:rsidRDefault="00DF33CC" w:rsidP="00DF33CC">
      <w:pPr>
        <w:pStyle w:val="H23GR"/>
        <w:rPr>
          <w:i/>
        </w:rPr>
      </w:pPr>
      <w:r>
        <w:tab/>
      </w:r>
      <w:r w:rsidR="000D7271" w:rsidRPr="000D7271">
        <w:t>5.</w:t>
      </w:r>
      <w:r w:rsidR="000D7271" w:rsidRPr="000D7271">
        <w:tab/>
      </w:r>
      <w:r w:rsidR="000D7271" w:rsidRPr="000D7271">
        <w:tab/>
        <w:t>Распространенность инвалидности с разбивкой по национальности в 2013 году</w:t>
      </w:r>
    </w:p>
    <w:p w:rsidR="000D7271" w:rsidRPr="000D7271" w:rsidRDefault="000D7271" w:rsidP="000D7271">
      <w:pPr>
        <w:pStyle w:val="SingleTxtGR"/>
      </w:pPr>
      <w:r w:rsidRPr="000D7271">
        <w:t>37.</w:t>
      </w:r>
      <w:r w:rsidRPr="000D7271">
        <w:tab/>
        <w:t>Рассмотрение изменений в распространенности инвалидности с разбивкой по гражданству показывает, что нет существенных различий между гражданами других государств и гражданами Сенегала. В действительности для всех гендерных групп распространенность инвалидности является примерно одинаковой среди сенегальцев и среди проживающих в Сенегале иностранцев. Однако принимая во внимание различия в разбивке по полу, существует несколько более высокий риск ограничений среди иностранцев (5,7</w:t>
      </w:r>
      <w:r>
        <w:t>%</w:t>
      </w:r>
      <w:r w:rsidRPr="000D7271">
        <w:t xml:space="preserve"> для мужчин и 6,2</w:t>
      </w:r>
      <w:r>
        <w:t>%</w:t>
      </w:r>
      <w:r w:rsidRPr="000D7271">
        <w:t xml:space="preserve"> для женщин) по сравнению с сенегальцами (5,6</w:t>
      </w:r>
      <w:r>
        <w:t>%</w:t>
      </w:r>
      <w:r w:rsidRPr="000D7271">
        <w:t xml:space="preserve"> для мужчин и 6,2</w:t>
      </w:r>
      <w:r>
        <w:t>%</w:t>
      </w:r>
      <w:r w:rsidRPr="000D7271">
        <w:t xml:space="preserve"> для женщин).</w:t>
      </w:r>
    </w:p>
    <w:p w:rsidR="000D7271" w:rsidRPr="000D7271" w:rsidRDefault="000D7271" w:rsidP="000D7271">
      <w:pPr>
        <w:pStyle w:val="SingleTxtGR"/>
      </w:pPr>
      <w:r w:rsidRPr="000D7271">
        <w:t>38.</w:t>
      </w:r>
      <w:r w:rsidRPr="000D7271">
        <w:tab/>
        <w:t>Законодательная власть Сенегала посредством Закона об ориентации политики № 2010</w:t>
      </w:r>
      <w:r w:rsidRPr="000D7271">
        <w:noBreakHyphen/>
        <w:t>15 от 6 июля 2010 года, в котором излагаются общие принципы поощрения и защиты прав инвалидов, подтвердила свою приверженность общим принципам и обязательствам, закрепленным в статьях 3 и 4 Конвенции.</w:t>
      </w:r>
    </w:p>
    <w:p w:rsidR="000D7271" w:rsidRPr="000D7271" w:rsidRDefault="000D7271" w:rsidP="000D7271">
      <w:pPr>
        <w:pStyle w:val="SingleTxtGR"/>
      </w:pPr>
      <w:r w:rsidRPr="000D7271">
        <w:t>39.</w:t>
      </w:r>
      <w:r w:rsidRPr="000D7271">
        <w:tab/>
        <w:t>Так, в первой статье этого Закона приводится следующее определение термина «инвалид»: «лицо с устойчивыми физическими, психическими, интеллектуальными или сенсорными нарушениями, которое при взаимодействии с различными препятствиями может испытывать сложности для полного и эффективного участия в жизни общества наравне с другими».</w:t>
      </w:r>
    </w:p>
    <w:p w:rsidR="000D7271" w:rsidRPr="000D7271" w:rsidRDefault="000D7271" w:rsidP="000D7271">
      <w:pPr>
        <w:pStyle w:val="SingleTxtGR"/>
      </w:pPr>
      <w:r w:rsidRPr="000D7271">
        <w:t>40.</w:t>
      </w:r>
      <w:r w:rsidRPr="000D7271">
        <w:tab/>
        <w:t>Статья 2 этого Закона включает в себя специфику в отношении инвалидов, указывая, что любые положения или действия, которые приводят или могут привести к ограничению возможностей инвалидов или к причинению им ущерба, считаются дискриминационными. Действительно, эти положения позволяют обеспечить эффективное участие инвалидов и направлены на устранение различных препятствий, которые могут включать в себя физические барьеры.</w:t>
      </w:r>
    </w:p>
    <w:p w:rsidR="000D7271" w:rsidRPr="000D7271" w:rsidRDefault="000D7271" w:rsidP="000D7271">
      <w:pPr>
        <w:pStyle w:val="SingleTxtGR"/>
      </w:pPr>
      <w:r w:rsidRPr="000D7271">
        <w:t>41.</w:t>
      </w:r>
      <w:r w:rsidRPr="000D7271">
        <w:tab/>
        <w:t>Кроме того, «карта равных возможностей», учрежденная законом от 6 июля 2010 года, позволяет ее обладателю пользоваться правами и преимуществами в плане доступа к здравоохранению, реабилитации, технической, финансовой и образовательной помощи, возможностям для обучения, занятости, транспорту, а также любым другим выгодам, которые могли бы содействовать поощрению и защите его прав как инвалида. Эти преимущества распространяются на лиц, которые оказывают помощь лицам с тяжелыми формами инвалидности, с тем чтобы они могли наиболее эффективно осуществлять свою миссию по оказанию помощи.</w:t>
      </w:r>
    </w:p>
    <w:p w:rsidR="000D7271" w:rsidRPr="000D7271" w:rsidRDefault="000D7271" w:rsidP="000D7271">
      <w:pPr>
        <w:pStyle w:val="SingleTxtGR"/>
      </w:pPr>
      <w:r w:rsidRPr="000D7271">
        <w:t>42.</w:t>
      </w:r>
      <w:r w:rsidRPr="000D7271">
        <w:tab/>
        <w:t xml:space="preserve">Для обеспечения применения положений Конвенции на территории Республики Декретом № 2012-1038 от 2 октября 2012 года был учрежден ряд технических комиссий на уровне департаментов. </w:t>
      </w:r>
    </w:p>
    <w:p w:rsidR="000D7271" w:rsidRPr="000D7271" w:rsidRDefault="000D7271" w:rsidP="000D7271">
      <w:pPr>
        <w:pStyle w:val="SingleTxtGR"/>
      </w:pPr>
      <w:r w:rsidRPr="000D7271">
        <w:t>43.</w:t>
      </w:r>
      <w:r w:rsidRPr="000D7271">
        <w:tab/>
        <w:t xml:space="preserve">Действительно, для реализации концепции инклюзивного образования и поддержки лиц с инвалидностью в целях обеспечения для них реальных возможностей в области безопасности и социального развития этот Декрет учреждает на уровне каждого департамента техническую комиссию, ответственную за рассмотрение заявок на карты равных возможностей и подготовку отчета с указанием списка приемлемых кандидатов. </w:t>
      </w:r>
    </w:p>
    <w:p w:rsidR="000D7271" w:rsidRPr="000D7271" w:rsidRDefault="000D7271" w:rsidP="000D7271">
      <w:pPr>
        <w:pStyle w:val="SingleTxtGR"/>
      </w:pPr>
      <w:r w:rsidRPr="000D7271">
        <w:t>44.</w:t>
      </w:r>
      <w:r w:rsidRPr="000D7271">
        <w:tab/>
        <w:t>Сенегал намеревается учредить фонд поддержки инвалидов, предназначенный для финансирования и поощрения полного участия, интеграции и экономической деятельности инвалидов.</w:t>
      </w:r>
    </w:p>
    <w:p w:rsidR="000D7271" w:rsidRPr="000D7271" w:rsidRDefault="000D7271" w:rsidP="000D7271">
      <w:pPr>
        <w:pStyle w:val="SingleTxtGR"/>
      </w:pPr>
      <w:r w:rsidRPr="000D7271">
        <w:t>45.</w:t>
      </w:r>
      <w:r w:rsidRPr="000D7271">
        <w:tab/>
        <w:t xml:space="preserve">Аналогичным образом, в рамках последующих мер в связи с директивами Межведомственного совета по делам инвалидов от 30 октября 2001 года государство Сенегал приступило в 2006 году к реализации Национальной программы реабилитации на уровне общин (НПРУО), которая направлена на социально-экономическую интеграцию инвалидов. </w:t>
      </w:r>
    </w:p>
    <w:p w:rsidR="000D7271" w:rsidRPr="000D7271" w:rsidRDefault="000D7271" w:rsidP="000D7271">
      <w:pPr>
        <w:pStyle w:val="SingleTxtGR"/>
      </w:pPr>
      <w:r w:rsidRPr="000D7271">
        <w:t>46.</w:t>
      </w:r>
      <w:r w:rsidRPr="000D7271">
        <w:tab/>
        <w:t xml:space="preserve">Предусмотренное в Конвенции положение о разумном приспособлении учитывалось в рамках Закона об ориентации социальной политики в целях создания благоприятных условий для инвалидов. </w:t>
      </w:r>
    </w:p>
    <w:p w:rsidR="000D7271" w:rsidRPr="000D7271" w:rsidRDefault="000D7271" w:rsidP="000D7271">
      <w:pPr>
        <w:pStyle w:val="SingleTxtGR"/>
      </w:pPr>
      <w:r w:rsidRPr="000D7271">
        <w:t>47.</w:t>
      </w:r>
      <w:r w:rsidRPr="000D7271">
        <w:tab/>
        <w:t>В соответствии со статьей 31 этого Закона «государство, местные органы власти и государственные и частные учреждения, открытые для общественности, адаптируют в рамках своих соответствующих областей деятельности и в соответствии с международными стандартами обеспечения доступности здания, дороги, тротуары, открытые пространства, транспорт и средства связи таким образом, чтобы предоставить инвалидам возможность доступа к ним, перемещения в их пределах, использования их услуг и получения от них преимуществ».</w:t>
      </w:r>
    </w:p>
    <w:p w:rsidR="000D7271" w:rsidRPr="000D7271" w:rsidRDefault="000D7271" w:rsidP="000D7271">
      <w:pPr>
        <w:pStyle w:val="SingleTxtGR"/>
      </w:pPr>
      <w:r w:rsidRPr="000D7271">
        <w:t>48.</w:t>
      </w:r>
      <w:r w:rsidRPr="000D7271">
        <w:tab/>
        <w:t xml:space="preserve">Кроме того, эффективный учет интересов инвалидов находит свое отражение в активном участии ассоциаций и учреждений, занимающихся вопросами защиты и поощрения их прав. Государство также оказывает финансовую помощь, помощь в форме людских и материальных ресурсов, а также техническую поддержку организациям и структурам, действующим в области образования, особенно для лиц с тяжелыми формами инвалидности. </w:t>
      </w:r>
    </w:p>
    <w:p w:rsidR="000D7271" w:rsidRPr="000D7271" w:rsidRDefault="000D7271" w:rsidP="000D7271">
      <w:pPr>
        <w:pStyle w:val="SingleTxtGR"/>
      </w:pPr>
      <w:r w:rsidRPr="000D7271">
        <w:t>49.</w:t>
      </w:r>
      <w:r w:rsidRPr="000D7271">
        <w:tab/>
        <w:t>Такие специальные поощрительные меры в интересах инвалидов, направленные на то, чтобы гарантировать реальное равенство возможностей и обращения, рассматриваются в качестве позитивной дискриминации.</w:t>
      </w:r>
    </w:p>
    <w:p w:rsidR="000D7271" w:rsidRPr="000D7271" w:rsidRDefault="000D7271" w:rsidP="00DF33CC">
      <w:pPr>
        <w:pStyle w:val="HChGR"/>
      </w:pPr>
      <w:r w:rsidRPr="000D7271">
        <w:tab/>
      </w:r>
      <w:r w:rsidRPr="000D7271">
        <w:tab/>
        <w:t xml:space="preserve">Статья 5: Равенство и </w:t>
      </w:r>
      <w:proofErr w:type="spellStart"/>
      <w:r w:rsidRPr="000D7271">
        <w:t>недискриминация</w:t>
      </w:r>
      <w:proofErr w:type="spellEnd"/>
    </w:p>
    <w:p w:rsidR="000D7271" w:rsidRPr="000D7271" w:rsidRDefault="000D7271" w:rsidP="000D7271">
      <w:pPr>
        <w:pStyle w:val="SingleTxtGR"/>
      </w:pPr>
      <w:r w:rsidRPr="000D7271">
        <w:t>50.</w:t>
      </w:r>
      <w:r w:rsidRPr="000D7271">
        <w:tab/>
        <w:t>Следует напомнить, что государство Сенегал ратифицировало все международные конвенции, запрещающие дискриминацию, в частности Международную конвенцию о ликвидации всех форм расовой дискриминации, Конвенцию о ликвидации всех форм дискриминации в отношении женщин и Конвенцию о правах инвалидов. На африканском уровне также был ратифицирован Протокол к Хартии о правах женщин в Африке.</w:t>
      </w:r>
    </w:p>
    <w:p w:rsidR="000D7271" w:rsidRPr="000D7271" w:rsidRDefault="000D7271" w:rsidP="000D7271">
      <w:pPr>
        <w:pStyle w:val="SingleTxtGR"/>
      </w:pPr>
      <w:r w:rsidRPr="000D7271">
        <w:t>51.</w:t>
      </w:r>
      <w:r w:rsidRPr="000D7271">
        <w:tab/>
      </w:r>
      <w:proofErr w:type="gramStart"/>
      <w:r w:rsidRPr="000D7271">
        <w:t>В</w:t>
      </w:r>
      <w:proofErr w:type="gramEnd"/>
      <w:r w:rsidRPr="000D7271">
        <w:t xml:space="preserve"> тексте Конституции четко закреплены соответствующие положения о ликвидации и однозначном осуждении всех форм дискриминации во всех ее формах. </w:t>
      </w:r>
    </w:p>
    <w:p w:rsidR="000D7271" w:rsidRPr="000D7271" w:rsidRDefault="000D7271" w:rsidP="000D7271">
      <w:pPr>
        <w:pStyle w:val="SingleTxtGR"/>
      </w:pPr>
      <w:r w:rsidRPr="000D7271">
        <w:t>52.</w:t>
      </w:r>
      <w:r w:rsidRPr="000D7271">
        <w:tab/>
        <w:t xml:space="preserve">Так, статья первая Конституции гласит: «Республика Сенегал является светским, демократическим и социальным государством, которое гарантирует равенство всех граждан перед законом независимо от происхождения, расы, пола, религии и уважает все вероисповедания. Никакая часть народа или какой-либо отдельный человек не может присвоить себе осуществление суверенитета». </w:t>
      </w:r>
    </w:p>
    <w:p w:rsidR="000D7271" w:rsidRPr="000D7271" w:rsidRDefault="000D7271" w:rsidP="000D7271">
      <w:pPr>
        <w:pStyle w:val="SingleTxtGR"/>
      </w:pPr>
      <w:r w:rsidRPr="000D7271">
        <w:t>53.</w:t>
      </w:r>
      <w:r w:rsidRPr="000D7271">
        <w:tab/>
        <w:t>Согласно статье 3 Конституции: «национальный суверенитет принадлежит народу, который осуществляет его через своих представителей или путем референдума».</w:t>
      </w:r>
    </w:p>
    <w:p w:rsidR="000D7271" w:rsidRPr="000D7271" w:rsidRDefault="000D7271" w:rsidP="000D7271">
      <w:pPr>
        <w:pStyle w:val="SingleTxtGR"/>
      </w:pPr>
      <w:r w:rsidRPr="000D7271">
        <w:t>54.</w:t>
      </w:r>
      <w:r w:rsidRPr="000D7271">
        <w:tab/>
        <w:t>Статья 4 дополняет это положение, отмечая, что «политические партии и коалиции политических партий способствуют осуществлению права голоса. Они обязаны уважать Конституцию, а также принципы национального суверенитета и демократии. Им запрещается отождествлять себя с какой-либо расой, этнической группой, полом, религией, сектой, языком или регионом».</w:t>
      </w:r>
    </w:p>
    <w:p w:rsidR="000D7271" w:rsidRPr="000D7271" w:rsidRDefault="000D7271" w:rsidP="000D7271">
      <w:pPr>
        <w:pStyle w:val="SingleTxtGR"/>
      </w:pPr>
      <w:r w:rsidRPr="000D7271">
        <w:t>55.</w:t>
      </w:r>
      <w:r w:rsidRPr="000D7271">
        <w:tab/>
        <w:t>Статья 5 Конституции гласит, что «любой акт расовой, этнической или религиозной дискриминации, равно как и любой акт местной пропаганды, который может рассматриваться как посягательство на внутреннюю безопасность государства или территориальную целостность Республики», является наказуемым по закону.</w:t>
      </w:r>
    </w:p>
    <w:p w:rsidR="000D7271" w:rsidRPr="000D7271" w:rsidRDefault="000D7271" w:rsidP="000D7271">
      <w:pPr>
        <w:pStyle w:val="SingleTxtGR"/>
      </w:pPr>
      <w:r w:rsidRPr="000D7271">
        <w:t>56.</w:t>
      </w:r>
      <w:r w:rsidRPr="000D7271">
        <w:tab/>
        <w:t>Статья 7 основного закона также решительно провозглашает, что «сенегальский народ признает существование неприкосновенных и неотчуждаемых прав человека как основу всей человеческой общности, мира и справедливости во всем мире. Все люди равны перед законом. Мужчины и женщины имеют равные права. В Сенегале нет привилегий в силу места рождения, личности или родственных связей».</w:t>
      </w:r>
    </w:p>
    <w:p w:rsidR="000D7271" w:rsidRPr="000D7271" w:rsidRDefault="000D7271" w:rsidP="000D7271">
      <w:pPr>
        <w:pStyle w:val="SingleTxtGR"/>
      </w:pPr>
      <w:r w:rsidRPr="000D7271">
        <w:t>57.</w:t>
      </w:r>
      <w:r w:rsidRPr="000D7271">
        <w:tab/>
        <w:t>Кроме того, многие положения новой Конституции от 22 января 2001 года четко закрепляют право женщин на равенство перед законом. Так, пункт 2 статьи 15 и статья</w:t>
      </w:r>
      <w:r w:rsidR="00161DF6">
        <w:t> </w:t>
      </w:r>
      <w:r w:rsidRPr="000D7271">
        <w:t>19 закрепляют право женщин на приобретение земли и на владение землей, а также на то, чтобы иметь свое собственное имущество и лично распоряжаться им.</w:t>
      </w:r>
    </w:p>
    <w:p w:rsidR="000D7271" w:rsidRPr="000D7271" w:rsidRDefault="000D7271" w:rsidP="000D7271">
      <w:pPr>
        <w:pStyle w:val="SingleTxtGR"/>
      </w:pPr>
      <w:r w:rsidRPr="000D7271">
        <w:t>58.</w:t>
      </w:r>
      <w:r w:rsidRPr="000D7271">
        <w:tab/>
        <w:t xml:space="preserve">Кроме того, статья 25 запрещает «любую дискриминацию по признаку пола в вопросах трудоустройства, заработной платы и налогообложения». </w:t>
      </w:r>
    </w:p>
    <w:p w:rsidR="000D7271" w:rsidRPr="000D7271" w:rsidRDefault="000D7271" w:rsidP="000D7271">
      <w:pPr>
        <w:pStyle w:val="SingleTxtGR"/>
      </w:pPr>
      <w:r w:rsidRPr="000D7271">
        <w:t>59.</w:t>
      </w:r>
      <w:r w:rsidRPr="000D7271">
        <w:tab/>
        <w:t xml:space="preserve">Равенство полов в вопросах доступа к выборным и политическим должностям стало принципом, гарантированным Конституцией. Так, в результате изменений, внесенных в статью 7 Конституции в ноябре 2007 года, отныне закреплен равный доступ мужчин и женщин к мандатам и должностям. </w:t>
      </w:r>
    </w:p>
    <w:p w:rsidR="000D7271" w:rsidRPr="000D7271" w:rsidRDefault="000D7271" w:rsidP="00DF33CC">
      <w:pPr>
        <w:pStyle w:val="SingleTxtGR"/>
        <w:keepNext/>
      </w:pPr>
      <w:r w:rsidRPr="000D7271">
        <w:t>60.</w:t>
      </w:r>
      <w:r w:rsidRPr="000D7271">
        <w:tab/>
        <w:t>На законодательном уровне выполнение всех этих различных положений потребовало отмены, разработки и принятия многочисленных законов, в частности:</w:t>
      </w:r>
    </w:p>
    <w:p w:rsidR="000D7271" w:rsidRPr="000D7271" w:rsidRDefault="000D7271" w:rsidP="00DF33CC">
      <w:pPr>
        <w:pStyle w:val="Bullet1GR"/>
      </w:pPr>
      <w:r w:rsidRPr="000D7271">
        <w:t>Закона № 79-02 от 4 января 1979 года, упраздняющего и заменяющего пункты</w:t>
      </w:r>
      <w:r w:rsidR="00DF33CC">
        <w:rPr>
          <w:lang w:val="en-US"/>
        </w:rPr>
        <w:t> </w:t>
      </w:r>
      <w:r w:rsidRPr="000D7271">
        <w:t>2 и 3 статьи 814 Кодекса о гражданских и торговых обязательствах, и статьи 2 Закона № 68-08 от 26 марта 1968 года, вносящей изменения в главу II об объединениях Тома VI Кодекса о гражданских и торговых обязательствах и предусматривающей наказание за создание незаконных объединений;</w:t>
      </w:r>
    </w:p>
    <w:p w:rsidR="000D7271" w:rsidRPr="000D7271" w:rsidRDefault="000D7271" w:rsidP="00DF33CC">
      <w:pPr>
        <w:pStyle w:val="Bullet1GR"/>
      </w:pPr>
      <w:r w:rsidRPr="000D7271">
        <w:t>Закона № 79-03 от 4 января 1979 года, упраздняющего и заменяющего первый пункт статьи 5 Закона № 65-40 от 22 мая 1965 года об объединениях подстрекательского характера;</w:t>
      </w:r>
    </w:p>
    <w:p w:rsidR="000D7271" w:rsidRPr="000D7271" w:rsidRDefault="000D7271" w:rsidP="00DF33CC">
      <w:pPr>
        <w:pStyle w:val="Bullet1GR"/>
      </w:pPr>
      <w:r w:rsidRPr="000D7271">
        <w:t>Закона № 81-17 от 15 мая 1981 года о политических партиях;</w:t>
      </w:r>
    </w:p>
    <w:p w:rsidR="000D7271" w:rsidRPr="000D7271" w:rsidRDefault="000D7271" w:rsidP="00DF33CC">
      <w:pPr>
        <w:pStyle w:val="Bullet1GR"/>
      </w:pPr>
      <w:r w:rsidRPr="000D7271">
        <w:t>Закона № 81-77 от 10 декабря 1981 года об установлении наказания за акты расовой, этнической или религиозной дискриминации.</w:t>
      </w:r>
    </w:p>
    <w:p w:rsidR="000D7271" w:rsidRPr="000D7271" w:rsidRDefault="000D7271" w:rsidP="000D7271">
      <w:pPr>
        <w:pStyle w:val="SingleTxtGR"/>
      </w:pPr>
      <w:r w:rsidRPr="000D7271">
        <w:t>61.</w:t>
      </w:r>
      <w:r w:rsidRPr="000D7271">
        <w:tab/>
      </w:r>
      <w:proofErr w:type="gramStart"/>
      <w:r w:rsidRPr="000D7271">
        <w:t>В</w:t>
      </w:r>
      <w:proofErr w:type="gramEnd"/>
      <w:r w:rsidRPr="000D7271">
        <w:t xml:space="preserve"> статьи 166-бис, 256-бис и 257-бис Уголовного кодекса также были включены новые положения: </w:t>
      </w:r>
    </w:p>
    <w:p w:rsidR="000D7271" w:rsidRPr="000D7271" w:rsidRDefault="000D7271" w:rsidP="000D7271">
      <w:pPr>
        <w:pStyle w:val="SingleTxtGR"/>
      </w:pPr>
      <w:r w:rsidRPr="000D7271">
        <w:t>62.</w:t>
      </w:r>
      <w:r w:rsidRPr="000D7271">
        <w:tab/>
        <w:t>Статья 166-бис: «Любой представитель административных и судебных органов, любое лицо, имеющее выборный мандат, или представитель общественных образований, любой представитель власти или государственное должностное лицо, представитель государственных учреждений, национальных компаний, компаний смешанной экономической модели или юридических лиц, пользующихся финансовой поддержкой государственной власти, который отказал без каких-либо законных оснований физическому или юридическому лицу в реализации какого-либо права по причине расовой, этнической или религиозной дискриминации, будет наказан заключением под стражу на срок от трех месяцев до двух лет и штрафом в размере от 10 000 до 2 000 000 франков».</w:t>
      </w:r>
    </w:p>
    <w:p w:rsidR="000D7271" w:rsidRPr="000D7271" w:rsidRDefault="000D7271" w:rsidP="000D7271">
      <w:pPr>
        <w:pStyle w:val="SingleTxtGR"/>
      </w:pPr>
      <w:r w:rsidRPr="000D7271">
        <w:t>63.</w:t>
      </w:r>
      <w:r w:rsidRPr="000D7271">
        <w:tab/>
        <w:t>Статья 256-бис: «Любое лицо, афиширующее, выставляющее на обозрение или демонстрирующее широкой общественности, предлагающее, даже на безвозмездной основе и не публично, в какой бы то ни было форме, прямо или косвенно, распространяющее или передающее с целью распространения каким бы то ни было способом любые предметы или изображения, печатные, письменные, в форме устных сообщений, плакаты, гравюры, изображения, фотографии, фото- и кинопленки или негативы, шаблоны или фотокопии, символы, декларирующие расовое превосходство, вызывающие чувство расового превосходства или расовой ненависти или подстрекающие к расовой, этнической или религиозной дискриминации, будет наказано так же, как это предусмотрено статьей 56 (сроком от месяца до двух лет и штрафом в размере от 250 000 до 300 000 франков)».</w:t>
      </w:r>
    </w:p>
    <w:p w:rsidR="000D7271" w:rsidRPr="000D7271" w:rsidRDefault="000D7271" w:rsidP="000D7271">
      <w:pPr>
        <w:pStyle w:val="SingleTxtGR"/>
      </w:pPr>
      <w:r w:rsidRPr="000D7271">
        <w:t>64.</w:t>
      </w:r>
      <w:r w:rsidRPr="000D7271">
        <w:tab/>
        <w:t>Кроме того, многие законы общего характера применяются без различия по признаку пола или расы.</w:t>
      </w:r>
    </w:p>
    <w:p w:rsidR="000D7271" w:rsidRPr="000D7271" w:rsidRDefault="000D7271" w:rsidP="000D7271">
      <w:pPr>
        <w:pStyle w:val="SingleTxtGR"/>
      </w:pPr>
      <w:r w:rsidRPr="000D7271">
        <w:t>65.</w:t>
      </w:r>
      <w:r w:rsidRPr="000D7271">
        <w:tab/>
        <w:t>Так, например, в вопросах гражданства Закон № 61-10 от 7 марта 1961 года с поправками, внесенными в него Законом № 89-42 от 26 декабря 1989 года, об определении сенегальского гражданства гласит: «Право на получение гражданства Сенегала в возрасте от 18 лет до 25 лет имеет:</w:t>
      </w:r>
    </w:p>
    <w:p w:rsidR="000D7271" w:rsidRPr="000D7271" w:rsidRDefault="000D7271" w:rsidP="00DF33CC">
      <w:pPr>
        <w:pStyle w:val="Bullet1GR"/>
      </w:pPr>
      <w:r w:rsidRPr="000D7271">
        <w:t>законнорожденный ребенок, рожденный от матери, имеющей сенегальское гражданство, и от отца, имеющего иностранное гражданство;</w:t>
      </w:r>
    </w:p>
    <w:p w:rsidR="000D7271" w:rsidRPr="000D7271" w:rsidRDefault="000D7271" w:rsidP="00DF33CC">
      <w:pPr>
        <w:pStyle w:val="Bullet1GR"/>
      </w:pPr>
      <w:r w:rsidRPr="000D7271">
        <w:t>внебрачный ребенок, если</w:t>
      </w:r>
      <w:r w:rsidRPr="000D7271">
        <w:rPr>
          <w:rFonts w:hint="eastAsia"/>
        </w:rPr>
        <w:t xml:space="preserve"> </w:t>
      </w:r>
      <w:r w:rsidRPr="000D7271">
        <w:t xml:space="preserve">у одного из его установленных впоследствии родителей имеется сенегальское гражданство, а у другого </w:t>
      </w:r>
      <w:r>
        <w:t>–</w:t>
      </w:r>
      <w:r w:rsidRPr="000D7271">
        <w:t xml:space="preserve"> иностранное».</w:t>
      </w:r>
    </w:p>
    <w:p w:rsidR="000D7271" w:rsidRPr="000D7271" w:rsidRDefault="000D7271" w:rsidP="000D7271">
      <w:pPr>
        <w:pStyle w:val="SingleTxtGR"/>
      </w:pPr>
      <w:r w:rsidRPr="000D7271">
        <w:t>66.</w:t>
      </w:r>
      <w:r w:rsidRPr="000D7271">
        <w:tab/>
        <w:t>Гражданка иностранного государства, выходя замуж за гражданина Сенегала, может получить сенегальское гражданство, за исключением случаев, когда она явно отказывается от этого в ходе заключения брака. В то же время гражданка Сенегала, вышедшая замуж за иностранца, не утрачивает свое первоначальное гражданство, за исключением случаев, когда по причине своего замужества она прямо отказывается от него. Тогда отказ действителен лишь в том случае, если данная гражданка имеет возможность получить гражданство будущего супруга.</w:t>
      </w:r>
    </w:p>
    <w:p w:rsidR="000D7271" w:rsidRPr="000D7271" w:rsidRDefault="000D7271" w:rsidP="000D7271">
      <w:pPr>
        <w:pStyle w:val="SingleTxtGR"/>
      </w:pPr>
      <w:r w:rsidRPr="000D7271">
        <w:t>67.</w:t>
      </w:r>
      <w:r w:rsidRPr="000D7271">
        <w:tab/>
        <w:t xml:space="preserve">В отношении занятости и социального обеспечения Закон № 61-33 от 16 июня 1961 года об Общем уставе гражданской службы, который существует наряду с отдельными уставами, касающимися конкретных категорий служащих, Закон № 59-64 от 6 ноября 1959 года, измененный Законом № 97-17 от 17 декабря 1997 года о Трудовом кодексе, и Закон № 75-50 от 3 апреля 1975 года об учреждениях социального страхования гласят, что в отношении применения их положений не делается каких-либо различий между мужчиной и женщиной. </w:t>
      </w:r>
    </w:p>
    <w:p w:rsidR="000D7271" w:rsidRPr="000D7271" w:rsidRDefault="000D7271" w:rsidP="000D7271">
      <w:pPr>
        <w:pStyle w:val="SingleTxtGR"/>
      </w:pPr>
      <w:r w:rsidRPr="000D7271">
        <w:t>68.</w:t>
      </w:r>
      <w:r w:rsidRPr="000D7271">
        <w:tab/>
        <w:t>По вопросам семьи Закон № 72-61 от 12 июня 1972 года о Семейном кодексе ввел понятие развода по взаимному согласию, тем самым уравняв права мужчины и женщины. Кроме того, тот же самый закон ввел запрет на расторжение брака на основании отречения, которое по мусульманскому праву является привилегией мужа, и предусмотрел возможность развода в качестве меры наказания по инициативе жены в случае нанесения ей тяжелого ущерба. Реформы продолжаются, затрагивая все сферы, и даже предусматривают возможность супруги брать на себя расходы по лечению мужа. Закон № 89-01 от 17 января 1989 упразднил положения Семейного кодекса, которые представлялись дискриминационные в отношении женщин. Так, были внесены изменения в первый пункт статьи 371, который отныне сформулирован следующим образом: «Жена наравне со своим мужем в полной мере осуществляет свою гражданскую правоспособность», что повлекло за собой упразднение статьи 13, которая закрепляла за женой то место жительства, которое было выбрано ее мужем. Также была упразднена статья 154, которая позволяла мужу воспрепятствовать независимому профессиональному выбору своей супруги. Статья 19 была также изменена, в результате чего супруга получила право временно управлять имуществом своего отсутствующего мужа. Указанная статья гласит: «с момента подачи заявления об отсутствии суд назначает временного управляющего имуществом, которым может стать оставшийся в семье супруг ...». Наконец, статья 80, закрепляющая за супругом исключительное право на получение свидетельства о браке, была также изменена и дополнена следующим положением: «идентичная копия свидетельства о браке вручается супруге в момент заключения брака».</w:t>
      </w:r>
    </w:p>
    <w:p w:rsidR="000D7271" w:rsidRPr="000D7271" w:rsidRDefault="000D7271" w:rsidP="000D7271">
      <w:pPr>
        <w:pStyle w:val="SingleTxtGR"/>
        <w:rPr>
          <w:bCs/>
        </w:rPr>
      </w:pPr>
      <w:r w:rsidRPr="000D7271">
        <w:t>69.</w:t>
      </w:r>
      <w:r w:rsidRPr="000D7271">
        <w:tab/>
        <w:t xml:space="preserve">Существующее законодательство было значительно расширено для обеспечения более полной защиты уязвимых групп от всех форм дискриминации. Свидетельством тому являются следующие юридические тексты: </w:t>
      </w:r>
    </w:p>
    <w:p w:rsidR="000D7271" w:rsidRPr="000D7271" w:rsidRDefault="000D7271" w:rsidP="00DF33CC">
      <w:pPr>
        <w:pStyle w:val="Bullet1GR"/>
      </w:pPr>
      <w:r w:rsidRPr="000D7271">
        <w:t xml:space="preserve">Закон № 99-05 от 29 января 1999 года, запрещающий практику </w:t>
      </w:r>
      <w:proofErr w:type="spellStart"/>
      <w:r w:rsidRPr="000D7271">
        <w:t>калечения</w:t>
      </w:r>
      <w:proofErr w:type="spellEnd"/>
      <w:r w:rsidRPr="000D7271">
        <w:t xml:space="preserve"> половых органов, который был дополнен в 2000 году национальным планом действий по искоренению данной практики. В этой связи осуществление этого принятого плана обеспечит создание условий, позволяющих женщинам, практиковавшим эксцизию, заняться законными видами деятельности, приносящей доход;</w:t>
      </w:r>
    </w:p>
    <w:p w:rsidR="000D7271" w:rsidRPr="000D7271" w:rsidRDefault="000D7271" w:rsidP="00DF33CC">
      <w:pPr>
        <w:pStyle w:val="Bullet1GR"/>
      </w:pPr>
      <w:r w:rsidRPr="000D7271">
        <w:t xml:space="preserve">Закон № 2005-06 от 10 мая 2005 года о борьбе с торговлей людьми и связанной с ней практикой; </w:t>
      </w:r>
    </w:p>
    <w:p w:rsidR="000D7271" w:rsidRPr="000D7271" w:rsidRDefault="000D7271" w:rsidP="00DF33CC">
      <w:pPr>
        <w:pStyle w:val="Bullet1GR"/>
      </w:pPr>
      <w:r w:rsidRPr="000D7271">
        <w:t>Закон об ориентации социальной политики в отношении поощрения и защиты прав инвалидов.</w:t>
      </w:r>
    </w:p>
    <w:p w:rsidR="000D7271" w:rsidRPr="000D7271" w:rsidRDefault="000D7271" w:rsidP="000D7271">
      <w:pPr>
        <w:pStyle w:val="SingleTxtGR"/>
      </w:pPr>
      <w:r w:rsidRPr="000D7271">
        <w:t>70.</w:t>
      </w:r>
      <w:r w:rsidRPr="000D7271">
        <w:tab/>
        <w:t>Помимо этих законодательных положений было принято постановление правительства Сенегала от 5 октября 2006 года, которое разрешает работающей женщине содержать мужа и детей. Кроме того, следует отметить наличие политической воли обеспечить равноправие в вопросах налогообложения. В этой связи уже были проведены исследования на предмет</w:t>
      </w:r>
      <w:r>
        <w:t xml:space="preserve"> </w:t>
      </w:r>
      <w:r w:rsidRPr="000D7271">
        <w:t>соответствующей реформы Общего налогового кодекса. При обращении в суды Сенегала можно ссылаться на эти законодательные положения, а также на положения Конвенции; они также могут применяться в случаях, когда этого требует разрешение споров, представленных на рассмотрение судов.</w:t>
      </w:r>
    </w:p>
    <w:p w:rsidR="000D7271" w:rsidRPr="000D7271" w:rsidRDefault="000D7271" w:rsidP="000D7271">
      <w:pPr>
        <w:pStyle w:val="SingleTxtGR"/>
      </w:pPr>
      <w:r w:rsidRPr="000D7271">
        <w:t>71.</w:t>
      </w:r>
      <w:r w:rsidRPr="000D7271">
        <w:tab/>
        <w:t xml:space="preserve">Что касается инвалидов, то Сенегал подтвердил свою приверженность делу защиты основных прав человека и, стремясь обеспечить эффективное соблюдение международных норм, защищающих человеческую личность, указывает, что согласно статье 17 Конституции «социальной обязанностью государства и государственных органов является обеспечение физического, нравственного и психического здоровья семьи, в частности инвалидов и пожилых людей. Государство гарантирует семьям в целом и семьям, проживающим в сельских районах, в частности доступ к здравоохранению и благополучию». </w:t>
      </w:r>
    </w:p>
    <w:p w:rsidR="000D7271" w:rsidRPr="000D7271" w:rsidRDefault="000D7271" w:rsidP="000D7271">
      <w:pPr>
        <w:pStyle w:val="SingleTxtGR"/>
      </w:pPr>
      <w:r w:rsidRPr="000D7271">
        <w:t>72.</w:t>
      </w:r>
      <w:r w:rsidRPr="000D7271">
        <w:tab/>
        <w:t>Принцип равенства всех граждан и отказ от всех форм дискриминации закреплены в Конституции Сенегала от 22 января 2001 года, в которой провозглашается «доступ всех граждан без какой-либо дискриминации к осуществлению власти на всех уровнях», «равный доступ всех граждан к государственным услугам» и «неприятие и искоренение всех форм несправедливости, неравенства и дискриминации».</w:t>
      </w:r>
    </w:p>
    <w:p w:rsidR="000D7271" w:rsidRPr="000D7271" w:rsidRDefault="000D7271" w:rsidP="000D7271">
      <w:pPr>
        <w:pStyle w:val="SingleTxtGR"/>
      </w:pPr>
      <w:r w:rsidRPr="000D7271">
        <w:t>73.</w:t>
      </w:r>
      <w:r w:rsidRPr="000D7271">
        <w:tab/>
        <w:t>Эти принципы были подтверждены в первой статье Конституции, которая гарантирует «равенство всех граждан перед законом без какой-либо дискриминации».</w:t>
      </w:r>
    </w:p>
    <w:p w:rsidR="000D7271" w:rsidRPr="000D7271" w:rsidRDefault="000D7271" w:rsidP="000D7271">
      <w:pPr>
        <w:pStyle w:val="SingleTxtGR"/>
      </w:pPr>
      <w:r w:rsidRPr="000D7271">
        <w:t>74.</w:t>
      </w:r>
      <w:r w:rsidRPr="000D7271">
        <w:tab/>
        <w:t xml:space="preserve">Кроме того, закон от 6 июля 2010 года о правах инвалидов должен применяться сенегальскими судами, в частности Административной палатой Верховного суда Сенегала в случае принятия административного решения, нарушающего интересы инвалидов, на основе равенства с другими людьми. Обжалование случаев превышения должностных полномочий административными органами предусмотрено в нашем своде законов. </w:t>
      </w:r>
    </w:p>
    <w:p w:rsidR="000D7271" w:rsidRPr="000D7271" w:rsidRDefault="000D7271" w:rsidP="00DF33CC">
      <w:pPr>
        <w:pStyle w:val="HChGR"/>
      </w:pPr>
      <w:r w:rsidRPr="000D7271">
        <w:tab/>
      </w:r>
      <w:r w:rsidRPr="000D7271">
        <w:tab/>
        <w:t>Статья 6: Женщины-инвалиды</w:t>
      </w:r>
    </w:p>
    <w:p w:rsidR="000D7271" w:rsidRPr="000D7271" w:rsidRDefault="000D7271" w:rsidP="000D7271">
      <w:pPr>
        <w:pStyle w:val="SingleTxtGR"/>
      </w:pPr>
      <w:r w:rsidRPr="000D7271">
        <w:t>75.</w:t>
      </w:r>
      <w:r w:rsidRPr="000D7271">
        <w:tab/>
        <w:t>Законодательство Сенегала рассматривает гендерную принадлежность, как и инвалидность, в качестве критериев дискриминации, и в случае дискриминации по признаку инвалидности можно подать жалобу.</w:t>
      </w:r>
    </w:p>
    <w:p w:rsidR="000D7271" w:rsidRPr="000D7271" w:rsidRDefault="000D7271" w:rsidP="000D7271">
      <w:pPr>
        <w:pStyle w:val="SingleTxtGR"/>
      </w:pPr>
      <w:r w:rsidRPr="000D7271">
        <w:t>76.</w:t>
      </w:r>
      <w:r w:rsidRPr="000D7271">
        <w:tab/>
        <w:t>Посредством Конституции от 22 января 2001 года Сенегал заявил о своей твердой приверженности Конвенции о ликвидации всех форм дискриминации в отношении женщин от 18 декабря 1979 года. В частности, в соответствии со статьей 7 вышеупомянутой Конституции все люди равны перед законом. Мужчины и женщины имеют равные права.</w:t>
      </w:r>
    </w:p>
    <w:p w:rsidR="000D7271" w:rsidRPr="000D7271" w:rsidRDefault="000D7271" w:rsidP="000D7271">
      <w:pPr>
        <w:pStyle w:val="SingleTxtGR"/>
      </w:pPr>
      <w:r w:rsidRPr="000D7271">
        <w:t>77.</w:t>
      </w:r>
      <w:r w:rsidRPr="000D7271">
        <w:tab/>
        <w:t xml:space="preserve">Принцип равенства граждан запрещает любые формы дискриминации по признаку пола или инвалидности. Этот запрет провозглашен в преамбуле Конституции в форме отказа от всех форм неравенства и дискриминации и их искоренения. </w:t>
      </w:r>
    </w:p>
    <w:p w:rsidR="000D7271" w:rsidRPr="000D7271" w:rsidRDefault="000D7271" w:rsidP="000D7271">
      <w:pPr>
        <w:pStyle w:val="SingleTxtGR"/>
      </w:pPr>
      <w:r w:rsidRPr="000D7271">
        <w:t>78.</w:t>
      </w:r>
      <w:r w:rsidRPr="000D7271">
        <w:tab/>
        <w:t>Этот запрет подтверждается в пункте 2 статьи 25 высшего нормативного документа в нашей юридической базе. Данный текст гласит, что «любая дискриминация между мужчиной и женщиной в области занятости, заработной платы и налогообложения запрещена».</w:t>
      </w:r>
    </w:p>
    <w:p w:rsidR="000D7271" w:rsidRPr="000D7271" w:rsidRDefault="000D7271" w:rsidP="000D7271">
      <w:pPr>
        <w:pStyle w:val="SingleTxtGR"/>
      </w:pPr>
      <w:r w:rsidRPr="000D7271">
        <w:t>79.</w:t>
      </w:r>
      <w:r w:rsidRPr="000D7271">
        <w:tab/>
        <w:t>Что касается гендерного равенства, то Сенегал ратифицировал большинство международных договоров, касающихся прав женщин. Это касается Международной конвенции о ликвидации всех форм дискриминации в отношении женщин от 18 декабря 1979 года и Факультативного протокола к ней от 6 октября 1999 года, а также</w:t>
      </w:r>
      <w:r>
        <w:t xml:space="preserve"> </w:t>
      </w:r>
      <w:r w:rsidRPr="000D7271">
        <w:t xml:space="preserve">Факультативного протокола к Африканской хартии прав человека и народов, касающегося прав женщин в Африке, от 11 июля 2003 года, ратифицированных соответственно 5 февраля 2005 года, 26 мая 2000 года и 27 декабря 2004 года. Был принят ряд законодательных и административных текстов для обеспечения гендерного паритета и гендерного равенства. На национальном уровне гендерная проблематика играет важнейшую роль в политической жизни страны, для которой в течение последних лет были характерны случаи занятия женщинами самых высоких постов, в том числе поста премьер-министра. </w:t>
      </w:r>
    </w:p>
    <w:p w:rsidR="000D7271" w:rsidRPr="000D7271" w:rsidRDefault="000D7271" w:rsidP="000D7271">
      <w:pPr>
        <w:pStyle w:val="SingleTxtGR"/>
      </w:pPr>
      <w:r w:rsidRPr="000D7271">
        <w:t>80.</w:t>
      </w:r>
      <w:r w:rsidRPr="000D7271">
        <w:tab/>
        <w:t xml:space="preserve">Так, в целях обеспечения равного осуществления прав всех лиц в пункте 4 статьи 7 Конституции закрепляется принцип, согласно которому с одной стороны «все люди равны перед законом», а с другой </w:t>
      </w:r>
      <w:r>
        <w:t>–</w:t>
      </w:r>
      <w:r w:rsidRPr="000D7271">
        <w:t xml:space="preserve"> «мужчины и женщины имеют равные права». В рамках применения этого принципа равенства перед законом и равной защиты по закону в статье 15 Конституции «за мужчинами и женщинами закрепляется право на приобретение земли в собственность и на владение землей», а в статье 18 Основного закона принудительные браки рассматриваются в качестве нарушения свободы личности.</w:t>
      </w:r>
    </w:p>
    <w:p w:rsidR="000D7271" w:rsidRPr="000D7271" w:rsidRDefault="000D7271" w:rsidP="000D7271">
      <w:pPr>
        <w:pStyle w:val="SingleTxtGR"/>
      </w:pPr>
      <w:r w:rsidRPr="000D7271">
        <w:t>81.</w:t>
      </w:r>
      <w:r w:rsidRPr="000D7271">
        <w:tab/>
        <w:t>Ряд других положений подтверждает принцип равенства и равноправного осуществления прав в различных областях: в статье 19 признается, что «жена имеет право владеть собственностью, так же</w:t>
      </w:r>
      <w:r w:rsidR="00EB1E0E" w:rsidRPr="00EB1E0E">
        <w:t>,</w:t>
      </w:r>
      <w:r w:rsidRPr="000D7271">
        <w:t xml:space="preserve"> как и ее муж, а также право лично распоряжаться своим имуществом». Пункт 2 статьи 22 предусматривает, что «все дети, как мальчики, так и девочки, на всей территории страны имеют право на доступ к школе». Пункт 1 статьи 25 также гласит, что «никто не может быть ущемлен в правах на рабочем месте по признаку пола, происхождения, политических взглядов или религиозных убеждений». В пункте 2 этой же статьи далее подтверждается, в частности, что «дискриминация между мужчинами и женщинами в какой-либо форме в сфере занятости, заработной платы и налогообложения запрещается».</w:t>
      </w:r>
    </w:p>
    <w:p w:rsidR="000D7271" w:rsidRPr="000D7271" w:rsidRDefault="000D7271" w:rsidP="000D7271">
      <w:pPr>
        <w:pStyle w:val="SingleTxtGR"/>
      </w:pPr>
      <w:r w:rsidRPr="000D7271">
        <w:t>82.</w:t>
      </w:r>
      <w:r w:rsidRPr="000D7271">
        <w:tab/>
        <w:t>Вместе с тем, несмотря на значительный прогресс в обеспечении равноправия между мужчинами и женщинами, все еще сохраняются некоторые законодательные нормы, которые не соответствуют этим изменениям. Следует отметить, что это связано с сильным сопротивлением с точки зрения социокультурных реалий, а также с социологической средой, характеризующейся определенным доминированием мужчин над женщинами, в частности это касается:</w:t>
      </w:r>
    </w:p>
    <w:p w:rsidR="000D7271" w:rsidRPr="000D7271" w:rsidRDefault="000D7271" w:rsidP="00DF33CC">
      <w:pPr>
        <w:pStyle w:val="Bullet1GR"/>
      </w:pPr>
      <w:r w:rsidRPr="000D7271">
        <w:t>механизма осуществления родительских прав и обязанностей, который согласно статье 277 Семейного кодекса определяется как осуществление родительских прав и закреплен за отцом, при этом мать может его осуществлять только в случае отсутствия отца;</w:t>
      </w:r>
    </w:p>
    <w:p w:rsidR="000D7271" w:rsidRPr="000D7271" w:rsidRDefault="000D7271" w:rsidP="00DF33CC">
      <w:pPr>
        <w:pStyle w:val="Bullet1GR"/>
      </w:pPr>
      <w:r w:rsidRPr="000D7271">
        <w:t>положений статьи 152 того же Кодекса, согласно которым главой семьи является муж, даже если он выполняет эту функцию под контролем председателя окружного суда;</w:t>
      </w:r>
    </w:p>
    <w:p w:rsidR="000D7271" w:rsidRPr="000D7271" w:rsidRDefault="000D7271" w:rsidP="00DF33CC">
      <w:pPr>
        <w:pStyle w:val="Bullet1GR"/>
      </w:pPr>
      <w:r w:rsidRPr="000D7271">
        <w:t>запрещения согласно статье 196 вышеупомянутого Кодекса исследований в судебном порядке на предмет установления отцовства, даже в случаях изнасилования, с заменой на подачу запроса на установление отцовства исключительно в целях получения алиментов;</w:t>
      </w:r>
    </w:p>
    <w:p w:rsidR="000D7271" w:rsidRPr="000D7271" w:rsidRDefault="000D7271" w:rsidP="00DF33CC">
      <w:pPr>
        <w:pStyle w:val="Bullet1GR"/>
      </w:pPr>
      <w:r w:rsidRPr="000D7271">
        <w:t>различия между оставшимися в живых наследниками мужского и женского пола при установлении прав наследования согласно статье 637 и последующим статьям Семейного кодекса, которые регулируют порядок наследования в соответствии с нормами исламского права.</w:t>
      </w:r>
    </w:p>
    <w:p w:rsidR="000D7271" w:rsidRPr="000D7271" w:rsidRDefault="000D7271" w:rsidP="000D7271">
      <w:pPr>
        <w:pStyle w:val="SingleTxtGR"/>
      </w:pPr>
      <w:r w:rsidRPr="000D7271">
        <w:t>83.</w:t>
      </w:r>
      <w:r w:rsidRPr="000D7271">
        <w:tab/>
        <w:t>С другой стороны, уголовное законодательство благоприятно эволюционировало с точки зрения защиты женщин с внесением в него изменений Законом № 99.05 от 29 января 1999 года, ужесточивших наказание за такие преступления, как изнасилование, калечащие операции на женских половых органах, совершение непристойных действий, кровосмешение, сексуальные домогательства. Кроме того, вышеупомянутые конституционные положения использовались в качестве основы для разработки политики</w:t>
      </w:r>
      <w:r>
        <w:t xml:space="preserve"> </w:t>
      </w:r>
      <w:r w:rsidRPr="000D7271">
        <w:t>улучшения положения женщин, учитывающей все аспекты политического, экономического, социального и культурного развития, целью которой является всестороннее улучшение положения женщин. Эта гендерная политика в отношении женщин направлена на то, чтобы гарантировать им применение и осуществление равных с мужчинами прав и свобод, признанных международными и региональными документами, ратифицированными Сенегалом.</w:t>
      </w:r>
    </w:p>
    <w:p w:rsidR="000D7271" w:rsidRPr="000D7271" w:rsidRDefault="000D7271" w:rsidP="000D7271">
      <w:pPr>
        <w:pStyle w:val="SingleTxtGR"/>
      </w:pPr>
      <w:r w:rsidRPr="000D7271">
        <w:t>84.</w:t>
      </w:r>
      <w:r w:rsidRPr="000D7271">
        <w:tab/>
        <w:t>Опять же в отношении женщин были реализованы важные законодательные реформы, такие как Закон № 2008-01 от 8 января 2008 года, в котором признается, среди прочего, налоговая независимость замужних женщин и отменяется совместное налогообложение; Декрет № 2006-1309 от 23 ноября 2006 года, позволяющий женщинам, занятым на государственной службе, брать на попечение своего мужа и детей в медицинском плане; Декрет № 2006-1310, который предусматривает равные права для работников частного сектора и Закон 2010 года, устанавливающий абсолютное равенство между мужчинами и женщинами во всех частично или полностью выборных учреждениях.</w:t>
      </w:r>
    </w:p>
    <w:p w:rsidR="000D7271" w:rsidRPr="000D7271" w:rsidRDefault="000D7271" w:rsidP="000D7271">
      <w:pPr>
        <w:pStyle w:val="SingleTxtGR"/>
      </w:pPr>
      <w:r w:rsidRPr="000D7271">
        <w:t>85.</w:t>
      </w:r>
      <w:r w:rsidRPr="000D7271">
        <w:tab/>
        <w:t>Сенегал также позитивно проявил себя в этом отношении за счет назначения женщин в качестве руководителей важных управляющих и директивных органов. В</w:t>
      </w:r>
      <w:r w:rsidR="00DF33CC">
        <w:rPr>
          <w:lang w:val="en-US"/>
        </w:rPr>
        <w:t> </w:t>
      </w:r>
      <w:r w:rsidRPr="000D7271">
        <w:t xml:space="preserve">совещательных органах женщины представлены следующим образом: в Национальном собрании </w:t>
      </w:r>
      <w:r>
        <w:t>–</w:t>
      </w:r>
      <w:r w:rsidRPr="000D7271">
        <w:t xml:space="preserve"> 64 женщины из 150 депутатов, или 43</w:t>
      </w:r>
      <w:r>
        <w:t>%</w:t>
      </w:r>
      <w:r w:rsidRPr="000D7271">
        <w:t xml:space="preserve">; в Экономическом, социальном и экологическом совете </w:t>
      </w:r>
      <w:r>
        <w:t>–</w:t>
      </w:r>
      <w:r w:rsidRPr="000D7271">
        <w:t xml:space="preserve"> 43 женщины из 120 членов Совета. Беспрецедентные успехи в сфере улучшения положения женщин были также отмечены во многих других областях деятельности. Так, впервые за свою историю армия Сенегала приступила к набору в вооруженные силы женщин, причем за период с сентября 2007 по январь 2008 года в армию записались 300 девушек в возрасте от 18 до 23 лет. Отмечается присутствие женщин во всех видах войск, так как эта программа, осуществляемая на основе общественного консенсуса, касается сухопутных, военно-воздушных и военно-морских сил. Кроме того, женщины поступают на службу и в национальную жандармерию. Что же касается полиции Сенегала, то эта служба, начавшая принимать в свои ряды женщин очень рано, еще в 1970-х годах, причем принятые в те годы женщины на</w:t>
      </w:r>
      <w:r>
        <w:t xml:space="preserve"> </w:t>
      </w:r>
      <w:r w:rsidRPr="000D7271">
        <w:t>сегодняшний день занимают должности дивизионных комиссаров высочайшего класса, самого высокого звания в органах полиции, является пионером в деле поощрении прав и возможностей женщин в этой области. Недавно полиция Сенегала подтвердила такой статус и укрепила его, приняв на службу значительное количество молодых девушек. В этой связи следует отметить и Таможенную службу Сенегала, принявшую в 2004 году в свои ряды первую женщину-таможенного инспектора, которая, как и ее коллеги-мужчины, имеет звание лейтенанта.</w:t>
      </w:r>
    </w:p>
    <w:p w:rsidR="000D7271" w:rsidRPr="000D7271" w:rsidRDefault="000D7271" w:rsidP="000D7271">
      <w:pPr>
        <w:pStyle w:val="SingleTxtGR"/>
      </w:pPr>
      <w:r w:rsidRPr="000D7271">
        <w:t>86.</w:t>
      </w:r>
      <w:r w:rsidRPr="000D7271">
        <w:tab/>
        <w:t>Но самым яркий факт в деле борьбы с дискриминацией в отношении женщин отмечается в сфере гражданства. 28 июня 2013 года Сенегал внес изменения в Кодекс законов о гражданстве, положив, таким образом, конец различиям в положении мужчин и женщин в том, что касается передачи сенегальского гражданства вследствие заключения брака, по рождению или в результате усыновления.</w:t>
      </w:r>
    </w:p>
    <w:p w:rsidR="000D7271" w:rsidRPr="000D7271" w:rsidRDefault="000D7271" w:rsidP="000D7271">
      <w:pPr>
        <w:pStyle w:val="SingleTxtGR"/>
      </w:pPr>
      <w:r w:rsidRPr="000D7271">
        <w:t>87.</w:t>
      </w:r>
      <w:r w:rsidRPr="000D7271">
        <w:tab/>
        <w:t>Теперь сенегалка может передавать свое гражданство ребенку. Аналогичным образом облегчаются условия получения гражданства ее мужем, не являющимся сенегальцем.</w:t>
      </w:r>
    </w:p>
    <w:p w:rsidR="000D7271" w:rsidRPr="000D7271" w:rsidRDefault="000D7271" w:rsidP="000D7271">
      <w:pPr>
        <w:pStyle w:val="SingleTxtGR"/>
      </w:pPr>
      <w:r w:rsidRPr="000D7271">
        <w:t>88.</w:t>
      </w:r>
      <w:r w:rsidRPr="000D7271">
        <w:tab/>
        <w:t xml:space="preserve">Кроме того, Сенегал принял Декларацию тысячелетия, в которой подтверждается приверженность правительства «поощрению гендерного равенства и расширению прав и возможностей женщин в качестве эффективного средства борьбы с нищетой, голодом и болезнями и содействия устойчивому развитию». </w:t>
      </w:r>
    </w:p>
    <w:p w:rsidR="000D7271" w:rsidRPr="000D7271" w:rsidRDefault="000D7271" w:rsidP="000D7271">
      <w:pPr>
        <w:pStyle w:val="SingleTxtGR"/>
      </w:pPr>
      <w:r w:rsidRPr="000D7271">
        <w:t>89.</w:t>
      </w:r>
      <w:r w:rsidRPr="000D7271">
        <w:tab/>
        <w:t>Запрет дискриминации в полной мере учитывается в Законе № 2010-15 о социальной ориентации от 6 июля 2010 года, который, в частности, гласит, что «в</w:t>
      </w:r>
      <w:r w:rsidR="00161DF6">
        <w:t> </w:t>
      </w:r>
      <w:r w:rsidRPr="000D7271">
        <w:t xml:space="preserve">проектах и программах развития государства или его партнеров не допускается никакая дискриминация по признаку инвалидности» (статья 14). </w:t>
      </w:r>
    </w:p>
    <w:p w:rsidR="000D7271" w:rsidRPr="000D7271" w:rsidRDefault="000D7271" w:rsidP="000D7271">
      <w:pPr>
        <w:pStyle w:val="SingleTxtGR"/>
      </w:pPr>
      <w:r w:rsidRPr="000D7271">
        <w:t>90.</w:t>
      </w:r>
      <w:r w:rsidRPr="000D7271">
        <w:tab/>
        <w:t>Так, две (2) женщины-инвалида были назначены соответственно на должности советника президента Республики и советника Экономического, социального и экологического совета.</w:t>
      </w:r>
    </w:p>
    <w:p w:rsidR="000D7271" w:rsidRPr="000D7271" w:rsidRDefault="000D7271" w:rsidP="000D7271">
      <w:pPr>
        <w:pStyle w:val="SingleTxtGR"/>
      </w:pPr>
      <w:r w:rsidRPr="000D7271">
        <w:t>91.</w:t>
      </w:r>
      <w:r w:rsidRPr="000D7271">
        <w:tab/>
        <w:t>Кроме того, следует отметить, что в рамках ассоциативного движения в Сенегале существует Женский комитет при Сенегальской федерации ассоциаций инвалидов (СФАИ), который осуществляет различные мероприятия в социально-экономической области. В этой связи учреждение Женского комитета в рамках Сенегальской федерации ассоциаций инвалидов (СФАИ) оказало позитивное влияние на рассмотрение проблем женщин-инвалидов в рамках различных проектов и программ Министерства по делам женщин.</w:t>
      </w:r>
    </w:p>
    <w:p w:rsidR="000D7271" w:rsidRPr="000D7271" w:rsidRDefault="000D7271" w:rsidP="000D7271">
      <w:pPr>
        <w:pStyle w:val="SingleTxtGR"/>
      </w:pPr>
      <w:r w:rsidRPr="000D7271">
        <w:t>92.</w:t>
      </w:r>
      <w:r w:rsidRPr="000D7271">
        <w:tab/>
        <w:t xml:space="preserve">Кроме того, Секретариат Африканского десятилетия инвалидов (САДИ) провел в 2005 году исследование по вопросу об условиях жизни сенегальских женщин-инвалидов. </w:t>
      </w:r>
    </w:p>
    <w:p w:rsidR="000D7271" w:rsidRPr="000D7271" w:rsidRDefault="000D7271" w:rsidP="000D7271">
      <w:pPr>
        <w:pStyle w:val="SingleTxtGR"/>
      </w:pPr>
      <w:r w:rsidRPr="000D7271">
        <w:t>93.</w:t>
      </w:r>
      <w:r w:rsidRPr="000D7271">
        <w:tab/>
        <w:t xml:space="preserve">Наконец, в </w:t>
      </w:r>
      <w:proofErr w:type="gramStart"/>
      <w:r w:rsidRPr="000D7271">
        <w:t>том</w:t>
      </w:r>
      <w:proofErr w:type="gramEnd"/>
      <w:r w:rsidRPr="000D7271">
        <w:t xml:space="preserve"> что касается здравоохранения, то на женщин-инвалидов распространяется инициатива, предусматривающая бесплатное кесарево сечение в соответствии с Национальной программой обеспечения всеобщего охвата здравоохранением, а их детям в возрасте от 0 до 5 лет предоставляется бесплатное медицинское обслуживание, как и всем остальным детям в Сенегале. </w:t>
      </w:r>
    </w:p>
    <w:p w:rsidR="000D7271" w:rsidRPr="000D7271" w:rsidRDefault="000D7271" w:rsidP="00DF33CC">
      <w:pPr>
        <w:pStyle w:val="HChGR"/>
      </w:pPr>
      <w:r w:rsidRPr="000D7271">
        <w:tab/>
      </w:r>
      <w:r w:rsidRPr="000D7271">
        <w:tab/>
        <w:t>Статья 7: Дети-инвалиды</w:t>
      </w:r>
    </w:p>
    <w:p w:rsidR="000D7271" w:rsidRPr="000D7271" w:rsidRDefault="000D7271" w:rsidP="000D7271">
      <w:pPr>
        <w:pStyle w:val="SingleTxtGR"/>
      </w:pPr>
      <w:r w:rsidRPr="000D7271">
        <w:t>94.</w:t>
      </w:r>
      <w:r w:rsidRPr="000D7271">
        <w:tab/>
        <w:t>При принятии каких-либо решений в отношении ребенка первостепенное внимание уделяется наилучшему обеспечению интересов ребенка без каких-либо различий, при этом между детьми не проводится никакого различия независимо от наличия или отсутствия у них инвалидности.</w:t>
      </w:r>
    </w:p>
    <w:p w:rsidR="000D7271" w:rsidRPr="000D7271" w:rsidRDefault="000D7271" w:rsidP="000D7271">
      <w:pPr>
        <w:pStyle w:val="SingleTxtGR"/>
      </w:pPr>
      <w:r w:rsidRPr="000D7271">
        <w:t>95.</w:t>
      </w:r>
      <w:r w:rsidRPr="000D7271">
        <w:tab/>
      </w:r>
      <w:proofErr w:type="gramStart"/>
      <w:r w:rsidRPr="000D7271">
        <w:t>В</w:t>
      </w:r>
      <w:proofErr w:type="gramEnd"/>
      <w:r w:rsidRPr="000D7271">
        <w:t xml:space="preserve"> статье 7 Конвенции о правах инвалидов, так же как и в статье 23 Конвенции о правах ребенка (КПР) содержится напоминание о применимости к детям-инвалидам четырех руководящих принципов КПР, а именно: </w:t>
      </w:r>
      <w:proofErr w:type="spellStart"/>
      <w:r w:rsidRPr="000D7271">
        <w:t>недискриминации</w:t>
      </w:r>
      <w:proofErr w:type="spellEnd"/>
      <w:r w:rsidRPr="000D7271">
        <w:t xml:space="preserve">, наилучшего обеспечения интересов ребенка, права на жизнь, на выживание и на развитие, а также права на участие. Все эти принципы включены, по крайней мере косвенно, в Закон об ориентации социальной политики Сенегала. </w:t>
      </w:r>
    </w:p>
    <w:p w:rsidR="000D7271" w:rsidRPr="000D7271" w:rsidRDefault="000D7271" w:rsidP="000D7271">
      <w:pPr>
        <w:pStyle w:val="SingleTxtGR"/>
      </w:pPr>
      <w:r w:rsidRPr="000D7271">
        <w:t>96.</w:t>
      </w:r>
      <w:r w:rsidRPr="000D7271">
        <w:tab/>
      </w:r>
      <w:proofErr w:type="gramStart"/>
      <w:r w:rsidRPr="000D7271">
        <w:t>В</w:t>
      </w:r>
      <w:proofErr w:type="gramEnd"/>
      <w:r w:rsidRPr="000D7271">
        <w:t xml:space="preserve"> соответствии со статьями 21, 22 и 23 Конституции Сенегала: </w:t>
      </w:r>
    </w:p>
    <w:p w:rsidR="000D7271" w:rsidRPr="000D7271" w:rsidRDefault="000D7271" w:rsidP="00DF33CC">
      <w:pPr>
        <w:pStyle w:val="SingleTxtGR"/>
        <w:ind w:left="1701"/>
      </w:pPr>
      <w:r w:rsidRPr="000D7271">
        <w:t xml:space="preserve">«Государство и государственные органы создают необходимые условия и общественные институты для обеспечения образования детей. </w:t>
      </w:r>
    </w:p>
    <w:p w:rsidR="000D7271" w:rsidRPr="000D7271" w:rsidRDefault="000D7271" w:rsidP="00DF33CC">
      <w:pPr>
        <w:pStyle w:val="SingleTxtGR"/>
        <w:ind w:left="1701"/>
      </w:pPr>
      <w:r w:rsidRPr="000D7271">
        <w:t>На государство возлагается обязанность и ответственность за образование и профессиональную подготовку молодежи в государственных школах. Все дети, как мальчики, так и девочки, на всей территории страны имеют право на доступ к школе. Религиозные и нерелигиозные учреждения и общины также признаются средствами предоставления образования.</w:t>
      </w:r>
    </w:p>
    <w:p w:rsidR="000D7271" w:rsidRPr="000D7271" w:rsidRDefault="000D7271" w:rsidP="00DF33CC">
      <w:pPr>
        <w:pStyle w:val="SingleTxtGR"/>
        <w:ind w:left="1701"/>
      </w:pPr>
      <w:r w:rsidRPr="000D7271">
        <w:t>Все национальные, государственные или частные учреждения обязаны обучать своих членов грамоте и принимать участие в национальных усилиях по обучению грамоте на одном из национальных языков.</w:t>
      </w:r>
    </w:p>
    <w:p w:rsidR="000D7271" w:rsidRPr="000D7271" w:rsidRDefault="000D7271" w:rsidP="00DF33CC">
      <w:pPr>
        <w:pStyle w:val="SingleTxtGR"/>
        <w:ind w:left="1701"/>
      </w:pPr>
      <w:r w:rsidRPr="000D7271">
        <w:t>Частные школы могут открываться с разрешения и под контролем государства».</w:t>
      </w:r>
    </w:p>
    <w:p w:rsidR="000D7271" w:rsidRPr="000D7271" w:rsidRDefault="000D7271" w:rsidP="000D7271">
      <w:pPr>
        <w:pStyle w:val="SingleTxtGR"/>
      </w:pPr>
      <w:r w:rsidRPr="000D7271">
        <w:t>97.</w:t>
      </w:r>
      <w:r w:rsidRPr="000D7271">
        <w:tab/>
        <w:t>Сенегал ратифицировал Конвенцию о правах ребенка от 20 ноября 1989 года и Африканскую хартию прав и благополучия ребенка.</w:t>
      </w:r>
    </w:p>
    <w:p w:rsidR="000D7271" w:rsidRPr="000D7271" w:rsidRDefault="000D7271" w:rsidP="000D7271">
      <w:pPr>
        <w:pStyle w:val="SingleTxtGR"/>
      </w:pPr>
      <w:r w:rsidRPr="000D7271">
        <w:t>98.</w:t>
      </w:r>
      <w:r w:rsidRPr="000D7271">
        <w:tab/>
        <w:t>Статья 28 КПР призывает государства признать право ребенка на образование, равно как и статья 11 Африканской хартии прав и благополучия ребенка.</w:t>
      </w:r>
    </w:p>
    <w:p w:rsidR="000D7271" w:rsidRPr="000D7271" w:rsidRDefault="000D7271" w:rsidP="000D7271">
      <w:pPr>
        <w:pStyle w:val="SingleTxtGR"/>
      </w:pPr>
      <w:r w:rsidRPr="000D7271">
        <w:t>99.</w:t>
      </w:r>
      <w:r w:rsidRPr="000D7271">
        <w:tab/>
        <w:t xml:space="preserve">Кроме того, в соответствии со статьей 23 КПР: </w:t>
      </w:r>
    </w:p>
    <w:p w:rsidR="000D7271" w:rsidRPr="000D7271" w:rsidRDefault="000D7271" w:rsidP="00DF33CC">
      <w:pPr>
        <w:pStyle w:val="SingleTxtGR"/>
        <w:ind w:left="1701"/>
      </w:pPr>
      <w:r w:rsidRPr="000D7271">
        <w:t>«Государства-участники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0D7271" w:rsidRPr="000D7271" w:rsidRDefault="000D7271" w:rsidP="00DF33CC">
      <w:pPr>
        <w:pStyle w:val="SingleTxtGR"/>
        <w:ind w:left="1701"/>
      </w:pPr>
      <w:r w:rsidRPr="000D7271">
        <w:t>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0D7271" w:rsidRPr="000D7271" w:rsidRDefault="000D7271" w:rsidP="00DF33CC">
      <w:pPr>
        <w:pStyle w:val="SingleTxtGR"/>
        <w:ind w:left="1701"/>
      </w:pPr>
      <w:r w:rsidRPr="000D7271">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w:t>
      </w:r>
    </w:p>
    <w:p w:rsidR="000D7271" w:rsidRPr="000D7271" w:rsidRDefault="000D7271" w:rsidP="000D7271">
      <w:pPr>
        <w:pStyle w:val="SingleTxtGR"/>
      </w:pPr>
      <w:r w:rsidRPr="000D7271">
        <w:t>100.</w:t>
      </w:r>
      <w:r w:rsidRPr="000D7271">
        <w:tab/>
        <w:t xml:space="preserve">Со своей стороны статья 13 Африканской хартии прав и благополучия ребенка предусматривает: </w:t>
      </w:r>
    </w:p>
    <w:p w:rsidR="000D7271" w:rsidRPr="000D7271" w:rsidRDefault="000D7271" w:rsidP="00DF33CC">
      <w:pPr>
        <w:pStyle w:val="SingleTxtGR"/>
        <w:ind w:left="1701"/>
      </w:pPr>
      <w:r w:rsidRPr="000D7271">
        <w:t>«каждый умственно или физически неполноценный ребенок имеет право на особые меры защиты в соответствии с его физическими и моральными потребностями и в условиях, которые обеспечивают его достоинство, способствуют его уверенности в себе и облегчают его активное участие в жизни общества.</w:t>
      </w:r>
    </w:p>
    <w:p w:rsidR="000D7271" w:rsidRPr="000D7271" w:rsidRDefault="000D7271" w:rsidP="00DF33CC">
      <w:pPr>
        <w:pStyle w:val="SingleTxtGR"/>
        <w:ind w:left="1701"/>
      </w:pPr>
      <w:r w:rsidRPr="000D7271">
        <w:t>Государства-участники настоящей Хартии обязуются в пределах имеющихся ресурсов предоставлять неполноценным детям и лицам, ответственным за их содержание, помощь, которая может быть запрошена и является целесообразной с учетом состояния ребенка, и обеспечивают, в частности, чтобы неполноценным детям предоставлялся эффективный доступ к возможностям</w:t>
      </w:r>
      <w:r>
        <w:t xml:space="preserve"> </w:t>
      </w:r>
      <w:r w:rsidRPr="000D7271">
        <w:t>в областях образования, подготовки к трудовой деятельности и проведения досуга должным образом, с тем чтобы обеспечить наиболее полное, по мере возможности, вовлечение ребенка в социальную жизнь и развитие его личности, включая его культурное и моральное развитие.</w:t>
      </w:r>
    </w:p>
    <w:p w:rsidR="000D7271" w:rsidRPr="000D7271" w:rsidRDefault="000D7271" w:rsidP="00DF33CC">
      <w:pPr>
        <w:pStyle w:val="SingleTxtGR"/>
        <w:ind w:left="1701"/>
      </w:pPr>
      <w:r w:rsidRPr="000D7271">
        <w:t>Государства-участники настоящей Хартии используют имеющиеся у них ресурсы для постепенного обеспечения лицам с психическими или физическими недостатками всецело удобных условий для передвижения, а также доступа к общественным зданиям, сооруженным на возвышениях, и к другим местам, к которым инвалиды на законных основаниях желают иметь доступ».</w:t>
      </w:r>
    </w:p>
    <w:p w:rsidR="000D7271" w:rsidRPr="000D7271" w:rsidRDefault="000D7271" w:rsidP="000D7271">
      <w:pPr>
        <w:pStyle w:val="SingleTxtGR"/>
      </w:pPr>
      <w:r w:rsidRPr="000D7271">
        <w:t>101.</w:t>
      </w:r>
      <w:r w:rsidRPr="000D7271">
        <w:tab/>
        <w:t xml:space="preserve">Таким образом, в соответствии с международными договорами статья 15 Закона об ориентации социальной политики от 6 июля 2010 года гарантирует «детям-инвалидам и подросткам-инвалидам право на бесплатное образование в общеобразовательных школах, насколько это возможно, вблизи от дома. В случае если тяжелая форма инвалидности не позволяет заинтересованному лицу успешно посещать обычное образовательное учреждение, то оно направляется Технической комиссией департамента по вопросам специального образования в специализированное учреждение». </w:t>
      </w:r>
    </w:p>
    <w:p w:rsidR="000D7271" w:rsidRPr="000D7271" w:rsidRDefault="000D7271" w:rsidP="000D7271">
      <w:pPr>
        <w:pStyle w:val="SingleTxtGR"/>
      </w:pPr>
      <w:r w:rsidRPr="000D7271">
        <w:t>102.</w:t>
      </w:r>
      <w:r w:rsidRPr="000D7271">
        <w:tab/>
        <w:t>Благодаря карте равных возможностей дети-инвалиды не подпадают под действие законов и правил, касающихся ограничений по возрасту и получают скидку на плату за школьное обучение.</w:t>
      </w:r>
    </w:p>
    <w:p w:rsidR="000D7271" w:rsidRPr="000D7271" w:rsidRDefault="000D7271" w:rsidP="000D7271">
      <w:pPr>
        <w:pStyle w:val="SingleTxtGR"/>
      </w:pPr>
      <w:r w:rsidRPr="000D7271">
        <w:t>103.</w:t>
      </w:r>
      <w:r w:rsidRPr="000D7271">
        <w:tab/>
        <w:t>Аналогичным образом, все учащиеся-инвалиды автоматически получают полную стипендию на обучение. Эта стипендия сохраняется даже в случае повторения года обучения.</w:t>
      </w:r>
    </w:p>
    <w:p w:rsidR="000D7271" w:rsidRPr="000D7271" w:rsidRDefault="000D7271" w:rsidP="000D7271">
      <w:pPr>
        <w:pStyle w:val="SingleTxtGR"/>
      </w:pPr>
      <w:r w:rsidRPr="000D7271">
        <w:t>104.</w:t>
      </w:r>
      <w:r w:rsidRPr="000D7271">
        <w:tab/>
        <w:t>Действительно, положения статьи 4 Декрета № 2014 963 от 1 августа 2014 года, устанавливающие условия для распределения пособий на обучение в высших учебных заведениях, предусматривают «обеспечение специальных условий для получения пособия на обучение для учащихся-инвалидов или учащихся, страдающих болезнями, приводящими к инвалидности».</w:t>
      </w:r>
    </w:p>
    <w:p w:rsidR="000D7271" w:rsidRPr="000D7271" w:rsidRDefault="000D7271" w:rsidP="000D7271">
      <w:pPr>
        <w:pStyle w:val="SingleTxtGR"/>
      </w:pPr>
      <w:r w:rsidRPr="000D7271">
        <w:t>105.</w:t>
      </w:r>
      <w:r w:rsidRPr="000D7271">
        <w:tab/>
        <w:t>Кроме того, статья 9 Закона об ориентации социальной политики обязывает государство, местные власти и компетентные структуры принимать меры по уходу за инвалидами в семье. В том же духе в Общем налоговом кодексе (Закон № 2012-31 от 31 декабря 2012 года) учитываются права инвалидов, так как инвалиды рассматриваются как находящиеся на попечении налогоплательщика.</w:t>
      </w:r>
    </w:p>
    <w:p w:rsidR="000D7271" w:rsidRPr="000D7271" w:rsidRDefault="000D7271" w:rsidP="000D7271">
      <w:pPr>
        <w:pStyle w:val="SingleTxtGR"/>
      </w:pPr>
      <w:r w:rsidRPr="000D7271">
        <w:t>106.</w:t>
      </w:r>
      <w:r w:rsidRPr="000D7271">
        <w:tab/>
      </w:r>
      <w:proofErr w:type="gramStart"/>
      <w:r w:rsidRPr="000D7271">
        <w:t>В</w:t>
      </w:r>
      <w:proofErr w:type="gramEnd"/>
      <w:r w:rsidRPr="000D7271">
        <w:t xml:space="preserve"> отношении ортопедического оборудования фонд «СОНАТЕЛ», город Дакар и другие социальные учреждения в течение 10 лет оказывают помощь детям-инвалидам (в возрасте от 0 до 15 лет) в Национальном центре ортопедического оборудования.</w:t>
      </w:r>
    </w:p>
    <w:p w:rsidR="000D7271" w:rsidRPr="000D7271" w:rsidRDefault="000D7271" w:rsidP="000D7271">
      <w:pPr>
        <w:pStyle w:val="SingleTxtGR"/>
      </w:pPr>
      <w:r w:rsidRPr="000D7271">
        <w:t>107.</w:t>
      </w:r>
      <w:r w:rsidRPr="000D7271">
        <w:tab/>
        <w:t xml:space="preserve">Кроме того, для детей в возрасте от 0 до 5 лет обслуживание предоставляется бесплатно в соответствии с положениями Закона о всеобщем медицинском страховании </w:t>
      </w:r>
      <w:r>
        <w:t>–</w:t>
      </w:r>
      <w:r w:rsidRPr="000D7271">
        <w:t xml:space="preserve"> новой программы, инициированной правительством в целях обеспечения бесплатного медицинского обслуживания для детей.</w:t>
      </w:r>
    </w:p>
    <w:p w:rsidR="000D7271" w:rsidRPr="000D7271" w:rsidRDefault="000D7271" w:rsidP="000D7271">
      <w:pPr>
        <w:pStyle w:val="SingleTxtGR"/>
      </w:pPr>
      <w:r w:rsidRPr="000D7271">
        <w:t>108.</w:t>
      </w:r>
      <w:r w:rsidRPr="000D7271">
        <w:tab/>
        <w:t>Также в целях борьбы с уязвимостью сенегальских детей была создана и учреждена на самом высоком, президентском, уровне Группа поддержки защиты детства (ГПЗД). И наконец, детям-инвалидам предоставляется возможность заседать в Парламенте детей.</w:t>
      </w:r>
    </w:p>
    <w:p w:rsidR="000D7271" w:rsidRPr="000D7271" w:rsidRDefault="000D7271" w:rsidP="00DF33CC">
      <w:pPr>
        <w:pStyle w:val="HChGR"/>
      </w:pPr>
      <w:r w:rsidRPr="000D7271">
        <w:tab/>
      </w:r>
      <w:r w:rsidRPr="000D7271">
        <w:tab/>
        <w:t>Статья 8: Просветительно-воспитательная работа</w:t>
      </w:r>
    </w:p>
    <w:p w:rsidR="000D7271" w:rsidRPr="000D7271" w:rsidRDefault="000D7271" w:rsidP="000D7271">
      <w:pPr>
        <w:pStyle w:val="SingleTxtGR"/>
      </w:pPr>
      <w:r w:rsidRPr="000D7271">
        <w:t>109.</w:t>
      </w:r>
      <w:r w:rsidRPr="000D7271">
        <w:tab/>
        <w:t xml:space="preserve">Со времени ратификации Конвенции Сенегал осуществляет информационно-просветительскую деятельность, направленную на информирование инвалидов об их правах, закрепленных в Конвенции. </w:t>
      </w:r>
    </w:p>
    <w:p w:rsidR="000D7271" w:rsidRPr="000D7271" w:rsidRDefault="000D7271" w:rsidP="000D7271">
      <w:pPr>
        <w:pStyle w:val="SingleTxtGR"/>
      </w:pPr>
      <w:r w:rsidRPr="000D7271">
        <w:t>110.</w:t>
      </w:r>
      <w:r w:rsidRPr="000D7271">
        <w:tab/>
        <w:t xml:space="preserve">Статьи 12 и 13 Закона об ориентации социальной политики № 2010-15 от 6 июля 2010 года, касающиеся поощрения и защиты прав инвалидов, гласят: </w:t>
      </w:r>
    </w:p>
    <w:p w:rsidR="000D7271" w:rsidRPr="000D7271" w:rsidRDefault="000D7271" w:rsidP="00DF33CC">
      <w:pPr>
        <w:pStyle w:val="SingleTxtGR"/>
        <w:ind w:left="1701"/>
      </w:pPr>
      <w:r w:rsidRPr="000D7271">
        <w:t>«Государство принимает материальные и моральные меры для предупреждения всех видов инвалидности в рамках всеобъемлющей программы профилактики и повышения осведомленности как в областях здравоохранения и</w:t>
      </w:r>
      <w:r>
        <w:t xml:space="preserve"> </w:t>
      </w:r>
      <w:r w:rsidRPr="000D7271">
        <w:t>организации дорожного движения, так и на рабочих местах, в школах и университетах;</w:t>
      </w:r>
    </w:p>
    <w:p w:rsidR="000D7271" w:rsidRPr="000D7271" w:rsidRDefault="000D7271" w:rsidP="00DF33CC">
      <w:pPr>
        <w:pStyle w:val="SingleTxtGR"/>
        <w:ind w:left="1701"/>
      </w:pPr>
      <w:r w:rsidRPr="000D7271">
        <w:t>меры, которые должны приниматься правительством в области профилактики инвалидности, устанавливаются декретом;</w:t>
      </w:r>
    </w:p>
    <w:p w:rsidR="000D7271" w:rsidRPr="000D7271" w:rsidRDefault="000D7271" w:rsidP="00DF33CC">
      <w:pPr>
        <w:pStyle w:val="SingleTxtGR"/>
        <w:ind w:left="1701"/>
      </w:pPr>
      <w:r w:rsidRPr="000D7271">
        <w:t>департаменты министерств готовят и организуют кампании в средствах массовой информации по повышению осведомленности в своих областях ответственности;</w:t>
      </w:r>
    </w:p>
    <w:p w:rsidR="000D7271" w:rsidRPr="000D7271" w:rsidRDefault="000D7271" w:rsidP="00DF33CC">
      <w:pPr>
        <w:pStyle w:val="SingleTxtGR"/>
        <w:ind w:left="1701"/>
      </w:pPr>
      <w:r w:rsidRPr="000D7271">
        <w:t>государственные и частные информационно-коммуникационные организации распространяют программы по повышению информированности о причинах инвалидности и их последствиях;</w:t>
      </w:r>
    </w:p>
    <w:p w:rsidR="000D7271" w:rsidRPr="000D7271" w:rsidRDefault="000D7271" w:rsidP="00DF33CC">
      <w:pPr>
        <w:pStyle w:val="SingleTxtGR"/>
        <w:ind w:left="1701"/>
      </w:pPr>
      <w:r w:rsidRPr="000D7271">
        <w:t>кампании в средствах массовой информации по профилактике инвалидности предоставляются бесплатно государственными средствами массовой информации».</w:t>
      </w:r>
    </w:p>
    <w:p w:rsidR="000D7271" w:rsidRPr="000D7271" w:rsidRDefault="000D7271" w:rsidP="000D7271">
      <w:pPr>
        <w:pStyle w:val="SingleTxtGR"/>
      </w:pPr>
      <w:r w:rsidRPr="000D7271">
        <w:t>111.</w:t>
      </w:r>
      <w:r w:rsidRPr="000D7271">
        <w:tab/>
      </w:r>
      <w:proofErr w:type="gramStart"/>
      <w:r w:rsidRPr="000D7271">
        <w:t>В</w:t>
      </w:r>
      <w:proofErr w:type="gramEnd"/>
      <w:r w:rsidRPr="000D7271">
        <w:t xml:space="preserve"> этой связи реализовывались стратегии по повышению информированности среди населения и властей. Такое повышение осведомленности осуществляется путем принятия физических и моральных мер для предупреждения всех видов инвалидности за счет осуществления комплексных программ профилактики и информирования в областях здравоохранения, дорожного движения, на рабочих местах, в школах и университетах. </w:t>
      </w:r>
    </w:p>
    <w:p w:rsidR="000D7271" w:rsidRPr="000D7271" w:rsidRDefault="000D7271" w:rsidP="000D7271">
      <w:pPr>
        <w:pStyle w:val="SingleTxtGR"/>
        <w:rPr>
          <w:b/>
        </w:rPr>
      </w:pPr>
      <w:r w:rsidRPr="000D7271">
        <w:t>112.</w:t>
      </w:r>
      <w:r w:rsidRPr="000D7271">
        <w:tab/>
        <w:t>НПО «</w:t>
      </w:r>
      <w:proofErr w:type="spellStart"/>
      <w:r w:rsidRPr="000D7271">
        <w:t>Хэндикап</w:t>
      </w:r>
      <w:proofErr w:type="spellEnd"/>
      <w:r w:rsidRPr="000D7271">
        <w:t xml:space="preserve"> </w:t>
      </w:r>
      <w:proofErr w:type="spellStart"/>
      <w:r w:rsidRPr="000D7271">
        <w:t>интернэшнл</w:t>
      </w:r>
      <w:proofErr w:type="spellEnd"/>
      <w:r w:rsidRPr="000D7271">
        <w:t xml:space="preserve">» в партнерстве государством Сенегал подготовило и опубликовало множество вспомогательных информационных, образовательных и коммуникационных (ИОК) материалов по вопросам осуществления Закона об ориентации социальной политики в отношении инвалидности. </w:t>
      </w:r>
    </w:p>
    <w:p w:rsidR="000D7271" w:rsidRPr="000D7271" w:rsidRDefault="000D7271" w:rsidP="000D7271">
      <w:pPr>
        <w:pStyle w:val="SingleTxtGR"/>
      </w:pPr>
      <w:r w:rsidRPr="000D7271">
        <w:t>113.</w:t>
      </w:r>
      <w:r w:rsidRPr="000D7271">
        <w:tab/>
        <w:t xml:space="preserve">В соответствии с положениями статьи 13 Закона об ориентации политики в отношении прав инвалидов каждый министерский департамент в своей области ответственности также подготавливает и организует в средствах массовой информации кампании по повышению информированности, а государственные и частные информационно-коммуникационные учреждения обеспечивают трансляцию программ по повышению информированности о причинах и последствиях инвалидности. Кампании в средствах массовой информации по вопросам предупреждения инвалидности предоставляются государственными средствами массовой информации бесплатно. </w:t>
      </w:r>
    </w:p>
    <w:p w:rsidR="000D7271" w:rsidRPr="000D7271" w:rsidRDefault="000D7271" w:rsidP="000D7271">
      <w:pPr>
        <w:pStyle w:val="SingleTxtGR"/>
      </w:pPr>
      <w:r w:rsidRPr="000D7271">
        <w:t>114.</w:t>
      </w:r>
      <w:r w:rsidRPr="000D7271">
        <w:tab/>
        <w:t>Законом от 6 июля 2010 года Сенегал учредил национальную неделю инвалидов, проводимую каждый год в первую декаду декабря.</w:t>
      </w:r>
    </w:p>
    <w:p w:rsidR="000D7271" w:rsidRPr="000D7271" w:rsidRDefault="000D7271" w:rsidP="000D7271">
      <w:pPr>
        <w:pStyle w:val="SingleTxtGR"/>
      </w:pPr>
      <w:r w:rsidRPr="000D7271">
        <w:t>115.</w:t>
      </w:r>
      <w:r w:rsidRPr="000D7271">
        <w:tab/>
        <w:t>Например, 3 декабря 2013 года по случаю празднования Международного дня инвалидов в дом культуры «Дута сек» собралось множество инвалидов из разных регионов Сенегала и Африки (Буркина-Фасо, Мали, Мавритания, Бенин, Того, Руанда и Бурунди), чтобы продемонстрировать возможности и желание лиц, живущих с инвалидностью, вносить вклад в развитие своих стран, используя новые информационно-коммуникационные технологии с перспективой</w:t>
      </w:r>
      <w:r>
        <w:t xml:space="preserve"> </w:t>
      </w:r>
      <w:r w:rsidRPr="000D7271">
        <w:t xml:space="preserve">перехода от аналоговых к цифровым технологиям в 2015 году. </w:t>
      </w:r>
    </w:p>
    <w:p w:rsidR="000D7271" w:rsidRPr="000D7271" w:rsidRDefault="000D7271" w:rsidP="00DF33CC">
      <w:pPr>
        <w:pStyle w:val="SingleTxtGR"/>
        <w:keepLines/>
      </w:pPr>
      <w:r w:rsidRPr="000D7271">
        <w:t>116.</w:t>
      </w:r>
      <w:r w:rsidRPr="000D7271">
        <w:tab/>
        <w:t xml:space="preserve">Ежегодно Сенегал также организует Международный день борьбы с проказой. Так, в воскресенье, 26 января 2014 года, проведение этого Дня было организовано Министерством здравоохранения и социальной поддержки (МЗСП) в партнерстве с Ассоциацией по борьбе с проказой и туберкулезом (АБПТ), немецкой НПО. </w:t>
      </w:r>
    </w:p>
    <w:p w:rsidR="000D7271" w:rsidRPr="000D7271" w:rsidRDefault="000D7271" w:rsidP="000D7271">
      <w:pPr>
        <w:pStyle w:val="SingleTxtGR"/>
      </w:pPr>
      <w:r w:rsidRPr="000D7271">
        <w:t>117.</w:t>
      </w:r>
      <w:r w:rsidRPr="000D7271">
        <w:tab/>
        <w:t>В 2013 году в партнерстве с НПО «</w:t>
      </w:r>
      <w:proofErr w:type="spellStart"/>
      <w:r w:rsidRPr="000D7271">
        <w:t>Сайтсэйверс</w:t>
      </w:r>
      <w:proofErr w:type="spellEnd"/>
      <w:r w:rsidRPr="000D7271">
        <w:t xml:space="preserve">» это же учреждение организовало в </w:t>
      </w:r>
      <w:proofErr w:type="spellStart"/>
      <w:r w:rsidRPr="000D7271">
        <w:t>Зигиншоре</w:t>
      </w:r>
      <w:proofErr w:type="spellEnd"/>
      <w:r w:rsidRPr="000D7271">
        <w:t xml:space="preserve"> проведение «Дня белой трости», посвященного незрячим людям. </w:t>
      </w:r>
    </w:p>
    <w:p w:rsidR="000D7271" w:rsidRPr="000D7271" w:rsidRDefault="000D7271" w:rsidP="00DF33CC">
      <w:pPr>
        <w:pStyle w:val="HChGR"/>
      </w:pPr>
      <w:r w:rsidRPr="000D7271">
        <w:tab/>
      </w:r>
      <w:r w:rsidRPr="000D7271">
        <w:tab/>
        <w:t>Статья 9: Доступность</w:t>
      </w:r>
    </w:p>
    <w:p w:rsidR="000D7271" w:rsidRPr="000D7271" w:rsidRDefault="000D7271" w:rsidP="000D7271">
      <w:pPr>
        <w:pStyle w:val="SingleTxtGR"/>
      </w:pPr>
      <w:r w:rsidRPr="000D7271">
        <w:t>118.</w:t>
      </w:r>
      <w:r w:rsidRPr="000D7271">
        <w:tab/>
        <w:t xml:space="preserve">Государственные органы осознают важность доступности для инвалидов, поскольку она позволяет им вести независимый образ жизни и в полной мере участвовать во всех аспектах жизни на равной основе с другими людьми. </w:t>
      </w:r>
    </w:p>
    <w:p w:rsidR="000D7271" w:rsidRPr="000D7271" w:rsidRDefault="000D7271" w:rsidP="000D7271">
      <w:pPr>
        <w:pStyle w:val="SingleTxtGR"/>
      </w:pPr>
      <w:r w:rsidRPr="000D7271">
        <w:t>119.</w:t>
      </w:r>
      <w:r w:rsidRPr="000D7271">
        <w:tab/>
        <w:t xml:space="preserve">Доступность представляет собой глобальную концепцию, охватывающую здания и сооружения, дорожную инфраструктуру и средства связи. </w:t>
      </w:r>
    </w:p>
    <w:p w:rsidR="000D7271" w:rsidRPr="000D7271" w:rsidRDefault="000D7271" w:rsidP="000D7271">
      <w:pPr>
        <w:pStyle w:val="SingleTxtGR"/>
      </w:pPr>
      <w:r w:rsidRPr="000D7271">
        <w:t>120.</w:t>
      </w:r>
      <w:r w:rsidRPr="000D7271">
        <w:tab/>
      </w:r>
      <w:proofErr w:type="gramStart"/>
      <w:r w:rsidRPr="000D7271">
        <w:t>В</w:t>
      </w:r>
      <w:proofErr w:type="gramEnd"/>
      <w:r w:rsidRPr="000D7271">
        <w:t xml:space="preserve"> целях устранения препятствий и барьеров на пути обеспечения доступности для инвалидов государство Сенегал посредством Закона № 2010-15 от 6 июля 2010</w:t>
      </w:r>
      <w:r w:rsidR="00EB1E0E">
        <w:rPr>
          <w:lang w:val="en-US"/>
        </w:rPr>
        <w:t> </w:t>
      </w:r>
      <w:r w:rsidRPr="000D7271">
        <w:t xml:space="preserve">года об ориентации социальной политики определило динамику обеспечения доступности, позволяющей инвалидам вести нормальный образ жизни и в полной мере принимать участие в функционировании общества на равной основе с другими людьми. </w:t>
      </w:r>
    </w:p>
    <w:p w:rsidR="000D7271" w:rsidRPr="000D7271" w:rsidRDefault="000D7271" w:rsidP="000D7271">
      <w:pPr>
        <w:pStyle w:val="SingleTxtGR"/>
      </w:pPr>
      <w:r w:rsidRPr="000D7271">
        <w:t>121.</w:t>
      </w:r>
      <w:r w:rsidRPr="000D7271">
        <w:tab/>
        <w:t>В соответствии со статьей 31 этого закона «государство, местные органы власти и государственные и частные учреждения, открытые для общественности, в рамках своих соответствующих областей деятельности и в соответствии с международными стандартами обеспечения доступности адаптируют здания, дороги, тротуары, открытые пространства, транспорт и средства связи таким образом, чтобы предоставить инвалидам возможность доступа к ним, перемещения в их пределах, использования их услуг и получения от них преимуществ».</w:t>
      </w:r>
    </w:p>
    <w:p w:rsidR="000D7271" w:rsidRPr="000D7271" w:rsidRDefault="000D7271" w:rsidP="000D7271">
      <w:pPr>
        <w:pStyle w:val="SingleTxtGR"/>
      </w:pPr>
      <w:r w:rsidRPr="000D7271">
        <w:t>122.</w:t>
      </w:r>
      <w:r w:rsidRPr="000D7271">
        <w:tab/>
        <w:t xml:space="preserve">Разрешения на строительство, реконструкцию и восстановление зданий не выдаются компетентными органами, если планы работ не соответствуют стандартам, изложенным в статье 31 закона. </w:t>
      </w:r>
    </w:p>
    <w:p w:rsidR="000D7271" w:rsidRPr="000D7271" w:rsidRDefault="000D7271" w:rsidP="000D7271">
      <w:pPr>
        <w:pStyle w:val="SingleTxtGR"/>
      </w:pPr>
      <w:r w:rsidRPr="000D7271">
        <w:t>123.</w:t>
      </w:r>
      <w:r w:rsidRPr="000D7271">
        <w:tab/>
        <w:t xml:space="preserve">Кроме того, такие защитные меры подкрепляются Законом № 2009-23 от 8 июля 2009 года о Кодексе строительства, статья L5 которого предусматривает, что: </w:t>
      </w:r>
    </w:p>
    <w:p w:rsidR="00161DF6" w:rsidRDefault="000D7271" w:rsidP="00DF33CC">
      <w:pPr>
        <w:pStyle w:val="SingleTxtGR"/>
        <w:ind w:left="1701"/>
      </w:pPr>
      <w:r w:rsidRPr="000D7271">
        <w:t>«при строительстве и перепланировке архитектурных сооружений и зданий, служащих для целей:</w:t>
      </w:r>
      <w:r w:rsidR="00DF33CC" w:rsidRPr="00DF33CC">
        <w:t xml:space="preserve"> </w:t>
      </w:r>
    </w:p>
    <w:p w:rsidR="00161DF6" w:rsidRDefault="000D7271" w:rsidP="00161DF6">
      <w:pPr>
        <w:pStyle w:val="Bullet2GR"/>
      </w:pPr>
      <w:r w:rsidRPr="000D7271">
        <w:t xml:space="preserve">коллективного проживания или размещения работников; </w:t>
      </w:r>
    </w:p>
    <w:p w:rsidR="00161DF6" w:rsidRDefault="000D7271" w:rsidP="00161DF6">
      <w:pPr>
        <w:pStyle w:val="Bullet2GR"/>
      </w:pPr>
      <w:r w:rsidRPr="000D7271">
        <w:t xml:space="preserve">использования в качестве общественных зданий, предназначенных для обучения, в частности на общеобразовательном и университетском уровне; и </w:t>
      </w:r>
    </w:p>
    <w:p w:rsidR="00161DF6" w:rsidRDefault="000D7271" w:rsidP="00161DF6">
      <w:pPr>
        <w:pStyle w:val="Bullet2GR"/>
      </w:pPr>
      <w:r w:rsidRPr="000D7271">
        <w:t xml:space="preserve">использования в качестве медицинских учреждений, </w:t>
      </w:r>
    </w:p>
    <w:p w:rsidR="000D7271" w:rsidRPr="000D7271" w:rsidRDefault="000D7271" w:rsidP="00DF33CC">
      <w:pPr>
        <w:pStyle w:val="SingleTxtGR"/>
        <w:ind w:left="1701"/>
      </w:pPr>
      <w:r w:rsidRPr="000D7271">
        <w:t>должны соблюдаться строительные нормы для обеспечения доступа инвалидов».</w:t>
      </w:r>
    </w:p>
    <w:p w:rsidR="000D7271" w:rsidRPr="000D7271" w:rsidRDefault="000D7271" w:rsidP="000D7271">
      <w:pPr>
        <w:pStyle w:val="SingleTxtGR"/>
      </w:pPr>
      <w:r w:rsidRPr="000D7271">
        <w:t>124.</w:t>
      </w:r>
      <w:r w:rsidRPr="000D7271">
        <w:tab/>
        <w:t xml:space="preserve">Закон № 2009-23 от 8 июля 2009 года о строительном кодексе также содержит целый раздел, посвященный инвалидам. </w:t>
      </w:r>
    </w:p>
    <w:p w:rsidR="000D7271" w:rsidRPr="000D7271" w:rsidRDefault="000D7271" w:rsidP="000D7271">
      <w:pPr>
        <w:pStyle w:val="SingleTxtGR"/>
      </w:pPr>
      <w:r w:rsidRPr="000D7271">
        <w:t>125.</w:t>
      </w:r>
      <w:r w:rsidRPr="000D7271">
        <w:tab/>
      </w:r>
      <w:proofErr w:type="gramStart"/>
      <w:r w:rsidRPr="000D7271">
        <w:t>В</w:t>
      </w:r>
      <w:proofErr w:type="gramEnd"/>
      <w:r w:rsidRPr="000D7271">
        <w:t xml:space="preserve"> статьях R18-R34 Декрета № 2010-99 от 27 января 2010 года о порядке применения вышеуказанного Закона содержатся пояснения применимых норм в зависимости от того, идет ли речь о строительстве новых многоквартирных зданий или же о строительстве, создании или модификации общественных зданий и объектов, открытых для населения. Выдача разрешений на строительство таких программ зависит от соблюдения этих норм в рамках соответствующих архитектурных проектов.</w:t>
      </w:r>
    </w:p>
    <w:p w:rsidR="000D7271" w:rsidRPr="000D7271" w:rsidRDefault="000D7271" w:rsidP="000D7271">
      <w:pPr>
        <w:pStyle w:val="SingleTxtGR"/>
      </w:pPr>
      <w:r w:rsidRPr="000D7271">
        <w:t>126.</w:t>
      </w:r>
      <w:r w:rsidRPr="000D7271">
        <w:tab/>
        <w:t xml:space="preserve">Цель этих положений заключается в обеспечении доступности и мобильности, обеспечивая соблюдение строительных норм, требующих от разработчиков учета конкретных потребностей инвалидов, которые, как и другие граждане, должны иметь незатрудненный доступ к многоэтажным домам, общественным зданиям и другим сооружениями и возможность свободно перемещаться по ним. </w:t>
      </w:r>
    </w:p>
    <w:p w:rsidR="000D7271" w:rsidRPr="000D7271" w:rsidRDefault="000D7271" w:rsidP="000D7271">
      <w:pPr>
        <w:pStyle w:val="SingleTxtGR"/>
      </w:pPr>
      <w:r w:rsidRPr="000D7271">
        <w:t>127.</w:t>
      </w:r>
      <w:r w:rsidRPr="000D7271">
        <w:tab/>
        <w:t xml:space="preserve">Недавно Министерство городского планирования наделило Ассоциацию архитекторов Сенегала полномочиями по представлению проектов постановлений о доступности общественных зданий, объектов, открытых для населения, а также многоквартирных домов. Эти постановления позволят укрепить уже существующий механизм содействия обеспечению надлежащей мобильности лиц с инвалидностью внутри зданий и сооружений. </w:t>
      </w:r>
    </w:p>
    <w:p w:rsidR="000D7271" w:rsidRPr="000D7271" w:rsidRDefault="000D7271" w:rsidP="000D7271">
      <w:pPr>
        <w:pStyle w:val="SingleTxtGR"/>
      </w:pPr>
      <w:r w:rsidRPr="000D7271">
        <w:t>128.</w:t>
      </w:r>
      <w:r w:rsidRPr="000D7271">
        <w:tab/>
        <w:t>Кроме того, обладателям «карты равных возможностей» предоставляется скидка на проезд в общественном транспорте. Размер скидки устанавливается постановлением министра, ответственного за транспорт, после проведения консультаций с организациями работодателей в транспортном секторе. Аналогичным образом лицо, сопровождающее инвалида,</w:t>
      </w:r>
      <w:r>
        <w:t xml:space="preserve"> </w:t>
      </w:r>
      <w:r w:rsidRPr="000D7271">
        <w:t>пользуется такими же льготами для проезда.</w:t>
      </w:r>
    </w:p>
    <w:p w:rsidR="000D7271" w:rsidRPr="000D7271" w:rsidRDefault="000D7271" w:rsidP="000D7271">
      <w:pPr>
        <w:pStyle w:val="SingleTxtGR"/>
      </w:pPr>
      <w:r w:rsidRPr="000D7271">
        <w:t>129.</w:t>
      </w:r>
      <w:r w:rsidRPr="000D7271">
        <w:tab/>
        <w:t xml:space="preserve">Более того, специальные автотранспортные средства для инвалидов, которые ассоциации или организации инвалидов получают в качестве пожертвований или приобретают для перевозки инвалидов, освобождаются от пошлин и налоговых сборов. Для инвалидов, обладателей карты равных возможностей, также обеспечивается доступность за счет обеспечения возможности парковать свои транспортные средства перед местом работы. </w:t>
      </w:r>
    </w:p>
    <w:p w:rsidR="000D7271" w:rsidRPr="000D7271" w:rsidRDefault="000D7271" w:rsidP="00DF33CC">
      <w:pPr>
        <w:pStyle w:val="HChGR"/>
      </w:pPr>
      <w:r w:rsidRPr="000D7271">
        <w:tab/>
      </w:r>
      <w:r w:rsidRPr="000D7271">
        <w:tab/>
        <w:t>Статья 10: Право на жизнь</w:t>
      </w:r>
    </w:p>
    <w:p w:rsidR="000D7271" w:rsidRPr="000D7271" w:rsidRDefault="000D7271" w:rsidP="000D7271">
      <w:pPr>
        <w:pStyle w:val="SingleTxtGR"/>
      </w:pPr>
      <w:r w:rsidRPr="000D7271">
        <w:t>130.</w:t>
      </w:r>
      <w:r w:rsidRPr="000D7271">
        <w:tab/>
        <w:t>Конституция Сенегала содержит конкретное положение, защищающее право на жизнь. В частности, в статье 7 подчеркивается, что «человеческая личность священна и неприкосновенна. Государство обязано ее уважать и защищать. Каждый человек имеет право на жизнь, свободу, безопасность, свободное развитие личности, физическую неприкосновенность, включая защиту от всех физических увечий. Сенегальский народ признает существование неприкосновенных и неотчуждаемых прав человека как основу всей человеческой общности, мира и справедливости во всем мире. Все люди равны перед законом. Мужчины и женщины имеют равные права. Закон поощряет равный доступ мужчин и женщин к различным мандатам и должностям. В Сенегале нет привилегий в силу места рождения, личности или родственных связей».</w:t>
      </w:r>
    </w:p>
    <w:p w:rsidR="000D7271" w:rsidRPr="000D7271" w:rsidRDefault="000D7271" w:rsidP="000D7271">
      <w:pPr>
        <w:pStyle w:val="SingleTxtGR"/>
      </w:pPr>
      <w:r w:rsidRPr="000D7271">
        <w:t>131.</w:t>
      </w:r>
      <w:r w:rsidRPr="000D7271">
        <w:tab/>
        <w:t>В соответствии с этим положением детоубийство, аборт, отказ от выполнения родительских обязанностей и торговля детьми сурово наказываются по закону.</w:t>
      </w:r>
    </w:p>
    <w:p w:rsidR="000D7271" w:rsidRPr="000D7271" w:rsidRDefault="000D7271" w:rsidP="000D7271">
      <w:pPr>
        <w:pStyle w:val="SingleTxtGR"/>
      </w:pPr>
      <w:r w:rsidRPr="000D7271">
        <w:t>132.</w:t>
      </w:r>
      <w:r w:rsidRPr="000D7271">
        <w:tab/>
      </w:r>
      <w:proofErr w:type="gramStart"/>
      <w:r w:rsidRPr="000D7271">
        <w:t>В</w:t>
      </w:r>
      <w:proofErr w:type="gramEnd"/>
      <w:r w:rsidRPr="000D7271">
        <w:t xml:space="preserve"> статье 17 Конституции Сенегала указывается также, что «социальной обязанностью государства и государственных органов является обеспечение физического и морального здоровья семьи, в частности инвалидов и пожилых людей». </w:t>
      </w:r>
    </w:p>
    <w:p w:rsidR="000D7271" w:rsidRPr="000D7271" w:rsidRDefault="000D7271" w:rsidP="000D7271">
      <w:pPr>
        <w:pStyle w:val="SingleTxtGR"/>
      </w:pPr>
      <w:r w:rsidRPr="000D7271">
        <w:t>133.</w:t>
      </w:r>
      <w:r w:rsidRPr="000D7271">
        <w:tab/>
        <w:t xml:space="preserve">Кроме того, в дополнение к Конституции в Африканской хартии прав человека и народов, ратифицированной 13 августа 1982 года, в статье 4 уточняется, что «человеческая личность неприкосновенна. Каждый человек имеет право на уважение своей жизни и физической и моральной неприкосновенности своей личности: никто не может быть произвольно лишен этого права». </w:t>
      </w:r>
    </w:p>
    <w:p w:rsidR="000D7271" w:rsidRPr="000D7271" w:rsidRDefault="000D7271" w:rsidP="000D7271">
      <w:pPr>
        <w:pStyle w:val="SingleTxtGR"/>
      </w:pPr>
      <w:r w:rsidRPr="000D7271">
        <w:t>134.</w:t>
      </w:r>
      <w:r w:rsidRPr="000D7271">
        <w:tab/>
        <w:t>Кроме того, в статье 5 Хартии указано, что «каждый человек имеет право на уважение своего достоинства, присущего человеческой личности, и на признание своей правосубъектности. Все формы эксплуатации и унижения человека, в частности рабство, торговля людьми, физические или психические пытки, жестокие, бесчеловечные или унижающие достоинство виды обращения и наказания, запрещены».</w:t>
      </w:r>
    </w:p>
    <w:p w:rsidR="000D7271" w:rsidRPr="000D7271" w:rsidRDefault="000D7271" w:rsidP="000D7271">
      <w:pPr>
        <w:pStyle w:val="SingleTxtGR"/>
      </w:pPr>
      <w:r w:rsidRPr="000D7271">
        <w:t>135.</w:t>
      </w:r>
      <w:r w:rsidRPr="000D7271">
        <w:tab/>
        <w:t>Кроме того, смертная казнь была отменена в Сенегале на основании Закона № 2004-38 от 28 декабря 2004 года. Все эти положения безусловно применяются к инвалидам без какой-либо дискриминации. Инвалиды действительно наделены теми же правами, что и другие люди. Они не могут быть произвольно лишены жизни.</w:t>
      </w:r>
    </w:p>
    <w:p w:rsidR="000D7271" w:rsidRPr="000D7271" w:rsidRDefault="000D7271" w:rsidP="000D7271">
      <w:pPr>
        <w:pStyle w:val="SingleTxtGR"/>
      </w:pPr>
      <w:r w:rsidRPr="000D7271">
        <w:t>136.</w:t>
      </w:r>
      <w:r w:rsidRPr="000D7271">
        <w:tab/>
        <w:t xml:space="preserve">Кроме того, в Сенегале не допускается эвтаназия. Что касается абортов, то они допускаются только по медицинским показаниям. Аборты запрещены в соответствии со статьей 305 Уголовного кодекса Сенегала. </w:t>
      </w:r>
    </w:p>
    <w:p w:rsidR="000D7271" w:rsidRPr="000D7271" w:rsidRDefault="000D7271" w:rsidP="00DF33CC">
      <w:pPr>
        <w:pStyle w:val="HChGR"/>
      </w:pPr>
      <w:r w:rsidRPr="000D7271">
        <w:tab/>
      </w:r>
      <w:r w:rsidRPr="000D7271">
        <w:tab/>
        <w:t>Статья 11: Ситуации риска и чрезвычайные гуманитарные ситуации</w:t>
      </w:r>
    </w:p>
    <w:p w:rsidR="000D7271" w:rsidRPr="000D7271" w:rsidRDefault="000D7271" w:rsidP="000D7271">
      <w:pPr>
        <w:pStyle w:val="SingleTxtGR"/>
      </w:pPr>
      <w:r w:rsidRPr="000D7271">
        <w:t>137.</w:t>
      </w:r>
      <w:r w:rsidRPr="000D7271">
        <w:tab/>
        <w:t xml:space="preserve">Управление гражданской защиты несет ответственность за обеспечение в мирное время и во время войны защиты людей, а также за сохранение объектов, ресурсов и государственной и частной собственности. </w:t>
      </w:r>
    </w:p>
    <w:p w:rsidR="000D7271" w:rsidRPr="000D7271" w:rsidRDefault="000D7271" w:rsidP="000D7271">
      <w:pPr>
        <w:pStyle w:val="SingleTxtGR"/>
      </w:pPr>
      <w:r w:rsidRPr="000D7271">
        <w:t>138.</w:t>
      </w:r>
      <w:r w:rsidRPr="000D7271">
        <w:tab/>
        <w:t>Оно руководит работой различных служб гражданской защиты на всех уровнях.</w:t>
      </w:r>
    </w:p>
    <w:p w:rsidR="000D7271" w:rsidRPr="000D7271" w:rsidRDefault="000D7271" w:rsidP="000D7271">
      <w:pPr>
        <w:pStyle w:val="SingleTxtGR"/>
      </w:pPr>
      <w:r w:rsidRPr="000D7271">
        <w:t>139.</w:t>
      </w:r>
      <w:r w:rsidRPr="000D7271">
        <w:tab/>
        <w:t>Оно может распоряжаться, в частности, Национальным объединением служб пожарной охраны, Национальной службой гигиены, а также различными службами Министерства здравоохранения.</w:t>
      </w:r>
    </w:p>
    <w:p w:rsidR="000D7271" w:rsidRPr="000D7271" w:rsidRDefault="000D7271" w:rsidP="000D7271">
      <w:pPr>
        <w:pStyle w:val="SingleTxtGR"/>
      </w:pPr>
      <w:r w:rsidRPr="000D7271">
        <w:t>140.</w:t>
      </w:r>
      <w:r w:rsidRPr="000D7271">
        <w:tab/>
        <w:t xml:space="preserve">Управление гражданской обороны выполняет функции постоянного секретариата Верховной комиссии по гражданской защите. </w:t>
      </w:r>
    </w:p>
    <w:p w:rsidR="000D7271" w:rsidRPr="000D7271" w:rsidRDefault="000D7271" w:rsidP="000D7271">
      <w:pPr>
        <w:pStyle w:val="SingleTxtGR"/>
      </w:pPr>
      <w:r w:rsidRPr="000D7271">
        <w:t>141.</w:t>
      </w:r>
      <w:r w:rsidRPr="000D7271">
        <w:tab/>
      </w:r>
      <w:proofErr w:type="gramStart"/>
      <w:r w:rsidRPr="000D7271">
        <w:t>В</w:t>
      </w:r>
      <w:proofErr w:type="gramEnd"/>
      <w:r w:rsidRPr="000D7271">
        <w:t xml:space="preserve"> области предотвращения оно отвечает, в частности, за: </w:t>
      </w:r>
    </w:p>
    <w:p w:rsidR="000D7271" w:rsidRPr="000D7271" w:rsidRDefault="000D7271" w:rsidP="00DF33CC">
      <w:pPr>
        <w:pStyle w:val="Bullet1GR"/>
      </w:pPr>
      <w:r w:rsidRPr="000D7271">
        <w:t xml:space="preserve">подготовку проектов текстов, касающихся гражданской обороны; </w:t>
      </w:r>
    </w:p>
    <w:p w:rsidR="000D7271" w:rsidRPr="000D7271" w:rsidRDefault="000D7271" w:rsidP="00DF33CC">
      <w:pPr>
        <w:pStyle w:val="Bullet1GR"/>
      </w:pPr>
      <w:r w:rsidRPr="000D7271">
        <w:t>организацию совместно с региональными комиссиями и вспомогательными органами гражданской защиты и межведомственными техническими комитетами превентивных посещений общественных зданий, классифицированных объектов, высотных зданий и других учреждений, представляющих опасность;</w:t>
      </w:r>
    </w:p>
    <w:p w:rsidR="000D7271" w:rsidRPr="000D7271" w:rsidRDefault="000D7271" w:rsidP="00DF33CC">
      <w:pPr>
        <w:pStyle w:val="Bullet1GR"/>
      </w:pPr>
      <w:r w:rsidRPr="000D7271">
        <w:t>использование отчетов по итогам превентивных посещений;</w:t>
      </w:r>
    </w:p>
    <w:p w:rsidR="000D7271" w:rsidRPr="000D7271" w:rsidRDefault="000D7271" w:rsidP="00DF33CC">
      <w:pPr>
        <w:pStyle w:val="Bullet1GR"/>
      </w:pPr>
      <w:r w:rsidRPr="000D7271">
        <w:t>выпуск заключений в форме исследования на предмет безопасности запланированного строительства общественных зданий, классифицированных объектов и многоэтажных зданий. Такие заключения являются предварительным условием для выдачи разрешения на строительство;</w:t>
      </w:r>
    </w:p>
    <w:p w:rsidR="000D7271" w:rsidRPr="000D7271" w:rsidRDefault="000D7271" w:rsidP="00DF33CC">
      <w:pPr>
        <w:pStyle w:val="Bullet1GR"/>
      </w:pPr>
      <w:r w:rsidRPr="000D7271">
        <w:t>просвещение, информирование и осведомление населения по вопросам предотвращения рисков.</w:t>
      </w:r>
    </w:p>
    <w:p w:rsidR="000D7271" w:rsidRPr="000D7271" w:rsidRDefault="000D7271" w:rsidP="000D7271">
      <w:pPr>
        <w:pStyle w:val="SingleTxtGR"/>
      </w:pPr>
      <w:r w:rsidRPr="000D7271">
        <w:t>142.</w:t>
      </w:r>
      <w:r w:rsidRPr="000D7271">
        <w:tab/>
      </w:r>
      <w:proofErr w:type="gramStart"/>
      <w:r w:rsidRPr="000D7271">
        <w:t>В</w:t>
      </w:r>
      <w:proofErr w:type="gramEnd"/>
      <w:r w:rsidRPr="000D7271">
        <w:t xml:space="preserve"> области предупреждения и ликвидации чрезвычайных ситуаций перед Управлением гражданской защиты поставлены следующие задачи: </w:t>
      </w:r>
    </w:p>
    <w:p w:rsidR="000D7271" w:rsidRPr="000D7271" w:rsidRDefault="000D7271" w:rsidP="00DF33CC">
      <w:pPr>
        <w:pStyle w:val="Bullet1GR"/>
      </w:pPr>
      <w:r w:rsidRPr="000D7271">
        <w:t>разработка планов действий в чрезвычайных ситуациях, в частности плана ОРСЕК;</w:t>
      </w:r>
    </w:p>
    <w:p w:rsidR="000D7271" w:rsidRPr="000D7271" w:rsidRDefault="000D7271" w:rsidP="00DF33CC">
      <w:pPr>
        <w:pStyle w:val="Bullet1GR"/>
      </w:pPr>
      <w:r w:rsidRPr="000D7271">
        <w:t>формулирование заключений по конкретным планам реагирования (КПР) и планам внутренних операций (ПВО);</w:t>
      </w:r>
    </w:p>
    <w:p w:rsidR="000D7271" w:rsidRPr="000D7271" w:rsidRDefault="000D7271" w:rsidP="00DF33CC">
      <w:pPr>
        <w:pStyle w:val="Bullet1GR"/>
      </w:pPr>
      <w:r w:rsidRPr="000D7271">
        <w:t>создание региональных пулов ресурсов, которые могут быть задействованы в случае активации плана ОРСЕК, поскольку Управление гражданской защиты также возглавляет Национальный комитет управления ресурсами плана ОРСЕК;</w:t>
      </w:r>
    </w:p>
    <w:p w:rsidR="000D7271" w:rsidRPr="000D7271" w:rsidRDefault="000D7271" w:rsidP="00DF33CC">
      <w:pPr>
        <w:pStyle w:val="Bullet1GR"/>
      </w:pPr>
      <w:r w:rsidRPr="000D7271">
        <w:t>обеспечение ведения реестра резервистов службы гражданской защиты;</w:t>
      </w:r>
    </w:p>
    <w:p w:rsidR="000D7271" w:rsidRPr="000D7271" w:rsidRDefault="000D7271" w:rsidP="00DF33CC">
      <w:pPr>
        <w:pStyle w:val="Bullet1GR"/>
      </w:pPr>
      <w:r w:rsidRPr="000D7271">
        <w:t>разработка конкретных программ управления определенными рисками: восстановление и установка гидрантов, установка громоотводов и т. д.</w:t>
      </w:r>
    </w:p>
    <w:p w:rsidR="000D7271" w:rsidRPr="000D7271" w:rsidRDefault="000D7271" w:rsidP="000D7271">
      <w:pPr>
        <w:pStyle w:val="SingleTxtGR"/>
      </w:pPr>
      <w:r w:rsidRPr="000D7271">
        <w:t>143.</w:t>
      </w:r>
      <w:r w:rsidRPr="000D7271">
        <w:tab/>
        <w:t>Национальная противопожарная структура представляет собой военизированное учреждение, которое не проводит различия между лицами, которым оно оказывает поддержку, в частности такого различия, которое бы ущемляло интересы гражданских лиц с инвалидностью по сравнению с другими гражданскими лицами. Во время внешних операций она действует гуманно и в соответствии с нормами права. При оказании поддержки инвалидам она руководствуется нормами здравого смысла и уважения к людям.</w:t>
      </w:r>
    </w:p>
    <w:p w:rsidR="000D7271" w:rsidRPr="000D7271" w:rsidRDefault="000D7271" w:rsidP="00DF33CC">
      <w:pPr>
        <w:pStyle w:val="HChGR"/>
      </w:pPr>
      <w:r w:rsidRPr="000D7271">
        <w:tab/>
      </w:r>
      <w:r w:rsidRPr="000D7271">
        <w:tab/>
        <w:t>Статья 12: Равенство перед законом</w:t>
      </w:r>
    </w:p>
    <w:p w:rsidR="000D7271" w:rsidRPr="000D7271" w:rsidRDefault="000D7271" w:rsidP="000D7271">
      <w:pPr>
        <w:pStyle w:val="SingleTxtGR"/>
      </w:pPr>
      <w:r w:rsidRPr="000D7271">
        <w:t>144.</w:t>
      </w:r>
      <w:r w:rsidRPr="000D7271">
        <w:tab/>
      </w:r>
      <w:proofErr w:type="gramStart"/>
      <w:r w:rsidRPr="000D7271">
        <w:t>В</w:t>
      </w:r>
      <w:proofErr w:type="gramEnd"/>
      <w:r w:rsidRPr="000D7271">
        <w:t xml:space="preserve"> статье 340 Семейного кодекса Сенегала указано: «лица, достигшие восемнадцатилетнего возраста, обоих полов являются совершеннолетними и дееспособными для всех гражданских актов». В статье 339 уточняется, что «эмансипированное несовершеннолетнее лицо является дееспособным для всех гражданских актов». </w:t>
      </w:r>
    </w:p>
    <w:p w:rsidR="000D7271" w:rsidRPr="000D7271" w:rsidRDefault="000D7271" w:rsidP="000D7271">
      <w:pPr>
        <w:pStyle w:val="SingleTxtGR"/>
      </w:pPr>
      <w:r w:rsidRPr="000D7271">
        <w:t>145.</w:t>
      </w:r>
      <w:r w:rsidRPr="000D7271">
        <w:tab/>
      </w:r>
      <w:proofErr w:type="gramStart"/>
      <w:r w:rsidRPr="000D7271">
        <w:t>В</w:t>
      </w:r>
      <w:proofErr w:type="gramEnd"/>
      <w:r w:rsidRPr="000D7271">
        <w:t xml:space="preserve"> том же Кодексе, в частности, уточняется: «В случае когда умственные способности какого-либо лица долговременно нарушены по причине болезни, немощи или слабости в силу возраста, интересы этого лица обеспечиваются одной из схем социальной защиты применительно к недееспособным несовершеннолетним и совершеннолетним, находящимся под опекой или попечительством».</w:t>
      </w:r>
    </w:p>
    <w:p w:rsidR="000D7271" w:rsidRPr="000D7271" w:rsidRDefault="000D7271" w:rsidP="000D7271">
      <w:pPr>
        <w:pStyle w:val="SingleTxtGR"/>
      </w:pPr>
      <w:r w:rsidRPr="000D7271">
        <w:t>146.</w:t>
      </w:r>
      <w:r w:rsidRPr="000D7271">
        <w:tab/>
        <w:t xml:space="preserve">Так, недееспособными считаются лица, которые по закону лишены способности участвовать в гражданском обороте, с тем чтобы защитить их от их неопытности или ограниченности интеллектуальных способностей (статья 273 Семейного кодекса). Кроме того, присоединение государства Сенегал к международным договорам, включая Декларацию прав человека и гражданина 1789 года, Всеобщую декларацию прав человека 1948 года и международные пакты 1966 года, позволяет каждому гражданину в полной мере пользоваться своей правосубъектностью. </w:t>
      </w:r>
    </w:p>
    <w:p w:rsidR="000D7271" w:rsidRPr="000D7271" w:rsidRDefault="000D7271" w:rsidP="000D7271">
      <w:pPr>
        <w:pStyle w:val="SingleTxtGR"/>
      </w:pPr>
      <w:r w:rsidRPr="000D7271">
        <w:t>147.</w:t>
      </w:r>
      <w:r w:rsidRPr="000D7271">
        <w:tab/>
      </w:r>
      <w:proofErr w:type="gramStart"/>
      <w:r w:rsidRPr="000D7271">
        <w:t>В</w:t>
      </w:r>
      <w:proofErr w:type="gramEnd"/>
      <w:r w:rsidRPr="000D7271">
        <w:t xml:space="preserve"> своей Конституции от 22 января 2001 года государство Сенегал признает правосубъектность каждого гражданина, а также определенные свободы, но особенно развитие его личности. Статья 7 уточняет, что «каждый человек имеет право на жизнь, свободу, безопасность, свободное развитие личности, физическую неприкосновенность, включая защиту от всех физических увечий».</w:t>
      </w:r>
    </w:p>
    <w:p w:rsidR="000D7271" w:rsidRPr="000D7271" w:rsidRDefault="000D7271" w:rsidP="000D7271">
      <w:pPr>
        <w:pStyle w:val="SingleTxtGR"/>
      </w:pPr>
      <w:r w:rsidRPr="000D7271">
        <w:t>148.</w:t>
      </w:r>
      <w:r w:rsidRPr="000D7271">
        <w:tab/>
        <w:t>Признание правосубъектности инвалидов конкретно отражено в Законе об ориентации социальной политики № 2010-15 от 6 июля 2010 года, упомянутом выше.</w:t>
      </w:r>
    </w:p>
    <w:p w:rsidR="000D7271" w:rsidRPr="000D7271" w:rsidRDefault="000D7271" w:rsidP="000D7271">
      <w:pPr>
        <w:pStyle w:val="SingleTxtGR"/>
      </w:pPr>
      <w:r w:rsidRPr="000D7271">
        <w:t>149.</w:t>
      </w:r>
      <w:r w:rsidRPr="000D7271">
        <w:tab/>
        <w:t xml:space="preserve">Этот Закон определяет методы, которые должны быть приняты государством Сенегал для оказания помощи инвалидам в осуществлении ими своей правосубъектности и ведении своих финансовых дел. </w:t>
      </w:r>
    </w:p>
    <w:p w:rsidR="000D7271" w:rsidRPr="000D7271" w:rsidRDefault="000D7271" w:rsidP="000D7271">
      <w:pPr>
        <w:pStyle w:val="SingleTxtGR"/>
      </w:pPr>
      <w:r w:rsidRPr="000D7271">
        <w:t>150.</w:t>
      </w:r>
      <w:r w:rsidRPr="000D7271">
        <w:tab/>
        <w:t>Таким образом, обязывая государственные и частные учреждения адаптировать здания, дороги, тротуары, открытые пространства, транспортные средства и средства связи таким образом, чтобы инвалиды могли иметь к ним доступ, перемещаться в их пределах и пользоваться их услугами (статьи 33–34 данного Закона), государство следит за эффективным осуществлением правосубъектности этих лиц.</w:t>
      </w:r>
    </w:p>
    <w:p w:rsidR="000D7271" w:rsidRPr="000D7271" w:rsidRDefault="000D7271" w:rsidP="000D7271">
      <w:pPr>
        <w:pStyle w:val="SingleTxtGR"/>
      </w:pPr>
      <w:r w:rsidRPr="000D7271">
        <w:t>151.</w:t>
      </w:r>
      <w:r w:rsidRPr="000D7271">
        <w:tab/>
        <w:t>Кроме того, для того чтобы позволить инвалидам реально осуществлять свою правосубъектность на равной основе государство Сенегал на основании Закона от 6 июля 2010 года</w:t>
      </w:r>
      <w:r>
        <w:t xml:space="preserve"> </w:t>
      </w:r>
      <w:r w:rsidRPr="000D7271">
        <w:t>требует осуществлять стратегии повышения осведомленности и проводить просветительские кампании, направленные на законодательное признание инвалидов.</w:t>
      </w:r>
    </w:p>
    <w:p w:rsidR="000D7271" w:rsidRPr="000D7271" w:rsidRDefault="000D7271" w:rsidP="000D7271">
      <w:pPr>
        <w:pStyle w:val="SingleTxtGR"/>
      </w:pPr>
      <w:r w:rsidRPr="000D7271">
        <w:t>152.</w:t>
      </w:r>
      <w:r w:rsidRPr="000D7271">
        <w:tab/>
        <w:t>В Сенегале нет закона, предусматривающего лишение полной правосубъектности по причине инвалидности. Напротив, в дополнение к мерам, предусмотренным Законом от 6 июля 2010 года, были приняты меры для обеспечения полного осуществления правосубъектности инвалидов, в том числе в вопросах выборов и банковской деятельности.</w:t>
      </w:r>
    </w:p>
    <w:p w:rsidR="000D7271" w:rsidRPr="000D7271" w:rsidRDefault="000D7271" w:rsidP="00FE73EB">
      <w:pPr>
        <w:pStyle w:val="HChGR"/>
      </w:pPr>
      <w:r w:rsidRPr="000D7271">
        <w:tab/>
      </w:r>
      <w:r w:rsidRPr="000D7271">
        <w:tab/>
        <w:t>Статья 13: Доступ к правосудию</w:t>
      </w:r>
    </w:p>
    <w:p w:rsidR="000D7271" w:rsidRPr="000D7271" w:rsidRDefault="000D7271" w:rsidP="00161DF6">
      <w:pPr>
        <w:pStyle w:val="SingleTxtGR"/>
        <w:keepLines/>
      </w:pPr>
      <w:r w:rsidRPr="000D7271">
        <w:t>153.</w:t>
      </w:r>
      <w:r w:rsidRPr="000D7271">
        <w:tab/>
        <w:t xml:space="preserve">Судебная власть является независимой от законодательной и исполнительной власти. Судебная система Сенегала основана на французской модели и включает, в частности, Конституционный совет и Верховный суд, Счетную палату, а также суды различной инстанции. </w:t>
      </w:r>
    </w:p>
    <w:p w:rsidR="000D7271" w:rsidRPr="000D7271" w:rsidRDefault="000D7271" w:rsidP="000D7271">
      <w:pPr>
        <w:pStyle w:val="SingleTxtGR"/>
      </w:pPr>
      <w:r w:rsidRPr="000D7271">
        <w:t>154.</w:t>
      </w:r>
      <w:r w:rsidRPr="000D7271">
        <w:tab/>
        <w:t>Исполнительная власть осуществляется президентом республики и правительством. Глава государства избирается на основе всеобщего прямого голосования (по мажоритарной системе в ходе двух туров) на семилетний срок с возобновляемым мандатом. Он определяет политику государства, назначает премьер-министра, который является главой правительства, и по представлению премьер-министра назначает министров. Правительство проводит и координирует политику государства.</w:t>
      </w:r>
    </w:p>
    <w:p w:rsidR="000D7271" w:rsidRPr="000D7271" w:rsidRDefault="000D7271" w:rsidP="000D7271">
      <w:pPr>
        <w:pStyle w:val="SingleTxtGR"/>
      </w:pPr>
      <w:r w:rsidRPr="000D7271">
        <w:t>155.</w:t>
      </w:r>
      <w:r w:rsidRPr="000D7271">
        <w:tab/>
        <w:t xml:space="preserve">Законодательная инициатива принадлежит президенту республики, премьер-министру и депутатам. Президент республики вправе распустить Национальное собрание. Правительство подотчетно президенту и Национальному собранию. Экономический и социальный совет, который в 2012 году будет преобразован в Экономический, социальный и природоохранный совет (ЭСПС), завершает перечень государственных органов. </w:t>
      </w:r>
    </w:p>
    <w:p w:rsidR="000D7271" w:rsidRPr="000D7271" w:rsidRDefault="000D7271" w:rsidP="000D7271">
      <w:pPr>
        <w:pStyle w:val="SingleTxtGR"/>
      </w:pPr>
      <w:r w:rsidRPr="000D7271">
        <w:t>156.</w:t>
      </w:r>
      <w:r w:rsidRPr="000D7271">
        <w:tab/>
        <w:t xml:space="preserve">Государство Сенегал постоянно заботится об обеспечении беспрепятственного доступа к беспристрастному и независимому правосудию с процессуальными гарантиями. В действительности, правосудие является одним из основополагающих элементов правового государства. В Конституции Сенегала, приверженной принципу разделения властей, учреждается судебная власть, независимая от двух других ветвей власти </w:t>
      </w:r>
      <w:r>
        <w:t>–</w:t>
      </w:r>
      <w:r w:rsidRPr="000D7271">
        <w:t xml:space="preserve"> исполнительной и законодательной. В ней также провозглашается принцип независимости представителей судебной власти, занимающих судейские кресла. Принцип независимости судей подкрепляется специальными мерами защиты, которыми они пользуются на протяжении своей карьеры и</w:t>
      </w:r>
      <w:r>
        <w:t xml:space="preserve"> </w:t>
      </w:r>
      <w:r w:rsidRPr="000D7271">
        <w:t>кульминационным аспектом которых является невозможность их отстранения. Кроме того, независимость судей гарантируется предоставляемым им согласно Органическому закону № 92-27 от 30 мая 1992 года статусом, который может быть изменен парламентом только в соответствии со специальной процедурой квалифицированным большинством голосов.</w:t>
      </w:r>
    </w:p>
    <w:p w:rsidR="000D7271" w:rsidRPr="000D7271" w:rsidRDefault="000D7271" w:rsidP="000D7271">
      <w:pPr>
        <w:pStyle w:val="SingleTxtGR"/>
      </w:pPr>
      <w:r w:rsidRPr="000D7271">
        <w:t>157.</w:t>
      </w:r>
      <w:r w:rsidRPr="000D7271">
        <w:tab/>
        <w:t xml:space="preserve">Согласно этому статусу карьера судей находится в ведении Высшего совета судебной власти, состоящего преимущественно из судей высшего звена и избранных членов, назначаемых на коллегиальной основе из состава трех групп, составляющих судейский корпус. Глава государства является главой Высшего судебного совета, решения которого принимаются на основании консенсуса или голосования, если потребуется. Высший судебный совет принимает постановления о назначении судей на службу, их продвижении по службе, зачислении на службу и отстранении от службы. Совет также является дисциплинарным органом. </w:t>
      </w:r>
    </w:p>
    <w:p w:rsidR="000D7271" w:rsidRPr="000D7271" w:rsidRDefault="000D7271" w:rsidP="000D7271">
      <w:pPr>
        <w:pStyle w:val="SingleTxtGR"/>
      </w:pPr>
      <w:r w:rsidRPr="000D7271">
        <w:t>158.</w:t>
      </w:r>
      <w:r w:rsidRPr="000D7271">
        <w:tab/>
        <w:t xml:space="preserve">Для участников разбирательства, считающих себя пострадавшими, в Сенегальском законодательстве, в целом, предусматриваются способы правовой защиты для обжалования решений, которые являются неблагоприятными в отношении этих лиц, или для восстановления их прав, если они считают, что их права были нарушены. Судебная карта обеспечивает близость судов за счет наличия департаментских судов в департаментах и региональных судов в регионах. В стране действуют четыре апелляционных суда (Дакар, </w:t>
      </w:r>
      <w:proofErr w:type="spellStart"/>
      <w:r w:rsidRPr="000D7271">
        <w:t>Каолак</w:t>
      </w:r>
      <w:proofErr w:type="spellEnd"/>
      <w:r w:rsidRPr="000D7271">
        <w:t xml:space="preserve"> Сен-Луи и </w:t>
      </w:r>
      <w:proofErr w:type="spellStart"/>
      <w:r w:rsidRPr="000D7271">
        <w:t>Тиес</w:t>
      </w:r>
      <w:proofErr w:type="spellEnd"/>
      <w:r w:rsidRPr="000D7271">
        <w:t>), а еще один находится на этапе становления (</w:t>
      </w:r>
      <w:proofErr w:type="spellStart"/>
      <w:r w:rsidRPr="000D7271">
        <w:t>Зигиншор</w:t>
      </w:r>
      <w:proofErr w:type="spellEnd"/>
      <w:r w:rsidRPr="000D7271">
        <w:t xml:space="preserve">). </w:t>
      </w:r>
    </w:p>
    <w:p w:rsidR="000D7271" w:rsidRPr="000D7271" w:rsidRDefault="000D7271" w:rsidP="000D7271">
      <w:pPr>
        <w:pStyle w:val="SingleTxtGR"/>
      </w:pPr>
      <w:r w:rsidRPr="000D7271">
        <w:t>159.</w:t>
      </w:r>
      <w:r w:rsidRPr="000D7271">
        <w:tab/>
      </w:r>
      <w:proofErr w:type="gramStart"/>
      <w:r w:rsidRPr="000D7271">
        <w:t>В</w:t>
      </w:r>
      <w:proofErr w:type="gramEnd"/>
      <w:r w:rsidRPr="000D7271">
        <w:t xml:space="preserve"> соответствии со статьей 91 Конституции судебная власть является гарантом прав и свобод, а принцип ее независимости закреплен в статье 88. Судебную власть осуществляют Конституционный суд, Верховный суд, Счетная палата, а также суды различной инстанции. Эти два положения гарантируют право каждого человека на судебное разбирательство. Сенегальское законодательство признает также презумпцию невиновности, принцип законности правонарушений и наказаний, а также право на защиту, которое является абсолютным на всех стадиях и на всех уровнях судебных разбирательств. Это отражено в статье 9 Конституции. Эти положения получили дальнейшее развитие в Уголовном кодексе и Уголовно-процессуальном кодексе. Если в первом гарантируется законность правонарушений и наказаний, то во втором в различных положениях уточняются пути и средства, которые жертвы должны задействовать, чтобы воспользоваться государственной системой правосудия. Сенегальские суды принимают свои решения на полностью независимой основе. Если вынесенное решение не удовлетворяет потерпевшее лицо, то оно может обжаловать решение в вышестоящем суде. Истец может, в случае необходимости, обратиться к обжалованию в кассационном порядке. </w:t>
      </w:r>
    </w:p>
    <w:p w:rsidR="000D7271" w:rsidRPr="000D7271" w:rsidRDefault="000D7271" w:rsidP="000D7271">
      <w:pPr>
        <w:pStyle w:val="SingleTxtGR"/>
      </w:pPr>
      <w:r w:rsidRPr="000D7271">
        <w:t>160.</w:t>
      </w:r>
      <w:r w:rsidRPr="000D7271">
        <w:tab/>
        <w:t>Сенегальское законодательство предусматривает механизм исключения неконституционности, который позволяет гражданам поднять в Верховном суде вопрос о неконституционности какого-либо международного закона или конвенции. Кроме того, в целях защиты прав и свобод граждан от административного произвола статья 92 Конституции предусматривает средства правовой защиты в случае превышения полномочий. Иными словами, каждый гражданин, заинтересованный в отмене решения административного органа, может обратиться в административную палату Верховного суда на предмет обжалования такого решения. Статистические данные по этой категории разбирательств свидетельствуют о том, что эта практика хорошо закрепилась в Сенегале. И наконец, по вопросу, касающемуся средств правовой защиты в интересах граждан, можно отметить доступный гражданам механизм подачи иска о компенсации причиненного им ущерба. Подача такого иска осуществляется с соблюдением полной формальной процедуры.</w:t>
      </w:r>
    </w:p>
    <w:p w:rsidR="000D7271" w:rsidRPr="000D7271" w:rsidRDefault="000D7271" w:rsidP="000D7271">
      <w:pPr>
        <w:pStyle w:val="SingleTxtGR"/>
      </w:pPr>
      <w:r w:rsidRPr="000D7271">
        <w:t>161.</w:t>
      </w:r>
      <w:r w:rsidRPr="000D7271">
        <w:tab/>
        <w:t xml:space="preserve">Однако реальные вызовы с точки зрения обеспечения более широкого доступа граждан к правосудию связаны с нищетой и безграмотностью. На уровне Министерства юстиции разрабатываются инициативы, направленные на то, чтобы приблизить правосудие к гражданам и облегчить доступ к судам посредством реализации ряда проектов, в частности: </w:t>
      </w:r>
    </w:p>
    <w:p w:rsidR="000D7271" w:rsidRPr="000D7271" w:rsidRDefault="000D7271" w:rsidP="00FE73EB">
      <w:pPr>
        <w:pStyle w:val="Bullet1GR"/>
      </w:pPr>
      <w:r w:rsidRPr="000D7271">
        <w:t>проекта «Правосудие рядом», осуществляемого в партнерстве с французским Агентством по сотрудничеству, который направлен на создание по всей стране домов правосудия, специализирующихся в области посредничества, предоставления информации, юридических консультаций и правовой помощи;</w:t>
      </w:r>
    </w:p>
    <w:p w:rsidR="000D7271" w:rsidRPr="000D7271" w:rsidRDefault="000D7271" w:rsidP="00FE73EB">
      <w:pPr>
        <w:pStyle w:val="Bullet1GR"/>
      </w:pPr>
      <w:r w:rsidRPr="000D7271">
        <w:t>реформы карты судебных органов, направленной на создание судов первой инстанции и высших судов в населенных пунктах с многочисленным населением;</w:t>
      </w:r>
    </w:p>
    <w:p w:rsidR="000D7271" w:rsidRPr="000D7271" w:rsidRDefault="000D7271" w:rsidP="00FE73EB">
      <w:pPr>
        <w:pStyle w:val="Bullet1GR"/>
      </w:pPr>
      <w:r w:rsidRPr="000D7271">
        <w:t>юридической помощи, которая была оказана в 2012 году на 300 миллиардов, с тем чтобы позволить нуждающимся гражданам воспользоваться услугами адвоката.</w:t>
      </w:r>
    </w:p>
    <w:p w:rsidR="000D7271" w:rsidRPr="000D7271" w:rsidRDefault="000D7271" w:rsidP="000D7271">
      <w:pPr>
        <w:pStyle w:val="SingleTxtGR"/>
      </w:pPr>
      <w:r w:rsidRPr="000D7271">
        <w:t>162.</w:t>
      </w:r>
      <w:r w:rsidRPr="000D7271">
        <w:tab/>
        <w:t>Кроме того, из статьи 394 Уголовно-процессуального кодекса Сенегала следует, что «если подсудимым является глухонемое лицо, которое не умеет писать, то председатель суда в административном порядке назначает в качестве переводчика то лицо, которое чаще всего с ним общается». В любом случае, это лицо может воспользоваться помощью адвоката. Для неимущих слов населения, безусловно, предусмотрена правовая помощь.</w:t>
      </w:r>
    </w:p>
    <w:p w:rsidR="000D7271" w:rsidRPr="000D7271" w:rsidRDefault="000D7271" w:rsidP="000D7271">
      <w:pPr>
        <w:pStyle w:val="SingleTxtGR"/>
      </w:pPr>
      <w:r w:rsidRPr="000D7271">
        <w:t>163.</w:t>
      </w:r>
      <w:r w:rsidRPr="000D7271">
        <w:tab/>
        <w:t xml:space="preserve">Кроме того, Сенегал разработал в стране политику, позволяющую обеспечить доступ к правосудию для всех граждан на равной основе, в особенности для неимущих слоев населения. </w:t>
      </w:r>
    </w:p>
    <w:p w:rsidR="000D7271" w:rsidRPr="000D7271" w:rsidRDefault="000D7271" w:rsidP="000D7271">
      <w:pPr>
        <w:pStyle w:val="SingleTxtGR"/>
      </w:pPr>
      <w:r w:rsidRPr="000D7271">
        <w:t>164.</w:t>
      </w:r>
      <w:r w:rsidRPr="000D7271">
        <w:tab/>
      </w:r>
      <w:proofErr w:type="gramStart"/>
      <w:r w:rsidRPr="000D7271">
        <w:t>В</w:t>
      </w:r>
      <w:proofErr w:type="gramEnd"/>
      <w:r w:rsidRPr="000D7271">
        <w:t xml:space="preserve"> этой связи можно привести несколько примеров, включая создание Африканской сети комплексного развития (АСКР), юридических информационных центров (ЮИЦ) или служб информационно-правовой помощи для населения городских и сельских районов. </w:t>
      </w:r>
    </w:p>
    <w:p w:rsidR="000D7271" w:rsidRPr="000D7271" w:rsidRDefault="000D7271" w:rsidP="000D7271">
      <w:pPr>
        <w:pStyle w:val="SingleTxtGR"/>
      </w:pPr>
      <w:r w:rsidRPr="000D7271">
        <w:t>165.</w:t>
      </w:r>
      <w:r w:rsidRPr="000D7271">
        <w:tab/>
        <w:t>Существуют также организации, выступающие за доступ к правосудию для всех, такие как Гражданский форум, а также Сенегальский комитет по правам человека.</w:t>
      </w:r>
    </w:p>
    <w:p w:rsidR="000D7271" w:rsidRPr="000D7271" w:rsidRDefault="000D7271" w:rsidP="000D7271">
      <w:pPr>
        <w:pStyle w:val="SingleTxtGR"/>
      </w:pPr>
      <w:r w:rsidRPr="000D7271">
        <w:t>166.</w:t>
      </w:r>
      <w:r w:rsidRPr="000D7271">
        <w:tab/>
        <w:t>Кроме того, следует отметить Закон № 99-88 от 3 сентября 1999 года о создании домов правосудия, таких как бюро для участников судебных процессов на юридических факультетах, благодаря содействию со стороны французского Агентства по сотрудничеству, в целях оказания помощи всем гражданам, включая инвалидов, в получении доступа к правосудию.</w:t>
      </w:r>
    </w:p>
    <w:p w:rsidR="000D7271" w:rsidRPr="000D7271" w:rsidRDefault="000D7271" w:rsidP="000D7271">
      <w:pPr>
        <w:pStyle w:val="SingleTxtGR"/>
      </w:pPr>
      <w:r w:rsidRPr="000D7271">
        <w:t>167.</w:t>
      </w:r>
      <w:r w:rsidRPr="000D7271">
        <w:tab/>
        <w:t>Кроме того, в Сенегале все еще отсутствует система обучения с особым упором на права инвалидов, при этом обучение в области прав человека, особенно в отношении механизмов, касающихся соблюдения прав уязвимых лиц, и положений, запрещающих дискриминацию, интегрировано в учебные программы колледжей судебных органов, полиции и жандармерии.</w:t>
      </w:r>
    </w:p>
    <w:p w:rsidR="000D7271" w:rsidRPr="000D7271" w:rsidRDefault="000D7271" w:rsidP="00FE73EB">
      <w:pPr>
        <w:pStyle w:val="HChGR"/>
      </w:pPr>
      <w:r w:rsidRPr="000D7271">
        <w:tab/>
      </w:r>
      <w:r w:rsidRPr="000D7271">
        <w:tab/>
        <w:t>Статья 14: Свобода и личная неприкосновенность</w:t>
      </w:r>
    </w:p>
    <w:p w:rsidR="000D7271" w:rsidRPr="000D7271" w:rsidRDefault="000D7271" w:rsidP="000D7271">
      <w:pPr>
        <w:pStyle w:val="SingleTxtGR"/>
      </w:pPr>
      <w:r w:rsidRPr="000D7271">
        <w:t>168.</w:t>
      </w:r>
      <w:r w:rsidRPr="000D7271">
        <w:tab/>
        <w:t xml:space="preserve">Безопасность человеческой личности в ходе судебного разбирательства является конституционным правом в Сенегале, и согласно статье 9 Конституции посягательство на свободу и умышленное ограничение осуществления свободы является тяжким преступлением, сурово наказываемым по закону. </w:t>
      </w:r>
    </w:p>
    <w:p w:rsidR="000D7271" w:rsidRPr="000D7271" w:rsidRDefault="000D7271" w:rsidP="000D7271">
      <w:pPr>
        <w:pStyle w:val="SingleTxtGR"/>
      </w:pPr>
      <w:r w:rsidRPr="000D7271">
        <w:t>169.</w:t>
      </w:r>
      <w:r w:rsidRPr="000D7271">
        <w:tab/>
        <w:t>Это текст также закрепляет принцип отсутствия обратной силы уголовного права, который представляет собой одну из гарантий свободы, а также презумпцию невиновности и абсолютный характер права на защиту на всех стадиях разбирательства.</w:t>
      </w:r>
    </w:p>
    <w:p w:rsidR="000D7271" w:rsidRPr="000D7271" w:rsidRDefault="000D7271" w:rsidP="000D7271">
      <w:pPr>
        <w:pStyle w:val="SingleTxtGR"/>
      </w:pPr>
      <w:r w:rsidRPr="000D7271">
        <w:t>170.</w:t>
      </w:r>
      <w:r w:rsidRPr="000D7271">
        <w:tab/>
        <w:t xml:space="preserve">Для осуществления этих конституционных и договорных положений одним из основных принципов, характеризующих уголовную процедуру в Сенегале, является факт того, что любое посягательство на осуществление свободы или </w:t>
      </w:r>
      <w:proofErr w:type="gramStart"/>
      <w:r w:rsidRPr="000D7271">
        <w:t>лишение</w:t>
      </w:r>
      <w:proofErr w:type="gramEnd"/>
      <w:r w:rsidRPr="000D7271">
        <w:t xml:space="preserve"> или ограничение осуществления свободы может осуществляться только по распоряжению органа, уполномоченного законом, а именно судейского корпуса и корпуса сотрудников судебной полиции. Так, Уголовно-процессуальный кодекс установил очень строгие меры в отношении временного задержания по распоряжению сотрудника судебной полиции и содержания под стражей в соответствии с компетенцией судейского корпуса. За нарушения предусмотрены дисциплинарные и уголовные меры наказания.</w:t>
      </w:r>
    </w:p>
    <w:p w:rsidR="000D7271" w:rsidRPr="000D7271" w:rsidRDefault="000D7271" w:rsidP="00FE73EB">
      <w:pPr>
        <w:pStyle w:val="H23GR"/>
      </w:pPr>
      <w:r w:rsidRPr="000D7271">
        <w:tab/>
        <w:t>a)</w:t>
      </w:r>
      <w:r w:rsidRPr="000D7271">
        <w:tab/>
        <w:t xml:space="preserve">Правила, регулирующие временное задержание </w:t>
      </w:r>
    </w:p>
    <w:p w:rsidR="000D7271" w:rsidRPr="000D7271" w:rsidRDefault="000D7271" w:rsidP="000D7271">
      <w:pPr>
        <w:pStyle w:val="SingleTxtGR"/>
      </w:pPr>
      <w:r w:rsidRPr="000D7271">
        <w:t>171.</w:t>
      </w:r>
      <w:r w:rsidRPr="000D7271">
        <w:tab/>
        <w:t>Если для целей расследования сотрудник судебной полиции вынужден временно задержать одного или нескольких человек, то он не может задерживать их более 24 часов. В случае наличия серьезных и убедительных доказательств против какого-либо лица, достаточных для обоснования предъявления ему обвинения, сотрудник судебной полиции должен передать его в ведение прокурора республики или его представителя и не может задерживать его более 48 часов. В случае возникновения трудностей материального характера, связанных с осуществлением такой передачи, прокурор республики должен быть незамедлительно проинформирован об условиях и сроке передачи.</w:t>
      </w:r>
    </w:p>
    <w:p w:rsidR="000D7271" w:rsidRPr="000D7271" w:rsidRDefault="000D7271" w:rsidP="000D7271">
      <w:pPr>
        <w:pStyle w:val="SingleTxtGR"/>
      </w:pPr>
      <w:r w:rsidRPr="000D7271">
        <w:t>172.</w:t>
      </w:r>
      <w:r w:rsidRPr="000D7271">
        <w:tab/>
      </w:r>
      <w:proofErr w:type="gramStart"/>
      <w:r w:rsidRPr="000D7271">
        <w:t>В</w:t>
      </w:r>
      <w:proofErr w:type="gramEnd"/>
      <w:r w:rsidRPr="000D7271">
        <w:t xml:space="preserve"> обоих случаях сотрудник судебной полиции должен незамедлительно информировать прокурора республики, его представителя или, в соответствующих случаях, председателя департаментского суда, наделенного полномочиями прокурора республики, о мерах, которые он предпринял, и информировать задержанное лицо о причинах его задержания.</w:t>
      </w:r>
    </w:p>
    <w:p w:rsidR="000D7271" w:rsidRPr="000D7271" w:rsidRDefault="000D7271" w:rsidP="000D7271">
      <w:pPr>
        <w:pStyle w:val="SingleTxtGR"/>
      </w:pPr>
      <w:r w:rsidRPr="000D7271">
        <w:t>173.</w:t>
      </w:r>
      <w:r w:rsidRPr="000D7271">
        <w:tab/>
        <w:t>Если задержанное лицо является несовершеннолетним в возрасте от 13 до 18</w:t>
      </w:r>
      <w:r w:rsidR="00FE73EB">
        <w:t> </w:t>
      </w:r>
      <w:r w:rsidRPr="000D7271">
        <w:t>лет, то сотрудник судебной полиции должен содержать его в специальном помещении отдельно от совершеннолетних задержанных.</w:t>
      </w:r>
    </w:p>
    <w:p w:rsidR="000D7271" w:rsidRPr="000D7271" w:rsidRDefault="000D7271" w:rsidP="000D7271">
      <w:pPr>
        <w:pStyle w:val="SingleTxtGR"/>
      </w:pPr>
      <w:r w:rsidRPr="000D7271">
        <w:t>174.</w:t>
      </w:r>
      <w:r w:rsidRPr="000D7271">
        <w:tab/>
        <w:t>Мера временного задержания применяется под эффективным контролем прокурора республики, его представителя или, в соответствующих случаях, председателя департаментского суда, наделенного полномочиями прокурора республики.</w:t>
      </w:r>
    </w:p>
    <w:p w:rsidR="000D7271" w:rsidRPr="000D7271" w:rsidRDefault="000D7271" w:rsidP="000D7271">
      <w:pPr>
        <w:pStyle w:val="SingleTxtGR"/>
      </w:pPr>
      <w:r w:rsidRPr="000D7271">
        <w:t>175.</w:t>
      </w:r>
      <w:r w:rsidRPr="000D7271">
        <w:tab/>
      </w:r>
      <w:proofErr w:type="gramStart"/>
      <w:r w:rsidRPr="000D7271">
        <w:t>В</w:t>
      </w:r>
      <w:proofErr w:type="gramEnd"/>
      <w:r w:rsidRPr="000D7271">
        <w:t xml:space="preserve"> помещениях, где эта мера применяется, сотрудники судебной полиции обязаны вести журнал регистрации задержанных лиц с пронумерованными страницами, который должен быть завизирован представителем прокуратуры и должен предъявляться по требованию представителя судебной власти, ответственного за контроль применения этой меры.</w:t>
      </w:r>
    </w:p>
    <w:p w:rsidR="000D7271" w:rsidRPr="000D7271" w:rsidRDefault="000D7271" w:rsidP="000D7271">
      <w:pPr>
        <w:pStyle w:val="SingleTxtGR"/>
      </w:pPr>
      <w:r w:rsidRPr="000D7271">
        <w:t>176.</w:t>
      </w:r>
      <w:r w:rsidRPr="000D7271">
        <w:tab/>
        <w:t>Этот срок может быть продлен еще на 48 часов с санкции прокурора республики, его представителя или судебного следователя в письменной форме.</w:t>
      </w:r>
    </w:p>
    <w:p w:rsidR="000D7271" w:rsidRPr="000D7271" w:rsidRDefault="000D7271" w:rsidP="000D7271">
      <w:pPr>
        <w:pStyle w:val="SingleTxtGR"/>
      </w:pPr>
      <w:r w:rsidRPr="000D7271">
        <w:t>177.</w:t>
      </w:r>
      <w:r w:rsidRPr="000D7271">
        <w:tab/>
        <w:t>Однако в случае преступлений против государственной безопасности предусмотренные сроки удваиваются; они также удваиваются в отношении всех преступлений, совершенных во время осадного положения, чрезвычайного положения или во исполнение</w:t>
      </w:r>
      <w:r>
        <w:t xml:space="preserve"> </w:t>
      </w:r>
      <w:r w:rsidRPr="000D7271">
        <w:t>статьи 47 Конституции, но при этом эти два основания для удвоения срока не могут рассматриваться в совокупности.</w:t>
      </w:r>
    </w:p>
    <w:p w:rsidR="000D7271" w:rsidRPr="000D7271" w:rsidRDefault="000D7271" w:rsidP="000D7271">
      <w:pPr>
        <w:pStyle w:val="SingleTxtGR"/>
      </w:pPr>
      <w:r w:rsidRPr="000D7271">
        <w:t>178.</w:t>
      </w:r>
      <w:r w:rsidRPr="000D7271">
        <w:tab/>
      </w:r>
      <w:proofErr w:type="gramStart"/>
      <w:r w:rsidRPr="000D7271">
        <w:t>В</w:t>
      </w:r>
      <w:proofErr w:type="gramEnd"/>
      <w:r w:rsidRPr="000D7271">
        <w:t xml:space="preserve"> случае продления срока задержания сотрудник судебной полиции извещает задерживаемого о мотивах такого продления, ознакомив его с положениями статьи 56. Он уведомляет задерживаемого о его праве избрать себе защитника из числа признанных адвокатов или адвокатов, допущенных к практике в порядке стажировки. </w:t>
      </w:r>
    </w:p>
    <w:p w:rsidR="000D7271" w:rsidRPr="000D7271" w:rsidRDefault="000D7271" w:rsidP="000D7271">
      <w:pPr>
        <w:pStyle w:val="SingleTxtGR"/>
      </w:pPr>
      <w:r w:rsidRPr="000D7271">
        <w:t>179.</w:t>
      </w:r>
      <w:r w:rsidRPr="000D7271">
        <w:tab/>
        <w:t>Эти формальности обязательно заносятся в протокол допроса, в противном случае процедура считается недействительной.</w:t>
      </w:r>
    </w:p>
    <w:p w:rsidR="000D7271" w:rsidRPr="000D7271" w:rsidRDefault="000D7271" w:rsidP="000D7271">
      <w:pPr>
        <w:pStyle w:val="SingleTxtGR"/>
      </w:pPr>
      <w:r w:rsidRPr="000D7271">
        <w:t>180.</w:t>
      </w:r>
      <w:r w:rsidRPr="000D7271">
        <w:tab/>
      </w:r>
      <w:proofErr w:type="gramStart"/>
      <w:r w:rsidRPr="000D7271">
        <w:t>С</w:t>
      </w:r>
      <w:proofErr w:type="gramEnd"/>
      <w:r w:rsidRPr="000D7271">
        <w:t xml:space="preserve"> назначенным адвокатом связывается задержанное лицо или любое другое назначенное им лицо, или же, по умолчанию, сотрудник судебной полиции. Адвокат может поддерживать связь с задержанным лицом в условиях, гарантирующих конфиденциальность беседы, в том числе по телефону или с помощью других средств связи, если он не может прибыть как можно скорее для встречи. Если с выбранным адвокатом нет возможности связаться, то судебный сотрудник заносит это в протокол допроса задержанного лица. Сотрудник судебной полиции информирует адвоката о характере расследуемого преступления, или же его информирует об этом агент судебной полиции под контролем сотрудника судебной полиции. После встречи с задержанным лицом, которая не может превышать тридцати минут, адвокат, в случае необходимости, представляет свои замечания в письменном виде, которые прикрепляются к делу. Адвокат не может раскрывать подробности этой встречи кому-либо в течение периода задержания. Сотрудник судебной полиции заносит в протокол допроса любого задержанного лица предоставленную информацию и запросы, поданные в соответствии с законом. Занесение такой информации осуществляется непосредственно за подписью заинтересованного лица, а в случае его отказа это указывается. Без соблюдения этой процедуры протокол считается недействительным.</w:t>
      </w:r>
    </w:p>
    <w:p w:rsidR="000D7271" w:rsidRPr="000D7271" w:rsidRDefault="000D7271" w:rsidP="00FE73EB">
      <w:pPr>
        <w:pStyle w:val="H23GR"/>
      </w:pPr>
      <w:r w:rsidRPr="000D7271">
        <w:tab/>
        <w:t>b)</w:t>
      </w:r>
      <w:r w:rsidRPr="000D7271">
        <w:tab/>
        <w:t>Меры защиты и предотвращения пыток во время задержания</w:t>
      </w:r>
    </w:p>
    <w:p w:rsidR="000D7271" w:rsidRPr="000D7271" w:rsidRDefault="000D7271" w:rsidP="000D7271">
      <w:pPr>
        <w:pStyle w:val="SingleTxtGR"/>
        <w:rPr>
          <w:u w:val="single"/>
        </w:rPr>
      </w:pPr>
      <w:r w:rsidRPr="000D7271">
        <w:t>181.</w:t>
      </w:r>
      <w:r w:rsidRPr="000D7271">
        <w:tab/>
        <w:t>Если прокурор республики или его представитель сочтет это необходимым, он может запросить проведение медицинского освидетельствования задержанного лица врачом, которого он назначает сам, в любое время в течение предусмотренного срока. С таким же запросом и в тот же период времени к нему может обратиться задержанное лицо через сотрудника судебной полиции, какое-либо иное лицо или своего адвоката, в случае чего он должен распорядиться о проведении запрошенного медицинского освидетельствования. Такое медицинское освидетельствование проводится в месте, где содержится задержанное лицо, и в случае если прокурор республики не распорядится об ином, понесенные расходы покрываются запрашивающей стороной по предварительному согласованию. В последнем случае в акте о назначении указывается наличие такого внесения средств.</w:t>
      </w:r>
    </w:p>
    <w:p w:rsidR="000D7271" w:rsidRPr="000D7271" w:rsidRDefault="000D7271" w:rsidP="000D7271">
      <w:pPr>
        <w:pStyle w:val="SingleTxtGR"/>
      </w:pPr>
      <w:r w:rsidRPr="000D7271">
        <w:t>182.</w:t>
      </w:r>
      <w:r w:rsidRPr="000D7271">
        <w:tab/>
      </w:r>
      <w:proofErr w:type="gramStart"/>
      <w:r w:rsidRPr="000D7271">
        <w:t>В</w:t>
      </w:r>
      <w:proofErr w:type="gramEnd"/>
      <w:r w:rsidRPr="000D7271">
        <w:t xml:space="preserve"> протоколе допроса любого задержанного лица должны указываться дата и время начала задержания этого лица, причины задержания, продолжительность допросов, продолжительность периодов отдыха, а также дата и время, когда это лицо либо будет освобождено, либо предстанет перед компетентным судьей. Заинтересованные стороны должны дать расписку об ознакомлении с указанными выше подробностями, а в случае отказа это заносится в протокол, в противном случае протокол будет считаться недействительным. В учреждениях и службах, где сотрудники судебной полиции обязаны вести журнал показаний, указание предусмотренных в предыдущей статье подробностей и расписка об ознакомлении с ними должны быть занесены в этот журнал. В протоколах, передаваемых судебному органу, указываются только вышеупомянутые подробности.</w:t>
      </w:r>
    </w:p>
    <w:p w:rsidR="000D7271" w:rsidRPr="000D7271" w:rsidRDefault="000D7271" w:rsidP="000D7271">
      <w:pPr>
        <w:pStyle w:val="SingleTxtGR"/>
      </w:pPr>
      <w:r w:rsidRPr="000D7271">
        <w:t>183.</w:t>
      </w:r>
      <w:r w:rsidRPr="000D7271">
        <w:tab/>
      </w:r>
      <w:proofErr w:type="gramStart"/>
      <w:r w:rsidRPr="000D7271">
        <w:t>В</w:t>
      </w:r>
      <w:proofErr w:type="gramEnd"/>
      <w:r w:rsidRPr="000D7271">
        <w:t xml:space="preserve"> случае установления злоупотреблений со стороны сотрудников судебной полиции в период применения мер задержания прокурор республики или его заместитель уведомляет об этом Генерального прокурора, который передает дело в Обвинительную палату. Жертва таких злоупотреблений может подать жалобу в Обвинительную палату (Закон № 99-06 от 29 января 1999 года), которая в силу своих полномочий, предусмотренных статьями 213, 216 и 217 Уголовно-процессуального кодекса, может временно или окончательно отстранить от должности сотрудника судебной полиции, совершившего такое злоупотребление, или же передать дело прокурору для возбуждения судебного разбирательства, если она сочтет, что было совершено уголовное преступление. К этим положениям следует добавить статью 213 и последующие статьи Уголовно-процессуального кодекса, касающиеся надзора со стороны Обвинительной палаты за деятельностью сотрудников судебной полиции.</w:t>
      </w:r>
    </w:p>
    <w:p w:rsidR="000D7271" w:rsidRPr="000D7271" w:rsidRDefault="000D7271" w:rsidP="00FE73EB">
      <w:pPr>
        <w:pStyle w:val="H23GR"/>
      </w:pPr>
      <w:r w:rsidRPr="000D7271">
        <w:tab/>
        <w:t>c)</w:t>
      </w:r>
      <w:r w:rsidRPr="000D7271">
        <w:tab/>
        <w:t>Гарантии в отношении предварительного заключения</w:t>
      </w:r>
    </w:p>
    <w:p w:rsidR="000D7271" w:rsidRPr="000D7271" w:rsidRDefault="000D7271" w:rsidP="000D7271">
      <w:pPr>
        <w:pStyle w:val="SingleTxtGR"/>
      </w:pPr>
      <w:r w:rsidRPr="000D7271">
        <w:t>184.</w:t>
      </w:r>
      <w:r w:rsidRPr="000D7271">
        <w:tab/>
        <w:t>Стремление сохранить свободу человека также проявляется на уровне принятия решения о помещении обвиняемого в предварительное заключение в следующих случаях:</w:t>
      </w:r>
    </w:p>
    <w:p w:rsidR="000D7271" w:rsidRPr="000D7271" w:rsidRDefault="000D7271" w:rsidP="00FE73EB">
      <w:pPr>
        <w:pStyle w:val="Bullet1GR"/>
      </w:pPr>
      <w:r w:rsidRPr="000D7271">
        <w:t>в случаях проступков, за которые максимальное наказание составляет не более трех лет, обвиняемый, постоянно проживающий в Сенегале, не может содержаться в предварительном заключении более пяти дней;</w:t>
      </w:r>
    </w:p>
    <w:p w:rsidR="000D7271" w:rsidRPr="000D7271" w:rsidRDefault="000D7271" w:rsidP="00FE73EB">
      <w:pPr>
        <w:pStyle w:val="Bullet1GR"/>
      </w:pPr>
      <w:r w:rsidRPr="000D7271">
        <w:t>в аналогичных случаях обвиняемый, проживающий на регулярной основе в пределах юрисдикции суда, рассматривающего его дело, не может помещаться в предварительное заключение;</w:t>
      </w:r>
    </w:p>
    <w:p w:rsidR="000D7271" w:rsidRPr="000D7271" w:rsidRDefault="000D7271" w:rsidP="00FE73EB">
      <w:pPr>
        <w:pStyle w:val="Bullet1GR"/>
      </w:pPr>
      <w:r w:rsidRPr="000D7271">
        <w:t>наконец, в аналогичных случаях постановление о помещении в предварительное заключение, выданное следственным судьей, действительно только на срок до шести месяцев максимум.</w:t>
      </w:r>
    </w:p>
    <w:p w:rsidR="000D7271" w:rsidRPr="000D7271" w:rsidRDefault="000D7271" w:rsidP="000D7271">
      <w:pPr>
        <w:pStyle w:val="SingleTxtGR"/>
      </w:pPr>
      <w:r w:rsidRPr="000D7271">
        <w:t>185.</w:t>
      </w:r>
      <w:r w:rsidRPr="000D7271">
        <w:tab/>
        <w:t xml:space="preserve">В Сенегале не существует законодательных или нормативных положений, предусматривающих лишение свободы на основании инвалидности. Однако инвалидность учитывается в сенегальском Кодексе по наркотическим средствам в качестве отягчающего обстоятельства в случае, когда наркотические средства предоставляются или предлагаются несовершеннолетнему лицу, душевнобольному лицу или лицу, проходящему </w:t>
      </w:r>
      <w:proofErr w:type="spellStart"/>
      <w:r w:rsidRPr="000D7271">
        <w:t>дезинтоксикацию</w:t>
      </w:r>
      <w:proofErr w:type="spellEnd"/>
      <w:r w:rsidRPr="000D7271">
        <w:t xml:space="preserve">, либо в случае содействия употреблению данных средств такими лицами, а также когда несовершеннолетнее или душевнобольное лицо являлось участником правонарушения (статья 112). </w:t>
      </w:r>
    </w:p>
    <w:p w:rsidR="000D7271" w:rsidRPr="000D7271" w:rsidRDefault="000D7271" w:rsidP="00FE73EB">
      <w:pPr>
        <w:pStyle w:val="HChGR"/>
      </w:pPr>
      <w:r w:rsidRPr="000D7271">
        <w:tab/>
      </w:r>
      <w:r w:rsidRPr="000D7271">
        <w:tab/>
        <w:t>Статья 15: Свобода от пыток и жестоких, бесчеловечных или унижающих достоинство видов обращения и</w:t>
      </w:r>
      <w:r w:rsidR="00FE73EB">
        <w:t> </w:t>
      </w:r>
      <w:r w:rsidRPr="000D7271">
        <w:t>наказания</w:t>
      </w:r>
    </w:p>
    <w:p w:rsidR="000D7271" w:rsidRPr="000D7271" w:rsidRDefault="000D7271" w:rsidP="000D7271">
      <w:pPr>
        <w:pStyle w:val="SingleTxtGR"/>
      </w:pPr>
      <w:r w:rsidRPr="000D7271">
        <w:t>186.</w:t>
      </w:r>
      <w:r w:rsidRPr="000D7271">
        <w:tab/>
      </w:r>
      <w:proofErr w:type="gramStart"/>
      <w:r w:rsidRPr="000D7271">
        <w:t>В</w:t>
      </w:r>
      <w:proofErr w:type="gramEnd"/>
      <w:r w:rsidRPr="000D7271">
        <w:t xml:space="preserve"> целях выполнения своих международных обязательств, в частности Конвенции против пыток, на основании сенегальского Закона № 96-15 от 28 августа 1996 года в Уголовный кодекс была внесена статья 296-1, касающаяся признания пыток преступным деянием.</w:t>
      </w:r>
    </w:p>
    <w:p w:rsidR="000D7271" w:rsidRPr="000D7271" w:rsidRDefault="000D7271" w:rsidP="000D7271">
      <w:pPr>
        <w:pStyle w:val="SingleTxtGR"/>
      </w:pPr>
      <w:r w:rsidRPr="000D7271">
        <w:t>187.</w:t>
      </w:r>
      <w:r w:rsidRPr="000D7271">
        <w:tab/>
        <w:t>В соответствии с Факультативным протоколом к Конвенции против пыток от 18 декабря 2002 года, ратифицированным 20 сентября 2006 года, Национальная Ассамблея Сенегала также приняла Закон № 2009-13 от 2 марта 2009 года о создании нового механизма по предупреждению пыток, получившего название Национального органа надзора за местами лишения свободы. Этот Закон был подготовлен в тесном сотрудничестве с гражданским обществом в рамках соблюдения обязательства государств-участников по созданию национальных механизмов по предупреждению пыток. Целью этого учреждения, которое является полностью автономным, является, в частности, предупреждение пыток в местах содержания под стражей и обеспечение их соответствия международным стандартам.</w:t>
      </w:r>
    </w:p>
    <w:p w:rsidR="000D7271" w:rsidRPr="000D7271" w:rsidRDefault="000D7271" w:rsidP="000D7271">
      <w:pPr>
        <w:pStyle w:val="SingleTxtGR"/>
      </w:pPr>
      <w:r w:rsidRPr="000D7271">
        <w:t>188.</w:t>
      </w:r>
      <w:r w:rsidRPr="000D7271">
        <w:tab/>
        <w:t xml:space="preserve">Поскольку пытки, как правило, совершаются государственными должностными лицами, особенно на стадии предварительного следствия (статья 55 и последующие статьи Уголовно-процессуального кодекса), сенегальское законодательство предусматривает возможность для жертв злоупотреблений со стороны сотрудников судебной полиции, совершенных в период временного задержания, обращаться непосредственно в Обвинительную палату Апелляционного суда, которая может вынести решение об отстранении ответственного сотрудника судебной полиции. </w:t>
      </w:r>
    </w:p>
    <w:p w:rsidR="000D7271" w:rsidRPr="000D7271" w:rsidRDefault="000D7271" w:rsidP="000D7271">
      <w:pPr>
        <w:pStyle w:val="SingleTxtGR"/>
      </w:pPr>
      <w:r w:rsidRPr="000D7271">
        <w:t>189.</w:t>
      </w:r>
      <w:r w:rsidRPr="000D7271">
        <w:tab/>
        <w:t xml:space="preserve">Кроме того, в 2000 году государство Сенегал учредило стандарты в области исполнения приговоров. Так, Закон № 2000-38 года о внесении изменений в Уголовный кодекс и Закон № 2000-39 о внесении изменений в Уголовно-процессуальный кодекс, обнародованные 29 декабря 2000 года, учредили должность судьи по исполнению наказаний, ответственного за наблюдение за условиями содержания под стражей. </w:t>
      </w:r>
    </w:p>
    <w:p w:rsidR="000D7271" w:rsidRPr="000D7271" w:rsidRDefault="000D7271" w:rsidP="000D7271">
      <w:pPr>
        <w:pStyle w:val="SingleTxtGR"/>
      </w:pPr>
      <w:r w:rsidRPr="000D7271">
        <w:t>190.</w:t>
      </w:r>
      <w:r w:rsidRPr="000D7271">
        <w:tab/>
        <w:t>Кроме того, в статье 46 вышеупомянутого Закона об ориентации социальной политики от 6 июля 2010 года предусмотрено, что «администрация пенитенциарных учреждений учитывает состояние заключенных-инвалидов».</w:t>
      </w:r>
    </w:p>
    <w:p w:rsidR="000D7271" w:rsidRPr="000D7271" w:rsidRDefault="000D7271" w:rsidP="00FE73EB">
      <w:pPr>
        <w:pStyle w:val="HChGR"/>
      </w:pPr>
      <w:r w:rsidRPr="000D7271">
        <w:tab/>
      </w:r>
      <w:r w:rsidRPr="000D7271">
        <w:tab/>
        <w:t>Статья 16: Свобода от эксплуатации, насилия и</w:t>
      </w:r>
      <w:r w:rsidR="00FE73EB">
        <w:t> </w:t>
      </w:r>
      <w:r w:rsidRPr="000D7271">
        <w:t>надругательства</w:t>
      </w:r>
    </w:p>
    <w:p w:rsidR="000D7271" w:rsidRPr="000D7271" w:rsidRDefault="000D7271" w:rsidP="000D7271">
      <w:pPr>
        <w:pStyle w:val="SingleTxtGR"/>
      </w:pPr>
      <w:r w:rsidRPr="000D7271">
        <w:t>191.</w:t>
      </w:r>
      <w:r w:rsidRPr="000D7271">
        <w:tab/>
        <w:t>Сенегальский Уголовный кодекс предусматривает конкретные меры наказания, в частности в статье 294 предусматривается отягчение вины, когда насилие совершается в отношении особо уязвимого лица, т.е. в отношении инвалидов.</w:t>
      </w:r>
    </w:p>
    <w:p w:rsidR="000D7271" w:rsidRPr="000D7271" w:rsidRDefault="000D7271" w:rsidP="000D7271">
      <w:pPr>
        <w:pStyle w:val="SingleTxtGR"/>
      </w:pPr>
      <w:r w:rsidRPr="000D7271">
        <w:t>192.</w:t>
      </w:r>
      <w:r w:rsidRPr="000D7271">
        <w:tab/>
        <w:t>С 2009 года был принят ряд законодательных и нормативных мер, в том числе:</w:t>
      </w:r>
    </w:p>
    <w:p w:rsidR="000D7271" w:rsidRPr="000D7271" w:rsidRDefault="000D7271" w:rsidP="00FE73EB">
      <w:pPr>
        <w:pStyle w:val="Bullet1GR"/>
      </w:pPr>
      <w:r w:rsidRPr="000D7271">
        <w:t>Закон № 2005-02 от 25 апреля 2005 года о торговлей людьми и аналогичных видах практики и о защите жертв, который предусматривает уголовную ответственность за торговлю людьми и эксплуатацию, сопоставимую с порабощением, включая преступные деяния в форме изъятия человеческих органов; в соответствии с этим законом в Сенегале было учреждено Национальное управление по борьбе с торговлей людьми;</w:t>
      </w:r>
    </w:p>
    <w:p w:rsidR="000D7271" w:rsidRPr="000D7271" w:rsidRDefault="000D7271" w:rsidP="00FE73EB">
      <w:pPr>
        <w:pStyle w:val="Bullet1GR"/>
      </w:pPr>
      <w:r w:rsidRPr="000D7271">
        <w:t>Закон № 2008-61 от 24 сентября 2008 года о ратификации Международной конвенции для защиты всех лиц от насильственных исчезновений, принятой 20</w:t>
      </w:r>
      <w:r w:rsidR="00FE73EB">
        <w:t> </w:t>
      </w:r>
      <w:r w:rsidRPr="000D7271">
        <w:t>декабря 2006 года;</w:t>
      </w:r>
    </w:p>
    <w:p w:rsidR="000D7271" w:rsidRPr="000D7271" w:rsidRDefault="000D7271" w:rsidP="00FE73EB">
      <w:pPr>
        <w:pStyle w:val="Bullet1GR"/>
      </w:pPr>
      <w:r w:rsidRPr="000D7271">
        <w:t xml:space="preserve">Закон № 2009-13 от 2 марта 2009 года об учреждении Национального органа надзора за местами лишения свободы, упомянутого выше. </w:t>
      </w:r>
    </w:p>
    <w:p w:rsidR="000D7271" w:rsidRPr="000D7271" w:rsidRDefault="000D7271" w:rsidP="000D7271">
      <w:pPr>
        <w:pStyle w:val="SingleTxtGR"/>
      </w:pPr>
      <w:r w:rsidRPr="000D7271">
        <w:t>193.</w:t>
      </w:r>
      <w:r w:rsidRPr="000D7271">
        <w:tab/>
        <w:t>Кроме того, Закон об ориентации социальной политики № 2010-15 от 6 июля 2010 года о поощрении и защите прав инвалидов (статья 5) в дополнение к мерам защиты, помощи и поддержки закрепляет, в частности, обращение с инвалидами и уход за ними в форме обязательств государства.</w:t>
      </w:r>
    </w:p>
    <w:p w:rsidR="000D7271" w:rsidRPr="000D7271" w:rsidRDefault="000D7271" w:rsidP="000D7271">
      <w:pPr>
        <w:pStyle w:val="SingleTxtGR"/>
      </w:pPr>
      <w:r w:rsidRPr="000D7271">
        <w:t>194.</w:t>
      </w:r>
      <w:r w:rsidRPr="000D7271">
        <w:tab/>
      </w:r>
      <w:proofErr w:type="gramStart"/>
      <w:r w:rsidRPr="000D7271">
        <w:t>В</w:t>
      </w:r>
      <w:proofErr w:type="gramEnd"/>
      <w:r w:rsidRPr="000D7271">
        <w:t xml:space="preserve"> дополнение к этому в 2009 году в Сенегале был принят Национальный план действий по борьбе с торговлей людьми. Такая борьба с торговлей людьми охватывает также положение детей-талибе. </w:t>
      </w:r>
    </w:p>
    <w:p w:rsidR="000D7271" w:rsidRPr="000D7271" w:rsidRDefault="000D7271" w:rsidP="00FE73EB">
      <w:pPr>
        <w:pStyle w:val="HChGR"/>
      </w:pPr>
      <w:r w:rsidRPr="000D7271">
        <w:tab/>
      </w:r>
      <w:r w:rsidRPr="000D7271">
        <w:tab/>
        <w:t>Статья 17: Защита личной целостности</w:t>
      </w:r>
    </w:p>
    <w:p w:rsidR="000D7271" w:rsidRPr="000D7271" w:rsidRDefault="000D7271" w:rsidP="000D7271">
      <w:pPr>
        <w:pStyle w:val="SingleTxtGR"/>
      </w:pPr>
      <w:r w:rsidRPr="000D7271">
        <w:t>195.</w:t>
      </w:r>
      <w:r w:rsidRPr="000D7271">
        <w:tab/>
        <w:t xml:space="preserve">Защита инвалидов хорошо учитывается в сенегальском Законе № 2009-17 от 9 марта 2009 года о Кодексе этики при проведении медицинских исследований. Так, в статье 7 этого Закона предусматривается, что </w:t>
      </w:r>
    </w:p>
    <w:p w:rsidR="000D7271" w:rsidRPr="000D7271" w:rsidRDefault="000D7271" w:rsidP="00FE73EB">
      <w:pPr>
        <w:pStyle w:val="SingleTxtGR"/>
        <w:ind w:left="1701"/>
      </w:pPr>
      <w:r w:rsidRPr="000D7271">
        <w:t>«любые исследования, объектом которых является человек, должны проводиться в соответствии со следующими принципами:</w:t>
      </w:r>
    </w:p>
    <w:p w:rsidR="000D7271" w:rsidRPr="000D7271" w:rsidRDefault="000D7271" w:rsidP="00FE73EB">
      <w:pPr>
        <w:pStyle w:val="Bullet2GR"/>
      </w:pPr>
      <w:r w:rsidRPr="000D7271">
        <w:t>свободное и осознанное согласие лица, в отношении которого проводится исследование;</w:t>
      </w:r>
    </w:p>
    <w:p w:rsidR="000D7271" w:rsidRPr="000D7271" w:rsidRDefault="000D7271" w:rsidP="00FE73EB">
      <w:pPr>
        <w:pStyle w:val="Bullet2GR"/>
      </w:pPr>
      <w:r w:rsidRPr="000D7271">
        <w:t>уважение человеческого достоинства и соблюдение прав человека;</w:t>
      </w:r>
    </w:p>
    <w:p w:rsidR="000D7271" w:rsidRPr="000D7271" w:rsidRDefault="00FE73EB" w:rsidP="00FE73EB">
      <w:pPr>
        <w:pStyle w:val="Bullet2GR"/>
      </w:pPr>
      <w:r>
        <w:t>«</w:t>
      </w:r>
      <w:r w:rsidR="000D7271" w:rsidRPr="000D7271">
        <w:t>благоприятные воздействия</w:t>
      </w:r>
      <w:r>
        <w:t>»</w:t>
      </w:r>
      <w:r w:rsidR="000D7271" w:rsidRPr="000D7271">
        <w:t xml:space="preserve"> должны быть более значительными по отношению к </w:t>
      </w:r>
      <w:r>
        <w:t>«</w:t>
      </w:r>
      <w:r w:rsidR="000D7271" w:rsidRPr="000D7271">
        <w:t>неблагоприятным последствиям</w:t>
      </w:r>
      <w:r>
        <w:t>»</w:t>
      </w:r>
      <w:r w:rsidR="000D7271" w:rsidRPr="000D7271">
        <w:t xml:space="preserve"> для участника; </w:t>
      </w:r>
    </w:p>
    <w:p w:rsidR="000D7271" w:rsidRPr="000D7271" w:rsidRDefault="000D7271" w:rsidP="00FE73EB">
      <w:pPr>
        <w:pStyle w:val="Bullet2GR"/>
      </w:pPr>
      <w:r w:rsidRPr="000D7271">
        <w:t>уважение автономии личности и личной ответственности;</w:t>
      </w:r>
    </w:p>
    <w:p w:rsidR="000D7271" w:rsidRPr="000D7271" w:rsidRDefault="000D7271" w:rsidP="00FE73EB">
      <w:pPr>
        <w:pStyle w:val="Bullet2GR"/>
      </w:pPr>
      <w:r w:rsidRPr="000D7271">
        <w:t>учет человеческой уязвимости и уважение физической и моральной неприкосновенности;</w:t>
      </w:r>
    </w:p>
    <w:p w:rsidR="000D7271" w:rsidRPr="000D7271" w:rsidRDefault="000D7271" w:rsidP="00FE73EB">
      <w:pPr>
        <w:pStyle w:val="Bullet2GR"/>
      </w:pPr>
      <w:r w:rsidRPr="000D7271">
        <w:t>учет вопросов равенства, справедливости и равноправия в процессе разработки и проведения исследования;</w:t>
      </w:r>
    </w:p>
    <w:p w:rsidR="000D7271" w:rsidRPr="000D7271" w:rsidRDefault="000D7271" w:rsidP="00FE73EB">
      <w:pPr>
        <w:pStyle w:val="Bullet2GR"/>
      </w:pPr>
      <w:r w:rsidRPr="000D7271">
        <w:t>недопущение дискриминации и стигматизации, уважение культурного многообразия и плюрализма;</w:t>
      </w:r>
    </w:p>
    <w:p w:rsidR="000D7271" w:rsidRPr="000D7271" w:rsidRDefault="000D7271" w:rsidP="00FE73EB">
      <w:pPr>
        <w:pStyle w:val="Bullet2GR"/>
      </w:pPr>
      <w:r w:rsidRPr="000D7271">
        <w:t>солидарность и сотрудничество;</w:t>
      </w:r>
    </w:p>
    <w:p w:rsidR="000D7271" w:rsidRPr="000D7271" w:rsidRDefault="000D7271" w:rsidP="00FE73EB">
      <w:pPr>
        <w:pStyle w:val="Bullet2GR"/>
      </w:pPr>
      <w:r w:rsidRPr="000D7271">
        <w:t>совместное использование выгод;</w:t>
      </w:r>
    </w:p>
    <w:p w:rsidR="000D7271" w:rsidRPr="000D7271" w:rsidRDefault="000D7271" w:rsidP="00FE73EB">
      <w:pPr>
        <w:pStyle w:val="Bullet2GR"/>
      </w:pPr>
      <w:r w:rsidRPr="000D7271">
        <w:t>соблюдение анонимности;</w:t>
      </w:r>
    </w:p>
    <w:p w:rsidR="000D7271" w:rsidRPr="000D7271" w:rsidRDefault="000D7271" w:rsidP="00FE73EB">
      <w:pPr>
        <w:pStyle w:val="Bullet2GR"/>
      </w:pPr>
      <w:r w:rsidRPr="000D7271">
        <w:t>неприкосновенность частной жизни и конфиденциальность;</w:t>
      </w:r>
    </w:p>
    <w:p w:rsidR="000D7271" w:rsidRPr="000D7271" w:rsidRDefault="000D7271" w:rsidP="00FE73EB">
      <w:pPr>
        <w:pStyle w:val="Bullet2GR"/>
      </w:pPr>
      <w:r w:rsidRPr="000D7271">
        <w:t>учет религиозных убеждений и социокультурных видов практики;</w:t>
      </w:r>
    </w:p>
    <w:p w:rsidR="000D7271" w:rsidRPr="000D7271" w:rsidRDefault="000D7271" w:rsidP="00FE73EB">
      <w:pPr>
        <w:pStyle w:val="Bullet2GR"/>
      </w:pPr>
      <w:r w:rsidRPr="000D7271">
        <w:t>предоставление результатов соответствующим лицам».</w:t>
      </w:r>
    </w:p>
    <w:p w:rsidR="000D7271" w:rsidRPr="000D7271" w:rsidRDefault="000D7271" w:rsidP="000D7271">
      <w:pPr>
        <w:pStyle w:val="SingleTxtGR"/>
      </w:pPr>
      <w:r w:rsidRPr="000D7271">
        <w:t>196.</w:t>
      </w:r>
      <w:r w:rsidRPr="000D7271">
        <w:tab/>
        <w:t xml:space="preserve">В соответствии с Законом № 2009-17 от 9 марта 2009 года о Кодексе профессиональной этики при проведении медицинских исследований «охраняемые законом несовершеннолетние и совершеннолетние, помещенные в медицинское или социальное учреждение, не могут привлекаться к биомедицинским исследованиям, если только нельзя ожидать, что такие исследования принесут непосредственную выгоду их здоровью, </w:t>
      </w:r>
      <w:proofErr w:type="gramStart"/>
      <w:r w:rsidRPr="000D7271">
        <w:t>и</w:t>
      </w:r>
      <w:proofErr w:type="gramEnd"/>
      <w:r w:rsidRPr="000D7271">
        <w:t xml:space="preserve"> если было получено согласие отца и/или матери, опекуна или попечителя». В частности, в числе этических принципов медицинских исследований сенегальский законодательный орган</w:t>
      </w:r>
      <w:r>
        <w:t xml:space="preserve"> </w:t>
      </w:r>
      <w:r w:rsidRPr="000D7271">
        <w:t xml:space="preserve">указывает на </w:t>
      </w:r>
      <w:proofErr w:type="spellStart"/>
      <w:r w:rsidRPr="000D7271">
        <w:t>недискриминацию</w:t>
      </w:r>
      <w:proofErr w:type="spellEnd"/>
      <w:r w:rsidRPr="000D7271">
        <w:t xml:space="preserve"> и учет религиозных убеждений и социокультурных видов практики.</w:t>
      </w:r>
    </w:p>
    <w:p w:rsidR="000D7271" w:rsidRPr="000D7271" w:rsidRDefault="000D7271" w:rsidP="000D7271">
      <w:pPr>
        <w:pStyle w:val="SingleTxtGR"/>
      </w:pPr>
      <w:r w:rsidRPr="000D7271">
        <w:t>197.</w:t>
      </w:r>
      <w:r w:rsidRPr="000D7271">
        <w:tab/>
        <w:t>Кроме того, в соответствии с министерским приказом № 5776 от 17 июля 2001</w:t>
      </w:r>
      <w:r w:rsidR="00FE73EB">
        <w:t> </w:t>
      </w:r>
      <w:r w:rsidRPr="000D7271">
        <w:t>года Хартия пациента, направленная на обеспечение конфиденциальности распространяемой информации и уважение человеческого достоинства, гарантирует доступ к государственной медицинской службе для всех, а также</w:t>
      </w:r>
      <w:r>
        <w:t xml:space="preserve"> </w:t>
      </w:r>
      <w:r w:rsidRPr="000D7271">
        <w:t xml:space="preserve">предусматривает информирование пациента и его родственников (медицинская информация не сохраняется в тайне от пациента, за исключением законных на то причин…), а также общий принцип предварительного согласия (в силу уважения физической неприкосновенности, ограничений на распоряжение человеческим телом, а также уважения личности и частной жизни). </w:t>
      </w:r>
    </w:p>
    <w:p w:rsidR="000D7271" w:rsidRPr="000D7271" w:rsidRDefault="000D7271" w:rsidP="00FE73EB">
      <w:pPr>
        <w:pStyle w:val="HChGR"/>
      </w:pPr>
      <w:r w:rsidRPr="000D7271">
        <w:tab/>
      </w:r>
      <w:r w:rsidRPr="000D7271">
        <w:tab/>
        <w:t>Статья 18: Свобода передвижения и гражданство</w:t>
      </w:r>
    </w:p>
    <w:p w:rsidR="000D7271" w:rsidRPr="000D7271" w:rsidRDefault="000D7271" w:rsidP="000D7271">
      <w:pPr>
        <w:pStyle w:val="SingleTxtGR"/>
      </w:pPr>
      <w:r w:rsidRPr="000D7271">
        <w:t>198.</w:t>
      </w:r>
      <w:r w:rsidRPr="000D7271">
        <w:tab/>
        <w:t xml:space="preserve">В Сенегале в настоящее время нет никаких ограничений на право граждан на свободное передвижение, за исключением специальных положений, регулирующих въезд в страну или выезд из нее (виза). </w:t>
      </w:r>
    </w:p>
    <w:p w:rsidR="000D7271" w:rsidRPr="000D7271" w:rsidRDefault="000D7271" w:rsidP="000D7271">
      <w:pPr>
        <w:pStyle w:val="SingleTxtGR"/>
      </w:pPr>
      <w:r w:rsidRPr="000D7271">
        <w:t>199.</w:t>
      </w:r>
      <w:r w:rsidRPr="000D7271">
        <w:tab/>
        <w:t xml:space="preserve">Таким образом, инвалиды или лица, не имеющие гражданства одного из государств </w:t>
      </w:r>
      <w:r>
        <w:t>–</w:t>
      </w:r>
      <w:r w:rsidRPr="000D7271">
        <w:t xml:space="preserve"> членов Экономического сообщества западноафриканских государств (ЭКОВАС), могут свободно въезжать в Сенегал. Однако граждане государств, которые не являются членами ЭКОВАС, должны иметь въездную визу в Сенегал.</w:t>
      </w:r>
    </w:p>
    <w:p w:rsidR="000D7271" w:rsidRPr="000D7271" w:rsidRDefault="000D7271" w:rsidP="000D7271">
      <w:pPr>
        <w:pStyle w:val="SingleTxtGR"/>
      </w:pPr>
      <w:r w:rsidRPr="000D7271">
        <w:t>200.</w:t>
      </w:r>
      <w:r w:rsidRPr="000D7271">
        <w:tab/>
        <w:t>По вопросу о гражданстве в Кодексе о гражданстве не проводится никакого различия между лицами на основании их физической или психической дееспособности. Кроме того, в Закон № 61-10 от 7 марта 1961 года, определяющий сенегальское гражданство, недавно были внесены изменения на основании Закона № 2013-05 от 8 июля 2013 года. Согласно статье 7 этого Закона, иностранец, вступающий в брак с гражданкой Сенегала, или иностранка, вступающая в брак с гражданином Сенегала, приобретает по запросу сенегальское гражданство после пяти (5) лет совместной жизни с момента вступления в брак при условии, что их брак не был расторгнут и что ни один из супругов не лишился сенегальского гражданства.</w:t>
      </w:r>
    </w:p>
    <w:p w:rsidR="000D7271" w:rsidRPr="000D7271" w:rsidRDefault="000D7271" w:rsidP="000D7271">
      <w:pPr>
        <w:pStyle w:val="SingleTxtGR"/>
      </w:pPr>
      <w:r w:rsidRPr="000D7271">
        <w:t>201.</w:t>
      </w:r>
      <w:r w:rsidRPr="000D7271">
        <w:tab/>
        <w:t>Закон 2013 года содержит добавление, что «дети, рожденные от потомков первой степени, имеющих сенегальское гражданство, обретают сенегальское гражданство. Несовершеннолетний может подать запрос о натурализации только по достижении 16-летнего возраста, причем такой запрос может быть подан без получения какого-либо разрешения». Таким образом, во всех этих случаях закон не предусматривает какой-либо дискриминации. Таким образом, инвалиды могут ссылаться на эти положения.</w:t>
      </w:r>
    </w:p>
    <w:p w:rsidR="000D7271" w:rsidRPr="000D7271" w:rsidRDefault="000D7271" w:rsidP="000D7271">
      <w:pPr>
        <w:pStyle w:val="SingleTxtGR"/>
      </w:pPr>
      <w:r w:rsidRPr="000D7271">
        <w:t>202.</w:t>
      </w:r>
      <w:r w:rsidRPr="000D7271">
        <w:tab/>
        <w:t>Кроме того, следует напомнить, что Законом 2010 года об ориентации социальной политики (статья 48) в структуре администрации президента Республики учреждается Верховный орган, ответственный за поощрение и защиту прав инвалидов, целью которого является поддержка усилий государства в разработке национальной политики и секторальных стратегий во всех областях, затрагивающих проблемы инвалидности.</w:t>
      </w:r>
    </w:p>
    <w:p w:rsidR="000D7271" w:rsidRPr="000D7271" w:rsidRDefault="000D7271" w:rsidP="00FE73EB">
      <w:pPr>
        <w:pStyle w:val="HChGR"/>
      </w:pPr>
      <w:r w:rsidRPr="000D7271">
        <w:tab/>
      </w:r>
      <w:r w:rsidRPr="000D7271">
        <w:tab/>
        <w:t>Статья 19: Самостоятельный образ жизни и</w:t>
      </w:r>
      <w:r w:rsidR="00FE73EB">
        <w:t> </w:t>
      </w:r>
      <w:r w:rsidRPr="000D7271">
        <w:t>вовлеченность в местное сообщество</w:t>
      </w:r>
    </w:p>
    <w:p w:rsidR="000D7271" w:rsidRPr="000D7271" w:rsidRDefault="000D7271" w:rsidP="000D7271">
      <w:pPr>
        <w:pStyle w:val="SingleTxtGR"/>
      </w:pPr>
      <w:r w:rsidRPr="000D7271">
        <w:t>203.</w:t>
      </w:r>
      <w:r w:rsidRPr="000D7271">
        <w:tab/>
        <w:t xml:space="preserve">Инвалиды должны вести самостоятельный образ жизни, участвуя в общественной жизни на основе принципа равенства возможностей. </w:t>
      </w:r>
    </w:p>
    <w:p w:rsidR="000D7271" w:rsidRPr="000D7271" w:rsidRDefault="000D7271" w:rsidP="000D7271">
      <w:pPr>
        <w:pStyle w:val="SingleTxtGR"/>
      </w:pPr>
      <w:r w:rsidRPr="000D7271">
        <w:t>204.</w:t>
      </w:r>
      <w:r w:rsidRPr="000D7271">
        <w:tab/>
        <w:t>Исходя из этого и в соответствии с руководящими принципами, принятыми на 1-м Межминистерском совете по проблемам инвалидности 30 октября 2001 года, Сенегал приступил в 2006 году к реализации Национальной программы реабилитации на базе общин (НПРБО). Следует напомнить, что реабилитация на базе общин (РБО) определяется в настоящее время как всеобъемлющая стратегия инклюзивного развития на местном уровне, рекомендованная Всемирной организацией здравоохранения (ВОЗ) в соответствии с Алма-атинской декларацией 1978 года. РБО позволяет реагировать на потребности инвалидов в более крупном масштабе, с тем чтобы обеспечить их участие и вовлеченность в жизни общества и повысить качество их жизни. В целях закрепления НПРБО в статье 5 Закона № 2010</w:t>
      </w:r>
      <w:r w:rsidRPr="000D7271">
        <w:noBreakHyphen/>
        <w:t>15 об ориентации социальной политики от 6 июля 2010 года в отношении поощрения и защиты прав инвалидов рекомендуется принять РБО президентским указом. Направления деятельности НПРБО в рамках системы местного управления отражена в</w:t>
      </w:r>
      <w:r>
        <w:t xml:space="preserve"> </w:t>
      </w:r>
      <w:r w:rsidRPr="000D7271">
        <w:t xml:space="preserve">циркулярном письме № 6847/MSAS/DGAS от 17 июня 2013 года, в котором рекомендуется создать местные органы управления по вопросам инвалидности, состоящие на региональном уровне из координационных структур, а на департаментском </w:t>
      </w:r>
      <w:r>
        <w:t>–</w:t>
      </w:r>
      <w:r w:rsidRPr="000D7271">
        <w:t xml:space="preserve"> из комитетов по реабилитации на базе общин. Главное управление социальной поддержки (ГУСП) разработало пятилетний план на 2013–2017 годы по осуществлению НПРБО на общую сумму в 5 млрд франков КФА. Первоначально бюджет на НПРБО был установлен на уровне 300 млн франков КФА, а в 2014 году он был увеличен на 530 млн франков КФА. Этот бюджет должен быть пересмотрен в сторону увеличения на 1 миллиард в соответствии с рамочной директивой, принятой на межминистерском техническом совещании по вопросам подготовки карты равных возможностей. В </w:t>
      </w:r>
      <w:proofErr w:type="gramStart"/>
      <w:r w:rsidRPr="000D7271">
        <w:t>том</w:t>
      </w:r>
      <w:proofErr w:type="gramEnd"/>
      <w:r w:rsidRPr="000D7271">
        <w:t xml:space="preserve"> что касается управления НПРБО в 2012 и 2013 году, то Министерство здравоохранения и социальной поддержки реализовало в интересах инвалидов под руководством Главного управления социальной поддержки 3004 социально-экономических проекта на индивидуальном и коллективном уровне на общую сумму финансовых переводов, оцениваемую в 398 391 826 франков КФА. Кроме того, государство Сенегал разработало Закон об ориентации социальной политики № 2010-15 от 6 июля 2010</w:t>
      </w:r>
      <w:r w:rsidR="00D45E39">
        <w:t> </w:t>
      </w:r>
      <w:r w:rsidRPr="000D7271">
        <w:t xml:space="preserve">года, который стал рамочной основой по вопросам ухода за инвалидами и их интеграции. </w:t>
      </w:r>
    </w:p>
    <w:p w:rsidR="000D7271" w:rsidRPr="000D7271" w:rsidRDefault="000D7271" w:rsidP="000D7271">
      <w:pPr>
        <w:pStyle w:val="SingleTxtGR"/>
      </w:pPr>
      <w:r w:rsidRPr="000D7271">
        <w:t>205.</w:t>
      </w:r>
      <w:r w:rsidRPr="000D7271">
        <w:tab/>
        <w:t>Кроме того, лицо, оказывающее помощь лицу с тяжелой формой</w:t>
      </w:r>
      <w:r>
        <w:t xml:space="preserve"> </w:t>
      </w:r>
      <w:r w:rsidRPr="000D7271">
        <w:t>инвалидности, может пользоваться определенными привилегиями, облегчающими задачу по оказанию такой помощи.</w:t>
      </w:r>
    </w:p>
    <w:p w:rsidR="000D7271" w:rsidRPr="000D7271" w:rsidRDefault="000D7271" w:rsidP="000D7271">
      <w:pPr>
        <w:pStyle w:val="SingleTxtGR"/>
      </w:pPr>
      <w:r w:rsidRPr="000D7271">
        <w:t>206.</w:t>
      </w:r>
      <w:r w:rsidRPr="000D7271">
        <w:tab/>
      </w:r>
      <w:proofErr w:type="gramStart"/>
      <w:r w:rsidRPr="000D7271">
        <w:t>В</w:t>
      </w:r>
      <w:proofErr w:type="gramEnd"/>
      <w:r w:rsidRPr="000D7271">
        <w:t xml:space="preserve"> соответствии со статьей 19 Закона об ориентации социальной политики к различным мерам по уходу относятся:</w:t>
      </w:r>
    </w:p>
    <w:p w:rsidR="000D7271" w:rsidRPr="000D7271" w:rsidRDefault="000D7271" w:rsidP="00FE73EB">
      <w:pPr>
        <w:pStyle w:val="Bullet1GR"/>
      </w:pPr>
      <w:r w:rsidRPr="000D7271">
        <w:t>уход за инвалидом в семье;</w:t>
      </w:r>
    </w:p>
    <w:p w:rsidR="000D7271" w:rsidRPr="000D7271" w:rsidRDefault="000D7271" w:rsidP="00FE73EB">
      <w:pPr>
        <w:pStyle w:val="Bullet1GR"/>
      </w:pPr>
      <w:r w:rsidRPr="000D7271">
        <w:t>предоставление материальной помощи малообеспеченному инвалиду или его законному опекуну, с тем чтобы внести вклад в покрытие расходов, связанных с удовлетворением его основных потребностей;</w:t>
      </w:r>
    </w:p>
    <w:p w:rsidR="000D7271" w:rsidRPr="000D7271" w:rsidRDefault="000D7271" w:rsidP="00FE73EB">
      <w:pPr>
        <w:pStyle w:val="Bullet1GR"/>
      </w:pPr>
      <w:r w:rsidRPr="000D7271">
        <w:t>помещение инвалида в приемную семью;</w:t>
      </w:r>
    </w:p>
    <w:p w:rsidR="000D7271" w:rsidRPr="000D7271" w:rsidRDefault="000D7271" w:rsidP="00FE73EB">
      <w:pPr>
        <w:pStyle w:val="Bullet1GR"/>
      </w:pPr>
      <w:r w:rsidRPr="000D7271">
        <w:t>помещение инвалида в учреждение, специализирующееся на размещении инвалидов и уходе за ними.</w:t>
      </w:r>
    </w:p>
    <w:p w:rsidR="000D7271" w:rsidRPr="000D7271" w:rsidRDefault="000D7271" w:rsidP="000D7271">
      <w:pPr>
        <w:pStyle w:val="SingleTxtGR"/>
      </w:pPr>
      <w:r w:rsidRPr="000D7271">
        <w:t>207.</w:t>
      </w:r>
      <w:r w:rsidRPr="000D7271">
        <w:tab/>
      </w:r>
      <w:proofErr w:type="gramStart"/>
      <w:r w:rsidRPr="000D7271">
        <w:t>В</w:t>
      </w:r>
      <w:proofErr w:type="gramEnd"/>
      <w:r w:rsidRPr="000D7271">
        <w:t xml:space="preserve"> целях обеспечения инклюзивного подхода, закрепленного в Законе об ориентации социальной политики (ЗОСП), местные органы власти обязуются привлекать ассоциации инвалидов и учитывают их требования при осуществлении своих функций в социальной сфере (статья 6 ЗОСП).</w:t>
      </w:r>
    </w:p>
    <w:p w:rsidR="000D7271" w:rsidRPr="000D7271" w:rsidRDefault="000D7271" w:rsidP="000D7271">
      <w:pPr>
        <w:pStyle w:val="SingleTxtGR"/>
      </w:pPr>
      <w:r w:rsidRPr="000D7271">
        <w:t>208.</w:t>
      </w:r>
      <w:r w:rsidRPr="000D7271">
        <w:tab/>
        <w:t>Так, например, мэрия Дакара взяла на себя покрытие ежемесячной арендной платы Ресурсного центра по содействию инвалидам (РЦСИ).</w:t>
      </w:r>
    </w:p>
    <w:p w:rsidR="000D7271" w:rsidRPr="000D7271" w:rsidRDefault="000D7271" w:rsidP="000D7271">
      <w:pPr>
        <w:pStyle w:val="SingleTxtGR"/>
      </w:pPr>
      <w:r w:rsidRPr="000D7271">
        <w:t>209.</w:t>
      </w:r>
      <w:r w:rsidRPr="000D7271">
        <w:tab/>
      </w:r>
      <w:proofErr w:type="gramStart"/>
      <w:r w:rsidRPr="000D7271">
        <w:t>В</w:t>
      </w:r>
      <w:proofErr w:type="gramEnd"/>
      <w:r w:rsidRPr="000D7271">
        <w:t xml:space="preserve"> отношении жилищных услуг на сегодняшний день не существует жилья, предназначенного исключительно для инвалидов, однако в статье 37 ЗОСП предусматривается, что инвалиды имеют право на жилье. Они также в силу своего положения имеют право на участие в программах социального жилья.</w:t>
      </w:r>
    </w:p>
    <w:p w:rsidR="000D7271" w:rsidRPr="000D7271" w:rsidRDefault="000D7271" w:rsidP="000D7271">
      <w:pPr>
        <w:pStyle w:val="SingleTxtGR"/>
      </w:pPr>
      <w:r w:rsidRPr="000D7271">
        <w:t>210.</w:t>
      </w:r>
      <w:r w:rsidRPr="000D7271">
        <w:tab/>
        <w:t xml:space="preserve">Уважение права на жилье действительно принимается во внимание, в частности, в </w:t>
      </w:r>
      <w:proofErr w:type="spellStart"/>
      <w:r w:rsidRPr="000D7271">
        <w:t>Дакарском</w:t>
      </w:r>
      <w:proofErr w:type="spellEnd"/>
      <w:r w:rsidRPr="000D7271">
        <w:t xml:space="preserve"> центре оказания помощи студентам, в котором для студентов, живущих с инвалидностью, выделена специальная квота. То же самое относится и к преподавателям Дирекции учебных программ Университета им. Шейха Анта </w:t>
      </w:r>
      <w:proofErr w:type="spellStart"/>
      <w:r w:rsidRPr="000D7271">
        <w:t>Диопа</w:t>
      </w:r>
      <w:proofErr w:type="spellEnd"/>
      <w:r w:rsidRPr="000D7271">
        <w:t xml:space="preserve"> в Дакаре благодаря дискреционным полномочиям ректора, президента Университета.</w:t>
      </w:r>
    </w:p>
    <w:p w:rsidR="000D7271" w:rsidRPr="000D7271" w:rsidRDefault="000D7271" w:rsidP="000D7271">
      <w:pPr>
        <w:pStyle w:val="SingleTxtGR"/>
      </w:pPr>
      <w:r w:rsidRPr="000D7271">
        <w:t>211.</w:t>
      </w:r>
      <w:r w:rsidRPr="000D7271">
        <w:tab/>
        <w:t>Кроме того, на основе принципа равных возможностей Закон от 6 июля 2010</w:t>
      </w:r>
      <w:r w:rsidR="00FE73EB">
        <w:t> </w:t>
      </w:r>
      <w:r w:rsidRPr="000D7271">
        <w:t>года предусматривает, что инвалиды должны иметь свободный доступ к общественным услугам и объектам и что не может быть никакой дискриминации по признаку инвалидности, за исключением ограничений, связанных с обеспечением безопасности и поддержанием общественного порядка.</w:t>
      </w:r>
    </w:p>
    <w:p w:rsidR="000D7271" w:rsidRPr="000D7271" w:rsidRDefault="000D7271" w:rsidP="000D7271">
      <w:pPr>
        <w:pStyle w:val="SingleTxtGR"/>
      </w:pPr>
      <w:r w:rsidRPr="000D7271">
        <w:t>212.</w:t>
      </w:r>
      <w:r w:rsidRPr="000D7271">
        <w:tab/>
        <w:t>Карта равных возможностей, выданная в соответствии с Декретом № 2012</w:t>
      </w:r>
      <w:r w:rsidRPr="000D7271">
        <w:noBreakHyphen/>
        <w:t>1038 от 2 октября 2012 года, позволяет ее обладателю пользоваться всеми правами и льготами, которые могут способствовать поощрению и защите прав инвалидов. При</w:t>
      </w:r>
      <w:r w:rsidR="00FE73EB">
        <w:t> </w:t>
      </w:r>
      <w:r w:rsidRPr="000D7271">
        <w:t>этом специальные поощрительные меры для инвалидов, направленные на то, чтобы гарантировать реальное равенство возможностей и обращения (статьи 3 и 2 Закона 2010 года), не считаются дискриминационными.</w:t>
      </w:r>
    </w:p>
    <w:p w:rsidR="000D7271" w:rsidRPr="000D7271" w:rsidRDefault="000D7271" w:rsidP="00FE73EB">
      <w:pPr>
        <w:pStyle w:val="HChGR"/>
      </w:pPr>
      <w:r w:rsidRPr="000D7271">
        <w:tab/>
      </w:r>
      <w:r w:rsidRPr="000D7271">
        <w:tab/>
        <w:t>Статья 20: Индивидуальная мобильность</w:t>
      </w:r>
    </w:p>
    <w:p w:rsidR="000D7271" w:rsidRPr="000D7271" w:rsidRDefault="000D7271" w:rsidP="000D7271">
      <w:pPr>
        <w:pStyle w:val="SingleTxtGR"/>
      </w:pPr>
      <w:r w:rsidRPr="000D7271">
        <w:t>213.</w:t>
      </w:r>
      <w:r w:rsidRPr="000D7271">
        <w:tab/>
        <w:t xml:space="preserve">Индивидуальная мобильность инвалидов связана с мерами функциональной реабилитации и адаптации условий жизни. Этому вопросу в Сенегале уделяется особое внимание. Таким образом, к различным мерам, принятым для улучшения доступа инвалидов к общественному транспорту, будь то государственному или частному, городскому или междугороднему, автодорожному, железнодорожному, морскому или воздушному, а также к зарезервированным для них местам, добавляется также обязательство по установке указательных знаков, соответствующих международной номенклатуре, касающейся инвалидов (статья 33 Закона 2010 года). </w:t>
      </w:r>
    </w:p>
    <w:p w:rsidR="000D7271" w:rsidRPr="000D7271" w:rsidRDefault="000D7271" w:rsidP="000D7271">
      <w:pPr>
        <w:pStyle w:val="SingleTxtGR"/>
      </w:pPr>
      <w:r w:rsidRPr="000D7271">
        <w:t>214.</w:t>
      </w:r>
      <w:r w:rsidRPr="000D7271">
        <w:tab/>
        <w:t>Кроме того, инвалиды имеют право на адаптированное управление транспортным средством и на адаптированные транспортные средства (статья 34 ЗОСП).</w:t>
      </w:r>
    </w:p>
    <w:p w:rsidR="000D7271" w:rsidRPr="000D7271" w:rsidRDefault="000D7271" w:rsidP="000D7271">
      <w:pPr>
        <w:pStyle w:val="SingleTxtGR"/>
      </w:pPr>
      <w:r w:rsidRPr="000D7271">
        <w:t>215.</w:t>
      </w:r>
      <w:r w:rsidRPr="000D7271">
        <w:tab/>
        <w:t xml:space="preserve">Аналогичным образом, «карта равных возможностей» позволяет любому инвалиду, являющемуся ее обладателем, пользоваться скидкой на общественном транспорте. Также инвалид, являющийся обладателем «карты равных возможностей», получает разрешение, выдаваемое компетентными органами, на парковку своего транспортного средства перед своим местом работы (статья 36 ЗОСП). </w:t>
      </w:r>
    </w:p>
    <w:p w:rsidR="000D7271" w:rsidRPr="000D7271" w:rsidRDefault="000D7271" w:rsidP="000D7271">
      <w:pPr>
        <w:pStyle w:val="SingleTxtGR"/>
      </w:pPr>
      <w:r w:rsidRPr="000D7271">
        <w:t>216.</w:t>
      </w:r>
      <w:r w:rsidRPr="000D7271">
        <w:tab/>
      </w:r>
      <w:proofErr w:type="gramStart"/>
      <w:r w:rsidRPr="000D7271">
        <w:t>С</w:t>
      </w:r>
      <w:proofErr w:type="gramEnd"/>
      <w:r w:rsidRPr="000D7271">
        <w:t xml:space="preserve"> ратификацией Конвенции о правах инвалидов мосты, используемые для пересечения дорог, возводятся с полным учетом аспектов мобильности инвалидов. </w:t>
      </w:r>
    </w:p>
    <w:p w:rsidR="000D7271" w:rsidRPr="000D7271" w:rsidRDefault="000D7271" w:rsidP="000D7271">
      <w:pPr>
        <w:pStyle w:val="SingleTxtGR"/>
      </w:pPr>
      <w:r w:rsidRPr="000D7271">
        <w:t>217.</w:t>
      </w:r>
      <w:r w:rsidRPr="000D7271">
        <w:tab/>
      </w:r>
      <w:proofErr w:type="gramStart"/>
      <w:r w:rsidRPr="000D7271">
        <w:t>В</w:t>
      </w:r>
      <w:proofErr w:type="gramEnd"/>
      <w:r w:rsidRPr="000D7271">
        <w:t xml:space="preserve"> дополнение к положениям Закона № 2009-23 от 8 июля 2009 года о Строительном кодексе, в котором содержатся положения, касающиеся инвалидов и возможности их доступа к сооружаемым зданиям, в Декрете о порядке применения этого Закона содержатся правила, уточняющие вопрос о мобильности инвалидов.</w:t>
      </w:r>
    </w:p>
    <w:p w:rsidR="000D7271" w:rsidRPr="000D7271" w:rsidRDefault="000D7271" w:rsidP="000D7271">
      <w:pPr>
        <w:pStyle w:val="SingleTxtGR"/>
      </w:pPr>
      <w:r w:rsidRPr="000D7271">
        <w:t>218.</w:t>
      </w:r>
      <w:r w:rsidRPr="000D7271">
        <w:tab/>
        <w:t>Так, в Декрете № 2010-99 от 27 января 2010 года в статье R18 уточняется, что коллективные помещения, предназначенные для жилых зданий, и часть парковочных мест, предназначенных для жителей и посетителей, «должны быть доступными беспрепятственным и непрерывным образом для лиц с ограниченной мобильностью, в том числе передвигающихся на инвалидных колясках…».</w:t>
      </w:r>
    </w:p>
    <w:p w:rsidR="000D7271" w:rsidRPr="000D7271" w:rsidRDefault="000D7271" w:rsidP="000D7271">
      <w:pPr>
        <w:pStyle w:val="SingleTxtGR"/>
      </w:pPr>
      <w:r w:rsidRPr="000D7271">
        <w:t>219.</w:t>
      </w:r>
      <w:r w:rsidRPr="000D7271">
        <w:tab/>
        <w:t>Кроме того, чтобы предоставить инвалидам возможность доступа к новым технологиям, касающимся оборудования для инвалидов, государство Сенегал обязалось покрыть расходы на</w:t>
      </w:r>
      <w:r>
        <w:t xml:space="preserve"> </w:t>
      </w:r>
      <w:r w:rsidRPr="000D7271">
        <w:t xml:space="preserve">ортопедические и </w:t>
      </w:r>
      <w:proofErr w:type="spellStart"/>
      <w:r w:rsidRPr="000D7271">
        <w:t>ассистивные</w:t>
      </w:r>
      <w:proofErr w:type="spellEnd"/>
      <w:r w:rsidRPr="000D7271">
        <w:t xml:space="preserve"> устройства, необходимые для инвалидов, являющихся обладателями карты равных возможностей, которые не охвачены системой социального обеспечения (статья 10 ЗОСП). Предназначенные для них ортопедические, слуховые и </w:t>
      </w:r>
      <w:proofErr w:type="spellStart"/>
      <w:r w:rsidRPr="000D7271">
        <w:t>ассистивные</w:t>
      </w:r>
      <w:proofErr w:type="spellEnd"/>
      <w:r w:rsidRPr="000D7271">
        <w:t xml:space="preserve"> устройства освобождаются от налогов, сборов и пошлин по поручению министра социального обеспечения. Так, например, в 2013 году Главное управление социальной поддержки (ГУСП) способствовало приобретению 425 устройств для инвалидов с нарушениями опорно-двигательного аппарата и зрения на общую сумму в 80 000 000 франков. Кроме того, как следует из статьи 35 сенегальского Закона об ориентации социальной политики, «ассоциации или организации инвалидов освобождаются от уплаты налогов и пошлин за специальные автотранспортные средства для инвалидов, которые они приобретают или получают в дар для обеспечения их перевозки. Однако такие специальные автотранспортные средства для инвалидов, импортированные ассоциациями или организациями без уплаты ввозных пошлин и налогов, предназначаются исключительно для использования ими».</w:t>
      </w:r>
    </w:p>
    <w:p w:rsidR="000D7271" w:rsidRPr="000D7271" w:rsidRDefault="000D7271" w:rsidP="00FE73EB">
      <w:pPr>
        <w:pStyle w:val="HChGR"/>
      </w:pPr>
      <w:r w:rsidRPr="000D7271">
        <w:tab/>
      </w:r>
      <w:r w:rsidRPr="000D7271">
        <w:tab/>
        <w:t>Статья 21: Свобода выражения мнения и убеждений и</w:t>
      </w:r>
      <w:r w:rsidR="00FE73EB">
        <w:t> </w:t>
      </w:r>
      <w:r w:rsidRPr="000D7271">
        <w:t>доступ</w:t>
      </w:r>
      <w:r>
        <w:t xml:space="preserve"> </w:t>
      </w:r>
      <w:r w:rsidRPr="000D7271">
        <w:t>к информации</w:t>
      </w:r>
    </w:p>
    <w:p w:rsidR="000D7271" w:rsidRPr="000D7271" w:rsidRDefault="000D7271" w:rsidP="000D7271">
      <w:pPr>
        <w:pStyle w:val="SingleTxtGR"/>
      </w:pPr>
      <w:r w:rsidRPr="000D7271">
        <w:t>220.</w:t>
      </w:r>
      <w:r w:rsidRPr="000D7271">
        <w:tab/>
      </w:r>
      <w:proofErr w:type="gramStart"/>
      <w:r w:rsidRPr="000D7271">
        <w:t>В</w:t>
      </w:r>
      <w:proofErr w:type="gramEnd"/>
      <w:r w:rsidRPr="000D7271">
        <w:t xml:space="preserve"> статье 21 Конвенции о правах инвалидов указано:</w:t>
      </w:r>
    </w:p>
    <w:p w:rsidR="000D7271" w:rsidRPr="000D7271" w:rsidRDefault="000D7271" w:rsidP="00FE73EB">
      <w:pPr>
        <w:pStyle w:val="SingleTxtGR"/>
        <w:ind w:left="1701"/>
      </w:pPr>
      <w:r w:rsidRPr="000D7271">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0D7271" w:rsidRPr="000D7271" w:rsidRDefault="00FE73EB" w:rsidP="00FE73EB">
      <w:pPr>
        <w:pStyle w:val="SingleTxtGR"/>
        <w:ind w:left="1701"/>
      </w:pPr>
      <w:r>
        <w:tab/>
      </w:r>
      <w:r w:rsidR="000D7271" w:rsidRPr="000D7271">
        <w:t>a)</w:t>
      </w:r>
      <w:r w:rsidR="000D7271" w:rsidRPr="000D7271">
        <w:tab/>
        <w:t>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0D7271" w:rsidRPr="000D7271" w:rsidRDefault="00FE73EB" w:rsidP="00FE73EB">
      <w:pPr>
        <w:pStyle w:val="SingleTxtGR"/>
        <w:ind w:left="1701"/>
      </w:pPr>
      <w:r>
        <w:tab/>
      </w:r>
      <w:r w:rsidR="000D7271" w:rsidRPr="000D7271">
        <w:t>b)</w:t>
      </w:r>
      <w:r w:rsidR="000D7271" w:rsidRPr="000D7271">
        <w:tab/>
        <w:t>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0D7271" w:rsidRPr="000D7271" w:rsidRDefault="00FE73EB" w:rsidP="00FE73EB">
      <w:pPr>
        <w:pStyle w:val="SingleTxtGR"/>
        <w:ind w:left="1701"/>
      </w:pPr>
      <w:r>
        <w:tab/>
      </w:r>
      <w:r w:rsidR="000D7271" w:rsidRPr="000D7271">
        <w:t>c)</w:t>
      </w:r>
      <w:r w:rsidR="000D7271" w:rsidRPr="000D7271">
        <w:tab/>
        <w:t>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0D7271" w:rsidRPr="000D7271" w:rsidRDefault="00FE73EB" w:rsidP="00FE73EB">
      <w:pPr>
        <w:pStyle w:val="SingleTxtGR"/>
        <w:ind w:left="1701"/>
      </w:pPr>
      <w:r>
        <w:tab/>
      </w:r>
      <w:r w:rsidR="000D7271" w:rsidRPr="000D7271">
        <w:t>d)</w:t>
      </w:r>
      <w:r w:rsidR="000D7271" w:rsidRPr="000D7271">
        <w:tab/>
        <w:t>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0D7271" w:rsidRPr="000D7271" w:rsidRDefault="00FE73EB" w:rsidP="00FE73EB">
      <w:pPr>
        <w:pStyle w:val="SingleTxtGR"/>
        <w:ind w:left="1701"/>
      </w:pPr>
      <w:r>
        <w:tab/>
      </w:r>
      <w:r w:rsidR="000D7271" w:rsidRPr="000D7271">
        <w:t>e)</w:t>
      </w:r>
      <w:r w:rsidR="000D7271" w:rsidRPr="000D7271">
        <w:tab/>
        <w:t>признание и поощрение использования жестовых языков».</w:t>
      </w:r>
    </w:p>
    <w:p w:rsidR="000D7271" w:rsidRPr="000D7271" w:rsidRDefault="000D7271" w:rsidP="000D7271">
      <w:pPr>
        <w:pStyle w:val="SingleTxtGR"/>
      </w:pPr>
      <w:r w:rsidRPr="000D7271">
        <w:t>221.</w:t>
      </w:r>
      <w:r w:rsidRPr="000D7271">
        <w:tab/>
        <w:t>Статья 21 Конвенции соответствует правовым и институциональным рамкам, гарантирующим свободу собраний и выражения мнений в Сенегале.</w:t>
      </w:r>
    </w:p>
    <w:p w:rsidR="000D7271" w:rsidRPr="000D7271" w:rsidRDefault="000D7271" w:rsidP="000D7271">
      <w:pPr>
        <w:pStyle w:val="SingleTxtGR"/>
      </w:pPr>
      <w:r w:rsidRPr="000D7271">
        <w:t>222.</w:t>
      </w:r>
      <w:r w:rsidRPr="000D7271">
        <w:tab/>
        <w:t>Действительно, свобода собраний является гражданским и политическим правом, которым наделены все граждане Сенегала в соответствии со статьей 8 Конституции от 22 января 2001 года. Как и все основные индивидуальные свободы, она осуществляется в соответствии с условиями, установленными законом (статья 8, пункт 3). Именно по этой причине на осуществление свободы собраний распространяется режим правового источника, регламентируемый Законом № 78-02 от 29 января 1978 года о собраниях. Условия осуществления этой основополагающей свободы ограничиваются необходимостью поддержания общественного порядка.</w:t>
      </w:r>
    </w:p>
    <w:p w:rsidR="000D7271" w:rsidRPr="000D7271" w:rsidRDefault="000D7271" w:rsidP="000D7271">
      <w:pPr>
        <w:pStyle w:val="SingleTxtGR"/>
      </w:pPr>
      <w:r w:rsidRPr="000D7271">
        <w:t>223.</w:t>
      </w:r>
      <w:r w:rsidRPr="000D7271">
        <w:tab/>
        <w:t>Свобода выражения мнений (мнения и демонстрации), учрежденная в соответствии со статьей 10 Конституции Сенегала, гарантирует право на создание без какого-либо предварительного разрешения печатных органов для распространения политической, экономической, культурной, спортивной, общественной, рекреативной или научной информации. «Каждый имеет право свободно выражать и распространять свои мнения устно, письменно, посредством изображений или в форме мирных шествий. Осуществление этого права не должно наносить ущерба общественному порядку, а также чести и достоинству других людей в соответствии с условиями, установленными в Законе № 96-04 от 22 июня 1996 года о средствах массовой информации и о профессиях журналиста и специалиста-технолога в области социальной коммуникации, а также в ряде положений Уголовного кодекса».</w:t>
      </w:r>
    </w:p>
    <w:p w:rsidR="000D7271" w:rsidRPr="000D7271" w:rsidRDefault="000D7271" w:rsidP="000D7271">
      <w:pPr>
        <w:pStyle w:val="SingleTxtGR"/>
      </w:pPr>
      <w:r w:rsidRPr="000D7271">
        <w:t>224.</w:t>
      </w:r>
      <w:r w:rsidRPr="000D7271">
        <w:tab/>
        <w:t>Свобода ассоциаций, закрепленная в статье 12 Конституции, наделяет граждан весьма обширными правом свободно создавать ассоциации, экономические, культурные и социальные группы, а также общества при условии соблюдения формальных требований, предписанных законами и постановлениями, в частности Законом № 68-08 от 16 марта 1968 года, касающимся</w:t>
      </w:r>
      <w:r>
        <w:t xml:space="preserve"> </w:t>
      </w:r>
      <w:r w:rsidRPr="000D7271">
        <w:t>Кодекса гражданских и торговых обязательств (статьи 812–821 относительно общих правил формирования ассоциаций) и Трудового кодекса.</w:t>
      </w:r>
    </w:p>
    <w:p w:rsidR="000D7271" w:rsidRPr="000D7271" w:rsidRDefault="000D7271" w:rsidP="000D7271">
      <w:pPr>
        <w:pStyle w:val="SingleTxtGR"/>
      </w:pPr>
      <w:r w:rsidRPr="000D7271">
        <w:t>225.</w:t>
      </w:r>
      <w:r w:rsidRPr="000D7271">
        <w:tab/>
        <w:t>Сенегал посредством статьи 8 своей Конституции укрепляет поощрение и защиту свободы выражения мнений и право на многообразие информации.</w:t>
      </w:r>
    </w:p>
    <w:p w:rsidR="000D7271" w:rsidRPr="000D7271" w:rsidRDefault="000D7271" w:rsidP="000D7271">
      <w:pPr>
        <w:pStyle w:val="SingleTxtGR"/>
      </w:pPr>
      <w:r w:rsidRPr="000D7271">
        <w:t>226.</w:t>
      </w:r>
      <w:r w:rsidRPr="000D7271">
        <w:tab/>
        <w:t xml:space="preserve">Эти различные конституционные и правовые положения, касающиеся свободы выражения мнений, убеждений и доступа к информации, применимы ко всем гражданам, включая инвалидов, без какой-либо дискриминации или ограничений. </w:t>
      </w:r>
    </w:p>
    <w:p w:rsidR="000D7271" w:rsidRPr="000D7271" w:rsidRDefault="000D7271" w:rsidP="000D7271">
      <w:pPr>
        <w:pStyle w:val="SingleTxtGR"/>
      </w:pPr>
      <w:r w:rsidRPr="000D7271">
        <w:t>227.</w:t>
      </w:r>
      <w:r w:rsidRPr="000D7271">
        <w:tab/>
        <w:t xml:space="preserve">Обеспечение доступа к информации для инвалидов в доступных им форматах и с использованием доступных им технологий, таких как шрифт Брайля, язык жестов и другие формы коммуникации, является прерогативой государственных органов власти. </w:t>
      </w:r>
    </w:p>
    <w:p w:rsidR="000D7271" w:rsidRPr="000D7271" w:rsidRDefault="000D7271" w:rsidP="000D7271">
      <w:pPr>
        <w:pStyle w:val="SingleTxtGR"/>
      </w:pPr>
      <w:r w:rsidRPr="000D7271">
        <w:t>228.</w:t>
      </w:r>
      <w:r w:rsidRPr="000D7271">
        <w:tab/>
        <w:t>Именно по этой причине в статье 21 сенегальского Закона об ориентации социальной политики уточняется, что «государство, местные органы власти, государственные и частные организации содействуют созданию технических возможностей для выпуска продукции на шрифте Брайля, а также звуковых библиотек и учреждений, унифицирующих</w:t>
      </w:r>
      <w:r>
        <w:t xml:space="preserve"> </w:t>
      </w:r>
      <w:r w:rsidRPr="000D7271">
        <w:t>язык жестов, включая средства массовой информации и Интернет-провайдеров».</w:t>
      </w:r>
    </w:p>
    <w:p w:rsidR="000D7271" w:rsidRPr="000D7271" w:rsidRDefault="000D7271" w:rsidP="000D7271">
      <w:pPr>
        <w:pStyle w:val="SingleTxtGR"/>
      </w:pPr>
      <w:r w:rsidRPr="000D7271">
        <w:t>229.</w:t>
      </w:r>
      <w:r w:rsidRPr="000D7271">
        <w:tab/>
        <w:t xml:space="preserve">Кроме того, в июне 2013 года Сенегал подписал </w:t>
      </w:r>
      <w:proofErr w:type="spellStart"/>
      <w:r w:rsidRPr="000D7271">
        <w:t>Марракешский</w:t>
      </w:r>
      <w:proofErr w:type="spellEnd"/>
      <w:r w:rsidRPr="000D7271">
        <w:t xml:space="preserve"> договор, международный инструмент в области авторского права. Переговоры по этому Договору проводились по инициативе Всемирного союза слепых (ВСС), чтобы облегчить доступ к книгам и иным «опубликованным произведениям» в форматах, доступных для слепых или неспособных читать печатную продукцию лиц, таких как формат DAISY, аудиозаписи, электронный формат, крупный шрифт Брайля, без получения на то разрешения со стороны обладателя авторских прав. В настоящее время проводится национальная кампания под названием «Право читать», направленная на обеспечение ратификации этого Договора государством. Ее возглавляет Консорциум библиотек высшего образования Сенегала (КОБВОС), организация «</w:t>
      </w:r>
      <w:proofErr w:type="spellStart"/>
      <w:r w:rsidRPr="000D7271">
        <w:t>Сайтсэйверс</w:t>
      </w:r>
      <w:proofErr w:type="spellEnd"/>
      <w:r w:rsidRPr="000D7271">
        <w:t xml:space="preserve">» и ассоциации слепых, в данном случае ассоциация «Дружба слепых». </w:t>
      </w:r>
    </w:p>
    <w:p w:rsidR="000D7271" w:rsidRPr="000D7271" w:rsidRDefault="000D7271" w:rsidP="00FE73EB">
      <w:pPr>
        <w:pStyle w:val="HChGR"/>
      </w:pPr>
      <w:r w:rsidRPr="000D7271">
        <w:tab/>
      </w:r>
      <w:r w:rsidRPr="000D7271">
        <w:tab/>
        <w:t>Статья 22: Неприкосновенность частной жизни</w:t>
      </w:r>
    </w:p>
    <w:p w:rsidR="000D7271" w:rsidRPr="000D7271" w:rsidRDefault="000D7271" w:rsidP="000D7271">
      <w:pPr>
        <w:pStyle w:val="SingleTxtGR"/>
      </w:pPr>
      <w:r w:rsidRPr="000D7271">
        <w:t>230.</w:t>
      </w:r>
      <w:r w:rsidRPr="000D7271">
        <w:tab/>
        <w:t>Конституционный строй Сенегала гарантирует всем своим гражданам основные свободы, экономические и социальные права, а также коллективные права.</w:t>
      </w:r>
    </w:p>
    <w:p w:rsidR="000D7271" w:rsidRPr="000D7271" w:rsidRDefault="000D7271" w:rsidP="000D7271">
      <w:pPr>
        <w:pStyle w:val="SingleTxtGR"/>
      </w:pPr>
      <w:r w:rsidRPr="000D7271">
        <w:t>231.</w:t>
      </w:r>
      <w:r w:rsidRPr="000D7271">
        <w:tab/>
      </w:r>
      <w:proofErr w:type="gramStart"/>
      <w:r w:rsidRPr="000D7271">
        <w:t>В</w:t>
      </w:r>
      <w:proofErr w:type="gramEnd"/>
      <w:r w:rsidRPr="000D7271">
        <w:t xml:space="preserve"> статье 13 Конституции закреплено, что «тайна корреспонденции, а также почтовой, телеграфной, телефонной и электронной связи неприкосновенна. Не</w:t>
      </w:r>
      <w:r w:rsidR="00FE73EB">
        <w:t> </w:t>
      </w:r>
      <w:r w:rsidRPr="000D7271">
        <w:t>допускается ограничение этой неприкосновенности, за исключением ситуаций, требующих исполнения закона».</w:t>
      </w:r>
    </w:p>
    <w:p w:rsidR="000D7271" w:rsidRPr="000D7271" w:rsidRDefault="000D7271" w:rsidP="000D7271">
      <w:pPr>
        <w:pStyle w:val="SingleTxtGR"/>
      </w:pPr>
      <w:r w:rsidRPr="000D7271">
        <w:t>232.</w:t>
      </w:r>
      <w:r w:rsidRPr="000D7271">
        <w:tab/>
        <w:t xml:space="preserve">Кроме того, информация, хранящаяся в реестрах администрации, может быть доступна только для уполномоченных учреждений и в соответствии с условиями, предусмотренными в законах и правилах, в частности в Законе № 2006-19 от 30 июня 2006 года об административных архивах и документах. </w:t>
      </w:r>
    </w:p>
    <w:p w:rsidR="000D7271" w:rsidRPr="000D7271" w:rsidRDefault="000D7271" w:rsidP="000D7271">
      <w:pPr>
        <w:pStyle w:val="SingleTxtGR"/>
      </w:pPr>
      <w:r w:rsidRPr="000D7271">
        <w:t>233.</w:t>
      </w:r>
      <w:r w:rsidRPr="000D7271">
        <w:tab/>
      </w:r>
      <w:proofErr w:type="gramStart"/>
      <w:r w:rsidRPr="000D7271">
        <w:t>В</w:t>
      </w:r>
      <w:proofErr w:type="gramEnd"/>
      <w:r w:rsidRPr="000D7271">
        <w:t xml:space="preserve"> этой связи Сенегал разработал Закон № 2008-11 от 25 января 2008 года о киберпреступности и новых инструментах борьбы с ней, включенных в Уголовный кодекс (статьи с 431-6 по 431-65). </w:t>
      </w:r>
    </w:p>
    <w:p w:rsidR="000D7271" w:rsidRPr="000D7271" w:rsidRDefault="000D7271" w:rsidP="000D7271">
      <w:pPr>
        <w:pStyle w:val="SingleTxtGR"/>
      </w:pPr>
      <w:r w:rsidRPr="000D7271">
        <w:t>234.</w:t>
      </w:r>
      <w:r w:rsidRPr="000D7271">
        <w:tab/>
        <w:t xml:space="preserve">Кроме того, Сенегал разработал Закон № 2008-12 от 25 января 2008 года о защите личных данных для борьбы с нарушениями права на неприкосновенность частной жизни, которые могут возникнуть в ходе сбора, обработки, передачи, хранения и использования личных данных. Мотивировочная часть этого Закона гласит, что «с развитием информационных технологий и их применений традиционная сфера частной жизни ежедневно обогащается новыми элементами. Персональные данные, которые являются неотъемлемой частью этих элементов, представляют собой весьма востребованный ресурс. Обращение с ними должно осуществляться </w:t>
      </w:r>
      <w:r w:rsidR="00FE73EB">
        <w:t>«</w:t>
      </w:r>
      <w:r w:rsidRPr="000D7271">
        <w:t>при соблюдении прав, основных свобод и достоинства физических лиц</w:t>
      </w:r>
      <w:r w:rsidR="00FE73EB">
        <w:t>»</w:t>
      </w:r>
      <w:r w:rsidRPr="000D7271">
        <w:t xml:space="preserve">. В этих целях Закон о личных данных представляет собой инструмент общей защиты основных прав и свобод человека». </w:t>
      </w:r>
    </w:p>
    <w:p w:rsidR="000D7271" w:rsidRPr="000D7271" w:rsidRDefault="000D7271" w:rsidP="000D7271">
      <w:pPr>
        <w:pStyle w:val="SingleTxtGR"/>
      </w:pPr>
      <w:r w:rsidRPr="000D7271">
        <w:t>235.</w:t>
      </w:r>
      <w:r w:rsidRPr="000D7271">
        <w:tab/>
        <w:t>Этот Закон предусматривает эффективную защиту и неприкосновенность частной жизни всех физических лиц без каких-либо различий. Этот же Закон о защите личных данных запрещает все манипуляции с данными, касающимися здоровья (статья 40).</w:t>
      </w:r>
    </w:p>
    <w:p w:rsidR="000D7271" w:rsidRPr="000D7271" w:rsidRDefault="000D7271" w:rsidP="000D7271">
      <w:pPr>
        <w:pStyle w:val="SingleTxtGR"/>
      </w:pPr>
      <w:r w:rsidRPr="000D7271">
        <w:t>236.</w:t>
      </w:r>
      <w:r w:rsidRPr="000D7271">
        <w:tab/>
        <w:t>Кроме того, в Приказе № 005776/MSP/DES от 17 июля 2001 года министра здравоохранения и профилактики, касающемся Устава пациентов в государственных медицинских учреждениях, в статье 7 отмечается,</w:t>
      </w:r>
      <w:r>
        <w:t xml:space="preserve"> </w:t>
      </w:r>
      <w:r w:rsidRPr="000D7271">
        <w:t>что «пациент имеет право на неприкосновенность своей частной жизни, ... а также на конфиденциальность частной медицинской и социальной информации, его касающейся».</w:t>
      </w:r>
    </w:p>
    <w:p w:rsidR="000D7271" w:rsidRPr="000D7271" w:rsidRDefault="000D7271" w:rsidP="000D7271">
      <w:pPr>
        <w:pStyle w:val="SingleTxtGR"/>
      </w:pPr>
      <w:r w:rsidRPr="000D7271">
        <w:t>237.</w:t>
      </w:r>
      <w:r w:rsidRPr="000D7271">
        <w:tab/>
        <w:t xml:space="preserve">В Уголовном кодексе Сенегала также предусмотрено наказание за нарушение неприкосновенности жилища. </w:t>
      </w:r>
    </w:p>
    <w:p w:rsidR="000D7271" w:rsidRPr="000D7271" w:rsidRDefault="000D7271" w:rsidP="000D7271">
      <w:pPr>
        <w:pStyle w:val="SingleTxtGR"/>
      </w:pPr>
      <w:r w:rsidRPr="000D7271">
        <w:t>238.</w:t>
      </w:r>
      <w:r w:rsidRPr="000D7271">
        <w:tab/>
        <w:t>Все положения, касающиеся защиты частной жизни, применяются в отношении инвалидов, как и в отношении всех других граждан.</w:t>
      </w:r>
    </w:p>
    <w:p w:rsidR="000D7271" w:rsidRPr="000D7271" w:rsidRDefault="000D7271" w:rsidP="00FE73EB">
      <w:pPr>
        <w:pStyle w:val="HChGR"/>
      </w:pPr>
      <w:r w:rsidRPr="000D7271">
        <w:tab/>
      </w:r>
      <w:r w:rsidRPr="000D7271">
        <w:tab/>
        <w:t>Статья 23: Уважение дома и семьи</w:t>
      </w:r>
    </w:p>
    <w:p w:rsidR="000D7271" w:rsidRPr="000D7271" w:rsidRDefault="000D7271" w:rsidP="000D7271">
      <w:pPr>
        <w:pStyle w:val="SingleTxtGR"/>
      </w:pPr>
      <w:r w:rsidRPr="000D7271">
        <w:t>239.</w:t>
      </w:r>
      <w:r w:rsidRPr="000D7271">
        <w:tab/>
        <w:t xml:space="preserve">Статья 16 Конституции Сенегала от 22 января 2001 года гласит: </w:t>
      </w:r>
    </w:p>
    <w:p w:rsidR="000D7271" w:rsidRPr="000D7271" w:rsidRDefault="000D7271" w:rsidP="00FE73EB">
      <w:pPr>
        <w:pStyle w:val="SingleTxtGR"/>
        <w:ind w:left="1701"/>
      </w:pPr>
      <w:r w:rsidRPr="000D7271">
        <w:t>«Жилище неприкосновенно.</w:t>
      </w:r>
    </w:p>
    <w:p w:rsidR="000D7271" w:rsidRPr="000D7271" w:rsidRDefault="000D7271" w:rsidP="00FE73EB">
      <w:pPr>
        <w:pStyle w:val="SingleTxtGR"/>
        <w:ind w:left="1701"/>
      </w:pPr>
      <w:r w:rsidRPr="000D7271">
        <w:t>Обыск может осуществляться только на основании ордера, выданного судом или другим органом, определенным законом. Обыск может осуществляться только в предусмотренном в настоящих положениях порядке. Меры, нарушающие неприкосновенность жилища или ограничивающие ее, могут быть приняты лишь в случае возникновения опасности для общества или для защиты лиц в случае смертельной опасности.</w:t>
      </w:r>
    </w:p>
    <w:p w:rsidR="000D7271" w:rsidRPr="000D7271" w:rsidRDefault="000D7271" w:rsidP="00FE73EB">
      <w:pPr>
        <w:pStyle w:val="SingleTxtGR"/>
        <w:ind w:left="1701"/>
      </w:pPr>
      <w:r w:rsidRPr="000D7271">
        <w:t xml:space="preserve">Такие меры могут быть также приняты в соответствии с законом в целях охраны общественного порядка, особенно для противодействия непосредственной угрозе эпидемии и для защиты подвергающейся опасности молодежи». </w:t>
      </w:r>
    </w:p>
    <w:p w:rsidR="000D7271" w:rsidRPr="000D7271" w:rsidRDefault="000D7271" w:rsidP="00FE73EB">
      <w:pPr>
        <w:pStyle w:val="SingleTxtGR"/>
        <w:keepNext/>
      </w:pPr>
      <w:r w:rsidRPr="000D7271">
        <w:t>240.</w:t>
      </w:r>
      <w:r w:rsidRPr="000D7271">
        <w:tab/>
        <w:t xml:space="preserve">Статьи 17, 18, 19 и 20 Конституции в свою очередь предусматривают следующее: </w:t>
      </w:r>
    </w:p>
    <w:p w:rsidR="000D7271" w:rsidRPr="000D7271" w:rsidRDefault="000D7271" w:rsidP="00FE73EB">
      <w:pPr>
        <w:pStyle w:val="SingleTxtGR"/>
        <w:ind w:left="1701"/>
      </w:pPr>
      <w:r w:rsidRPr="000D7271">
        <w:t>«Брак и семья являются физической и моральной основой человеческого сообщества. Они находятся под защитой государства.</w:t>
      </w:r>
    </w:p>
    <w:p w:rsidR="000D7271" w:rsidRPr="000D7271" w:rsidRDefault="000D7271" w:rsidP="00FE73EB">
      <w:pPr>
        <w:pStyle w:val="SingleTxtGR"/>
        <w:ind w:left="1701"/>
      </w:pPr>
      <w:r w:rsidRPr="000D7271">
        <w:t>Государство и государственные органы обязаны следить за физическим и психическим здоровьем семьи, в частности инвалидов и пожилых людей.</w:t>
      </w:r>
    </w:p>
    <w:p w:rsidR="000D7271" w:rsidRPr="000D7271" w:rsidRDefault="000D7271" w:rsidP="00FE73EB">
      <w:pPr>
        <w:pStyle w:val="SingleTxtGR"/>
        <w:ind w:left="1701"/>
      </w:pPr>
      <w:r w:rsidRPr="000D7271">
        <w:t>Государство гарантирует семьям в целом и проживающим в сельских районах в частности доступ к здравоохранению и благополучию. Оно также гарантирует женщинам в целом и проживающим в сельских районах в частности право на облегчение их условий жизни.</w:t>
      </w:r>
    </w:p>
    <w:p w:rsidR="000D7271" w:rsidRPr="000D7271" w:rsidRDefault="000D7271" w:rsidP="00FE73EB">
      <w:pPr>
        <w:pStyle w:val="SingleTxtGR"/>
        <w:ind w:left="1701"/>
      </w:pPr>
      <w:r w:rsidRPr="000D7271">
        <w:t>Принудительный брак является нарушением свободы личности.</w:t>
      </w:r>
    </w:p>
    <w:p w:rsidR="000D7271" w:rsidRPr="000D7271" w:rsidRDefault="000D7271" w:rsidP="00FE73EB">
      <w:pPr>
        <w:pStyle w:val="SingleTxtGR"/>
        <w:ind w:left="1701"/>
      </w:pPr>
      <w:r w:rsidRPr="000D7271">
        <w:t>Он запрещен и наказуем в соответствии с условиями, предусмотренными законом.</w:t>
      </w:r>
    </w:p>
    <w:p w:rsidR="000D7271" w:rsidRPr="000D7271" w:rsidRDefault="000D7271" w:rsidP="00FE73EB">
      <w:pPr>
        <w:pStyle w:val="SingleTxtGR"/>
        <w:ind w:left="1701"/>
      </w:pPr>
      <w:r w:rsidRPr="000D7271">
        <w:t>Женщина имеет право на личное имущество, как и ее муж. Она имеет право лично распоряжаться своим имуществом.</w:t>
      </w:r>
    </w:p>
    <w:p w:rsidR="000D7271" w:rsidRPr="000D7271" w:rsidRDefault="000D7271" w:rsidP="00FE73EB">
      <w:pPr>
        <w:pStyle w:val="SingleTxtGR"/>
        <w:ind w:left="1701"/>
      </w:pPr>
      <w:r w:rsidRPr="000D7271">
        <w:t>Родители имеют естественное право и обязанность воспитывать своих детей. В</w:t>
      </w:r>
      <w:r w:rsidR="00FE73EB">
        <w:t> </w:t>
      </w:r>
      <w:r w:rsidRPr="000D7271">
        <w:t>выполнении этой задачи им оказывают содействие государство и государственные органы власти.</w:t>
      </w:r>
    </w:p>
    <w:p w:rsidR="000D7271" w:rsidRPr="000D7271" w:rsidRDefault="000D7271" w:rsidP="00FE73EB">
      <w:pPr>
        <w:pStyle w:val="SingleTxtGR"/>
        <w:ind w:left="1701"/>
      </w:pPr>
      <w:r w:rsidRPr="000D7271">
        <w:t>Государство и государственные органы власти обеспечивают защиту молодежи от эксплуатации, наркотиков, психотропных препаратов, беспризорности и преступности».</w:t>
      </w:r>
    </w:p>
    <w:p w:rsidR="000D7271" w:rsidRPr="000D7271" w:rsidRDefault="000D7271" w:rsidP="000D7271">
      <w:pPr>
        <w:pStyle w:val="SingleTxtGR"/>
      </w:pPr>
      <w:r w:rsidRPr="000D7271">
        <w:t>241.</w:t>
      </w:r>
      <w:r w:rsidRPr="000D7271">
        <w:tab/>
      </w:r>
      <w:proofErr w:type="gramStart"/>
      <w:r w:rsidRPr="000D7271">
        <w:t>В</w:t>
      </w:r>
      <w:proofErr w:type="gramEnd"/>
      <w:r w:rsidRPr="000D7271">
        <w:t xml:space="preserve"> применении этих строгих конституционных норм не делается какого-либо различия; следовательно, они применяются также и к инвалидам.</w:t>
      </w:r>
    </w:p>
    <w:p w:rsidR="000D7271" w:rsidRPr="000D7271" w:rsidRDefault="000D7271" w:rsidP="000D7271">
      <w:pPr>
        <w:pStyle w:val="SingleTxtGR"/>
      </w:pPr>
      <w:r w:rsidRPr="000D7271">
        <w:t>242.</w:t>
      </w:r>
      <w:r w:rsidRPr="000D7271">
        <w:tab/>
        <w:t>Более того, для обеспечения равенства всех граждан Сенегал приступил с 2005</w:t>
      </w:r>
      <w:r w:rsidR="00FE73EB">
        <w:t> </w:t>
      </w:r>
      <w:r w:rsidRPr="000D7271">
        <w:t>года к осуществлению Национальной стратегии гендерного равенства и равноправия (НСГРР), в которой на период 2005</w:t>
      </w:r>
      <w:r w:rsidR="00FE73EB">
        <w:t>−</w:t>
      </w:r>
      <w:r w:rsidRPr="000D7271">
        <w:t xml:space="preserve">2015 годов «приоритетное внимание... уделяется женщинам-инвалидам...». </w:t>
      </w:r>
    </w:p>
    <w:p w:rsidR="000D7271" w:rsidRPr="000D7271" w:rsidRDefault="000D7271" w:rsidP="000D7271">
      <w:pPr>
        <w:pStyle w:val="SingleTxtGR"/>
      </w:pPr>
      <w:r w:rsidRPr="000D7271">
        <w:t>243.</w:t>
      </w:r>
      <w:r w:rsidRPr="000D7271">
        <w:tab/>
        <w:t xml:space="preserve">Для обеспечения связи между родителями и ребенком и создания возможностей для инвалидов осуществлять свои родительские обязанности в Законе об ориентации социальной политики указывается, что дети и подростки имеют право на бесплатное образование в обычных образовательных учреждениях, расположенных по мере возможности вблизи от их места жительства (статья 15, пункт 2 ЗОСП). В этом Законе также устанавливается преимущественное право законного представителя ребенка или подростка с инвалидностью выбирать образовательное учреждение, в котором этот ребенок или подросток будет проходить обучение (статья 17 </w:t>
      </w:r>
      <w:proofErr w:type="spellStart"/>
      <w:r w:rsidRPr="000D7271">
        <w:t>in</w:t>
      </w:r>
      <w:proofErr w:type="spellEnd"/>
      <w:r w:rsidRPr="000D7271">
        <w:t> </w:t>
      </w:r>
      <w:proofErr w:type="spellStart"/>
      <w:r w:rsidRPr="000D7271">
        <w:t>fine</w:t>
      </w:r>
      <w:proofErr w:type="spellEnd"/>
      <w:r w:rsidRPr="000D7271">
        <w:t>).</w:t>
      </w:r>
    </w:p>
    <w:p w:rsidR="000D7271" w:rsidRPr="000D7271" w:rsidRDefault="000D7271" w:rsidP="00FE73EB">
      <w:pPr>
        <w:pStyle w:val="HChGR"/>
      </w:pPr>
      <w:r w:rsidRPr="000D7271">
        <w:tab/>
      </w:r>
      <w:r w:rsidRPr="000D7271">
        <w:tab/>
        <w:t>Статья 24: Образование</w:t>
      </w:r>
    </w:p>
    <w:p w:rsidR="000D7271" w:rsidRPr="000D7271" w:rsidRDefault="000D7271" w:rsidP="000D7271">
      <w:pPr>
        <w:pStyle w:val="SingleTxtGR"/>
      </w:pPr>
      <w:r w:rsidRPr="000D7271">
        <w:t>244.</w:t>
      </w:r>
      <w:r w:rsidRPr="000D7271">
        <w:tab/>
      </w:r>
      <w:proofErr w:type="gramStart"/>
      <w:r w:rsidRPr="000D7271">
        <w:t>В</w:t>
      </w:r>
      <w:proofErr w:type="gramEnd"/>
      <w:r w:rsidRPr="000D7271">
        <w:t xml:space="preserve"> области образования Сенегал весьма рано подтвердил демократизацию доступа к образованию и принцип равных возможностей. В частности, первый Закон об ориентации национального образования № 71-36 от 3 июня 1971 года подтверждает в статье 2 право всех сенегальцев на образование и профессиональную подготовку в соответствии с их способностями и с учетом необходимости всеобщего участия в производстве во всех его формах в зависимости от их возможностей.</w:t>
      </w:r>
    </w:p>
    <w:p w:rsidR="000D7271" w:rsidRPr="000D7271" w:rsidRDefault="000D7271" w:rsidP="000D7271">
      <w:pPr>
        <w:pStyle w:val="SingleTxtGR"/>
      </w:pPr>
      <w:r w:rsidRPr="000D7271">
        <w:t>245.</w:t>
      </w:r>
      <w:r w:rsidRPr="000D7271">
        <w:tab/>
      </w:r>
      <w:proofErr w:type="gramStart"/>
      <w:r w:rsidRPr="000D7271">
        <w:t>В</w:t>
      </w:r>
      <w:proofErr w:type="gramEnd"/>
      <w:r w:rsidRPr="000D7271">
        <w:t xml:space="preserve"> статье 4 того же Закона уточняется, что «национальное образование предоставляет всем гражданам возможность получать информацию и образование во всех сферах жизнедеятельности в целях расширения знаний в интересах социального развития».</w:t>
      </w:r>
    </w:p>
    <w:p w:rsidR="000D7271" w:rsidRPr="000D7271" w:rsidRDefault="000D7271" w:rsidP="000D7271">
      <w:pPr>
        <w:pStyle w:val="SingleTxtGR"/>
      </w:pPr>
      <w:r w:rsidRPr="000D7271">
        <w:t>246.</w:t>
      </w:r>
      <w:r w:rsidRPr="000D7271">
        <w:tab/>
        <w:t>Затем эта политическая воля была укреплена в текущем Законе об ориентации национального образования № 91-22 от 16 февраля 1991 года, который поместил реализацию права на образование в сферу ответственности государства. Он способствует формированию системы образования, соответствующей возможностям каждого человека, обеспечивая равные возможности для достижения успеха без какой-либо дискриминации по признаку пола, социального происхождения, расы, этнической принадлежности, религии или национальности (статья 5). Статья 7 направлена на обеспечение специального образования и социального развития всех граждан в целях улучшения условий для жизни и труда, а также повышения производительности труда.</w:t>
      </w:r>
    </w:p>
    <w:p w:rsidR="000D7271" w:rsidRPr="000D7271" w:rsidRDefault="000D7271" w:rsidP="000D7271">
      <w:pPr>
        <w:pStyle w:val="SingleTxtGR"/>
      </w:pPr>
      <w:r w:rsidRPr="000D7271">
        <w:t>247.</w:t>
      </w:r>
      <w:r w:rsidRPr="000D7271">
        <w:tab/>
        <w:t>В рамках Десятилетней программы образования и подготовки кадров на 2001</w:t>
      </w:r>
      <w:r w:rsidR="00C839A2" w:rsidRPr="00C839A2">
        <w:t>−</w:t>
      </w:r>
      <w:r w:rsidRPr="000D7271">
        <w:t>2011 годы (ДПОПК), которая переносит это видение в практическую плоскость, начальное образование, являющееся первостепенным приоритетом правительства, направлено на то, чтобы достичь цели всеобщего качественного образования и создания условий для получения базового образования для всех без исключения. Это еще раз подтверждает, что детям-инвалидам уделяется особое внимание.</w:t>
      </w:r>
    </w:p>
    <w:p w:rsidR="000D7271" w:rsidRPr="000D7271" w:rsidRDefault="000D7271" w:rsidP="000D7271">
      <w:pPr>
        <w:pStyle w:val="SingleTxtGR"/>
      </w:pPr>
      <w:r w:rsidRPr="000D7271">
        <w:t>248.</w:t>
      </w:r>
      <w:r w:rsidRPr="000D7271">
        <w:tab/>
        <w:t>Государство Сенегал в Законе № 2004-37 от 15 декабря 2004 года также выступило за обязательное школьное образование и бесплатное образование для детей в возрасте от 6 до 16 лет в следующей формулировке: «посещение школы является обязательным для всех детей обоих полов в возрасте от 6 до 16 лет. Государство обязано поддерживать в рамках системы школьного обучения детей в возрасте от 6 до 16 лет».</w:t>
      </w:r>
    </w:p>
    <w:p w:rsidR="000D7271" w:rsidRPr="000D7271" w:rsidRDefault="000D7271" w:rsidP="000D7271">
      <w:pPr>
        <w:pStyle w:val="SingleTxtGR"/>
      </w:pPr>
      <w:r w:rsidRPr="000D7271">
        <w:t>249.</w:t>
      </w:r>
      <w:r w:rsidRPr="000D7271">
        <w:tab/>
        <w:t>По итогам десятилетней реализации ДПОПК можно констатировать значительный прогресс в области доступа к образованию и ликвидации разрыва между мальчиками и девочками во всех подсекторах. Вместе с тем результаты в плане качества образования, профессионального обучения, повышения эффективности и действенности управления системой по-прежнему являются недостаточными, несмотря на успехи в деле децентрализации управления. Ежегодный обзор, проведенный в июне 2013 года, предоставил возможность поделиться результатами, лежащими в основе таких заключений, со всеми партнерами.</w:t>
      </w:r>
    </w:p>
    <w:p w:rsidR="000D7271" w:rsidRPr="000D7271" w:rsidRDefault="000D7271" w:rsidP="000D7271">
      <w:pPr>
        <w:pStyle w:val="SingleTxtGR"/>
      </w:pPr>
      <w:r w:rsidRPr="000D7271">
        <w:t>250.</w:t>
      </w:r>
      <w:r w:rsidRPr="000D7271">
        <w:tab/>
        <w:t xml:space="preserve">Эти результаты, подтвержденные и дополненные анализом экономических условий и среды для получения образования и профессиональной подготовки, были взяты за основу при определении нового подхода к секторальной политике, который нашел свое отражение в Программе повышения качества, справедливости и </w:t>
      </w:r>
      <w:proofErr w:type="spellStart"/>
      <w:r w:rsidRPr="000D7271">
        <w:t>транспарентности</w:t>
      </w:r>
      <w:proofErr w:type="spellEnd"/>
      <w:r w:rsidRPr="000D7271">
        <w:t xml:space="preserve"> (ППКСТ) образования и профессиональной подготовки (ОПП) на период 2013–2025 годов. Цель ее разработки состоит в формировании качественной интеграционной системы. Интеграция представляет собой всеобъемлющий процесс, предназначенный для устранения или снижения барьеров на пути профессионального обучения и участия всех учащихся на основе технических и нормативных средств (кодексы градостроения, окружающей среды, строительства и подготовки учебных и дидактических материалов).</w:t>
      </w:r>
    </w:p>
    <w:p w:rsidR="000D7271" w:rsidRPr="000D7271" w:rsidRDefault="000D7271" w:rsidP="000D7271">
      <w:pPr>
        <w:pStyle w:val="SingleTxtGR"/>
      </w:pPr>
      <w:r w:rsidRPr="000D7271">
        <w:t>251.</w:t>
      </w:r>
      <w:r w:rsidRPr="000D7271">
        <w:tab/>
        <w:t>ППКСТ была одобрена техническими и финансовыми партнерами, которые принимают на себя обязательство оказывать правительству поддержку в деле мобилизации финансовых и технических ресурсов в рамках «Глобального партнерства в области образования» для достижения целей в области устойчивого развития, в число которых входит обеспечение качественного всеобщего начального образования.</w:t>
      </w:r>
    </w:p>
    <w:p w:rsidR="000D7271" w:rsidRPr="000D7271" w:rsidRDefault="000D7271" w:rsidP="000D7271">
      <w:pPr>
        <w:pStyle w:val="SingleTxtGR"/>
      </w:pPr>
      <w:r w:rsidRPr="000D7271">
        <w:t>252.</w:t>
      </w:r>
      <w:r w:rsidRPr="000D7271">
        <w:tab/>
        <w:t xml:space="preserve">Управление, ориентированное на конкретные результаты, которое формирует программную основу ППКСТ, предполагает такую стратегию управления, которая направляла бы усилия заинтересованных сторон в сторону достижения конкретных результатов и прямых воздействий, в отношении которых необходимо представлять отчетность с максимально возможной периодичностью. Важно напомнить о том, что сектор образования и подготовки кадров является предметом договора между государством, гражданами и донорами, что подразумевает режим управления на основании договорных отношений между участвующими сторонами как на центральном, так и на децентрализованном уровне. Укрепление гражданского контроля в деле осуществления стратегий и обмен зарегистрированными результатами является обязательным условием для интеграции в систему управления. Бюджетная поддержка, являющаяся механизмом оказания определенными финансовыми партнерами помощи правительству, также коррелирует с мерами/реформами, которые необходимо принять, или с результатами в отношении индикаторов побуждающих факторов, требующих принятия последующих мер для оптимальной мобилизации с точки зрения времени и соответствующих ресурсов. Министерство национального образования также разрабатывает непосредственным образом или через посредство некоторых организаций гражданского общества различные инициативы в области инклюзивного и специального образования. Прежде всего, четыре специализированных центра для лиц с нарушениями слуха, зрения, опорно-двигательного аппарата и умственных способностей, а именно Центр вербально-тонального общения (CVT), Национальный учебно-образовательный институт для молодых слепых (INEFJA), центр «Талибу </w:t>
      </w:r>
      <w:proofErr w:type="spellStart"/>
      <w:r w:rsidRPr="000D7271">
        <w:t>Дабо</w:t>
      </w:r>
      <w:proofErr w:type="spellEnd"/>
      <w:r w:rsidRPr="000D7271">
        <w:t>» и Учебно-образовательный центр для лиц с ограниченными умственными способностями (CEFDI), являются первыми элементами реагирования на особые образовательные потребности с 1980-х годов. Затем, такие НПО, как ЮНИСЕФ, ЮНЕСКО-БРЕДА, Международный альянс за спасение детей, организация «</w:t>
      </w:r>
      <w:proofErr w:type="spellStart"/>
      <w:r w:rsidRPr="000D7271">
        <w:t>Хэндикап</w:t>
      </w:r>
      <w:proofErr w:type="spellEnd"/>
      <w:r w:rsidRPr="000D7271">
        <w:t xml:space="preserve"> </w:t>
      </w:r>
      <w:proofErr w:type="spellStart"/>
      <w:r w:rsidRPr="000D7271">
        <w:t>интернэшнл</w:t>
      </w:r>
      <w:proofErr w:type="spellEnd"/>
      <w:r w:rsidRPr="000D7271">
        <w:t>», организация «</w:t>
      </w:r>
      <w:proofErr w:type="spellStart"/>
      <w:r w:rsidRPr="000D7271">
        <w:t>Сайтсэйверс</w:t>
      </w:r>
      <w:proofErr w:type="spellEnd"/>
      <w:r w:rsidRPr="000D7271">
        <w:t>» и Северный фонд развития (через Всемирный банк) позволили продвинуться вперед в претворении в жизнь видения, заключающегося в укреплении специального образования и в зачислении в</w:t>
      </w:r>
      <w:r>
        <w:t xml:space="preserve"> </w:t>
      </w:r>
      <w:r w:rsidRPr="000D7271">
        <w:t xml:space="preserve">обычные школы некоторых детей с легкими формами инвалидности с учетом категорий, поддающихся сочетанию. В этом отношении важно использовать опыт, накопленный другими учреждениями, такими как Экспериментальная школа ЮНЕСКО/БРЕДА в </w:t>
      </w:r>
      <w:proofErr w:type="spellStart"/>
      <w:r w:rsidRPr="000D7271">
        <w:t>Тиесе</w:t>
      </w:r>
      <w:proofErr w:type="spellEnd"/>
      <w:r w:rsidRPr="000D7271">
        <w:t>, Детская психиатрическая служба «</w:t>
      </w:r>
      <w:proofErr w:type="spellStart"/>
      <w:r w:rsidRPr="000D7271">
        <w:t>Keur</w:t>
      </w:r>
      <w:proofErr w:type="spellEnd"/>
      <w:r w:rsidRPr="000D7271">
        <w:t xml:space="preserve"> </w:t>
      </w:r>
      <w:proofErr w:type="spellStart"/>
      <w:r w:rsidRPr="000D7271">
        <w:t>Khaleyi</w:t>
      </w:r>
      <w:proofErr w:type="spellEnd"/>
      <w:r w:rsidRPr="000D7271">
        <w:t xml:space="preserve">» в квартале </w:t>
      </w:r>
      <w:proofErr w:type="spellStart"/>
      <w:r w:rsidRPr="000D7271">
        <w:t>Фанн</w:t>
      </w:r>
      <w:proofErr w:type="spellEnd"/>
      <w:r w:rsidRPr="000D7271">
        <w:t>, Школа для глухих детей «EPHPHATA», ассоциация «</w:t>
      </w:r>
      <w:r w:rsidRPr="000D7271">
        <w:rPr>
          <w:lang w:val="en-GB"/>
        </w:rPr>
        <w:t>CORIF</w:t>
      </w:r>
      <w:r w:rsidRPr="000D7271">
        <w:t xml:space="preserve">», Центр им. </w:t>
      </w:r>
      <w:proofErr w:type="spellStart"/>
      <w:r w:rsidRPr="000D7271">
        <w:t>Аминаты</w:t>
      </w:r>
      <w:proofErr w:type="spellEnd"/>
      <w:r w:rsidRPr="000D7271">
        <w:t xml:space="preserve"> </w:t>
      </w:r>
      <w:proofErr w:type="spellStart"/>
      <w:r w:rsidRPr="000D7271">
        <w:t>Мбайе</w:t>
      </w:r>
      <w:proofErr w:type="spellEnd"/>
      <w:r w:rsidRPr="000D7271">
        <w:t xml:space="preserve"> для детей с ограниченными интеллектуальными возможностями, центр «ESTEL» и центр «</w:t>
      </w:r>
      <w:proofErr w:type="spellStart"/>
      <w:r w:rsidRPr="000D7271">
        <w:t>Abri</w:t>
      </w:r>
      <w:proofErr w:type="spellEnd"/>
      <w:r w:rsidRPr="000D7271">
        <w:t xml:space="preserve">» в квартале </w:t>
      </w:r>
      <w:proofErr w:type="spellStart"/>
      <w:r w:rsidRPr="000D7271">
        <w:t>Уакам</w:t>
      </w:r>
      <w:proofErr w:type="spellEnd"/>
      <w:r w:rsidRPr="000D7271">
        <w:t>.</w:t>
      </w:r>
    </w:p>
    <w:p w:rsidR="000D7271" w:rsidRPr="000D7271" w:rsidRDefault="000D7271" w:rsidP="000D7271">
      <w:pPr>
        <w:pStyle w:val="SingleTxtGR"/>
      </w:pPr>
      <w:r w:rsidRPr="000D7271">
        <w:t>253.</w:t>
      </w:r>
      <w:r w:rsidRPr="000D7271">
        <w:tab/>
        <w:t>Такая решимость реализовывать право на образование отражена в Законе об ориентации социальной политики в отношении поощрения и защиты прав инвалидов (глава III, статьи 15–26). Учредив в каждом департаменте департаментскую комиссию по специальному образованию, вышеупомянутый Закон 2010 года в статье 15 предусматривает, что «государство гарантирует право на образование, обучение, профессиональную подготовку и трудоустройство инвалидов, как и бесплатное образование в обычных образовательных учреждениях». В действительности, «дети и подростки-инвалиды имеют право на бесплатное образование в обычных образовательных учреждениях, расположенных по мере возможности вблизи от их места жительства» (статья 15, пункт 2).</w:t>
      </w:r>
    </w:p>
    <w:p w:rsidR="000D7271" w:rsidRPr="000D7271" w:rsidRDefault="000D7271" w:rsidP="000D7271">
      <w:pPr>
        <w:pStyle w:val="SingleTxtGR"/>
      </w:pPr>
      <w:r w:rsidRPr="000D7271">
        <w:t>254.</w:t>
      </w:r>
      <w:r w:rsidRPr="000D7271">
        <w:tab/>
      </w:r>
      <w:proofErr w:type="gramStart"/>
      <w:r w:rsidRPr="000D7271">
        <w:t>В</w:t>
      </w:r>
      <w:proofErr w:type="gramEnd"/>
      <w:r w:rsidRPr="000D7271">
        <w:t xml:space="preserve"> случае наличия у какого-либо лица степени инвалидности, не позволяющей ему посещать обычное образовательное учреждение, оно направляется в специальное образовательное учреждение (статья 15, пункт 3). </w:t>
      </w:r>
    </w:p>
    <w:p w:rsidR="000D7271" w:rsidRPr="000D7271" w:rsidRDefault="000D7271" w:rsidP="000D7271">
      <w:pPr>
        <w:pStyle w:val="SingleTxtGR"/>
      </w:pPr>
      <w:r w:rsidRPr="000D7271">
        <w:t>255.</w:t>
      </w:r>
      <w:r w:rsidRPr="000D7271">
        <w:tab/>
        <w:t>Департаментские технические комиссии по специальному образованию, созданные в соответствии с Декретом № 2012-1038 от 2 октября 2012 года, назначают соответствующие учреждения или службы, или в исключительных случаях учреждение или службу, которые предоставляют специальное образование, соответствующее потребностям подростков, и имеют возможность их принять (статья</w:t>
      </w:r>
      <w:r w:rsidR="00C839A2">
        <w:rPr>
          <w:lang w:val="en-US"/>
        </w:rPr>
        <w:t> </w:t>
      </w:r>
      <w:r w:rsidRPr="000D7271">
        <w:t>17 ЗОСП).</w:t>
      </w:r>
    </w:p>
    <w:p w:rsidR="000D7271" w:rsidRPr="000D7271" w:rsidRDefault="000D7271" w:rsidP="000D7271">
      <w:pPr>
        <w:pStyle w:val="SingleTxtGR"/>
      </w:pPr>
      <w:r w:rsidRPr="000D7271">
        <w:t>256.</w:t>
      </w:r>
      <w:r w:rsidRPr="000D7271">
        <w:tab/>
        <w:t>На университетском уровне Центр научных исследований, изучения и документации по африканским учреждениям и законодательству должным образом принял это во внимание, указав, что его документационный зал зарезервирован главным образом для студентов-инвалидов и для использования документации.</w:t>
      </w:r>
    </w:p>
    <w:p w:rsidR="000D7271" w:rsidRPr="000D7271" w:rsidRDefault="000D7271" w:rsidP="000D7271">
      <w:pPr>
        <w:pStyle w:val="SingleTxtGR"/>
      </w:pPr>
      <w:r w:rsidRPr="000D7271">
        <w:t>257.</w:t>
      </w:r>
      <w:r w:rsidRPr="000D7271">
        <w:tab/>
        <w:t>Аналогичным образом, начиная с 1994 года в рамках первого цикла Национальной школы специализированных социальных работников (НШССР) функционирует программа обучения и реинтеграции инвалидов.</w:t>
      </w:r>
    </w:p>
    <w:p w:rsidR="000D7271" w:rsidRPr="000D7271" w:rsidRDefault="000D7271" w:rsidP="000D7271">
      <w:pPr>
        <w:pStyle w:val="SingleTxtGR"/>
      </w:pPr>
      <w:r w:rsidRPr="000D7271">
        <w:t>258.</w:t>
      </w:r>
      <w:r w:rsidRPr="000D7271">
        <w:tab/>
        <w:t xml:space="preserve">Однако основные проблемы могут быть решены за счет принятия следующих мер: </w:t>
      </w:r>
    </w:p>
    <w:p w:rsidR="000D7271" w:rsidRPr="000D7271" w:rsidRDefault="000D7271" w:rsidP="00C839A2">
      <w:pPr>
        <w:pStyle w:val="Bullet1GR"/>
      </w:pPr>
      <w:r w:rsidRPr="000D7271">
        <w:t>создание новых специальных учреждений, предоставляющих базовое образование для детей с тяжелой формой инвалидности, во всех административных центрах регионов или департаментов;</w:t>
      </w:r>
    </w:p>
    <w:p w:rsidR="000D7271" w:rsidRPr="000D7271" w:rsidRDefault="000D7271" w:rsidP="00C839A2">
      <w:pPr>
        <w:pStyle w:val="Bullet1GR"/>
      </w:pPr>
      <w:r w:rsidRPr="000D7271">
        <w:t>повышение квалификации и переподготовка преподавателей, вспомогательного персонала и вспомогательного медицинского персонала для оказания поддержки и помощи детям-инвалидам;</w:t>
      </w:r>
    </w:p>
    <w:p w:rsidR="000D7271" w:rsidRPr="000D7271" w:rsidRDefault="000D7271" w:rsidP="00C839A2">
      <w:pPr>
        <w:pStyle w:val="Bullet1GR"/>
      </w:pPr>
      <w:r w:rsidRPr="000D7271">
        <w:t>расширение оказания поддержки существующим специальным учреждениям посредством регулярного обновления оборудования и учебных материалов;</w:t>
      </w:r>
    </w:p>
    <w:p w:rsidR="000D7271" w:rsidRPr="000D7271" w:rsidRDefault="000D7271" w:rsidP="00C839A2">
      <w:pPr>
        <w:pStyle w:val="Bullet1GR"/>
      </w:pPr>
      <w:r w:rsidRPr="000D7271">
        <w:t>поощрение частных инициатив, соблюдающих стандарты качества и способных привлекать уязвимые семьи.</w:t>
      </w:r>
    </w:p>
    <w:p w:rsidR="000D7271" w:rsidRPr="000D7271" w:rsidRDefault="000D7271" w:rsidP="00C839A2">
      <w:pPr>
        <w:pStyle w:val="HChGR"/>
      </w:pPr>
      <w:r w:rsidRPr="000D7271">
        <w:tab/>
      </w:r>
      <w:r w:rsidRPr="000D7271">
        <w:tab/>
        <w:t>Статья 25: Здоровье</w:t>
      </w:r>
    </w:p>
    <w:p w:rsidR="000D7271" w:rsidRPr="000D7271" w:rsidRDefault="000D7271" w:rsidP="000D7271">
      <w:pPr>
        <w:pStyle w:val="SingleTxtGR"/>
      </w:pPr>
      <w:r w:rsidRPr="000D7271">
        <w:t>259.</w:t>
      </w:r>
      <w:r w:rsidRPr="000D7271">
        <w:tab/>
        <w:t xml:space="preserve">Проблема здоровья инвалидов всегда было одной из основных забот сенегальских властей, о чем свидетельствует принятие различных законодательных и нормативных мер в этой области. </w:t>
      </w:r>
    </w:p>
    <w:p w:rsidR="000D7271" w:rsidRPr="000D7271" w:rsidRDefault="000D7271" w:rsidP="000D7271">
      <w:pPr>
        <w:pStyle w:val="SingleTxtGR"/>
      </w:pPr>
      <w:r w:rsidRPr="000D7271">
        <w:t>260.</w:t>
      </w:r>
      <w:r w:rsidRPr="000D7271">
        <w:tab/>
        <w:t xml:space="preserve">В Конституции Сенегала, как и во Всеобщей декларации прав человека, Африканской хартии прав человека и народов, а также в ратифицированных конвенциях о недискриминации закрепляется свободный и равный доступ к медицинскому обслуживанию. </w:t>
      </w:r>
    </w:p>
    <w:p w:rsidR="000D7271" w:rsidRPr="000D7271" w:rsidRDefault="000D7271" w:rsidP="000D7271">
      <w:pPr>
        <w:pStyle w:val="SingleTxtGR"/>
      </w:pPr>
      <w:r w:rsidRPr="000D7271">
        <w:t>261.</w:t>
      </w:r>
      <w:r w:rsidRPr="000D7271">
        <w:tab/>
      </w:r>
      <w:proofErr w:type="gramStart"/>
      <w:r w:rsidRPr="000D7271">
        <w:t>В</w:t>
      </w:r>
      <w:proofErr w:type="gramEnd"/>
      <w:r w:rsidRPr="000D7271">
        <w:t xml:space="preserve"> соответствии со статьей 17 Конституции Сенегала «на государство и государственные органы власти возлагается социальное обязательство заботиться о физическом, моральном и психическом здоровье семьи, в особенности инвалидов и пожилых людей. Государство гарантирует семьям в целом и</w:t>
      </w:r>
      <w:r>
        <w:t xml:space="preserve"> </w:t>
      </w:r>
      <w:r w:rsidRPr="000D7271">
        <w:t xml:space="preserve">проживающим в сельских районах в частности доступ к здравоохранению и благополучию». </w:t>
      </w:r>
    </w:p>
    <w:p w:rsidR="000D7271" w:rsidRPr="000D7271" w:rsidRDefault="000D7271" w:rsidP="000D7271">
      <w:pPr>
        <w:pStyle w:val="SingleTxtGR"/>
      </w:pPr>
      <w:r w:rsidRPr="000D7271">
        <w:t>262.</w:t>
      </w:r>
      <w:r w:rsidRPr="000D7271">
        <w:tab/>
        <w:t>Именно по этой причине приверженность заботе о здоровье инвалидов постоянно указывается в рамках сферы ответственности министра здравоохранения и социальной поддержки. Так, в Декрете № 2012-635 от 4 июля 2012 года предусматривается, что «министр должен уделять особое внимание охране здоровья женщин, детей, мигрантов, пожилых людей и инвалидов».</w:t>
      </w:r>
    </w:p>
    <w:p w:rsidR="000D7271" w:rsidRPr="000D7271" w:rsidRDefault="000D7271" w:rsidP="000D7271">
      <w:pPr>
        <w:pStyle w:val="SingleTxtGR"/>
      </w:pPr>
      <w:r w:rsidRPr="000D7271">
        <w:t>263.</w:t>
      </w:r>
      <w:r w:rsidRPr="000D7271">
        <w:tab/>
        <w:t>Кроме того, в Законе от 2 марта 1998 года устанавливается принцип недискриминации в государственных учреждениях в следующей формулировке: «стремление к получению прибыли несовместимо с миссией общественного здравоохранения, заключающейся в том, чтобы обеспечить возможность каждому иметь доступ к медицинским услугам по стоимости, совместимой с его ресурсами».</w:t>
      </w:r>
    </w:p>
    <w:p w:rsidR="000D7271" w:rsidRPr="000D7271" w:rsidRDefault="000D7271" w:rsidP="000D7271">
      <w:pPr>
        <w:pStyle w:val="SingleTxtGR"/>
      </w:pPr>
      <w:r w:rsidRPr="000D7271">
        <w:t>264.</w:t>
      </w:r>
      <w:r w:rsidRPr="000D7271">
        <w:tab/>
        <w:t>Бесплатное медицинское обслуживание для инвалидов в центрах здравоохранения предусмотрено также в циркулярном письме министра здравоохранения за № 023-95/MSAL от 23 сентября 1995 года.</w:t>
      </w:r>
    </w:p>
    <w:p w:rsidR="000D7271" w:rsidRPr="000D7271" w:rsidRDefault="000D7271" w:rsidP="000D7271">
      <w:pPr>
        <w:pStyle w:val="SingleTxtGR"/>
      </w:pPr>
      <w:r w:rsidRPr="000D7271">
        <w:t>265.</w:t>
      </w:r>
      <w:r w:rsidRPr="000D7271">
        <w:tab/>
      </w:r>
      <w:proofErr w:type="gramStart"/>
      <w:r w:rsidRPr="000D7271">
        <w:t>В</w:t>
      </w:r>
      <w:proofErr w:type="gramEnd"/>
      <w:r w:rsidRPr="000D7271">
        <w:t xml:space="preserve"> статье 2 Декрета № 5776 от 17 июля 2001 года об Уставе пациентов государственных больничных заведений говорится, что «интересы инвалидов должны учитываться при планировке помещений приемного покоя».</w:t>
      </w:r>
    </w:p>
    <w:p w:rsidR="000D7271" w:rsidRPr="000D7271" w:rsidRDefault="000D7271" w:rsidP="000D7271">
      <w:pPr>
        <w:pStyle w:val="SingleTxtGR"/>
      </w:pPr>
      <w:r w:rsidRPr="000D7271">
        <w:t>266.</w:t>
      </w:r>
      <w:r w:rsidRPr="000D7271">
        <w:tab/>
        <w:t>Затем, в статьях 1 и 2 Устава пациентов Госпитального центра Мальтийского ордена (ГЦМО) указано, что «доступ к ГЦМО гарантируется всем лицам, в особенности находящимся в неблагоприятном положении, без какой-либо дискриминации. Интересы инвалидов учитываются при планировке помещений приемного покоя».</w:t>
      </w:r>
    </w:p>
    <w:p w:rsidR="000D7271" w:rsidRPr="000D7271" w:rsidRDefault="000D7271" w:rsidP="000D7271">
      <w:pPr>
        <w:pStyle w:val="SingleTxtGR"/>
      </w:pPr>
      <w:r w:rsidRPr="000D7271">
        <w:t>267.</w:t>
      </w:r>
      <w:r w:rsidRPr="000D7271">
        <w:tab/>
        <w:t>Аналогичным образом в циркулярном письме министра здравоохранения от 4 ноября 2004 года добавляется, что в рамках стратегии по обеспечению доступа к медицинским услугам для уязвимых групп населения должны быть приняты все необходимые меры для облегчения доступа слепых и членов их семей к медицинской помощи в медицинских учреждениях.</w:t>
      </w:r>
    </w:p>
    <w:p w:rsidR="000D7271" w:rsidRPr="000D7271" w:rsidRDefault="000D7271" w:rsidP="000D7271">
      <w:pPr>
        <w:pStyle w:val="SingleTxtGR"/>
      </w:pPr>
      <w:r w:rsidRPr="000D7271">
        <w:t>268.</w:t>
      </w:r>
      <w:r w:rsidRPr="000D7271">
        <w:tab/>
        <w:t>Также в Законе об ориентации социальной политики № 2010-15 от 6 июля 2010</w:t>
      </w:r>
      <w:r w:rsidR="00C839A2">
        <w:rPr>
          <w:lang w:val="en-US"/>
        </w:rPr>
        <w:t> </w:t>
      </w:r>
      <w:r w:rsidRPr="000D7271">
        <w:t>года в статье 7 указано, что государство гарантирует предоставление медицинского ухода, необходимого для физического и психического здоровья инвалидов, а в статье 8 этого же Закона предусматривается бесплатный медицинский уход в соответствующих медицинских учреждениях, находящихся в ведении государства, местных органов власти или общественных организаций, для инвалидов, если они являются малообеспеченными и страдают от тяжелой формы инвалидности, подтвержденной в установленном порядке, или не имеют поддержки.</w:t>
      </w:r>
    </w:p>
    <w:p w:rsidR="000D7271" w:rsidRPr="000D7271" w:rsidRDefault="000D7271" w:rsidP="000D7271">
      <w:pPr>
        <w:pStyle w:val="SingleTxtGR"/>
      </w:pPr>
      <w:r w:rsidRPr="000D7271">
        <w:t>269.</w:t>
      </w:r>
      <w:r w:rsidRPr="000D7271">
        <w:tab/>
        <w:t>В равной степени согласно статье 9 указанного Закона государство и местные органы власти обязаны брать на себя уход за инвалидами в следующих четырех случаях:</w:t>
      </w:r>
    </w:p>
    <w:p w:rsidR="000D7271" w:rsidRPr="000D7271" w:rsidRDefault="000D7271" w:rsidP="00C839A2">
      <w:pPr>
        <w:pStyle w:val="Bullet1GR"/>
      </w:pPr>
      <w:r w:rsidRPr="000D7271">
        <w:t>уход за инвалидом в семье;</w:t>
      </w:r>
    </w:p>
    <w:p w:rsidR="000D7271" w:rsidRPr="000D7271" w:rsidRDefault="000D7271" w:rsidP="00C839A2">
      <w:pPr>
        <w:pStyle w:val="Bullet1GR"/>
      </w:pPr>
      <w:r w:rsidRPr="000D7271">
        <w:t>предоставление материальной помощи малообеспеченному инвалиду или его законному опекуну, с тем чтобы внести вклад в покрытие расходов, связанных с удовлетворением его основных потребностей;</w:t>
      </w:r>
    </w:p>
    <w:p w:rsidR="000D7271" w:rsidRPr="000D7271" w:rsidRDefault="000D7271" w:rsidP="00C839A2">
      <w:pPr>
        <w:pStyle w:val="Bullet1GR"/>
      </w:pPr>
      <w:r w:rsidRPr="000D7271">
        <w:t>помещение инвалида в приемную семью;</w:t>
      </w:r>
    </w:p>
    <w:p w:rsidR="000D7271" w:rsidRPr="000D7271" w:rsidRDefault="000D7271" w:rsidP="00C839A2">
      <w:pPr>
        <w:pStyle w:val="Bullet1GR"/>
      </w:pPr>
      <w:r w:rsidRPr="000D7271">
        <w:t>помещение инвалида в учреждение, специализирующееся на размещении инвалидов и уходе за ними.</w:t>
      </w:r>
    </w:p>
    <w:p w:rsidR="000D7271" w:rsidRPr="000D7271" w:rsidRDefault="000D7271" w:rsidP="000D7271">
      <w:pPr>
        <w:pStyle w:val="SingleTxtGR"/>
      </w:pPr>
      <w:r w:rsidRPr="000D7271">
        <w:t>270.</w:t>
      </w:r>
      <w:r w:rsidRPr="000D7271">
        <w:tab/>
        <w:t>Кроме того, в Сенегале учреждено всеобщее медицинское страхование на основе национальной солидарности в дополнение к уже существующим структурам взаимного медицинского страхования и</w:t>
      </w:r>
      <w:r>
        <w:t xml:space="preserve"> </w:t>
      </w:r>
      <w:r w:rsidRPr="000D7271">
        <w:t>комитетам по вопросам здравоохранения.</w:t>
      </w:r>
    </w:p>
    <w:p w:rsidR="000D7271" w:rsidRPr="000D7271" w:rsidRDefault="000D7271" w:rsidP="000D7271">
      <w:pPr>
        <w:pStyle w:val="SingleTxtGR"/>
      </w:pPr>
      <w:r w:rsidRPr="000D7271">
        <w:t>271.</w:t>
      </w:r>
      <w:r w:rsidRPr="000D7271">
        <w:tab/>
        <w:t>Взаимное медицинское страхование учреждено на основании Закона № 2003</w:t>
      </w:r>
      <w:r w:rsidRPr="000D7271">
        <w:noBreakHyphen/>
        <w:t>14 от 4 июня 2003 года. Однако условия создания структур взаимного медицинского страхования и порядок организации их работы и функционирования были установлены Декретом, принятым в 2009 году. Структуры взаимного медицинского страхования входят в сферу ответственности министерства здравоохранения в целях содействия обеспечению финансирования здравоохранения.</w:t>
      </w:r>
    </w:p>
    <w:p w:rsidR="000D7271" w:rsidRPr="000D7271" w:rsidRDefault="000D7271" w:rsidP="000D7271">
      <w:pPr>
        <w:pStyle w:val="SingleTxtGR"/>
      </w:pPr>
      <w:r w:rsidRPr="000D7271">
        <w:t>272.</w:t>
      </w:r>
      <w:r w:rsidRPr="000D7271">
        <w:tab/>
        <w:t>Что касается комитетов по вопросам здравоохранения, в состав которых входят представители мэрии и спортивных и культурных общественных ассоциаций, то в их отношении следует предусмотреть меру, направленную на вовлечение населения в деятельность в области здравоохранения. Уставы этих комитетов и их обязательства регулируются Декретом № 92-118 от 17 января 1992 года. Задействование населения помогает в борьбе с некоторыми видами пагубной практики, такими как калечащие операции на женских половых органах и все другие табу и запреты, оказывающие пагубное влияние на здоровье.</w:t>
      </w:r>
    </w:p>
    <w:p w:rsidR="000D7271" w:rsidRPr="000D7271" w:rsidRDefault="000D7271" w:rsidP="000D7271">
      <w:pPr>
        <w:pStyle w:val="SingleTxtGR"/>
      </w:pPr>
      <w:r w:rsidRPr="000D7271">
        <w:t>273.</w:t>
      </w:r>
      <w:r w:rsidRPr="000D7271">
        <w:tab/>
        <w:t xml:space="preserve">Кроме того, Декретом № 2008-381 от 7 апреля 2008 года была создана система помощи для лиц в возрасте от 60 лет под названием «Сезам». Однако эта система касается только лиц сенегальского гражданства, что предполагает предъявление национального удостоверения личности в электронной форме. Она закрепляет за бенефициаром право на бесплатное медицинское обслуживание или медицинское обслуживание по льготному тарифу на всей территории страны. </w:t>
      </w:r>
    </w:p>
    <w:p w:rsidR="000D7271" w:rsidRPr="000D7271" w:rsidRDefault="000D7271" w:rsidP="000D7271">
      <w:pPr>
        <w:pStyle w:val="SingleTxtGR"/>
      </w:pPr>
      <w:r w:rsidRPr="000D7271">
        <w:t>274.</w:t>
      </w:r>
      <w:r w:rsidRPr="000D7271">
        <w:tab/>
        <w:t xml:space="preserve">Вместе с тем эффективность соблюдения прав инвалидов подкрепляется в области здравоохранения посредством «карты равных возможностей». </w:t>
      </w:r>
    </w:p>
    <w:p w:rsidR="000D7271" w:rsidRPr="000D7271" w:rsidRDefault="000D7271" w:rsidP="000D7271">
      <w:pPr>
        <w:pStyle w:val="SingleTxtGR"/>
      </w:pPr>
      <w:r w:rsidRPr="000D7271">
        <w:t>275.</w:t>
      </w:r>
      <w:r w:rsidRPr="000D7271">
        <w:tab/>
        <w:t>Эта карта дает возможность инвалидам, которые являются ее обладателями, иметь доступ к тем же услугам, которые им предоставляются по сниженным ценам, в частных медицинских учреждениях (подпункт 2 статьи 8 Закона).</w:t>
      </w:r>
    </w:p>
    <w:p w:rsidR="000D7271" w:rsidRPr="000D7271" w:rsidRDefault="000D7271" w:rsidP="000D7271">
      <w:pPr>
        <w:pStyle w:val="SingleTxtGR"/>
      </w:pPr>
      <w:r w:rsidRPr="000D7271">
        <w:t>276.</w:t>
      </w:r>
      <w:r w:rsidRPr="000D7271">
        <w:tab/>
        <w:t>Эта карта выдается комиссиями, расположенными в административных центрах департаментов, которым поручено составлять списки лиц, имеющих право на ее получение, с указанием степени их инвалидности.</w:t>
      </w:r>
    </w:p>
    <w:p w:rsidR="000D7271" w:rsidRPr="000D7271" w:rsidRDefault="000D7271" w:rsidP="000D7271">
      <w:pPr>
        <w:pStyle w:val="SingleTxtGR"/>
      </w:pPr>
      <w:r w:rsidRPr="000D7271">
        <w:t>277.</w:t>
      </w:r>
      <w:r w:rsidRPr="000D7271">
        <w:tab/>
        <w:t>Таким образом, карта дает ее обладателю право доступа к «социальным секторам» транспорта, здравоохранения, образования, реабилитации, финансов и занятости.</w:t>
      </w:r>
    </w:p>
    <w:p w:rsidR="000D7271" w:rsidRPr="000D7271" w:rsidRDefault="000D7271" w:rsidP="000D7271">
      <w:pPr>
        <w:pStyle w:val="SingleTxtGR"/>
      </w:pPr>
      <w:r w:rsidRPr="000D7271">
        <w:t>278.</w:t>
      </w:r>
      <w:r w:rsidRPr="000D7271">
        <w:tab/>
        <w:t xml:space="preserve">Кроме того, следует отметить, что расходы на ортопедические приспособления и </w:t>
      </w:r>
      <w:proofErr w:type="spellStart"/>
      <w:r w:rsidRPr="000D7271">
        <w:t>ассистивные</w:t>
      </w:r>
      <w:proofErr w:type="spellEnd"/>
      <w:r w:rsidRPr="000D7271">
        <w:t xml:space="preserve"> устройства, необходимые для инвалидов-обладателей «карты равных возможностей», покрываются государством, если только они не охвачены системой социального обеспечения.</w:t>
      </w:r>
    </w:p>
    <w:p w:rsidR="000D7271" w:rsidRPr="000D7271" w:rsidRDefault="000D7271" w:rsidP="000D7271">
      <w:pPr>
        <w:pStyle w:val="SingleTxtGR"/>
      </w:pPr>
      <w:r w:rsidRPr="000D7271">
        <w:t>279.</w:t>
      </w:r>
      <w:r w:rsidRPr="000D7271">
        <w:tab/>
        <w:t>Аналогичным образом, в соответствии с Законом об ориентации социальной политики любая техника, предназначенная для лиц, имеющих инвалидность (например, автомобиль), освобождается от уплаты налога.</w:t>
      </w:r>
    </w:p>
    <w:p w:rsidR="000D7271" w:rsidRPr="000D7271" w:rsidRDefault="000D7271" w:rsidP="000D7271">
      <w:pPr>
        <w:pStyle w:val="SingleTxtGR"/>
      </w:pPr>
      <w:r w:rsidRPr="000D7271">
        <w:t>280.</w:t>
      </w:r>
      <w:r w:rsidRPr="000D7271">
        <w:tab/>
        <w:t>Кроме того, инвалиды имеют право на минимальную квоту в размере 15</w:t>
      </w:r>
      <w:r w:rsidR="00C839A2">
        <w:t>%</w:t>
      </w:r>
      <w:r w:rsidRPr="000D7271">
        <w:t xml:space="preserve"> в кадровом составе государственных и частных предприятий в Сенегале в соответствии с Законом об ориентации социальной политики (ЗОСП). </w:t>
      </w:r>
    </w:p>
    <w:p w:rsidR="000D7271" w:rsidRPr="000D7271" w:rsidRDefault="000D7271" w:rsidP="000D7271">
      <w:pPr>
        <w:pStyle w:val="SingleTxtGR"/>
      </w:pPr>
      <w:r w:rsidRPr="000D7271">
        <w:t>281.</w:t>
      </w:r>
      <w:r w:rsidRPr="000D7271">
        <w:tab/>
        <w:t>Что касается профилактики, то она четко закреплена в Законе об ориентации социальной политики, в частности в его статье 13, которая фактически предусматривает, что государственные и частные информационные и коммуникационные структуры осуществляют трансляцию программ по повышению информированности о причинах инвалидности и их последствиях и что медийные кампании по профилактике инвалидности проводятся данными средствами массовой информации на безвозмездной основе.</w:t>
      </w:r>
    </w:p>
    <w:p w:rsidR="000D7271" w:rsidRPr="000D7271" w:rsidRDefault="000D7271" w:rsidP="000D7271">
      <w:pPr>
        <w:pStyle w:val="SingleTxtGR"/>
      </w:pPr>
      <w:r w:rsidRPr="000D7271">
        <w:t>282.</w:t>
      </w:r>
      <w:r w:rsidRPr="000D7271">
        <w:tab/>
        <w:t>Сенегал также подписал 14 февраля 2005 года Декларацию о поддержке инициативы «ВИДЕНИЕ 2020». Следует напомнить, что цель этого проекта состоит в том, чтобы устранить основные причины слепоты, с тем чтобы предоставить право на зрение каждому человеку и, в частности, миллионам людей, находящихся под угрозой слепоты или страдающих от слепоты, которую можно было бы предотвратить. Она была инициирована Всемирной организацией здравоохранения (ВОЗ) в Женеве 18</w:t>
      </w:r>
      <w:r w:rsidR="00C839A2">
        <w:t> </w:t>
      </w:r>
      <w:r w:rsidRPr="000D7271">
        <w:t xml:space="preserve">февраля 1999 года в партнерстве с Международным агентством по предупреждению слепоты (МАПС) при международном участии НПО, профессиональных ассоциаций, офтальмологических институтов и обществ. </w:t>
      </w:r>
    </w:p>
    <w:p w:rsidR="000D7271" w:rsidRPr="000D7271" w:rsidRDefault="000D7271" w:rsidP="000D7271">
      <w:pPr>
        <w:pStyle w:val="SingleTxtGR"/>
      </w:pPr>
      <w:r w:rsidRPr="000D7271">
        <w:t>283.</w:t>
      </w:r>
      <w:r w:rsidRPr="000D7271">
        <w:tab/>
        <w:t>Кроме того, НПО «</w:t>
      </w:r>
      <w:proofErr w:type="spellStart"/>
      <w:r w:rsidRPr="000D7271">
        <w:t>Хэндикап</w:t>
      </w:r>
      <w:proofErr w:type="spellEnd"/>
      <w:r w:rsidRPr="000D7271">
        <w:t xml:space="preserve"> </w:t>
      </w:r>
      <w:proofErr w:type="spellStart"/>
      <w:r w:rsidRPr="000D7271">
        <w:t>интернэшнл</w:t>
      </w:r>
      <w:proofErr w:type="spellEnd"/>
      <w:r w:rsidRPr="000D7271">
        <w:t xml:space="preserve">» (ХИ) инициировала в области здравоохранения два (02) проекта: </w:t>
      </w:r>
    </w:p>
    <w:p w:rsidR="000D7271" w:rsidRPr="000D7271" w:rsidRDefault="000D7271" w:rsidP="00C839A2">
      <w:pPr>
        <w:pStyle w:val="Bullet1GR"/>
      </w:pPr>
      <w:r w:rsidRPr="000D7271">
        <w:t xml:space="preserve">комплексный экспериментальный проект в области инклюзивного образования, защиты и раннего выявления нарушений в регионе Дакара на общую сумму в 56 000 007 франков КФА, реализация которого началась в апреле 2014 года, на срок, составляющий восемь (8) месяцев; </w:t>
      </w:r>
    </w:p>
    <w:p w:rsidR="000D7271" w:rsidRPr="000D7271" w:rsidRDefault="000D7271" w:rsidP="00C839A2">
      <w:pPr>
        <w:pStyle w:val="Bullet1GR"/>
      </w:pPr>
      <w:r w:rsidRPr="000D7271">
        <w:t xml:space="preserve">проект «ACCESS», направленный на проблемы ВИЧ и инвалидности, который осуществлялся в регионе </w:t>
      </w:r>
      <w:proofErr w:type="spellStart"/>
      <w:r w:rsidRPr="000D7271">
        <w:t>Зигиншор</w:t>
      </w:r>
      <w:proofErr w:type="spellEnd"/>
      <w:r w:rsidRPr="000D7271">
        <w:t xml:space="preserve"> с 2013 по 2016 год консорциумом «</w:t>
      </w:r>
      <w:proofErr w:type="spellStart"/>
      <w:r w:rsidRPr="000D7271">
        <w:t>Хэндикап</w:t>
      </w:r>
      <w:proofErr w:type="spellEnd"/>
      <w:r w:rsidRPr="000D7271">
        <w:t xml:space="preserve"> </w:t>
      </w:r>
      <w:proofErr w:type="spellStart"/>
      <w:r w:rsidRPr="000D7271">
        <w:t>интернэшнл</w:t>
      </w:r>
      <w:proofErr w:type="spellEnd"/>
      <w:r w:rsidRPr="000D7271">
        <w:t xml:space="preserve">» и Сенегальским отделением Общества по проблемам женщин и СПИДа в Африке (СВАА-СЕНЕГАЛ). Его реализация стала возможной благодаря поддержке со стороны Министерства иностранных и европейских дел Франции в рамках Инициативы по борьбе со СПИДом, туберкулезом и малярией, управление которой осуществляется организацией «Франс экспертиз </w:t>
      </w:r>
      <w:proofErr w:type="spellStart"/>
      <w:r w:rsidRPr="000D7271">
        <w:t>интернасиональ</w:t>
      </w:r>
      <w:proofErr w:type="spellEnd"/>
      <w:r w:rsidRPr="000D7271">
        <w:t>» (ФЭИ).</w:t>
      </w:r>
    </w:p>
    <w:p w:rsidR="000D7271" w:rsidRPr="000D7271" w:rsidRDefault="000D7271" w:rsidP="00C839A2">
      <w:pPr>
        <w:pStyle w:val="HChGR"/>
      </w:pPr>
      <w:r w:rsidRPr="000D7271">
        <w:tab/>
      </w:r>
      <w:r w:rsidRPr="000D7271">
        <w:tab/>
        <w:t xml:space="preserve">Статья 26: </w:t>
      </w:r>
      <w:proofErr w:type="spellStart"/>
      <w:r w:rsidRPr="000D7271">
        <w:t>Абилитация</w:t>
      </w:r>
      <w:proofErr w:type="spellEnd"/>
      <w:r w:rsidRPr="000D7271">
        <w:t xml:space="preserve"> и реабилитация</w:t>
      </w:r>
    </w:p>
    <w:p w:rsidR="000D7271" w:rsidRPr="000D7271" w:rsidRDefault="000D7271" w:rsidP="000D7271">
      <w:pPr>
        <w:pStyle w:val="SingleTxtGR"/>
      </w:pPr>
      <w:r w:rsidRPr="000D7271">
        <w:t>284.</w:t>
      </w:r>
      <w:r w:rsidRPr="000D7271">
        <w:tab/>
        <w:t xml:space="preserve">Сенегал проводит государственную политику в интересах инвалидов для их </w:t>
      </w:r>
      <w:proofErr w:type="spellStart"/>
      <w:r w:rsidRPr="000D7271">
        <w:t>абилитации</w:t>
      </w:r>
      <w:proofErr w:type="spellEnd"/>
      <w:r w:rsidRPr="000D7271">
        <w:t xml:space="preserve"> и реабилитации. Следует отметить, что характер такой политики реабилитации зависит от цели вмешательства и пространственной организации. В этой связи в 2006 году была также инициирована Национальная программа реабилитации на базе общин (НПРБО), упомянутая в статье 19 настоящего доклада. Кроме того, государство Сенегал предоставляет субсидии для организаций инвалидов и руководящих структур. Это мера была принята во исполнение приказа № 284 министра по вопросам женщин, семьи, социального развития и женского предпринимательства от 24 января 2007 года об учреждении проекта по реабилитации на базе общин (РБО) и установлении правил его организации и функционирования под руководством национального комитета, ответственного за контроль целей, стратегий и результатов проекта. </w:t>
      </w:r>
    </w:p>
    <w:p w:rsidR="000D7271" w:rsidRPr="000D7271" w:rsidRDefault="000D7271" w:rsidP="000D7271">
      <w:pPr>
        <w:pStyle w:val="SingleTxtGR"/>
      </w:pPr>
      <w:r w:rsidRPr="000D7271">
        <w:t>285.</w:t>
      </w:r>
      <w:r w:rsidRPr="000D7271">
        <w:tab/>
        <w:t xml:space="preserve">Кроме того, следует отметить, что </w:t>
      </w:r>
      <w:proofErr w:type="spellStart"/>
      <w:r w:rsidRPr="000D7271">
        <w:t>абилитационные</w:t>
      </w:r>
      <w:proofErr w:type="spellEnd"/>
      <w:r w:rsidRPr="000D7271">
        <w:t xml:space="preserve"> и реабилитационные меры гораздо более четко прописаны в Законе об ориентации социальной политики № 2010</w:t>
      </w:r>
      <w:r w:rsidR="00C839A2">
        <w:noBreakHyphen/>
      </w:r>
      <w:r w:rsidRPr="000D7271">
        <w:t>15 от 6 июля 2010 года. В этом национальном законе определяются всеобъемлющие рамки для поощрения и защиты прав инвалидов во многих областях, связанных со здравоохранением, образованием, профессиональной подготовкой, трудоустройством, жильем, культурой, спортом, транспортом и доступностью.</w:t>
      </w:r>
    </w:p>
    <w:p w:rsidR="000D7271" w:rsidRPr="000D7271" w:rsidRDefault="000D7271" w:rsidP="000D7271">
      <w:pPr>
        <w:pStyle w:val="SingleTxtGR"/>
      </w:pPr>
      <w:r w:rsidRPr="000D7271">
        <w:t>286.</w:t>
      </w:r>
      <w:r w:rsidRPr="000D7271">
        <w:tab/>
      </w:r>
      <w:proofErr w:type="gramStart"/>
      <w:r w:rsidRPr="000D7271">
        <w:t>В</w:t>
      </w:r>
      <w:proofErr w:type="gramEnd"/>
      <w:r w:rsidRPr="000D7271">
        <w:t xml:space="preserve"> области здравоохранения в Законе принимается ряд мер, при этом можно, по крайней мере, сослаться на статью 3, предусматривающую «карту равных возможностей», которая позволяет ее обладателю пользоваться правами и преимуществами в плане доступа к медицинской помощи, реабилитации, технической и финансовой помощи и т. д. </w:t>
      </w:r>
    </w:p>
    <w:p w:rsidR="000D7271" w:rsidRPr="000D7271" w:rsidRDefault="000D7271" w:rsidP="000D7271">
      <w:pPr>
        <w:pStyle w:val="SingleTxtGR"/>
      </w:pPr>
      <w:r w:rsidRPr="000D7271">
        <w:t>287.</w:t>
      </w:r>
      <w:r w:rsidRPr="000D7271">
        <w:tab/>
        <w:t>Напомним также положения статьи 10, которая предусматривает оплату расходов на</w:t>
      </w:r>
      <w:r>
        <w:t xml:space="preserve"> </w:t>
      </w:r>
      <w:r w:rsidRPr="000D7271">
        <w:t xml:space="preserve">ортопедическое оборудование и </w:t>
      </w:r>
      <w:proofErr w:type="spellStart"/>
      <w:r w:rsidRPr="000D7271">
        <w:t>ассистивные</w:t>
      </w:r>
      <w:proofErr w:type="spellEnd"/>
      <w:r w:rsidRPr="000D7271">
        <w:t xml:space="preserve"> устройства для инвалидов-обладателей карты равных возможностей, которые не охвачены системой социального обеспечения.</w:t>
      </w:r>
    </w:p>
    <w:p w:rsidR="000D7271" w:rsidRPr="000D7271" w:rsidRDefault="000D7271" w:rsidP="000D7271">
      <w:pPr>
        <w:pStyle w:val="SingleTxtGR"/>
      </w:pPr>
      <w:r w:rsidRPr="000D7271">
        <w:t>288.</w:t>
      </w:r>
      <w:r w:rsidRPr="000D7271">
        <w:tab/>
        <w:t>Что касается ортопедического оборудования, то Национальный центр ортопедического оборудования в Дакаре (НЦОО) в партнерстве с городом Дакар, компанией «</w:t>
      </w:r>
      <w:proofErr w:type="spellStart"/>
      <w:r w:rsidRPr="000D7271">
        <w:t>Сонатель</w:t>
      </w:r>
      <w:proofErr w:type="spellEnd"/>
      <w:r w:rsidRPr="000D7271">
        <w:t>» и Главным управлением социальной поддержки обеспечивает предоставление такого оборудования нуждающимся инвалидам.</w:t>
      </w:r>
    </w:p>
    <w:p w:rsidR="000D7271" w:rsidRPr="000D7271" w:rsidRDefault="000D7271" w:rsidP="000D7271">
      <w:pPr>
        <w:pStyle w:val="SingleTxtGR"/>
      </w:pPr>
      <w:r w:rsidRPr="000D7271">
        <w:t>289.</w:t>
      </w:r>
      <w:r w:rsidRPr="000D7271">
        <w:tab/>
        <w:t xml:space="preserve">В </w:t>
      </w:r>
      <w:proofErr w:type="gramStart"/>
      <w:r w:rsidRPr="000D7271">
        <w:t>том</w:t>
      </w:r>
      <w:proofErr w:type="gramEnd"/>
      <w:r w:rsidRPr="000D7271">
        <w:t xml:space="preserve"> что касается образования, то Сенегал обязуется его гарантировать всем инвалидам, включая такие аспекты, как обучение, профессиональную подготовку и трудоустройство. К этому также добавляется бесплатное образование для детей и подростков-инвалидов в обычных образовательных учреждениях, в дополнение к необходимым мерам, касающимся транспорта и доступности (статьи 31, 32, 33 и 34).</w:t>
      </w:r>
    </w:p>
    <w:p w:rsidR="000D7271" w:rsidRPr="000D7271" w:rsidRDefault="000D7271" w:rsidP="000D7271">
      <w:pPr>
        <w:pStyle w:val="SingleTxtGR"/>
      </w:pPr>
      <w:r w:rsidRPr="000D7271">
        <w:t>290.</w:t>
      </w:r>
      <w:r w:rsidRPr="000D7271">
        <w:tab/>
        <w:t xml:space="preserve">Кроме того, Управление социальной поддержки и Немецкое общество по борьбе с проказой и туберкулезом (НОБПТ) инвестировали сумму в размере от 250 до 350 млн франков КФА на функциональную реабилитацию в период с 1995 по 2005 год. </w:t>
      </w:r>
    </w:p>
    <w:p w:rsidR="000D7271" w:rsidRPr="000D7271" w:rsidRDefault="000D7271" w:rsidP="000D7271">
      <w:pPr>
        <w:pStyle w:val="SingleTxtGR"/>
      </w:pPr>
      <w:r w:rsidRPr="000D7271">
        <w:t>291.</w:t>
      </w:r>
      <w:r w:rsidRPr="000D7271">
        <w:tab/>
        <w:t xml:space="preserve">Следует также отметить работу других структур, таких как Национальный центр ортопедического оборудования (НЦОО), Центр Талибу </w:t>
      </w:r>
      <w:proofErr w:type="spellStart"/>
      <w:r w:rsidRPr="000D7271">
        <w:t>Дабо</w:t>
      </w:r>
      <w:proofErr w:type="spellEnd"/>
      <w:r w:rsidRPr="000D7271">
        <w:t xml:space="preserve">, центр функциональной реабилитации в </w:t>
      </w:r>
      <w:proofErr w:type="spellStart"/>
      <w:r w:rsidRPr="000D7271">
        <w:t>Мбуре</w:t>
      </w:r>
      <w:proofErr w:type="spellEnd"/>
      <w:r w:rsidRPr="000D7271">
        <w:t xml:space="preserve"> и аналогичный центр в </w:t>
      </w:r>
      <w:proofErr w:type="spellStart"/>
      <w:r w:rsidRPr="000D7271">
        <w:t>Ндиаганиао</w:t>
      </w:r>
      <w:proofErr w:type="spellEnd"/>
      <w:r w:rsidRPr="000D7271">
        <w:t>. Также в этом отношении Госпитальный центр Мальтийского ордена (ГЦМО) имеет в своем распоряжении ортопедическую сапожную мастерскую и в сотрудничестве с НОБПТ и Национальной программой по искоренению проказы (НПИП) осуществляет поездки по всей стране для выявления лиц, нуждающихся в адаптированной обуви. Более 500</w:t>
      </w:r>
      <w:r w:rsidR="00C839A2">
        <w:t> </w:t>
      </w:r>
      <w:r w:rsidRPr="000D7271">
        <w:t>пар обуви выпускается и распространяется ГЦМО ежегодно.</w:t>
      </w:r>
    </w:p>
    <w:p w:rsidR="000D7271" w:rsidRPr="000D7271" w:rsidRDefault="000D7271" w:rsidP="000D7271">
      <w:pPr>
        <w:pStyle w:val="SingleTxtGR"/>
      </w:pPr>
      <w:r w:rsidRPr="000D7271">
        <w:t>292.</w:t>
      </w:r>
      <w:r w:rsidRPr="000D7271">
        <w:tab/>
        <w:t xml:space="preserve">Кроме того, следует отметить, что существуют оперативные больничные структуры для компонента медицинской реабилитации. К их числу относятся, в частности, Отдел паллиативной и коррекционной хирургии в Больнице им. </w:t>
      </w:r>
      <w:proofErr w:type="spellStart"/>
      <w:r w:rsidRPr="000D7271">
        <w:t>Аристида</w:t>
      </w:r>
      <w:proofErr w:type="spellEnd"/>
      <w:r w:rsidRPr="000D7271">
        <w:t xml:space="preserve"> </w:t>
      </w:r>
      <w:proofErr w:type="spellStart"/>
      <w:r w:rsidRPr="000D7271">
        <w:t>Ле</w:t>
      </w:r>
      <w:proofErr w:type="spellEnd"/>
      <w:r w:rsidRPr="000D7271">
        <w:t xml:space="preserve"> </w:t>
      </w:r>
      <w:proofErr w:type="spellStart"/>
      <w:r w:rsidRPr="000D7271">
        <w:t>Дантека</w:t>
      </w:r>
      <w:proofErr w:type="spellEnd"/>
      <w:r w:rsidRPr="000D7271">
        <w:t xml:space="preserve"> и Больнице Большого </w:t>
      </w:r>
      <w:proofErr w:type="spellStart"/>
      <w:r w:rsidRPr="000D7271">
        <w:t>Йоффа</w:t>
      </w:r>
      <w:proofErr w:type="spellEnd"/>
      <w:r w:rsidRPr="000D7271">
        <w:t xml:space="preserve">; то же самое можно сказать о нейрохирургической и психиатрической клиниках в Университетском больничном центре квартала </w:t>
      </w:r>
      <w:proofErr w:type="spellStart"/>
      <w:r w:rsidRPr="000D7271">
        <w:t>Фанн</w:t>
      </w:r>
      <w:proofErr w:type="spellEnd"/>
      <w:r w:rsidRPr="000D7271">
        <w:t xml:space="preserve">. </w:t>
      </w:r>
    </w:p>
    <w:p w:rsidR="000D7271" w:rsidRPr="000D7271" w:rsidRDefault="000D7271" w:rsidP="000D7271">
      <w:pPr>
        <w:pStyle w:val="SingleTxtGR"/>
      </w:pPr>
      <w:r w:rsidRPr="000D7271">
        <w:t>293.</w:t>
      </w:r>
      <w:r w:rsidRPr="000D7271">
        <w:tab/>
        <w:t>Что касается профессиональной реабилитации, то Министерство здравоохранения и социальной поддержки подписало соглашения о партнерстве с рядом частных учреждений в целях обеспечения профессиональной подготовки инвалидов в обычных образовательных учреждениях, как и с Сенегальской ассоциацией помощи нуждающимся с получением образования и интеграцией в общество (</w:t>
      </w:r>
      <w:r w:rsidRPr="000D7271">
        <w:rPr>
          <w:lang w:val="en-GB"/>
        </w:rPr>
        <w:t>ASAFIN</w:t>
      </w:r>
      <w:r w:rsidRPr="000D7271">
        <w:t xml:space="preserve">), объединением по экономическим интересам (ОЭИ) слепых </w:t>
      </w:r>
      <w:proofErr w:type="spellStart"/>
      <w:r w:rsidRPr="000D7271">
        <w:t>Тиаруа</w:t>
      </w:r>
      <w:proofErr w:type="spellEnd"/>
      <w:r w:rsidRPr="000D7271">
        <w:t>, члены которой прошли подготовку в Национальном институте обучения и профессиональной подготовки для молодых слепых (</w:t>
      </w:r>
      <w:r w:rsidRPr="000D7271">
        <w:rPr>
          <w:lang w:val="en-GB"/>
        </w:rPr>
        <w:t>INEFJA</w:t>
      </w:r>
      <w:r w:rsidRPr="000D7271">
        <w:t xml:space="preserve">) в </w:t>
      </w:r>
      <w:proofErr w:type="spellStart"/>
      <w:r w:rsidRPr="000D7271">
        <w:t>Тиесе</w:t>
      </w:r>
      <w:proofErr w:type="spellEnd"/>
      <w:r w:rsidRPr="000D7271">
        <w:t xml:space="preserve">. </w:t>
      </w:r>
    </w:p>
    <w:p w:rsidR="000D7271" w:rsidRPr="000D7271" w:rsidRDefault="000D7271" w:rsidP="000D7271">
      <w:pPr>
        <w:pStyle w:val="SingleTxtGR"/>
      </w:pPr>
      <w:r w:rsidRPr="000D7271">
        <w:t>294.</w:t>
      </w:r>
      <w:r w:rsidRPr="000D7271">
        <w:tab/>
        <w:t>Следует, наконец, отметить осуществление проекта НПО «</w:t>
      </w:r>
      <w:proofErr w:type="spellStart"/>
      <w:r w:rsidRPr="000D7271">
        <w:t>Хэндикап</w:t>
      </w:r>
      <w:proofErr w:type="spellEnd"/>
      <w:r w:rsidRPr="000D7271">
        <w:t xml:space="preserve"> </w:t>
      </w:r>
      <w:proofErr w:type="spellStart"/>
      <w:r w:rsidRPr="000D7271">
        <w:t>интернэшнл</w:t>
      </w:r>
      <w:proofErr w:type="spellEnd"/>
      <w:r w:rsidRPr="000D7271">
        <w:t xml:space="preserve">» по расчистке земель. Данный проект, осуществленный в </w:t>
      </w:r>
      <w:proofErr w:type="spellStart"/>
      <w:r w:rsidRPr="000D7271">
        <w:t>Касамансе</w:t>
      </w:r>
      <w:proofErr w:type="spellEnd"/>
      <w:r w:rsidRPr="000D7271">
        <w:t>, внес вклад в разминирование 2500 кв. метров территории и экономическую реинтеграцию 220 жертв с 2010 по 2014 год.</w:t>
      </w:r>
    </w:p>
    <w:p w:rsidR="000D7271" w:rsidRPr="000D7271" w:rsidRDefault="000D7271" w:rsidP="00C839A2">
      <w:pPr>
        <w:pStyle w:val="HChGR"/>
      </w:pPr>
      <w:r w:rsidRPr="000D7271">
        <w:tab/>
      </w:r>
      <w:r w:rsidRPr="000D7271">
        <w:tab/>
        <w:t>Статья 27: Труд и занятость</w:t>
      </w:r>
    </w:p>
    <w:p w:rsidR="000D7271" w:rsidRPr="000D7271" w:rsidRDefault="000D7271" w:rsidP="000D7271">
      <w:pPr>
        <w:pStyle w:val="SingleTxtGR"/>
      </w:pPr>
      <w:r w:rsidRPr="000D7271">
        <w:t>295.</w:t>
      </w:r>
      <w:r w:rsidRPr="000D7271">
        <w:tab/>
      </w:r>
      <w:proofErr w:type="gramStart"/>
      <w:r w:rsidRPr="000D7271">
        <w:t>В</w:t>
      </w:r>
      <w:proofErr w:type="gramEnd"/>
      <w:r w:rsidRPr="000D7271">
        <w:t xml:space="preserve"> дополнение к принципу недискриминации, закрепленному в Конституции, и правилам в отношении безопасных и здоровых условий труда, включенным в Трудовой кодекс (статьи с L167 по L187), Сенегал установил квоту для доступа инвалидов к занятости в государственном секторе и на частных предприятиях вне зависимости от их физических и умственных способностей. </w:t>
      </w:r>
    </w:p>
    <w:p w:rsidR="000D7271" w:rsidRPr="000D7271" w:rsidRDefault="000D7271" w:rsidP="000D7271">
      <w:pPr>
        <w:pStyle w:val="SingleTxtGR"/>
      </w:pPr>
      <w:r w:rsidRPr="000D7271">
        <w:t>296.</w:t>
      </w:r>
      <w:r w:rsidRPr="000D7271">
        <w:tab/>
        <w:t>Государственная политика, направленная на</w:t>
      </w:r>
      <w:r>
        <w:t xml:space="preserve"> </w:t>
      </w:r>
      <w:r w:rsidRPr="000D7271">
        <w:t>предупреждение инвалидности, лечение, помощь, реабилитацию, образование, профессиональную подготовку, а</w:t>
      </w:r>
      <w:r w:rsidR="00C839A2">
        <w:t> </w:t>
      </w:r>
      <w:r w:rsidRPr="000D7271">
        <w:t>также социально-экономическую и социальную интеграцию инвалидов, рассматривается в Законе об ориентации социальной политики как национальные обязательства.</w:t>
      </w:r>
    </w:p>
    <w:p w:rsidR="000D7271" w:rsidRPr="000D7271" w:rsidRDefault="000D7271" w:rsidP="000D7271">
      <w:pPr>
        <w:pStyle w:val="SingleTxtGR"/>
      </w:pPr>
      <w:r w:rsidRPr="000D7271">
        <w:t>297.</w:t>
      </w:r>
      <w:r w:rsidRPr="000D7271">
        <w:tab/>
        <w:t>Таким образом, любой служащий или штатный сотрудник, который обрел инвалидность, не позволяющую ему продолжать выполнять свою обычную работу по какой бы то ни было причине, должен оставаться на своей первоначальной должности, либо быть переведен на другую вакантную должность, соответствующую его способностям и специфике его инвалидности, после прохождения реабилитации, если потребуется.</w:t>
      </w:r>
    </w:p>
    <w:p w:rsidR="000D7271" w:rsidRPr="000D7271" w:rsidRDefault="000D7271" w:rsidP="000D7271">
      <w:pPr>
        <w:pStyle w:val="SingleTxtGR"/>
      </w:pPr>
      <w:r w:rsidRPr="000D7271">
        <w:t>298.</w:t>
      </w:r>
      <w:r w:rsidRPr="000D7271">
        <w:tab/>
      </w:r>
      <w:proofErr w:type="gramStart"/>
      <w:r w:rsidRPr="000D7271">
        <w:t>В</w:t>
      </w:r>
      <w:proofErr w:type="gramEnd"/>
      <w:r w:rsidRPr="000D7271">
        <w:t xml:space="preserve"> случае отсутствия возможности найти подходящую должность к нему применяются законодательные положения, касающиеся выхода на пенсию (статья 27 ЗОСП). Статья 28 Закона об ориентации социальной политики гласит, что «государственные предприятия обязаны направлять в Министерство социальной поддержки и в Высший орган по поощрению и защите прав инвалидов, предусмотренных в статье 57 настоящего Закона, заявление о любом переводе на другую должность, отстранении от выполнения служебных обязанностей или увольнении инвалида».</w:t>
      </w:r>
    </w:p>
    <w:p w:rsidR="000D7271" w:rsidRPr="000D7271" w:rsidRDefault="000D7271" w:rsidP="000D7271">
      <w:pPr>
        <w:pStyle w:val="SingleTxtGR"/>
      </w:pPr>
      <w:r w:rsidRPr="000D7271">
        <w:t>299.</w:t>
      </w:r>
      <w:r w:rsidRPr="000D7271">
        <w:tab/>
        <w:t xml:space="preserve">Кроме того, лица, являющиеся обладателями «карты равных возможностей», имеют приоритетное право на перевод на другую должность в рамках государственной службы, по просьбе, с учетом того, что государство, государственные и частные органы резервируют, по мере возможности, для инвалидов доступные для них рабочие места, составляющие по меньшей мере 15 процентов от общего числа рабочих мест, как указано в Законе об ориентации социальной политики и в статье L180 Трудового кодекса Сенегала. </w:t>
      </w:r>
    </w:p>
    <w:p w:rsidR="000D7271" w:rsidRPr="000D7271" w:rsidRDefault="000D7271" w:rsidP="000D7271">
      <w:pPr>
        <w:pStyle w:val="SingleTxtGR"/>
      </w:pPr>
      <w:r w:rsidRPr="000D7271">
        <w:t>300.</w:t>
      </w:r>
      <w:r w:rsidRPr="000D7271">
        <w:tab/>
        <w:t>Аналогичным образом НПО «</w:t>
      </w:r>
      <w:proofErr w:type="spellStart"/>
      <w:r w:rsidRPr="000D7271">
        <w:t>Хэндикап</w:t>
      </w:r>
      <w:proofErr w:type="spellEnd"/>
      <w:r w:rsidRPr="000D7271">
        <w:t xml:space="preserve"> </w:t>
      </w:r>
      <w:proofErr w:type="spellStart"/>
      <w:r w:rsidRPr="000D7271">
        <w:t>интернэшнл</w:t>
      </w:r>
      <w:proofErr w:type="spellEnd"/>
      <w:r w:rsidRPr="000D7271">
        <w:t xml:space="preserve">» (ХИ) в партнерстве с государством Сенегал приступила к реализации проекта «EMPHAS» (Трудоустройство инвалидов в Сенегале), направленного на содействие трудоустройству инвалидов в период с 2014 по 2018 год в регионе Дакара. </w:t>
      </w:r>
    </w:p>
    <w:p w:rsidR="000D7271" w:rsidRPr="000D7271" w:rsidRDefault="000D7271" w:rsidP="000D7271">
      <w:pPr>
        <w:pStyle w:val="SingleTxtGR"/>
      </w:pPr>
      <w:r w:rsidRPr="000D7271">
        <w:t>301.</w:t>
      </w:r>
      <w:r w:rsidRPr="000D7271">
        <w:tab/>
        <w:t xml:space="preserve">Кроме того, в рамках сотрудничества с Италией, Сенегальской национальной ассоциации инвалидов с нарушениями опорно-двигательного аппарата (ANHMS) были выделены средства в размере 300 млн долл. США, предоставленных Европейским союзом посредством итальянской НПО «COOPI» (Международное сотрудничество). Этот проект, реализация которого началась 2001 году, способствовал социально-экономической интеграции около 200 инвалидов, из которых 70 процентов составляют женщины, получивших профессиональную подготовку по различным специальностям. </w:t>
      </w:r>
    </w:p>
    <w:p w:rsidR="000D7271" w:rsidRPr="000D7271" w:rsidRDefault="000D7271" w:rsidP="000D7271">
      <w:pPr>
        <w:pStyle w:val="SingleTxtGR"/>
      </w:pPr>
      <w:r w:rsidRPr="000D7271">
        <w:t>302.</w:t>
      </w:r>
      <w:r w:rsidRPr="000D7271">
        <w:tab/>
        <w:t>И наконец, 15 октября 2014 года в рамках партнерства между Министерством здравоохранения и социальной поддержки, НПО «</w:t>
      </w:r>
      <w:proofErr w:type="spellStart"/>
      <w:r w:rsidRPr="000D7271">
        <w:t>Сайтсэйверс</w:t>
      </w:r>
      <w:proofErr w:type="spellEnd"/>
      <w:r w:rsidRPr="000D7271">
        <w:t>» и ассоциацией «CAUSE» была проведена первая Ярмарка вакансий для инвалидов.</w:t>
      </w:r>
    </w:p>
    <w:p w:rsidR="000D7271" w:rsidRPr="000D7271" w:rsidRDefault="000D7271" w:rsidP="00C839A2">
      <w:pPr>
        <w:pStyle w:val="HChGR"/>
      </w:pPr>
      <w:r w:rsidRPr="000D7271">
        <w:tab/>
      </w:r>
      <w:r w:rsidRPr="000D7271">
        <w:tab/>
        <w:t>Статья 28: Достаточный жизненный уровень и</w:t>
      </w:r>
      <w:r w:rsidR="00C839A2">
        <w:t> </w:t>
      </w:r>
      <w:r w:rsidRPr="000D7271">
        <w:t>социальная защита</w:t>
      </w:r>
    </w:p>
    <w:p w:rsidR="000D7271" w:rsidRPr="000D7271" w:rsidRDefault="000D7271" w:rsidP="000D7271">
      <w:pPr>
        <w:pStyle w:val="SingleTxtGR"/>
      </w:pPr>
      <w:r w:rsidRPr="000D7271">
        <w:t>303.</w:t>
      </w:r>
      <w:r w:rsidRPr="000D7271">
        <w:tab/>
        <w:t xml:space="preserve">Нынешняя система социального обеспечения распространяется только на работников, прикрепленных к кассе социального обеспечения. В рамках укрепления системы социальной защиты и в целях улучшения решения проблем, связанных с уязвимостью в целом и с инвалидностью в частности, Сенегал инициировал и реализовал Национальную стратегию социальной защиты (НССЗ) на 2005–2015 годы с распространением системы социальной защиты на неофициальные сектора и обеспечением социальной защиты уязвимых групп в качестве важнейших компонентов. К концу 70-х годов в Сенегале были приняты конкретные меры по защите лиц с психическими расстройствами и лиц, страдающих от проказы, что положило начало социальной защите для определенных категорий инвалидов. </w:t>
      </w:r>
    </w:p>
    <w:p w:rsidR="000D7271" w:rsidRPr="000D7271" w:rsidRDefault="000D7271" w:rsidP="000D7271">
      <w:pPr>
        <w:pStyle w:val="SingleTxtGR"/>
      </w:pPr>
      <w:r w:rsidRPr="000D7271">
        <w:t>304.</w:t>
      </w:r>
      <w:r w:rsidRPr="000D7271">
        <w:tab/>
        <w:t xml:space="preserve">Что касается психических расстройств, то правовые рамки оказания помощи регулируются Законом № 75-80 от 9 июля 1975 года о лечении психических заболеваний и интернировании некоторых категорий психически больных. Вышеупомянутый Закон был осуществлен в соответствии с Декретом № 75-1092 от 23 октября 1975 года об учреждении психиатрической лечебницы в </w:t>
      </w:r>
      <w:proofErr w:type="spellStart"/>
      <w:r w:rsidRPr="000D7271">
        <w:t>Тиаруа</w:t>
      </w:r>
      <w:proofErr w:type="spellEnd"/>
      <w:r w:rsidRPr="000D7271">
        <w:t xml:space="preserve"> и с Декретом № 75-1093 от 23 октября 1975 года, определяющим условия для организации и функционирования психиатрических деревень. Аналогичным образом в Дакаре на базе Больничного комплекса квартала </w:t>
      </w:r>
      <w:proofErr w:type="spellStart"/>
      <w:r w:rsidRPr="000D7271">
        <w:t>Фанн</w:t>
      </w:r>
      <w:proofErr w:type="spellEnd"/>
      <w:r w:rsidRPr="000D7271">
        <w:t xml:space="preserve"> была создана детская психиатрическая больница под названием «</w:t>
      </w:r>
      <w:proofErr w:type="spellStart"/>
      <w:r w:rsidRPr="000D7271">
        <w:t>Ker</w:t>
      </w:r>
      <w:proofErr w:type="spellEnd"/>
      <w:r w:rsidRPr="000D7271">
        <w:t xml:space="preserve"> </w:t>
      </w:r>
      <w:proofErr w:type="spellStart"/>
      <w:r w:rsidRPr="000D7271">
        <w:t>Xaléyi</w:t>
      </w:r>
      <w:proofErr w:type="spellEnd"/>
      <w:r w:rsidRPr="000D7271">
        <w:t xml:space="preserve">». Другие организации гражданского общества, такие как Сенегальская ассоциация по защите детей с психическими расстройствами (ASSEDEM) и Специальные Олимпийские игры Сенегала, оказывают помощь детям с ограниченными интеллектуальными возможностями в социально-образовательной области. </w:t>
      </w:r>
    </w:p>
    <w:p w:rsidR="000D7271" w:rsidRPr="000D7271" w:rsidRDefault="000D7271" w:rsidP="000D7271">
      <w:pPr>
        <w:pStyle w:val="SingleTxtGR"/>
      </w:pPr>
      <w:r w:rsidRPr="000D7271">
        <w:t>305.</w:t>
      </w:r>
      <w:r w:rsidRPr="000D7271">
        <w:tab/>
        <w:t>Область профилактики и лечения проказы законодательно регламентируются Законом № 76-03 от 25 марта 1976 года о лечении проказы и о социальной реабилитации вылеченных и получивших увечья от проказы лиц, а также Декретом № 78-547 от 16 июня 1978 года о порядке применения этого Закона. С учетом развития социально-экономического контекста в упомянутых деревнях в настоящее время рассматривается вопрос об отмене закона, регламентирующего деятельность деревень социальной реабилитации (ДСР).</w:t>
      </w:r>
    </w:p>
    <w:p w:rsidR="000D7271" w:rsidRPr="000D7271" w:rsidRDefault="000D7271" w:rsidP="000D7271">
      <w:pPr>
        <w:pStyle w:val="SingleTxtGR"/>
      </w:pPr>
      <w:r w:rsidRPr="000D7271">
        <w:t>306.</w:t>
      </w:r>
      <w:r w:rsidRPr="000D7271">
        <w:tab/>
        <w:t xml:space="preserve">Следует также отметить, что новые направления системы социальной защиты Сенегала обобщаются в рамках основополагающего компонента 2 Плана развития Сенегала (ПРС), который представляет собой национальный опорный документ по вопросам экономической и социальной политики. Кроме того, во второй половине 2014 года Министерство здравоохранения и социальной поддержки (МЗСП) официально приступило к реализации Национальной программы всеобщего охвата медицинским страхованием (НПВОМС), инициированной 20 сентября 2013 года. Аналогичным образом, Национальная программа субсидирования охраны семьи (НПСОС), осуществляемая под общим руководством Делегации по вопросам социальной защиты и национальной солидарности (ДСЗНС), была официально инициирована 4 октября 2013 года. </w:t>
      </w:r>
    </w:p>
    <w:p w:rsidR="000D7271" w:rsidRPr="000D7271" w:rsidRDefault="000D7271" w:rsidP="000D7271">
      <w:pPr>
        <w:pStyle w:val="SingleTxtGR"/>
      </w:pPr>
      <w:r w:rsidRPr="000D7271">
        <w:t>307.</w:t>
      </w:r>
      <w:r w:rsidRPr="000D7271">
        <w:tab/>
        <w:t>Кроме того, в Законе об ориентации социальной политики содержится целый ряд пол</w:t>
      </w:r>
      <w:bookmarkStart w:id="2" w:name="MyBookmark"/>
      <w:bookmarkEnd w:id="2"/>
      <w:r w:rsidRPr="000D7271">
        <w:t xml:space="preserve">ожений, осуществление которых, как ожидается, позволит урегулировать вопрос, вызывающий озабоченность у инвалидов. Так, карта равных возможностей, определенная в статье 3, позволит ее обладателю, являющемуся инвалидом, пользоваться многочисленными льготами в сферах образования, профессиональной подготовки, здравоохранения, реабилитации, транспорта, финансов, занятости, а также в любых других областях, которые соответствующий орган власти сочтет целесообразным включить в их число. В контексте осуществления этого положения Президент Республики подписал Декрет № 2012-1038 от 2 октября 2012 года, в соответствии с которым учреждаются департаментские технические комиссии, отвечающие за рассмотрение заявок на получение карт равных возможностей. Этим первым декретом из разрабатываемой серии предусматривается также создание технических комиссий, отвечающих за специальное образование. Намеченная задача по выпуску 50 000 карт равных возможностей была отклонена премьер-министром в ходе общего политического заявления, сделанного 28 октября 2013 года. Вопрос о подготовке карт равных возможностей обсуждался на межведомственном техническом совещании 4 марта 2014 года, в ходе которого министр здравоохранения и социальной поддержки представил образец карты и стратегический план ее внедрения. В рамках последующей деятельности во исполнение указаний, выработанных на этом межведомственном совещании, 25 марта 2014 года Министерство здравоохранения и социальной поддержки учредило Внутренний комитет по последующей деятельности. Учитывая </w:t>
      </w:r>
      <w:proofErr w:type="spellStart"/>
      <w:r w:rsidRPr="000D7271">
        <w:t>межсекторальный</w:t>
      </w:r>
      <w:proofErr w:type="spellEnd"/>
      <w:r w:rsidRPr="000D7271">
        <w:t xml:space="preserve"> характер вопроса об инвалидности, было предусмотрено создание межведомственного механизма для последующей деятельности в связи с подготовкой карты равных возможностей. В</w:t>
      </w:r>
      <w:r w:rsidR="00C839A2">
        <w:t> </w:t>
      </w:r>
      <w:r w:rsidRPr="000D7271">
        <w:t>целях обеспечения более эффективной последующей деятельности в связи с осуществлением этой социальной политики все ключевые субъекты, задействованные в сфере инвалидности, будут иметь возможность внести свой вклад на основе подхода, предполагающего широкое участие. Аналогичным образом Фонд поддержки инвалидов может содействовать инвалидам в осуществлении ими различных экономических инициатив, особенно видов деятельности, приносящих доход, за счет содействия организации их деятельности и финансирования их проектов. Наконец, Высший совет по обеспечению равных возможностей для инвалидов призван оказывать поддержку усилиям государства по разработке национальной политики и секторальных стратегий во всех областях, затрагивающих вопросы инвалидности.</w:t>
      </w:r>
    </w:p>
    <w:p w:rsidR="000D7271" w:rsidRPr="000D7271" w:rsidRDefault="000D7271" w:rsidP="000D7271">
      <w:pPr>
        <w:pStyle w:val="SingleTxtGR"/>
      </w:pPr>
      <w:r w:rsidRPr="000D7271">
        <w:t>308.</w:t>
      </w:r>
      <w:r w:rsidRPr="000D7271">
        <w:tab/>
      </w:r>
      <w:proofErr w:type="gramStart"/>
      <w:r w:rsidRPr="000D7271">
        <w:t>В</w:t>
      </w:r>
      <w:proofErr w:type="gramEnd"/>
      <w:r w:rsidRPr="000D7271">
        <w:t xml:space="preserve"> этой связи в основных направлениях действий в рамках Национальной программы реабилитации на базе общин (НПРБО), осуществляемой под руководством Главного управления социальной поддержки (ГУСП), предусмотрены гарантии получения доступа к финансированию для социально-экономических проектов, как индивидуальных, так и коллективных, в интересах инвалидов. В 2013 году Главное управление социальной поддержки (ГУСП) субсидировало в общей сложности 73</w:t>
      </w:r>
      <w:r w:rsidR="00C839A2">
        <w:t> </w:t>
      </w:r>
      <w:r w:rsidRPr="000D7271">
        <w:t>организаций и структур организационной поддержки инвалидов на общую сумму в 36 650 000 франков КФА.</w:t>
      </w:r>
    </w:p>
    <w:p w:rsidR="000D7271" w:rsidRPr="000D7271" w:rsidRDefault="000D7271" w:rsidP="000D7271">
      <w:pPr>
        <w:pStyle w:val="SingleTxtGR"/>
      </w:pPr>
      <w:r w:rsidRPr="000D7271">
        <w:t>309.</w:t>
      </w:r>
      <w:r w:rsidRPr="000D7271">
        <w:tab/>
        <w:t xml:space="preserve">Кроме того, в рамках продолжающейся реформы системы образования, проводимой в рамках Десятилетней программы образования и профессиональной подготовки (ДПОПП), правительство приступило к реализации новой Программы повышения качества, справедливости и </w:t>
      </w:r>
      <w:proofErr w:type="spellStart"/>
      <w:r w:rsidRPr="000D7271">
        <w:t>транспарентности</w:t>
      </w:r>
      <w:proofErr w:type="spellEnd"/>
      <w:r w:rsidRPr="000D7271">
        <w:t xml:space="preserve"> (ППКСТ) на период 2013</w:t>
      </w:r>
      <w:r w:rsidR="00C839A2">
        <w:t>−</w:t>
      </w:r>
      <w:r w:rsidRPr="000D7271">
        <w:t>2025 годов. Эта важная программа осуществляется по инициативе четырех (4)</w:t>
      </w:r>
      <w:r w:rsidR="00C839A2">
        <w:t> </w:t>
      </w:r>
      <w:r w:rsidRPr="000D7271">
        <w:t>министерств, ответственных за сектора образования, профессиональной подготовки, женской проблематики и высшего образования. Программа охватывает весь спектр образовательных учреждений, специализирующихся в области инвалидности, число которых является недостаточным и которые неравномерно распределены по</w:t>
      </w:r>
      <w:r w:rsidR="00C839A2">
        <w:t xml:space="preserve"> </w:t>
      </w:r>
      <w:r w:rsidRPr="000D7271">
        <w:t>14 регионам. Для решения этой проблемы государство учредило для инвалидов и уязвимых групп проект по строительству четырех (4) социально-реабилитационных центров, находящихся в ведении Министерства здравоохранения и социальной поддержки.</w:t>
      </w:r>
    </w:p>
    <w:p w:rsidR="000D7271" w:rsidRPr="000D7271" w:rsidRDefault="000D7271" w:rsidP="00C839A2">
      <w:pPr>
        <w:pStyle w:val="HChGR"/>
      </w:pPr>
      <w:r w:rsidRPr="000D7271">
        <w:tab/>
      </w:r>
      <w:r w:rsidRPr="000D7271">
        <w:tab/>
        <w:t>Статья 29: Участие в политической и общественной жизни</w:t>
      </w:r>
    </w:p>
    <w:p w:rsidR="000D7271" w:rsidRPr="000D7271" w:rsidRDefault="000D7271" w:rsidP="000D7271">
      <w:pPr>
        <w:pStyle w:val="SingleTxtGR"/>
      </w:pPr>
      <w:r w:rsidRPr="000D7271">
        <w:t>310.</w:t>
      </w:r>
      <w:r w:rsidRPr="000D7271">
        <w:tab/>
        <w:t>В Африканской хартии, как и в большинстве международных договоров, предусматривается, что все граждане имеют право свободно участвовать в ведении государственных дел своей страны.</w:t>
      </w:r>
    </w:p>
    <w:p w:rsidR="000D7271" w:rsidRPr="000D7271" w:rsidRDefault="000D7271" w:rsidP="000D7271">
      <w:pPr>
        <w:pStyle w:val="SingleTxtGR"/>
      </w:pPr>
      <w:r w:rsidRPr="000D7271">
        <w:t>311.</w:t>
      </w:r>
      <w:r w:rsidRPr="000D7271">
        <w:tab/>
        <w:t xml:space="preserve">В Конституции от 22 января 2001 года законодательный орган Сенегала признал за всеми гражданами Сенегала основные свободы, такие как гражданские и политические. Признание таких свобод предоставляет всем гражданам, включая инвалидов, возможность принимать участие в политической жизни. </w:t>
      </w:r>
    </w:p>
    <w:p w:rsidR="000D7271" w:rsidRPr="000D7271" w:rsidRDefault="000D7271" w:rsidP="000D7271">
      <w:pPr>
        <w:pStyle w:val="SingleTxtGR"/>
      </w:pPr>
      <w:r w:rsidRPr="000D7271">
        <w:t>312.</w:t>
      </w:r>
      <w:r w:rsidRPr="000D7271">
        <w:tab/>
        <w:t xml:space="preserve">В частности, в статье L22 Избирательного кодекса предусматривается, что избирателями в Сенегале являются лица обоего пола, достигшие 18-летнего возраста, пользующиеся своими гражданскими и политическими правами и не являющиеся недееспособными ни в каком из предусмотренных законом случаев. В отношении инвалидов не существует какой-либо дискриминации. </w:t>
      </w:r>
    </w:p>
    <w:p w:rsidR="000D7271" w:rsidRPr="000D7271" w:rsidRDefault="000D7271" w:rsidP="000D7271">
      <w:pPr>
        <w:pStyle w:val="SingleTxtGR"/>
      </w:pPr>
      <w:r w:rsidRPr="000D7271">
        <w:t>313.</w:t>
      </w:r>
      <w:r w:rsidRPr="000D7271">
        <w:tab/>
        <w:t xml:space="preserve">Сенегал также создал систему, позволяющую третьим лицам оказывать инвалидам помощь в случае их неспособности голосовать самостоятельно. </w:t>
      </w:r>
    </w:p>
    <w:p w:rsidR="000D7271" w:rsidRPr="000D7271" w:rsidRDefault="000D7271" w:rsidP="000D7271">
      <w:pPr>
        <w:pStyle w:val="SingleTxtGR"/>
      </w:pPr>
      <w:r w:rsidRPr="000D7271">
        <w:t>314.</w:t>
      </w:r>
      <w:r w:rsidRPr="000D7271">
        <w:tab/>
        <w:t xml:space="preserve">Кроме того, Закон об ориентации социальной политики от 2010 года, гарантирующий равные возможности для инвалидов, обеспечивает поощрение прав инвалидов и их защиту от всех форм дискриминации (статья 2). </w:t>
      </w:r>
    </w:p>
    <w:p w:rsidR="000D7271" w:rsidRPr="000D7271" w:rsidRDefault="000D7271" w:rsidP="000D7271">
      <w:pPr>
        <w:pStyle w:val="SingleTxtGR"/>
      </w:pPr>
      <w:r w:rsidRPr="000D7271">
        <w:t>315.</w:t>
      </w:r>
      <w:r w:rsidRPr="000D7271">
        <w:tab/>
        <w:t xml:space="preserve">Сформулированы рекомендации в отношении того, чтобы в будущем сделать процедуры голосования более инклюзивными, с тем чтобы гарантировать конфиденциальность операций. </w:t>
      </w:r>
    </w:p>
    <w:p w:rsidR="000D7271" w:rsidRPr="000D7271" w:rsidRDefault="000D7271" w:rsidP="00C839A2">
      <w:pPr>
        <w:pStyle w:val="HChGR"/>
      </w:pPr>
      <w:r w:rsidRPr="000D7271">
        <w:tab/>
      </w:r>
      <w:r w:rsidRPr="000D7271">
        <w:tab/>
        <w:t>Статья 30: Участие в культурной жизни, проведении досуга и отдыха и занятии спортом</w:t>
      </w:r>
    </w:p>
    <w:p w:rsidR="000D7271" w:rsidRPr="000D7271" w:rsidRDefault="000D7271" w:rsidP="000D7271">
      <w:pPr>
        <w:pStyle w:val="SingleTxtGR"/>
      </w:pPr>
      <w:r w:rsidRPr="000D7271">
        <w:t>316.</w:t>
      </w:r>
      <w:r w:rsidRPr="000D7271">
        <w:tab/>
        <w:t>Участие в культурной жизни, проведении досуга и отдыха и занятии спортом надлежащим образом учтено в Сенегале в Законе об ориентации социальной политики (глава V, статьи 39–42). Так, в статье 39 ЗОСП указывается, что инвалиды имеют право на занятие спортом, проведение досуга и доступ к художественным учебным центрам, а также на защиту своих произведений искусства. Именно по этой причине государство, местные органы власти, а также государственные и частные структуры обеспечивают возможности и инфраструктуру для занятия спортом, участия в культурной деятельности и проведения досуга с учетом конкретных потребностей инвалидов.</w:t>
      </w:r>
    </w:p>
    <w:p w:rsidR="000D7271" w:rsidRPr="000D7271" w:rsidRDefault="000D7271" w:rsidP="000D7271">
      <w:pPr>
        <w:pStyle w:val="SingleTxtGR"/>
      </w:pPr>
      <w:r w:rsidRPr="000D7271">
        <w:t>317.</w:t>
      </w:r>
      <w:r w:rsidRPr="000D7271">
        <w:tab/>
        <w:t>Из этого Закона также вытекает, что для обеспечения доступности спортивной инфраструктуры для инвалидов государственные и частные учреждения предоставляют необходимые спортивные сооружения, специальное спортивное оборудование и людские ресурсы, обеспечивая их всецелое участие в мероприятиях спортивных клубов для инвалидов. Эти же учреждения предоставляют субсидии для поддержки занятия спортом среди инвалидов, а также их участия как в национальных, так и в</w:t>
      </w:r>
      <w:r>
        <w:t xml:space="preserve"> </w:t>
      </w:r>
      <w:r w:rsidRPr="000D7271">
        <w:t xml:space="preserve">международных соревнованиях. </w:t>
      </w:r>
    </w:p>
    <w:p w:rsidR="000D7271" w:rsidRPr="000D7271" w:rsidRDefault="000D7271" w:rsidP="000D7271">
      <w:pPr>
        <w:pStyle w:val="SingleTxtGR"/>
      </w:pPr>
      <w:r w:rsidRPr="000D7271">
        <w:t>318.</w:t>
      </w:r>
      <w:r w:rsidRPr="000D7271">
        <w:tab/>
        <w:t>Для создания и реорганизации общественных детских игровых площадок,</w:t>
      </w:r>
      <w:r>
        <w:t xml:space="preserve"> </w:t>
      </w:r>
      <w:r w:rsidRPr="000D7271">
        <w:t>предоставляемых государственными и частными учреждениями, и для обеспечения того, чтобы они были доступными для детей-инвалидов, частному сектору предоставляются налоговые стимулы (статья 42 ЗОСП).</w:t>
      </w:r>
    </w:p>
    <w:p w:rsidR="000D7271" w:rsidRPr="000D7271" w:rsidRDefault="000D7271" w:rsidP="000D7271">
      <w:pPr>
        <w:pStyle w:val="SingleTxtGR"/>
      </w:pPr>
      <w:r w:rsidRPr="000D7271">
        <w:t>319.</w:t>
      </w:r>
      <w:r w:rsidRPr="000D7271">
        <w:tab/>
        <w:t xml:space="preserve">Кроме того, следует отметить, что благодаря созданию </w:t>
      </w:r>
      <w:proofErr w:type="spellStart"/>
      <w:r w:rsidRPr="000D7271">
        <w:t>Параспортивной</w:t>
      </w:r>
      <w:proofErr w:type="spellEnd"/>
      <w:r w:rsidRPr="000D7271">
        <w:t xml:space="preserve"> ассоциации и проведению мероприятий НПО «Специальные Олимпийские игры Сенегала» был внесен значительный вклад в социальную интеграцию инвалидов посредством спорта. </w:t>
      </w:r>
    </w:p>
    <w:p w:rsidR="000D7271" w:rsidRPr="000D7271" w:rsidRDefault="000D7271" w:rsidP="00C839A2">
      <w:pPr>
        <w:pStyle w:val="HChGR"/>
      </w:pPr>
      <w:r w:rsidRPr="000D7271">
        <w:tab/>
      </w:r>
      <w:r w:rsidRPr="000D7271">
        <w:tab/>
        <w:t>Статья 31: Статистика и сбор данных</w:t>
      </w:r>
    </w:p>
    <w:p w:rsidR="000D7271" w:rsidRPr="000D7271" w:rsidRDefault="000D7271" w:rsidP="000D7271">
      <w:pPr>
        <w:pStyle w:val="SingleTxtGR"/>
      </w:pPr>
      <w:r w:rsidRPr="000D7271">
        <w:t>320.</w:t>
      </w:r>
      <w:r w:rsidRPr="000D7271">
        <w:tab/>
        <w:t xml:space="preserve">Сенегальский Закон № 2004-21 от 21 июля 2004 года об организации научной деятельности в статье 7 предусматривает, что «в рамках сбора и обработки данных, полученных в результате проведения опросов и переписей населения, организации, занимающиеся подготовкой государственной статистики, при публикации или препровождении полученных результатов должны обеспечивать невозможность идентификации соответствующих лиц. </w:t>
      </w:r>
    </w:p>
    <w:p w:rsidR="000D7271" w:rsidRPr="000D7271" w:rsidRDefault="000D7271" w:rsidP="000D7271">
      <w:pPr>
        <w:pStyle w:val="SingleTxtGR"/>
      </w:pPr>
      <w:r w:rsidRPr="000D7271">
        <w:t>321.</w:t>
      </w:r>
      <w:r w:rsidRPr="000D7271">
        <w:tab/>
        <w:t>В 2002 году в Сенегале насчитывалось 138 897 инвалидов из общей численности населения, составлявшей 9 858 482 человек, таким образом распространенность инвалидности составляла 1,4</w:t>
      </w:r>
      <w:r>
        <w:t>%</w:t>
      </w:r>
      <w:r w:rsidRPr="000D7271">
        <w:t>, т. е. 14 из 1000 жителей Сенегала имели какую-либо форму инвалидности, 1,6</w:t>
      </w:r>
      <w:r>
        <w:t>%</w:t>
      </w:r>
      <w:r w:rsidRPr="000D7271">
        <w:t xml:space="preserve"> </w:t>
      </w:r>
      <w:r>
        <w:t>–</w:t>
      </w:r>
      <w:r w:rsidRPr="000D7271">
        <w:t xml:space="preserve"> из числа</w:t>
      </w:r>
      <w:r>
        <w:t xml:space="preserve"> </w:t>
      </w:r>
      <w:r w:rsidRPr="000D7271">
        <w:t>мужчин, 1,5</w:t>
      </w:r>
      <w:r>
        <w:t>%</w:t>
      </w:r>
      <w:r w:rsidRPr="000D7271">
        <w:t> </w:t>
      </w:r>
      <w:r>
        <w:t>–</w:t>
      </w:r>
      <w:r w:rsidRPr="000D7271">
        <w:t xml:space="preserve"> в сельских районах, 2,4</w:t>
      </w:r>
      <w:r>
        <w:t>%</w:t>
      </w:r>
      <w:r w:rsidRPr="000D7271">
        <w:t> </w:t>
      </w:r>
      <w:r>
        <w:t>–</w:t>
      </w:r>
      <w:r w:rsidRPr="000D7271">
        <w:t xml:space="preserve"> в регионе </w:t>
      </w:r>
      <w:proofErr w:type="spellStart"/>
      <w:r w:rsidRPr="000D7271">
        <w:t>Зигиншор</w:t>
      </w:r>
      <w:proofErr w:type="spellEnd"/>
      <w:r w:rsidRPr="000D7271">
        <w:t xml:space="preserve"> по причине мин, при этом 12</w:t>
      </w:r>
      <w:r>
        <w:t>%</w:t>
      </w:r>
      <w:r w:rsidRPr="000D7271">
        <w:t xml:space="preserve"> приходится на слепоту и 0,7</w:t>
      </w:r>
      <w:r>
        <w:t>%</w:t>
      </w:r>
      <w:r w:rsidRPr="000D7271">
        <w:t xml:space="preserve"> на альбинизм. Число инвалидов в Сенегале намного ниже </w:t>
      </w:r>
      <w:r w:rsidR="00C839A2">
        <w:br/>
      </w:r>
      <w:r w:rsidRPr="000D7271">
        <w:t>15-процентного уровня, ожидаемого по оценкам ВОЗ в 2011 году. По итогам четвертой Всеобщей переписи населения, жилого фонда, сельского хозяйства и животноводства (ВПНЖФСХЖ) в сентябре 2014 года были подготовлены окончательные результаты, которые указывают на то, что показатель распространенности инвалидности составлял 5,9</w:t>
      </w:r>
      <w:r>
        <w:t>%</w:t>
      </w:r>
      <w:r w:rsidRPr="000D7271">
        <w:t>, что означает, что 59 из 1000 жителей Сенегала имели какую-либо форму инвалидности.</w:t>
      </w:r>
    </w:p>
    <w:p w:rsidR="000D7271" w:rsidRPr="000D7271" w:rsidRDefault="000D7271" w:rsidP="000D7271">
      <w:pPr>
        <w:pStyle w:val="SingleTxtGR"/>
      </w:pPr>
      <w:r w:rsidRPr="000D7271">
        <w:t>322.</w:t>
      </w:r>
      <w:r w:rsidRPr="000D7271">
        <w:tab/>
        <w:t>Кроме того, в рамках подготовки карты равных возможностей, предусмотренной в статье 3 Закона об ориентации социальной политики, Главное управление социальной поддержки создало Систему информации и управления (СИУ), в которой используется подсоединенный к компьютерному серверу веб-интерфейс, позволяющий производить автоматическую регистрацию индивидуальных заявок инвалидов на получение карт равных возможностей. В</w:t>
      </w:r>
      <w:r w:rsidR="00C839A2">
        <w:t> </w:t>
      </w:r>
      <w:r w:rsidRPr="000D7271">
        <w:t>дополнение к функции идентификации пользователя СИУ будет поддерживать в будущем функцию определения степени инвалидности посредством исследовательских инструментов, проверенных на международном уровне, таких как инструмент измерения параметров образа жизни «MHAVIE» и варианты 1 и 2 инструмента «CIH» (Международная классификация функционирования, инвалидности и здоровья, ВОЗ). Аналогичным образом, в контексте подготовки периодического доклада СИУ позволит получать точную информацию по соответствующим прямым показателям (СПП) в области инвалидности и содействовать оценке эффективности воздействия государственной политики, проводимой в интересах инвалидов.</w:t>
      </w:r>
    </w:p>
    <w:p w:rsidR="000D7271" w:rsidRPr="000D7271" w:rsidRDefault="000D7271" w:rsidP="000D7271">
      <w:pPr>
        <w:pStyle w:val="SingleTxtGR"/>
      </w:pPr>
      <w:r w:rsidRPr="000D7271">
        <w:t>323.</w:t>
      </w:r>
      <w:r w:rsidRPr="000D7271">
        <w:tab/>
        <w:t>Следует также отметить, что итоги семинара по теме «Сбор статистических данных, касающихся инвалидов», организованного в 1999 году совместно Африканским реабилитационным институтом (АРИ) и Африканским банком развития (</w:t>
      </w:r>
      <w:proofErr w:type="spellStart"/>
      <w:r w:rsidRPr="000D7271">
        <w:t>АфБР</w:t>
      </w:r>
      <w:proofErr w:type="spellEnd"/>
      <w:r w:rsidRPr="000D7271">
        <w:t xml:space="preserve">) в Котону, Республика Бенин, способствовали включению категории «Инвалиды» в число параметров, охваченных всеобщей переписью населения и жилищного фонда 2001 и 2013 года. </w:t>
      </w:r>
    </w:p>
    <w:p w:rsidR="000D7271" w:rsidRPr="000D7271" w:rsidRDefault="000D7271" w:rsidP="00C839A2">
      <w:pPr>
        <w:pStyle w:val="HChGR"/>
      </w:pPr>
      <w:r w:rsidRPr="000D7271">
        <w:tab/>
      </w:r>
      <w:r w:rsidRPr="000D7271">
        <w:tab/>
        <w:t>Статья 32: Международное сотрудничество</w:t>
      </w:r>
    </w:p>
    <w:p w:rsidR="000D7271" w:rsidRPr="000D7271" w:rsidRDefault="000D7271" w:rsidP="000D7271">
      <w:pPr>
        <w:pStyle w:val="SingleTxtGR"/>
      </w:pPr>
      <w:r w:rsidRPr="000D7271">
        <w:t>324.</w:t>
      </w:r>
      <w:r w:rsidRPr="000D7271">
        <w:tab/>
        <w:t xml:space="preserve">Министерство здравоохранения и социальной поддержки в качестве административного органа, курирующего организации инвалидов, всецело обеспечивает такое международное сотрудничество, взаимодействуя при этом, безусловно, с другими учреждениями Республики, прежде всего с Министерством иностранных дел. В контексте многостороннего сотрудничества по вопросам инвалидности можно упомянуть сотрудничество с международными учреждениями системы Организации Объединенных Наций, такими как ЮНИСЕФ, ВОЗ, МОТ, ЮНЕСКО и с Европейским союзом. </w:t>
      </w:r>
    </w:p>
    <w:p w:rsidR="000D7271" w:rsidRPr="000D7271" w:rsidRDefault="000D7271" w:rsidP="000D7271">
      <w:pPr>
        <w:pStyle w:val="SingleTxtGR"/>
      </w:pPr>
      <w:r w:rsidRPr="000D7271">
        <w:t>325.</w:t>
      </w:r>
      <w:r w:rsidRPr="000D7271">
        <w:tab/>
        <w:t xml:space="preserve">Также в контексте двустороннего сотрудничества Японское агентство международного сотрудничества (ЯАМС) организовало во второй раз проведение Международного курса по системе помощи инвалидам, ориентированного на молодых лидеров Сенегала, в период с 7 по 24 декабря 2014 года. </w:t>
      </w:r>
    </w:p>
    <w:p w:rsidR="000D7271" w:rsidRPr="000D7271" w:rsidRDefault="000D7271" w:rsidP="000D7271">
      <w:pPr>
        <w:pStyle w:val="SingleTxtGR"/>
      </w:pPr>
      <w:r w:rsidRPr="000D7271">
        <w:t>326.</w:t>
      </w:r>
      <w:r w:rsidRPr="000D7271">
        <w:tab/>
        <w:t>К этому можно в равной степени добавить партнерство с африканскими региональными и субрегиональными организациями, такими как Африканский реабилитационный институт (АРИ) и Африканский банк развития (</w:t>
      </w:r>
      <w:proofErr w:type="spellStart"/>
      <w:r w:rsidRPr="000D7271">
        <w:t>АфБР</w:t>
      </w:r>
      <w:proofErr w:type="spellEnd"/>
      <w:r w:rsidRPr="000D7271">
        <w:t>), а также с неправительственными организациями, такими как организация «</w:t>
      </w:r>
      <w:proofErr w:type="spellStart"/>
      <w:r w:rsidRPr="000D7271">
        <w:t>Хэндикап</w:t>
      </w:r>
      <w:proofErr w:type="spellEnd"/>
      <w:r w:rsidRPr="000D7271">
        <w:t xml:space="preserve"> </w:t>
      </w:r>
      <w:proofErr w:type="spellStart"/>
      <w:r w:rsidRPr="000D7271">
        <w:t>интернэшнл</w:t>
      </w:r>
      <w:proofErr w:type="spellEnd"/>
      <w:r w:rsidRPr="000D7271">
        <w:t>», агентство «CTB» (Бельгийское агентство по техническому сотрудничеству), НОБПТ, организация «</w:t>
      </w:r>
      <w:proofErr w:type="spellStart"/>
      <w:r w:rsidRPr="000D7271">
        <w:t>Сайтсэйверс</w:t>
      </w:r>
      <w:proofErr w:type="spellEnd"/>
      <w:r w:rsidRPr="000D7271">
        <w:t>», Специальные Олимпийские игры Сенегала и другие, которые реализовали в Сенегале ряд важных проектов для инвалидов.</w:t>
      </w:r>
    </w:p>
    <w:p w:rsidR="000D7271" w:rsidRPr="000D7271" w:rsidRDefault="000D7271" w:rsidP="000D7271">
      <w:pPr>
        <w:pStyle w:val="SingleTxtGR"/>
      </w:pPr>
      <w:r w:rsidRPr="000D7271">
        <w:t>327.</w:t>
      </w:r>
      <w:r w:rsidRPr="000D7271">
        <w:tab/>
        <w:t xml:space="preserve">Кроме того, с 2012 года Сенегал регулярно участвует в Конференции государств-участников по правам инвалидов, которая проводится в Центральных учреждениях Организации Объединенных Наций в Нью-Йорке. </w:t>
      </w:r>
    </w:p>
    <w:p w:rsidR="000D7271" w:rsidRPr="000D7271" w:rsidRDefault="000D7271" w:rsidP="000D7271">
      <w:pPr>
        <w:pStyle w:val="SingleTxtGR"/>
      </w:pPr>
      <w:r w:rsidRPr="000D7271">
        <w:t>328.</w:t>
      </w:r>
      <w:r w:rsidRPr="000D7271">
        <w:tab/>
        <w:t>Аналогичным образом, в контексте субрегионального сотрудничества по вопросам инвалидности Сенегал с 1990 года являлся принимающей стороной штаб-квартиры Западноафриканского отделения Африканского реабилитационного института (АРИ) в Дакаре, который официально прекратил свою работу 31 декабря 2013 года. Следует отметить, что АРИ представляет собой программу панафриканской сети развития трудовых ресурсов и исследований в области реабилитации инвалидов и профилактики инвалидности. С момента своего учреждения Региональное отделение Африканского реабилитационного института</w:t>
      </w:r>
      <w:r w:rsidR="00C839A2">
        <w:t xml:space="preserve"> </w:t>
      </w:r>
      <w:r w:rsidRPr="000D7271">
        <w:t>(РОАРИ) в Дакаре организовало по поручению Сенегала и государств-членов проведение различных учебных и научно-исследовательских мероприятий по вопросам инвалидности и реабилитации инвалидов за счет финансирования около</w:t>
      </w:r>
      <w:r w:rsidR="00C839A2">
        <w:t xml:space="preserve"> </w:t>
      </w:r>
      <w:r w:rsidRPr="000D7271">
        <w:t>40 </w:t>
      </w:r>
      <w:proofErr w:type="spellStart"/>
      <w:r w:rsidRPr="000D7271">
        <w:t>микропроектов</w:t>
      </w:r>
      <w:proofErr w:type="spellEnd"/>
      <w:r w:rsidRPr="000D7271">
        <w:t xml:space="preserve"> для инвалидов в Сенегале. </w:t>
      </w:r>
    </w:p>
    <w:p w:rsidR="000D7271" w:rsidRPr="000D7271" w:rsidRDefault="000D7271" w:rsidP="000D7271">
      <w:pPr>
        <w:pStyle w:val="SingleTxtGR"/>
      </w:pPr>
      <w:r w:rsidRPr="000D7271">
        <w:t>329.</w:t>
      </w:r>
      <w:r w:rsidRPr="000D7271">
        <w:tab/>
        <w:t>Сенегал также является членом учрежденной на четвертой Конференции министров социального развития Африканского союза (АС) группы, основная задача которой заключается в завершении процесса АРИ и проработке условий для учреждения нового альтернативного института; эта группа должна приступить к реализации своей деятельности в принципе после апреля 2015 года.</w:t>
      </w:r>
    </w:p>
    <w:p w:rsidR="000D7271" w:rsidRPr="000D7271" w:rsidRDefault="000D7271" w:rsidP="000D7271">
      <w:pPr>
        <w:pStyle w:val="SingleTxtGR"/>
      </w:pPr>
      <w:r w:rsidRPr="000D7271">
        <w:t>330.</w:t>
      </w:r>
      <w:r w:rsidRPr="000D7271">
        <w:tab/>
        <w:t xml:space="preserve">Кроме того, в Сенегале также расположена штаб-квартира Секретариата Африканского десятилетия инвалидов в рамках реализации планов действий континентального масштаба по вопросам инвалидности. </w:t>
      </w:r>
    </w:p>
    <w:p w:rsidR="000D7271" w:rsidRPr="000D7271" w:rsidRDefault="000D7271" w:rsidP="000D7271">
      <w:pPr>
        <w:pStyle w:val="SingleTxtGR"/>
      </w:pPr>
      <w:r w:rsidRPr="000D7271">
        <w:t>331.</w:t>
      </w:r>
      <w:r w:rsidRPr="000D7271">
        <w:tab/>
        <w:t>Также, в рамках международного сотрудничества НЦОО удалось получить финансирование в размере 12</w:t>
      </w:r>
      <w:r w:rsidR="00C839A2">
        <w:t> </w:t>
      </w:r>
      <w:r w:rsidRPr="000D7271">
        <w:t>996</w:t>
      </w:r>
      <w:r w:rsidR="00C839A2">
        <w:t> </w:t>
      </w:r>
      <w:r w:rsidRPr="000D7271">
        <w:t>000 франков КФА, предоставленное ассоциацией «ALLIE VI DON GNOCCHI» в партнерстве с ассоциацией «ASSISTENZA SENZA FRONTIERA» для финансирования в 2012 году проекта по уходу за детьми с ограниченными возможностями в возрасте от 0 до 5 лет.</w:t>
      </w:r>
    </w:p>
    <w:p w:rsidR="000D7271" w:rsidRPr="000D7271" w:rsidRDefault="000D7271" w:rsidP="000D7271">
      <w:pPr>
        <w:pStyle w:val="SingleTxtGR"/>
      </w:pPr>
      <w:r w:rsidRPr="000D7271">
        <w:t>332.</w:t>
      </w:r>
      <w:r w:rsidRPr="000D7271">
        <w:tab/>
        <w:t>Кроме того, Министерство национального образования и Министерство здравоохранения и социальной поддержки получили с помощью своих технических рычагов воздействия, которыми являются соответственно Управление начального образования и Национальная программа укрепления офтальмологического здоровья, финансирование по линии организации «</w:t>
      </w:r>
      <w:proofErr w:type="spellStart"/>
      <w:r w:rsidRPr="000D7271">
        <w:t>Сайтсэйверс</w:t>
      </w:r>
      <w:proofErr w:type="spellEnd"/>
      <w:r w:rsidRPr="000D7271">
        <w:t>» в размере 807 729 000 франков КФА на период с 2011 по 2014 год. Эти средства предназначены для проектов в области инклюзивного образования в размере 182 242 997 франков КФА и в области борьбы со слепотой в размере 625 486 003 франков КФА. В 2013 году между организацией «</w:t>
      </w:r>
      <w:proofErr w:type="spellStart"/>
      <w:r w:rsidRPr="000D7271">
        <w:t>Сайтсэйверс</w:t>
      </w:r>
      <w:proofErr w:type="spellEnd"/>
      <w:r w:rsidRPr="000D7271">
        <w:t xml:space="preserve">», объединением «CAUSE» (Объединение ассоциаций слепых ради единства, солидарности и взаимопомощи) и Главным управлением социальной поддержки был подписан трехсторонний протокол о взаимопонимании по вопросу об осуществлении проекта социальной интеграции с бюджетом в размере 68 815 000 франков КФА. </w:t>
      </w:r>
    </w:p>
    <w:p w:rsidR="000D7271" w:rsidRPr="000D7271" w:rsidRDefault="000D7271" w:rsidP="00C839A2">
      <w:pPr>
        <w:pStyle w:val="HChGR"/>
      </w:pPr>
      <w:r w:rsidRPr="000D7271">
        <w:tab/>
      </w:r>
      <w:r w:rsidRPr="000D7271">
        <w:tab/>
        <w:t>Статья 33: Национальное осуществление и мониторинг</w:t>
      </w:r>
    </w:p>
    <w:p w:rsidR="000D7271" w:rsidRPr="000D7271" w:rsidRDefault="000D7271" w:rsidP="000D7271">
      <w:pPr>
        <w:pStyle w:val="SingleTxtGR"/>
      </w:pPr>
      <w:r w:rsidRPr="000D7271">
        <w:t>333.</w:t>
      </w:r>
      <w:r w:rsidRPr="000D7271">
        <w:tab/>
      </w:r>
      <w:proofErr w:type="gramStart"/>
      <w:r w:rsidRPr="000D7271">
        <w:t>В</w:t>
      </w:r>
      <w:proofErr w:type="gramEnd"/>
      <w:r w:rsidRPr="000D7271">
        <w:t xml:space="preserve"> своем постоянном стремлении к информированию международного сообщества о </w:t>
      </w:r>
      <w:proofErr w:type="spellStart"/>
      <w:r w:rsidRPr="000D7271">
        <w:t>консенсусных</w:t>
      </w:r>
      <w:proofErr w:type="spellEnd"/>
      <w:r w:rsidRPr="000D7271">
        <w:t xml:space="preserve"> докладах, точно отражающих реальное положение дел на местах, Государство сохранило давнюю традицию сотрудничества с субъектами гражданского общества, позволяющую подготавливать авторитетные и качественные документы.</w:t>
      </w:r>
    </w:p>
    <w:p w:rsidR="000D7271" w:rsidRPr="000D7271" w:rsidRDefault="000D7271" w:rsidP="000D7271">
      <w:pPr>
        <w:pStyle w:val="SingleTxtGR"/>
      </w:pPr>
      <w:r w:rsidRPr="000D7271">
        <w:t>334.</w:t>
      </w:r>
      <w:r w:rsidRPr="000D7271">
        <w:tab/>
        <w:t xml:space="preserve">Консультации с негосударственными субъектами в ходе подготовки докладов по правам человека являются обязательными в соответствии с Законом от 10 марта 1997 года о Сенегальском комитете по правам человека. </w:t>
      </w:r>
    </w:p>
    <w:p w:rsidR="000D7271" w:rsidRPr="000D7271" w:rsidRDefault="000D7271" w:rsidP="000D7271">
      <w:pPr>
        <w:pStyle w:val="SingleTxtGR"/>
      </w:pPr>
      <w:r w:rsidRPr="000D7271">
        <w:t>335.</w:t>
      </w:r>
      <w:r w:rsidRPr="000D7271">
        <w:tab/>
        <w:t xml:space="preserve">В соответствии с Парижскими принципами, касающимися национальных учреждений, этот Комитет по своему составу представляет собой </w:t>
      </w:r>
      <w:proofErr w:type="gramStart"/>
      <w:r w:rsidRPr="000D7271">
        <w:t>независимую и плюралистическую структуру</w:t>
      </w:r>
      <w:proofErr w:type="gramEnd"/>
      <w:r w:rsidRPr="000D7271">
        <w:t xml:space="preserve"> и его основная роль заключается в выработке заключений или рекомендаций по любым вопросам, касающимся прав человека, включая доклады, подготавливаемые правительством для верификационных органов конвенций и договоров в области прав человека.</w:t>
      </w:r>
    </w:p>
    <w:p w:rsidR="000D7271" w:rsidRPr="000D7271" w:rsidRDefault="000D7271" w:rsidP="000D7271">
      <w:pPr>
        <w:pStyle w:val="SingleTxtGR"/>
      </w:pPr>
      <w:r w:rsidRPr="000D7271">
        <w:t>336.</w:t>
      </w:r>
      <w:r w:rsidRPr="000D7271">
        <w:tab/>
        <w:t>Предварительные проекты докладов, подготовленные Управлением по правам человека, в обязательном порядке направляются для высокой оценки в Национальный институт по правам человека, с тем чтобы он вынес по ним свои суждения и замечания (Закон от 10 марта 1997 года об учреждении Сенегальского комитета по правам человека).</w:t>
      </w:r>
    </w:p>
    <w:p w:rsidR="000D7271" w:rsidRPr="000D7271" w:rsidRDefault="000D7271" w:rsidP="000D7271">
      <w:pPr>
        <w:pStyle w:val="SingleTxtGR"/>
      </w:pPr>
      <w:r w:rsidRPr="000D7271">
        <w:t>337.</w:t>
      </w:r>
      <w:r w:rsidRPr="000D7271">
        <w:tab/>
        <w:t>Затем этот длительный процесс завершается обширными консультации с субъектами гражданского общества, включая правозащитные НПО, что гарантирует широкое распространение докладов среди граждан.</w:t>
      </w:r>
    </w:p>
    <w:p w:rsidR="000D7271" w:rsidRPr="000D7271" w:rsidRDefault="000D7271" w:rsidP="000D7271">
      <w:pPr>
        <w:pStyle w:val="SingleTxtGR"/>
      </w:pPr>
      <w:r w:rsidRPr="000D7271">
        <w:t>338.</w:t>
      </w:r>
      <w:r w:rsidRPr="000D7271">
        <w:tab/>
        <w:t>Это тем более справедливо с учетом того, что в составе Национального консультативного совета по правам человека, курируемого Канцелярией хранителя печатей (министра юстиции) и отвечающего за координацию деятельности по подготовке и представлению периодических докладов Сенегала, предусмотрено семь представителей национальных учреждений, действующих в сфере прав человека и гуманитарного права.</w:t>
      </w:r>
    </w:p>
    <w:p w:rsidR="000D7271" w:rsidRPr="000D7271" w:rsidRDefault="000D7271" w:rsidP="000D7271">
      <w:pPr>
        <w:pStyle w:val="SingleTxtGR"/>
      </w:pPr>
      <w:r w:rsidRPr="000D7271">
        <w:t>339.</w:t>
      </w:r>
      <w:r w:rsidRPr="000D7271">
        <w:tab/>
        <w:t>Для практического применения и осуществления национальной последующей деятельности в Сенегале в 2012 году в рамках Министерства здравоохранения и социальной поддержки (МЗСП) было учреждено Главное управление социальной поддержки (ГУСП), в состав которого входят три (3) технических директората, отвечающих соответственно за заботу об инвалидах, уязвимые группы и медико-социальные действия. В том же духе укрепления учреждений в соответствии со статьей 48 Закона об ориентации социальной политики Государство планирует создать высший совет по обеспечению равных возможностей для инвалидов (ВСОРВИ) для эффективного осуществления Закона об ориентации социальной политики, закрепляющего исполнение</w:t>
      </w:r>
      <w:r>
        <w:t xml:space="preserve"> </w:t>
      </w:r>
      <w:r w:rsidRPr="000D7271">
        <w:t>Конвенции о правах инвалидов.</w:t>
      </w:r>
    </w:p>
    <w:p w:rsidR="000D7271" w:rsidRPr="000D7271" w:rsidRDefault="000D7271" w:rsidP="000D7271">
      <w:pPr>
        <w:pStyle w:val="SingleTxtGR"/>
      </w:pPr>
      <w:r w:rsidRPr="000D7271">
        <w:br w:type="page"/>
      </w:r>
    </w:p>
    <w:p w:rsidR="000D7271" w:rsidRPr="000D7271" w:rsidRDefault="000D7271" w:rsidP="00C839A2">
      <w:pPr>
        <w:pStyle w:val="HChGR"/>
      </w:pPr>
      <w:r w:rsidRPr="000D7271">
        <w:tab/>
      </w:r>
      <w:r w:rsidRPr="000D7271">
        <w:tab/>
        <w:t>Ориентировочный список литературы</w:t>
      </w:r>
    </w:p>
    <w:p w:rsidR="000D7271" w:rsidRPr="000D7271" w:rsidRDefault="000D7271" w:rsidP="00C839A2">
      <w:pPr>
        <w:pStyle w:val="HChGR"/>
      </w:pPr>
      <w:r w:rsidRPr="000D7271">
        <w:tab/>
        <w:t>I.</w:t>
      </w:r>
      <w:r w:rsidRPr="000D7271">
        <w:tab/>
        <w:t>Международные и региональные декларации, договоры</w:t>
      </w:r>
    </w:p>
    <w:p w:rsidR="000D7271" w:rsidRPr="000D7271" w:rsidRDefault="000D7271" w:rsidP="00C839A2">
      <w:pPr>
        <w:pStyle w:val="Bullet1GR"/>
      </w:pPr>
      <w:r w:rsidRPr="000D7271">
        <w:t>Декларация о правах инвалидов (1982 год)</w:t>
      </w:r>
    </w:p>
    <w:p w:rsidR="000D7271" w:rsidRPr="000D7271" w:rsidRDefault="000D7271" w:rsidP="00C839A2">
      <w:pPr>
        <w:pStyle w:val="Bullet1GR"/>
      </w:pPr>
      <w:r w:rsidRPr="000D7271">
        <w:t>Декларация о правах умственно отсталых лиц (1971 год)</w:t>
      </w:r>
    </w:p>
    <w:p w:rsidR="000D7271" w:rsidRPr="000D7271" w:rsidRDefault="000D7271" w:rsidP="00C839A2">
      <w:pPr>
        <w:pStyle w:val="Bullet1GR"/>
      </w:pPr>
      <w:r w:rsidRPr="000D7271">
        <w:t>Всеобщая декларация прав человека 1948 года</w:t>
      </w:r>
    </w:p>
    <w:p w:rsidR="000D7271" w:rsidRPr="000D7271" w:rsidRDefault="000D7271" w:rsidP="00C839A2">
      <w:pPr>
        <w:pStyle w:val="Bullet1GR"/>
      </w:pPr>
      <w:r w:rsidRPr="000D7271">
        <w:t>Конвенция о правах инвалидов 2006 года</w:t>
      </w:r>
    </w:p>
    <w:p w:rsidR="000D7271" w:rsidRPr="000D7271" w:rsidRDefault="000D7271" w:rsidP="00C839A2">
      <w:pPr>
        <w:pStyle w:val="Bullet1GR"/>
      </w:pPr>
      <w:r w:rsidRPr="000D7271">
        <w:t>Конвенция Организации Объединенных Наций против пыток и других жестоких, бесчеловечных или</w:t>
      </w:r>
      <w:r>
        <w:t xml:space="preserve"> </w:t>
      </w:r>
      <w:r w:rsidRPr="000D7271">
        <w:t>унижающих достоинство видов обращения и наказания, 10 декабря 1984 года, ратифицирована Сенегалом 20 августа 1986</w:t>
      </w:r>
      <w:r w:rsidR="00C839A2">
        <w:t> </w:t>
      </w:r>
      <w:r w:rsidRPr="000D7271">
        <w:t>года</w:t>
      </w:r>
    </w:p>
    <w:p w:rsidR="000D7271" w:rsidRPr="000D7271" w:rsidRDefault="000D7271" w:rsidP="00C839A2">
      <w:pPr>
        <w:pStyle w:val="Bullet1GR"/>
      </w:pPr>
      <w:r w:rsidRPr="000D7271">
        <w:t>Конвенция МОТ о профессиональной реабилитации и занятости инвалидов (1983 год)</w:t>
      </w:r>
    </w:p>
    <w:p w:rsidR="000D7271" w:rsidRPr="000D7271" w:rsidRDefault="000D7271" w:rsidP="00C839A2">
      <w:pPr>
        <w:pStyle w:val="Bullet1GR"/>
      </w:pPr>
      <w:r w:rsidRPr="000D7271">
        <w:t>Пакт Организации Объединенных Наций о гражданских и политических</w:t>
      </w:r>
      <w:r>
        <w:t xml:space="preserve"> </w:t>
      </w:r>
      <w:r w:rsidRPr="000D7271">
        <w:t>правах</w:t>
      </w:r>
    </w:p>
    <w:p w:rsidR="000D7271" w:rsidRPr="000D7271" w:rsidRDefault="000D7271" w:rsidP="00C839A2">
      <w:pPr>
        <w:pStyle w:val="Bullet1GR"/>
      </w:pPr>
      <w:r w:rsidRPr="000D7271">
        <w:t>Резолюция 217 A (III)</w:t>
      </w:r>
      <w:r>
        <w:t xml:space="preserve"> </w:t>
      </w:r>
      <w:r w:rsidRPr="000D7271">
        <w:t>Генеральной Ассамблеи Организации Объединенных Наций от 10 декабря 1948 года</w:t>
      </w:r>
    </w:p>
    <w:p w:rsidR="000D7271" w:rsidRPr="000D7271" w:rsidRDefault="000D7271" w:rsidP="00C839A2">
      <w:pPr>
        <w:pStyle w:val="HChGR"/>
      </w:pPr>
      <w:r w:rsidRPr="000D7271">
        <w:tab/>
        <w:t>II.</w:t>
      </w:r>
      <w:r w:rsidRPr="000D7271">
        <w:tab/>
        <w:t>Национальные тексты</w:t>
      </w:r>
    </w:p>
    <w:p w:rsidR="000D7271" w:rsidRPr="000D7271" w:rsidRDefault="000D7271" w:rsidP="00C839A2">
      <w:pPr>
        <w:pStyle w:val="Bullet1GR"/>
      </w:pPr>
      <w:r w:rsidRPr="000D7271">
        <w:t>Конституция Сенегала от 22 января 2001 года</w:t>
      </w:r>
    </w:p>
    <w:p w:rsidR="000D7271" w:rsidRPr="000D7271" w:rsidRDefault="000D7271" w:rsidP="00C839A2">
      <w:pPr>
        <w:pStyle w:val="Bullet1GR"/>
      </w:pPr>
      <w:r w:rsidRPr="000D7271">
        <w:t>Закон № 2013-05 от 8 июля 2013 года о внесении изменений в Закон № 61-10 от 7 марта 1961 года, Официальный журнал Республики Сенегал (ОЖРС) № 67-41 за 29 июля 2013 года</w:t>
      </w:r>
    </w:p>
    <w:p w:rsidR="000D7271" w:rsidRPr="000D7271" w:rsidRDefault="000D7271" w:rsidP="00C839A2">
      <w:pPr>
        <w:pStyle w:val="Bullet1GR"/>
      </w:pPr>
      <w:r w:rsidRPr="000D7271">
        <w:t>Закон № 2012-31 от 31 декабря 2012 года, ОЖРС № 6706 за 31 декабря 2012 года</w:t>
      </w:r>
    </w:p>
    <w:p w:rsidR="000D7271" w:rsidRPr="000D7271" w:rsidRDefault="000D7271" w:rsidP="00C839A2">
      <w:pPr>
        <w:pStyle w:val="Bullet1GR"/>
      </w:pPr>
      <w:r w:rsidRPr="000D7271">
        <w:t>Закон № 2009-30 от 2 декабря 2009 года, ОЖРС № 6514 за 27 февраля 2010 года</w:t>
      </w:r>
    </w:p>
    <w:p w:rsidR="000D7271" w:rsidRPr="000D7271" w:rsidRDefault="000D7271" w:rsidP="00C839A2">
      <w:pPr>
        <w:pStyle w:val="Bullet1GR"/>
      </w:pPr>
      <w:r w:rsidRPr="000D7271">
        <w:t>Закон № 2010-15 от 6 июля 2010 года, ОЖРС № 6535 за субботу, 10 июля 2010</w:t>
      </w:r>
      <w:r w:rsidR="00C839A2">
        <w:t> </w:t>
      </w:r>
      <w:r w:rsidRPr="000D7271">
        <w:t>года</w:t>
      </w:r>
    </w:p>
    <w:p w:rsidR="000D7271" w:rsidRPr="000D7271" w:rsidRDefault="000D7271" w:rsidP="00C839A2">
      <w:pPr>
        <w:pStyle w:val="Bullet1GR"/>
      </w:pPr>
      <w:r w:rsidRPr="000D7271">
        <w:t>Закон № 2009-13 от 2 марта 2009 года о создании национального органа по надзору за местами лишения свободы (Декрет о порядке применения № 2011</w:t>
      </w:r>
      <w:r w:rsidRPr="000D7271">
        <w:noBreakHyphen/>
        <w:t>842 от 16 июня 2011 года, ОЖРС № 66-15 за 24 сентября 2011 года)</w:t>
      </w:r>
    </w:p>
    <w:p w:rsidR="000D7271" w:rsidRPr="000D7271" w:rsidRDefault="000D7271" w:rsidP="00C839A2">
      <w:pPr>
        <w:pStyle w:val="Bullet1GR"/>
      </w:pPr>
      <w:r w:rsidRPr="000D7271">
        <w:t>Закон № 2009-17 от 9 марта 2009 года о Кодексе профессиональной этики при проведении медицинских исследований, ОЖРС № 6479 за субботу, 11 июля 2009 года</w:t>
      </w:r>
    </w:p>
    <w:p w:rsidR="000D7271" w:rsidRPr="000D7271" w:rsidRDefault="000D7271" w:rsidP="00C839A2">
      <w:pPr>
        <w:pStyle w:val="Bullet1GR"/>
      </w:pPr>
      <w:r w:rsidRPr="000D7271">
        <w:t>Закон № 2008-12 от 25 января 2008 года о персональных данных, ОЖРС № 6406 за субботу, 3 мая 2008 года</w:t>
      </w:r>
    </w:p>
    <w:p w:rsidR="000D7271" w:rsidRPr="000D7271" w:rsidRDefault="000D7271" w:rsidP="00C839A2">
      <w:pPr>
        <w:pStyle w:val="Bullet1GR"/>
      </w:pPr>
      <w:r w:rsidRPr="000D7271">
        <w:t>Закон № 2006-19 от 30 июня 2006 года об архивах и административных документах, ОЖРС № 6291 за субботу, 5 августа 2006 года</w:t>
      </w:r>
    </w:p>
    <w:p w:rsidR="000D7271" w:rsidRPr="000D7271" w:rsidRDefault="000D7271" w:rsidP="00C839A2">
      <w:pPr>
        <w:pStyle w:val="Bullet1GR"/>
      </w:pPr>
      <w:r w:rsidRPr="000D7271">
        <w:t>Закон № 2004-38 от 28 декабря 2004 года об отмене смертной казни, ОЖРС № 62-02 за субботу, 22 января 2005 года</w:t>
      </w:r>
    </w:p>
    <w:p w:rsidR="000D7271" w:rsidRPr="000D7271" w:rsidRDefault="000D7271" w:rsidP="00C839A2">
      <w:pPr>
        <w:pStyle w:val="Bullet1GR"/>
      </w:pPr>
      <w:r w:rsidRPr="000D7271">
        <w:t>Закон № 2004-21 от 21 июля 2004 года об организации статистической деятельности, ОЖРС № 6181 за субботу, 11 сентября 2004 года</w:t>
      </w:r>
    </w:p>
    <w:p w:rsidR="000D7271" w:rsidRPr="000D7271" w:rsidRDefault="000D7271" w:rsidP="00C839A2">
      <w:pPr>
        <w:pStyle w:val="Bullet1GR"/>
      </w:pPr>
      <w:r w:rsidRPr="000D7271">
        <w:t xml:space="preserve">Закон № 2000-38 о внесении поправок в Уголовный кодекс </w:t>
      </w:r>
    </w:p>
    <w:p w:rsidR="000D7271" w:rsidRPr="000D7271" w:rsidRDefault="000D7271" w:rsidP="00C839A2">
      <w:pPr>
        <w:pStyle w:val="Bullet1GR"/>
      </w:pPr>
      <w:r w:rsidRPr="000D7271">
        <w:t xml:space="preserve">Закон № 2000-39 от 29 декабря 2000 года о внесении поправок в Уголовно-процессуальный кодекс </w:t>
      </w:r>
    </w:p>
    <w:p w:rsidR="000D7271" w:rsidRPr="000D7271" w:rsidRDefault="000D7271" w:rsidP="00C839A2">
      <w:pPr>
        <w:pStyle w:val="Bullet1GR"/>
      </w:pPr>
      <w:r w:rsidRPr="000D7271">
        <w:t>Закон № 1998-02 от 2 марта 1998 года о больничной реформе, ОЖРС № 5904 за 14 марта 1998 года</w:t>
      </w:r>
    </w:p>
    <w:p w:rsidR="000D7271" w:rsidRPr="000D7271" w:rsidRDefault="000D7271" w:rsidP="00C839A2">
      <w:pPr>
        <w:pStyle w:val="Bullet1GR"/>
      </w:pPr>
      <w:r w:rsidRPr="000D7271">
        <w:t>Закон № 97-18 от 1 декабря 1997 года о Кодексе по наркотическим средствам</w:t>
      </w:r>
    </w:p>
    <w:p w:rsidR="000D7271" w:rsidRPr="000D7271" w:rsidRDefault="000D7271" w:rsidP="00C839A2">
      <w:pPr>
        <w:pStyle w:val="Bullet1GR"/>
      </w:pPr>
      <w:r w:rsidRPr="000D7271">
        <w:t>Закон № 91-14 от 11 февраля 1991 года с изменениями, внесенными Законом № 99-04 от 29 января 1999 года, о полномочиях Омбудсмена Республики, ОЖРС за 25 сентября 1999 года, страница 1276</w:t>
      </w:r>
    </w:p>
    <w:p w:rsidR="000D7271" w:rsidRPr="000D7271" w:rsidRDefault="000D7271" w:rsidP="00C839A2">
      <w:pPr>
        <w:pStyle w:val="Bullet1GR"/>
      </w:pPr>
      <w:r w:rsidRPr="000D7271">
        <w:t>Закон № 91-22 от 30 января 1991 года о национальном образовании</w:t>
      </w:r>
    </w:p>
    <w:p w:rsidR="000D7271" w:rsidRPr="000D7271" w:rsidRDefault="000D7271" w:rsidP="00C839A2">
      <w:pPr>
        <w:pStyle w:val="Bullet1GR"/>
      </w:pPr>
      <w:r w:rsidRPr="000D7271">
        <w:t>Закон № 61-10 от 7 марта 1961 года о сенегальском гражданстве, ОЖРС № 3439 за среду, 15 марта 1961 года</w:t>
      </w:r>
    </w:p>
    <w:p w:rsidR="000D7271" w:rsidRPr="000D7271" w:rsidRDefault="000D7271" w:rsidP="00C839A2">
      <w:pPr>
        <w:pStyle w:val="Bullet1GR"/>
      </w:pPr>
      <w:r w:rsidRPr="000D7271">
        <w:t>Закон № 75-80 от 9 июля 1975 года о лечении психических заболеваний и интернировании некоторых категорий психически больных</w:t>
      </w:r>
    </w:p>
    <w:p w:rsidR="000D7271" w:rsidRPr="000D7271" w:rsidRDefault="000D7271" w:rsidP="00C839A2">
      <w:pPr>
        <w:pStyle w:val="Bullet1GR"/>
      </w:pPr>
      <w:r w:rsidRPr="000D7271">
        <w:t>Закон № 76-03 от 25 марта 1976 года о лечении проказы и о социальной реабилитации вылеченных и получивших увечья от проказы лиц</w:t>
      </w:r>
    </w:p>
    <w:p w:rsidR="000D7271" w:rsidRPr="000D7271" w:rsidRDefault="000D7271" w:rsidP="00C839A2">
      <w:pPr>
        <w:pStyle w:val="Bullet1GR"/>
      </w:pPr>
      <w:r w:rsidRPr="000D7271">
        <w:t>Декрет № 2012 о порядке применения Закона об ориентации социальной политики № 2010-15 от 6 июля 2010 года о поощрении и защите прав инвалидов</w:t>
      </w:r>
    </w:p>
    <w:p w:rsidR="000D7271" w:rsidRPr="000D7271" w:rsidRDefault="000D7271" w:rsidP="00C839A2">
      <w:pPr>
        <w:pStyle w:val="Bullet1GR"/>
      </w:pPr>
      <w:r w:rsidRPr="000D7271">
        <w:t>Декрет № 2011-842 от 16 июня 2011 года о порядке применения Закона № 2009</w:t>
      </w:r>
      <w:r w:rsidR="00C839A2">
        <w:noBreakHyphen/>
      </w:r>
      <w:r w:rsidRPr="000D7271">
        <w:t>13 от 2 марта 2009 года о создании национального органа по надзору за местами лишения свободы</w:t>
      </w:r>
    </w:p>
    <w:p w:rsidR="000D7271" w:rsidRPr="000D7271" w:rsidRDefault="000D7271" w:rsidP="00C839A2">
      <w:pPr>
        <w:pStyle w:val="Bullet1GR"/>
      </w:pPr>
      <w:r w:rsidRPr="000D7271">
        <w:t>Декрет № 2010-1026 о функциях министра-делегата при министре юстиции от 3 августа 2010 года</w:t>
      </w:r>
    </w:p>
    <w:p w:rsidR="000D7271" w:rsidRPr="000D7271" w:rsidRDefault="000D7271" w:rsidP="00C839A2">
      <w:pPr>
        <w:pStyle w:val="Bullet1GR"/>
      </w:pPr>
      <w:r w:rsidRPr="000D7271">
        <w:t>Декрет о порядке применения № 2009-423 от 27 апреля 2009 года</w:t>
      </w:r>
    </w:p>
    <w:p w:rsidR="000D7271" w:rsidRPr="000D7271" w:rsidRDefault="000D7271" w:rsidP="00C839A2">
      <w:pPr>
        <w:pStyle w:val="Bullet1GR"/>
      </w:pPr>
      <w:r w:rsidRPr="000D7271">
        <w:t xml:space="preserve">Декрет № 2004-1410 от 4 ноября 2004 года </w:t>
      </w:r>
      <w:r>
        <w:t>–</w:t>
      </w:r>
      <w:r w:rsidRPr="000D7271">
        <w:t xml:space="preserve"> надежда для инвалидов</w:t>
      </w:r>
    </w:p>
    <w:p w:rsidR="000D7271" w:rsidRPr="000D7271" w:rsidRDefault="000D7271" w:rsidP="00C839A2">
      <w:pPr>
        <w:pStyle w:val="Bullet1GR"/>
      </w:pPr>
      <w:r w:rsidRPr="000D7271">
        <w:t>Декрет № 2001-362 от 4 мая 2001 года о процедурах исполнения и смягчения мер уголовного наказания</w:t>
      </w:r>
    </w:p>
    <w:p w:rsidR="000D7271" w:rsidRPr="000D7271" w:rsidRDefault="000D7271" w:rsidP="00C839A2">
      <w:pPr>
        <w:pStyle w:val="Bullet1GR"/>
      </w:pPr>
      <w:r w:rsidRPr="000D7271">
        <w:t>Декрет № 93-141 от 16 февраля 1993 года об учреждении Сенегальского комитета по правам человека</w:t>
      </w:r>
    </w:p>
    <w:p w:rsidR="000D7271" w:rsidRPr="000D7271" w:rsidRDefault="000D7271" w:rsidP="00C839A2">
      <w:pPr>
        <w:pStyle w:val="Bullet1GR"/>
      </w:pPr>
      <w:r w:rsidRPr="000D7271">
        <w:t xml:space="preserve">Декрет о порядке применения № 75-1092 от 23 октября 1975 года, учреждающий в </w:t>
      </w:r>
      <w:proofErr w:type="spellStart"/>
      <w:r w:rsidRPr="000D7271">
        <w:t>Тиаруа</w:t>
      </w:r>
      <w:proofErr w:type="spellEnd"/>
      <w:r w:rsidRPr="000D7271">
        <w:t xml:space="preserve"> специализированное учреждение закрытого типа для интернирования психически больных по решению суда</w:t>
      </w:r>
    </w:p>
    <w:p w:rsidR="000D7271" w:rsidRPr="000D7271" w:rsidRDefault="000D7271" w:rsidP="00C839A2">
      <w:pPr>
        <w:pStyle w:val="Bullet1GR"/>
      </w:pPr>
      <w:r w:rsidRPr="000D7271">
        <w:t>Декрет о порядке применения № 75-1093 от 23 октября 1975 года, определяющий условия для организации и функционирования психиатрических деревень</w:t>
      </w:r>
    </w:p>
    <w:p w:rsidR="000D7271" w:rsidRPr="000D7271" w:rsidRDefault="000D7271" w:rsidP="00C839A2">
      <w:pPr>
        <w:pStyle w:val="Bullet1GR"/>
      </w:pPr>
      <w:r w:rsidRPr="000D7271">
        <w:t xml:space="preserve">Декрет № 2012-1038 от 2 октября 2012 года о технических комиссиях и специальном образовании </w:t>
      </w:r>
    </w:p>
    <w:p w:rsidR="000D7271" w:rsidRPr="000D7271" w:rsidRDefault="000D7271" w:rsidP="00C839A2">
      <w:pPr>
        <w:pStyle w:val="Bullet1GR"/>
      </w:pPr>
      <w:r w:rsidRPr="000D7271">
        <w:t xml:space="preserve">Декрет № 78-547 от 16 июня 1978 года о порядке применения Закона № 76-03 от 25 марта 1976 года о лечении проказы и о социальной реабилитации вылеченных и получивших увечья от проказы лиц </w:t>
      </w:r>
    </w:p>
    <w:p w:rsidR="000D7271" w:rsidRPr="000D7271" w:rsidRDefault="000D7271" w:rsidP="00C839A2">
      <w:pPr>
        <w:pStyle w:val="Bullet1GR"/>
      </w:pPr>
      <w:r w:rsidRPr="000D7271">
        <w:t>Постановление премьер-министра № 09051 от 8 августа 2010 года об учреждении Национального отдела по борьбе с торговлей людьми, особенно женщинами и детьми, ОЖРС № 6567 от 22 января 2011 года (суббота)</w:t>
      </w:r>
    </w:p>
    <w:p w:rsidR="000D7271" w:rsidRPr="000D7271" w:rsidRDefault="000D7271" w:rsidP="00C839A2">
      <w:pPr>
        <w:pStyle w:val="Bullet1GR"/>
      </w:pPr>
      <w:r w:rsidRPr="000D7271">
        <w:t>Постановление № 2007-284 от 24 января 2007 года о проекте по реабилитации на базе общин, ОЖРС № 6362 за субботу, 25 августа 2007 года</w:t>
      </w:r>
    </w:p>
    <w:p w:rsidR="000D7271" w:rsidRPr="000D7271" w:rsidRDefault="000D7271" w:rsidP="00C839A2">
      <w:pPr>
        <w:pStyle w:val="Bullet1GR"/>
      </w:pPr>
      <w:r w:rsidRPr="000D7271">
        <w:t>Постановление № 57-76 от 17 июля 2001 года об Уставе пациентов в больничных учреждениях, ОЖРС, 2001, 5999, с. 501</w:t>
      </w:r>
    </w:p>
    <w:p w:rsidR="000D7271" w:rsidRPr="000D7271" w:rsidRDefault="000D7271" w:rsidP="00C839A2">
      <w:pPr>
        <w:pStyle w:val="Bullet1GR"/>
      </w:pPr>
      <w:r w:rsidRPr="000D7271">
        <w:t>Постановление № 8268 MEN/SL от 31 июля 1980 года о создании комплексной психолого-педагогической медицинской школы</w:t>
      </w:r>
    </w:p>
    <w:p w:rsidR="000D7271" w:rsidRPr="000D7271" w:rsidRDefault="000D7271" w:rsidP="00C839A2">
      <w:pPr>
        <w:pStyle w:val="Bullet1GR"/>
      </w:pPr>
      <w:r w:rsidRPr="000D7271">
        <w:t>Постановление № 007701 от 25 июня 1984 года о переводе Центра речевого и слухового обучения из ведения Генерального секретариата Министерства национального образования в ведение Министерства начального образования</w:t>
      </w:r>
    </w:p>
    <w:p w:rsidR="000D7271" w:rsidRPr="000D7271" w:rsidRDefault="000D7271" w:rsidP="00C839A2">
      <w:pPr>
        <w:pStyle w:val="HChGR"/>
        <w:rPr>
          <w:lang w:val="fr-CH"/>
        </w:rPr>
      </w:pPr>
      <w:r w:rsidRPr="000D7271">
        <w:tab/>
      </w:r>
      <w:r w:rsidRPr="000D7271">
        <w:rPr>
          <w:lang w:val="fr-FR"/>
        </w:rPr>
        <w:t>III.</w:t>
      </w:r>
      <w:r w:rsidRPr="000D7271">
        <w:rPr>
          <w:lang w:val="fr-FR"/>
        </w:rPr>
        <w:tab/>
      </w:r>
      <w:r w:rsidRPr="000D7271">
        <w:t>Другие</w:t>
      </w:r>
      <w:r w:rsidRPr="000D7271">
        <w:rPr>
          <w:lang w:val="fr-FR"/>
        </w:rPr>
        <w:t xml:space="preserve"> </w:t>
      </w:r>
      <w:r w:rsidRPr="000D7271">
        <w:t>документальные</w:t>
      </w:r>
      <w:r w:rsidRPr="000D7271">
        <w:rPr>
          <w:lang w:val="fr-FR"/>
        </w:rPr>
        <w:t xml:space="preserve"> </w:t>
      </w:r>
      <w:r w:rsidRPr="000D7271">
        <w:t>источники</w:t>
      </w:r>
    </w:p>
    <w:p w:rsidR="000D7271" w:rsidRPr="000D7271" w:rsidRDefault="000D7271" w:rsidP="00C839A2">
      <w:pPr>
        <w:pStyle w:val="Bullet1GR"/>
        <w:rPr>
          <w:lang w:val="fr-CH"/>
        </w:rPr>
      </w:pPr>
      <w:r w:rsidRPr="000D7271">
        <w:rPr>
          <w:lang w:val="fr-FR"/>
        </w:rPr>
        <w:t>ABC des droits de l’homme, édité par le Département fédéral des affaires étrangères, Berne 2008</w:t>
      </w:r>
    </w:p>
    <w:p w:rsidR="000D7271" w:rsidRPr="000D7271" w:rsidRDefault="000D7271" w:rsidP="00C839A2">
      <w:pPr>
        <w:pStyle w:val="Bullet1GR"/>
        <w:rPr>
          <w:lang w:val="fr-CH"/>
        </w:rPr>
      </w:pPr>
      <w:r w:rsidRPr="000D7271">
        <w:rPr>
          <w:lang w:val="fr-FR"/>
        </w:rPr>
        <w:t>Rapport de l’agence nationale de la statistique et de la démographie (ANSD) sur la «</w:t>
      </w:r>
      <w:r w:rsidRPr="000D7271">
        <w:rPr>
          <w:lang w:val="fr-CH"/>
        </w:rPr>
        <w:t> </w:t>
      </w:r>
      <w:r w:rsidRPr="000D7271">
        <w:rPr>
          <w:lang w:val="fr-FR"/>
        </w:rPr>
        <w:t>Situation économique et sociale du Sénégal</w:t>
      </w:r>
      <w:r w:rsidRPr="000D7271">
        <w:rPr>
          <w:lang w:val="fr-CH"/>
        </w:rPr>
        <w:t> </w:t>
      </w:r>
      <w:r w:rsidRPr="000D7271">
        <w:rPr>
          <w:lang w:val="fr-FR"/>
        </w:rPr>
        <w:t>», décembre 2006</w:t>
      </w:r>
    </w:p>
    <w:p w:rsidR="000D7271" w:rsidRPr="000D7271" w:rsidRDefault="000D7271" w:rsidP="00C839A2">
      <w:pPr>
        <w:pStyle w:val="Bullet1GR"/>
        <w:rPr>
          <w:lang w:val="fr-CH"/>
        </w:rPr>
      </w:pPr>
      <w:r w:rsidRPr="000D7271">
        <w:rPr>
          <w:lang w:val="fr-FR"/>
        </w:rPr>
        <w:t>Rapport de l’Agence Nationale de la Statistique et de la Démographie (ANSD) 2013 sur le recensement général de la Population et de l’Habitat, de l’Agriculture et de l’Elevage</w:t>
      </w:r>
    </w:p>
    <w:p w:rsidR="000D7271" w:rsidRPr="000D7271" w:rsidRDefault="000D7271" w:rsidP="00C839A2">
      <w:pPr>
        <w:pStyle w:val="Bullet1GR"/>
        <w:rPr>
          <w:lang w:val="fr-CH"/>
        </w:rPr>
      </w:pPr>
      <w:r w:rsidRPr="000D7271">
        <w:rPr>
          <w:lang w:val="fr-FR"/>
        </w:rPr>
        <w:t>Rapport d’évaluation du projet d’appui à l’insertion ou à la réinsertion socioéconomique des handicapés moteurs dans la ville de Dakar du 22 décembre 2003 au 8 janvier 2004</w:t>
      </w:r>
    </w:p>
    <w:p w:rsidR="000D7271" w:rsidRPr="000D7271" w:rsidRDefault="000D7271" w:rsidP="00C839A2">
      <w:pPr>
        <w:pStyle w:val="Bullet1GR"/>
        <w:rPr>
          <w:lang w:val="fr-CH"/>
        </w:rPr>
      </w:pPr>
      <w:r w:rsidRPr="000D7271">
        <w:rPr>
          <w:lang w:val="fr-FR"/>
        </w:rPr>
        <w:t>Communication du professeur Samba THIAM, Convention relative aux droits des personnes handicapées, séminaire de restitution, Direction des droits humains, juillet 2013</w:t>
      </w:r>
    </w:p>
    <w:p w:rsidR="000D7271" w:rsidRPr="000D7271" w:rsidRDefault="000D7271" w:rsidP="00C839A2">
      <w:pPr>
        <w:pStyle w:val="Bullet1GR"/>
      </w:pPr>
      <w:r w:rsidRPr="000D7271">
        <w:t>Руководящие принципы Комитета по правам инвалидов, касающиеся представления докладов, RES A/66/55, Генеральная Ассамблея Организации Объединенных Наций, Нью-Йорк, 2011 год, приложение V</w:t>
      </w:r>
    </w:p>
    <w:p w:rsidR="000D7271" w:rsidRPr="000D7271" w:rsidRDefault="000D7271" w:rsidP="00C839A2">
      <w:pPr>
        <w:pStyle w:val="Bullet1GR"/>
        <w:rPr>
          <w:lang w:val="fr-CH"/>
        </w:rPr>
      </w:pPr>
      <w:r w:rsidRPr="000D7271">
        <w:rPr>
          <w:lang w:val="fr-FR"/>
        </w:rPr>
        <w:t>Document stratégique de réduction de la pauvreté (DSRP), Ministère des Finances</w:t>
      </w:r>
    </w:p>
    <w:p w:rsidR="000D7271" w:rsidRPr="000D7271" w:rsidRDefault="000D7271" w:rsidP="00C839A2">
      <w:pPr>
        <w:pStyle w:val="Bullet1GR"/>
        <w:rPr>
          <w:lang w:val="fr-CH"/>
        </w:rPr>
      </w:pPr>
      <w:r w:rsidRPr="000D7271">
        <w:rPr>
          <w:lang w:val="fr-FR"/>
        </w:rPr>
        <w:t xml:space="preserve">Etude réalisée par le Ministère de la Femme, de la Famille et du Développement social, sous la coordination de Madame </w:t>
      </w:r>
      <w:proofErr w:type="spellStart"/>
      <w:r w:rsidRPr="000D7271">
        <w:rPr>
          <w:lang w:val="fr-FR"/>
        </w:rPr>
        <w:t>Astou</w:t>
      </w:r>
      <w:proofErr w:type="spellEnd"/>
      <w:r w:rsidRPr="000D7271">
        <w:rPr>
          <w:lang w:val="fr-FR"/>
        </w:rPr>
        <w:t xml:space="preserve"> Diop Diagne, économiste-planificateur, expert en genre et développement, 11 novembre et 31 janvier 2005</w:t>
      </w:r>
    </w:p>
    <w:p w:rsidR="000D7271" w:rsidRPr="000D7271" w:rsidRDefault="000D7271" w:rsidP="00C839A2">
      <w:pPr>
        <w:pStyle w:val="Bullet1GR"/>
        <w:rPr>
          <w:lang w:val="fr-CH"/>
        </w:rPr>
      </w:pPr>
      <w:r w:rsidRPr="000D7271">
        <w:rPr>
          <w:lang w:val="fr-FR"/>
        </w:rPr>
        <w:t>Guide à l’usage des parlementaires : la convention relative aux droits des personnes handicapées et son protocole facultatif, Nations Unies, Genève, 2007, no 14</w:t>
      </w:r>
    </w:p>
    <w:p w:rsidR="000D7271" w:rsidRPr="000D7271" w:rsidRDefault="000D7271" w:rsidP="00C839A2">
      <w:pPr>
        <w:pStyle w:val="Bullet1GR"/>
        <w:rPr>
          <w:lang w:val="fr-CH"/>
        </w:rPr>
      </w:pPr>
      <w:r w:rsidRPr="000D7271">
        <w:rPr>
          <w:lang w:val="fr-FR"/>
        </w:rPr>
        <w:t>Guide méthodologique de la Terre des Hommes France, Expériences de la société civile à travers le monde, Programme Agir pour les DESC</w:t>
      </w:r>
    </w:p>
    <w:p w:rsidR="000D7271" w:rsidRPr="000D7271" w:rsidRDefault="000D7271" w:rsidP="00C839A2">
      <w:pPr>
        <w:pStyle w:val="Bullet1GR"/>
        <w:rPr>
          <w:lang w:val="fr-CH"/>
        </w:rPr>
      </w:pPr>
      <w:r w:rsidRPr="000D7271">
        <w:rPr>
          <w:lang w:val="fr-FR"/>
        </w:rPr>
        <w:t xml:space="preserve">Guide sur les droits des personnes handicapées en République de Guinée du professeur Alpha </w:t>
      </w:r>
      <w:proofErr w:type="spellStart"/>
      <w:r w:rsidRPr="000D7271">
        <w:rPr>
          <w:lang w:val="fr-FR"/>
        </w:rPr>
        <w:t>Boucar</w:t>
      </w:r>
      <w:proofErr w:type="spellEnd"/>
      <w:r w:rsidRPr="000D7271">
        <w:rPr>
          <w:lang w:val="fr-FR"/>
        </w:rPr>
        <w:t xml:space="preserve"> Diop, UDEC et OSIWA, mars 2012</w:t>
      </w:r>
    </w:p>
    <w:p w:rsidR="000D7271" w:rsidRPr="000D7271" w:rsidRDefault="000D7271" w:rsidP="00C839A2">
      <w:pPr>
        <w:pStyle w:val="Bullet1GR"/>
      </w:pPr>
      <w:r w:rsidRPr="000D7271">
        <w:t>Первоначальный доклад Бельгии, июль 2011 года</w:t>
      </w:r>
    </w:p>
    <w:p w:rsidR="000D7271" w:rsidRPr="000D7271" w:rsidRDefault="000D7271" w:rsidP="00C839A2">
      <w:pPr>
        <w:pStyle w:val="Bullet1GR"/>
      </w:pPr>
      <w:r w:rsidRPr="000D7271">
        <w:t>Доклад Генерального секретаря о Конвенции о правах инвалидов и Факультативном протоколе к ней, 7 июля 2011 года, Генеральная Ассамблея Организации Объединенных Наций</w:t>
      </w:r>
    </w:p>
    <w:p w:rsidR="000D7271" w:rsidRPr="000D7271" w:rsidRDefault="000D7271" w:rsidP="00C839A2">
      <w:pPr>
        <w:pStyle w:val="Bullet1GR"/>
      </w:pPr>
      <w:r w:rsidRPr="000D7271">
        <w:t>Доклад Сенегала Комитету Организации Объединенных Наций против пыток от 9 февраля 2011 года</w:t>
      </w:r>
    </w:p>
    <w:p w:rsidR="000D7271" w:rsidRPr="000D7271" w:rsidRDefault="000D7271" w:rsidP="00C839A2">
      <w:pPr>
        <w:pStyle w:val="Bullet1GR"/>
        <w:rPr>
          <w:lang w:val="fr-CH"/>
        </w:rPr>
      </w:pPr>
      <w:r w:rsidRPr="000D7271">
        <w:rPr>
          <w:lang w:val="fr-FR"/>
        </w:rPr>
        <w:t>Rapport final sur les stratégies de prise en charge et d’intégration socio-économique des personnes handicapées au Sénégal élaboré par Abdoulaye THIAM, Directeur de l’ENTSS</w:t>
      </w:r>
    </w:p>
    <w:p w:rsidR="000D7271" w:rsidRPr="000D7271" w:rsidRDefault="000D7271" w:rsidP="00C839A2">
      <w:pPr>
        <w:pStyle w:val="Bullet1GR"/>
        <w:rPr>
          <w:lang w:val="fr-CH"/>
        </w:rPr>
      </w:pPr>
      <w:r w:rsidRPr="000D7271">
        <w:rPr>
          <w:lang w:val="fr-FR"/>
        </w:rPr>
        <w:t>Rapport mondial sur le Handicap, OMS et Banque mondiale</w:t>
      </w:r>
    </w:p>
    <w:p w:rsidR="000D7271" w:rsidRPr="000D7271" w:rsidRDefault="000D7271" w:rsidP="00C839A2">
      <w:pPr>
        <w:pStyle w:val="Bullet1GR"/>
        <w:rPr>
          <w:lang w:val="fr-CH"/>
        </w:rPr>
      </w:pPr>
      <w:r w:rsidRPr="000D7271">
        <w:rPr>
          <w:lang w:val="fr-FR"/>
        </w:rPr>
        <w:t xml:space="preserve">Arrêt no 12 du Conseil d’État du 29 juin 2000, Association nationale des </w:t>
      </w:r>
      <w:proofErr w:type="spellStart"/>
      <w:r w:rsidRPr="000D7271">
        <w:rPr>
          <w:lang w:val="fr-FR"/>
        </w:rPr>
        <w:t>handicapées</w:t>
      </w:r>
      <w:proofErr w:type="spellEnd"/>
      <w:r w:rsidRPr="000D7271">
        <w:rPr>
          <w:lang w:val="fr-FR"/>
        </w:rPr>
        <w:t xml:space="preserve"> moteurs du Sénégal/ État du Sénégal, note du professeur Moustapha NGAIDE</w:t>
      </w:r>
    </w:p>
    <w:p w:rsidR="000D7271" w:rsidRPr="000D7271" w:rsidRDefault="000D7271" w:rsidP="00C839A2">
      <w:pPr>
        <w:pStyle w:val="Bullet1GR"/>
        <w:rPr>
          <w:lang w:val="fr-CH"/>
        </w:rPr>
      </w:pPr>
      <w:r w:rsidRPr="000D7271">
        <w:rPr>
          <w:lang w:val="fr-FR"/>
        </w:rPr>
        <w:t>Quotidiens d’informations du Sénégal : Soleil (3 et 5 décembre 2013) et Observateur (no 3136 du 5 mars 2014)</w:t>
      </w:r>
    </w:p>
    <w:p w:rsidR="000D7271" w:rsidRPr="000D7271" w:rsidRDefault="000D7271" w:rsidP="00C839A2">
      <w:pPr>
        <w:pStyle w:val="Bullet1GR"/>
        <w:rPr>
          <w:lang w:val="fr-CH"/>
        </w:rPr>
      </w:pPr>
      <w:r w:rsidRPr="000D7271">
        <w:rPr>
          <w:lang w:val="fr-FR"/>
        </w:rPr>
        <w:t>Rapport final de l’Evaluation du niveau d’inclusivité incluant la dimension genre des politiques publiques au Sénégal. UNESCO, 2014</w:t>
      </w:r>
    </w:p>
    <w:p w:rsidR="000D7271" w:rsidRPr="000D7271" w:rsidRDefault="000D7271" w:rsidP="00C839A2">
      <w:pPr>
        <w:pStyle w:val="Bullet1GR"/>
        <w:rPr>
          <w:lang w:val="fr-CH"/>
        </w:rPr>
      </w:pPr>
      <w:r w:rsidRPr="000D7271">
        <w:rPr>
          <w:lang w:val="fr-FR"/>
        </w:rPr>
        <w:t>Lettre no 4657/JICA du 15 juillet 2014 relative au stage au japon des jeunes leaders sénégalais</w:t>
      </w:r>
    </w:p>
    <w:p w:rsidR="000D7271" w:rsidRPr="000D7271" w:rsidRDefault="000D7271" w:rsidP="00C839A2">
      <w:pPr>
        <w:pStyle w:val="Bullet1GR"/>
        <w:rPr>
          <w:lang w:val="fr-CH"/>
        </w:rPr>
      </w:pPr>
      <w:r w:rsidRPr="000D7271">
        <w:rPr>
          <w:lang w:val="fr-FR"/>
        </w:rPr>
        <w:t>Rapport final du séminaire sous régional de l’IAR sur la collecte des données statistiques concernant les personnes handicapées tenu à Cotonou (Bénin) du 22 au 26 février 1999</w:t>
      </w:r>
    </w:p>
    <w:p w:rsidR="000D7271" w:rsidRPr="000D7271" w:rsidRDefault="000D7271" w:rsidP="00C839A2">
      <w:pPr>
        <w:pStyle w:val="Bullet1GR"/>
        <w:rPr>
          <w:lang w:val="fr-CH"/>
        </w:rPr>
      </w:pPr>
      <w:r w:rsidRPr="000D7271">
        <w:rPr>
          <w:lang w:val="fr-FR"/>
        </w:rPr>
        <w:t>Handicap international : Fiche technique du Projet pilote intégré d’éducation inclusive, de protection et de détection précoce des déficiences- dans la région de Dakar</w:t>
      </w:r>
    </w:p>
    <w:p w:rsidR="000D7271" w:rsidRPr="000D7271" w:rsidRDefault="000D7271" w:rsidP="00C839A2">
      <w:pPr>
        <w:pStyle w:val="Bullet1GR"/>
        <w:rPr>
          <w:lang w:val="fr-CH"/>
        </w:rPr>
      </w:pPr>
      <w:r w:rsidRPr="000D7271">
        <w:rPr>
          <w:lang w:val="fr-FR"/>
        </w:rPr>
        <w:t xml:space="preserve">Handicap international : Fiche technique du Projet ACCESS : Des services VIH inclusifs pour l’accès universel </w:t>
      </w:r>
    </w:p>
    <w:p w:rsidR="000D7271" w:rsidRPr="000D7271" w:rsidRDefault="000D7271" w:rsidP="00C839A2">
      <w:pPr>
        <w:pStyle w:val="Bullet1GR"/>
        <w:rPr>
          <w:lang w:val="fr-CH"/>
        </w:rPr>
      </w:pPr>
      <w:r w:rsidRPr="000D7271">
        <w:rPr>
          <w:lang w:val="fr-FR"/>
        </w:rPr>
        <w:t xml:space="preserve">Handicap international : Fiche technique </w:t>
      </w:r>
      <w:proofErr w:type="gramStart"/>
      <w:r w:rsidRPr="000D7271">
        <w:rPr>
          <w:lang w:val="fr-FR"/>
        </w:rPr>
        <w:t>du Emploi</w:t>
      </w:r>
      <w:proofErr w:type="gramEnd"/>
      <w:r w:rsidRPr="000D7271">
        <w:rPr>
          <w:lang w:val="fr-FR"/>
        </w:rPr>
        <w:t xml:space="preserve"> des Personnes Handicapées au Sénégal (EMPHAS)</w:t>
      </w:r>
    </w:p>
    <w:p w:rsidR="000D7271" w:rsidRPr="000D7271" w:rsidRDefault="000D7271" w:rsidP="00C839A2">
      <w:pPr>
        <w:pStyle w:val="Bullet1GR"/>
        <w:rPr>
          <w:lang w:val="fr-CH"/>
        </w:rPr>
      </w:pPr>
      <w:r w:rsidRPr="000D7271">
        <w:rPr>
          <w:lang w:val="fr-FR"/>
        </w:rPr>
        <w:t>Handicap international : Fiche technique APPEHL - Agir pour la Pleine Participation des Enfants Handicapés par l’Education</w:t>
      </w:r>
    </w:p>
    <w:p w:rsidR="000D7271" w:rsidRPr="000D7271" w:rsidRDefault="000D7271" w:rsidP="00C839A2">
      <w:pPr>
        <w:pStyle w:val="Bullet1GR"/>
        <w:rPr>
          <w:lang w:val="fr-CH"/>
        </w:rPr>
      </w:pPr>
      <w:r w:rsidRPr="000D7271">
        <w:rPr>
          <w:lang w:val="fr-CH"/>
        </w:rPr>
        <w:t>Handicap international : Fiche technique du projet de dépollution des terres dans le cadre de la gestion mines antipersonnel en Casamance</w:t>
      </w:r>
    </w:p>
    <w:p w:rsidR="000D7271" w:rsidRPr="000D7271" w:rsidRDefault="000D7271" w:rsidP="00C839A2">
      <w:pPr>
        <w:pStyle w:val="Bullet1GR"/>
        <w:rPr>
          <w:lang w:val="fr-CH"/>
        </w:rPr>
      </w:pPr>
      <w:r w:rsidRPr="000D7271">
        <w:rPr>
          <w:lang w:val="fr-CH"/>
        </w:rPr>
        <w:t xml:space="preserve">Handicap international : Fiche technique du projet DECISIPH (Droits, Egalité, Citoyenneté, Solidarité et Inclusion </w:t>
      </w:r>
      <w:proofErr w:type="spellStart"/>
      <w:r w:rsidRPr="000D7271">
        <w:rPr>
          <w:lang w:val="fr-CH"/>
        </w:rPr>
        <w:t>des</w:t>
      </w:r>
      <w:proofErr w:type="spellEnd"/>
      <w:r w:rsidRPr="000D7271">
        <w:rPr>
          <w:lang w:val="fr-CH"/>
        </w:rPr>
        <w:t xml:space="preserve"> les Personnes Handicapées)</w:t>
      </w:r>
    </w:p>
    <w:p w:rsidR="000D7271" w:rsidRPr="000D7271" w:rsidRDefault="000D7271" w:rsidP="00C839A2">
      <w:pPr>
        <w:pStyle w:val="Bullet1GR"/>
        <w:rPr>
          <w:lang w:val="fr-CH"/>
        </w:rPr>
      </w:pPr>
      <w:r w:rsidRPr="000D7271">
        <w:rPr>
          <w:lang w:val="fr-CH"/>
        </w:rPr>
        <w:t xml:space="preserve">Handicap international Fiche technique du projet d’Insertion économique Ci </w:t>
      </w:r>
      <w:proofErr w:type="spellStart"/>
      <w:r w:rsidRPr="000D7271">
        <w:rPr>
          <w:lang w:val="fr-CH"/>
        </w:rPr>
        <w:t>yonou</w:t>
      </w:r>
      <w:proofErr w:type="spellEnd"/>
      <w:r w:rsidRPr="000D7271">
        <w:rPr>
          <w:lang w:val="fr-CH"/>
        </w:rPr>
        <w:t xml:space="preserve"> </w:t>
      </w:r>
      <w:proofErr w:type="spellStart"/>
      <w:r w:rsidRPr="000D7271">
        <w:rPr>
          <w:lang w:val="fr-CH"/>
        </w:rPr>
        <w:t>liguey</w:t>
      </w:r>
      <w:proofErr w:type="spellEnd"/>
      <w:r w:rsidRPr="000D7271">
        <w:rPr>
          <w:lang w:val="fr-CH"/>
        </w:rPr>
        <w:t xml:space="preserve"> (« sur la voie du travail »)</w:t>
      </w:r>
    </w:p>
    <w:p w:rsidR="000D7271" w:rsidRPr="000D7271" w:rsidRDefault="000D7271" w:rsidP="00C839A2">
      <w:pPr>
        <w:pStyle w:val="Bullet1GR"/>
        <w:rPr>
          <w:lang w:val="fr-CH"/>
        </w:rPr>
      </w:pPr>
      <w:r w:rsidRPr="000D7271">
        <w:rPr>
          <w:lang w:val="fr-CH"/>
        </w:rPr>
        <w:t>Handicap international Fiche technique du projet de promotion du développement local inclusif au profit des régions de Tombouctou, Saint Louis et Matam développé par Handicap International en 2014</w:t>
      </w:r>
    </w:p>
    <w:p w:rsidR="000D7271" w:rsidRPr="000D7271" w:rsidRDefault="000D7271" w:rsidP="00C839A2">
      <w:pPr>
        <w:pStyle w:val="Bullet1GR"/>
        <w:rPr>
          <w:lang w:val="fr-CH"/>
        </w:rPr>
      </w:pPr>
      <w:r w:rsidRPr="000D7271">
        <w:rPr>
          <w:lang w:val="fr-CH"/>
        </w:rPr>
        <w:t>Rapport final de l’étude sur les conditions de vie des femmes sénégalaises handicapées. Secrétariat de la Décennie Africaine des Personnes Handicapées (SDAPH), 2005</w:t>
      </w:r>
    </w:p>
    <w:p w:rsidR="000D7271" w:rsidRPr="000D7271" w:rsidRDefault="000D7271" w:rsidP="00C839A2">
      <w:pPr>
        <w:pStyle w:val="Bullet1GR"/>
        <w:rPr>
          <w:lang w:val="fr-CH"/>
        </w:rPr>
      </w:pPr>
      <w:r w:rsidRPr="000D7271">
        <w:rPr>
          <w:lang w:val="fr-CH"/>
        </w:rPr>
        <w:t>Note de présentation du Bureau Régional de l’Institut Africain de Réadaptation (BRIAR) de Dakar</w:t>
      </w:r>
    </w:p>
    <w:p w:rsidR="000D7271" w:rsidRPr="000D7271" w:rsidRDefault="000D7271" w:rsidP="00C839A2">
      <w:pPr>
        <w:pStyle w:val="Bullet1GR"/>
        <w:rPr>
          <w:lang w:val="fr-CH"/>
        </w:rPr>
      </w:pPr>
      <w:r w:rsidRPr="000D7271">
        <w:rPr>
          <w:lang w:val="fr-CH"/>
        </w:rPr>
        <w:t>O.N.G. italienne COOPI (</w:t>
      </w:r>
      <w:proofErr w:type="spellStart"/>
      <w:r w:rsidRPr="000D7271">
        <w:rPr>
          <w:lang w:val="fr-CH"/>
        </w:rPr>
        <w:t>Cooperazione</w:t>
      </w:r>
      <w:proofErr w:type="spellEnd"/>
      <w:r w:rsidRPr="000D7271">
        <w:rPr>
          <w:lang w:val="fr-CH"/>
        </w:rPr>
        <w:t xml:space="preserve"> </w:t>
      </w:r>
      <w:proofErr w:type="spellStart"/>
      <w:r w:rsidRPr="000D7271">
        <w:rPr>
          <w:lang w:val="fr-CH"/>
        </w:rPr>
        <w:t>Internazionale</w:t>
      </w:r>
      <w:proofErr w:type="spellEnd"/>
      <w:r w:rsidRPr="000D7271">
        <w:rPr>
          <w:lang w:val="fr-CH"/>
        </w:rPr>
        <w:t>), A.</w:t>
      </w:r>
      <w:proofErr w:type="gramStart"/>
      <w:r w:rsidRPr="000D7271">
        <w:rPr>
          <w:lang w:val="fr-CH"/>
        </w:rPr>
        <w:t>N.H.M.S</w:t>
      </w:r>
      <w:proofErr w:type="gramEnd"/>
      <w:r w:rsidRPr="000D7271">
        <w:rPr>
          <w:lang w:val="fr-CH"/>
        </w:rPr>
        <w:t xml:space="preserve"> : Rapport final de l’évaluation du projet d’appui à l’insertion socio-économique des handicapés moteurs dans la ville de Dakar réalisée du 22 décembre 2003 au 8 janvier 2004</w:t>
      </w:r>
    </w:p>
    <w:p w:rsidR="000D7271" w:rsidRPr="000D7271" w:rsidRDefault="000D7271" w:rsidP="000D7271">
      <w:pPr>
        <w:pStyle w:val="HChGR"/>
      </w:pPr>
      <w:r w:rsidRPr="000D7271">
        <w:rPr>
          <w:lang w:val="fr-CH"/>
        </w:rPr>
        <w:tab/>
      </w:r>
      <w:r w:rsidRPr="000D7271">
        <w:t>IV.</w:t>
      </w:r>
      <w:r w:rsidRPr="000D7271">
        <w:tab/>
      </w:r>
      <w:proofErr w:type="spellStart"/>
      <w:r w:rsidRPr="000D7271">
        <w:t>Вебография</w:t>
      </w:r>
      <w:proofErr w:type="spellEnd"/>
    </w:p>
    <w:p w:rsidR="000D7271" w:rsidRPr="000D7271" w:rsidRDefault="00AB707C" w:rsidP="00D33EB3">
      <w:pPr>
        <w:pStyle w:val="Bullet1GR"/>
      </w:pPr>
      <w:hyperlink r:id="rId10" w:history="1">
        <w:r w:rsidR="000D7271" w:rsidRPr="000D7271">
          <w:rPr>
            <w:rStyle w:val="af1"/>
          </w:rPr>
          <w:t>http://www.dpee.sn/IMG/pdf/loi_de_finances_2014.pdf</w:t>
        </w:r>
      </w:hyperlink>
      <w:r w:rsidR="000D7271" w:rsidRPr="000D7271">
        <w:t>, обращение к сайту 30 января 2014 года в 9:30</w:t>
      </w:r>
    </w:p>
    <w:p w:rsidR="000D7271" w:rsidRPr="000D7271" w:rsidRDefault="00AB707C" w:rsidP="00D33EB3">
      <w:pPr>
        <w:pStyle w:val="Bullet1GR"/>
      </w:pPr>
      <w:hyperlink r:id="rId11" w:history="1">
        <w:r w:rsidR="000D7271" w:rsidRPr="000D7271">
          <w:rPr>
            <w:rStyle w:val="af1"/>
            <w:lang w:val="fr-CH"/>
          </w:rPr>
          <w:t>http</w:t>
        </w:r>
        <w:r w:rsidR="000D7271" w:rsidRPr="000D7271">
          <w:rPr>
            <w:rStyle w:val="af1"/>
          </w:rPr>
          <w:t>://</w:t>
        </w:r>
        <w:r w:rsidR="000D7271" w:rsidRPr="000D7271">
          <w:rPr>
            <w:rStyle w:val="af1"/>
            <w:lang w:val="fr-CH"/>
          </w:rPr>
          <w:t>apf</w:t>
        </w:r>
        <w:r w:rsidR="000D7271" w:rsidRPr="000D7271">
          <w:rPr>
            <w:rStyle w:val="af1"/>
          </w:rPr>
          <w:t>.</w:t>
        </w:r>
        <w:r w:rsidR="000D7271" w:rsidRPr="000D7271">
          <w:rPr>
            <w:rStyle w:val="af1"/>
            <w:lang w:val="fr-CH"/>
          </w:rPr>
          <w:t>francophonie</w:t>
        </w:r>
        <w:r w:rsidR="000D7271" w:rsidRPr="000D7271">
          <w:rPr>
            <w:rStyle w:val="af1"/>
          </w:rPr>
          <w:t>.</w:t>
        </w:r>
        <w:r w:rsidR="000D7271" w:rsidRPr="000D7271">
          <w:rPr>
            <w:rStyle w:val="af1"/>
            <w:lang w:val="fr-CH"/>
          </w:rPr>
          <w:t>org</w:t>
        </w:r>
        <w:r w:rsidR="000D7271" w:rsidRPr="000D7271">
          <w:rPr>
            <w:rStyle w:val="af1"/>
          </w:rPr>
          <w:t>/</w:t>
        </w:r>
        <w:r w:rsidR="000D7271" w:rsidRPr="000D7271">
          <w:rPr>
            <w:rStyle w:val="af1"/>
            <w:lang w:val="fr-CH"/>
          </w:rPr>
          <w:t>IMG</w:t>
        </w:r>
        <w:r w:rsidR="000D7271" w:rsidRPr="000D7271">
          <w:rPr>
            <w:rStyle w:val="af1"/>
          </w:rPr>
          <w:t>/</w:t>
        </w:r>
        <w:r w:rsidR="000D7271" w:rsidRPr="000D7271">
          <w:rPr>
            <w:rStyle w:val="af1"/>
            <w:lang w:val="fr-CH"/>
          </w:rPr>
          <w:t>pdf</w:t>
        </w:r>
        <w:r w:rsidR="000D7271" w:rsidRPr="000D7271">
          <w:rPr>
            <w:rStyle w:val="af1"/>
          </w:rPr>
          <w:t>/2013_10_</w:t>
        </w:r>
        <w:r w:rsidR="000D7271" w:rsidRPr="000D7271">
          <w:rPr>
            <w:rStyle w:val="af1"/>
            <w:lang w:val="fr-CH"/>
          </w:rPr>
          <w:t>vih</w:t>
        </w:r>
        <w:r w:rsidR="000D7271" w:rsidRPr="000D7271">
          <w:rPr>
            <w:rStyle w:val="af1"/>
          </w:rPr>
          <w:t>_</w:t>
        </w:r>
        <w:r w:rsidR="000D7271" w:rsidRPr="000D7271">
          <w:rPr>
            <w:rStyle w:val="af1"/>
            <w:lang w:val="fr-CH"/>
          </w:rPr>
          <w:t>dakar</w:t>
        </w:r>
        <w:r w:rsidR="000D7271" w:rsidRPr="000D7271">
          <w:rPr>
            <w:rStyle w:val="af1"/>
          </w:rPr>
          <w:t>_</w:t>
        </w:r>
        <w:r w:rsidR="000D7271" w:rsidRPr="000D7271">
          <w:rPr>
            <w:rStyle w:val="af1"/>
            <w:lang w:val="fr-CH"/>
          </w:rPr>
          <w:t>senegalstrategie</w:t>
        </w:r>
        <w:r w:rsidR="000D7271" w:rsidRPr="000D7271">
          <w:rPr>
            <w:rStyle w:val="af1"/>
          </w:rPr>
          <w:t>.</w:t>
        </w:r>
        <w:r w:rsidR="000D7271" w:rsidRPr="000D7271">
          <w:rPr>
            <w:rStyle w:val="af1"/>
            <w:lang w:val="fr-CH"/>
          </w:rPr>
          <w:t>pdf</w:t>
        </w:r>
        <w:r w:rsidR="000D7271" w:rsidRPr="000D7271">
          <w:rPr>
            <w:rStyle w:val="af1"/>
            <w:vanish/>
            <w:lang w:val="fr-CH"/>
          </w:rPr>
          <w:t>HYPERLINK</w:t>
        </w:r>
        <w:r w:rsidR="000D7271" w:rsidRPr="000D7271">
          <w:rPr>
            <w:rStyle w:val="af1"/>
            <w:vanish/>
          </w:rPr>
          <w:t xml:space="preserve"> "</w:t>
        </w:r>
        <w:r w:rsidR="000D7271" w:rsidRPr="000D7271">
          <w:rPr>
            <w:rStyle w:val="af1"/>
            <w:vanish/>
            <w:lang w:val="fr-CH"/>
          </w:rPr>
          <w:t>http</w:t>
        </w:r>
        <w:r w:rsidR="000D7271" w:rsidRPr="000D7271">
          <w:rPr>
            <w:rStyle w:val="af1"/>
            <w:vanish/>
          </w:rPr>
          <w:t>://</w:t>
        </w:r>
        <w:r w:rsidR="000D7271" w:rsidRPr="000D7271">
          <w:rPr>
            <w:rStyle w:val="af1"/>
            <w:vanish/>
            <w:lang w:val="fr-CH"/>
          </w:rPr>
          <w:t>apf</w:t>
        </w:r>
        <w:r w:rsidR="000D7271" w:rsidRPr="000D7271">
          <w:rPr>
            <w:rStyle w:val="af1"/>
            <w:vanish/>
          </w:rPr>
          <w:t>.</w:t>
        </w:r>
        <w:r w:rsidR="000D7271" w:rsidRPr="000D7271">
          <w:rPr>
            <w:rStyle w:val="af1"/>
            <w:vanish/>
            <w:lang w:val="fr-CH"/>
          </w:rPr>
          <w:t>francophonie</w:t>
        </w:r>
        <w:r w:rsidR="000D7271" w:rsidRPr="000D7271">
          <w:rPr>
            <w:rStyle w:val="af1"/>
            <w:vanish/>
          </w:rPr>
          <w:t>.</w:t>
        </w:r>
        <w:r w:rsidR="000D7271" w:rsidRPr="000D7271">
          <w:rPr>
            <w:rStyle w:val="af1"/>
            <w:vanish/>
            <w:lang w:val="fr-CH"/>
          </w:rPr>
          <w:t>org</w:t>
        </w:r>
        <w:r w:rsidR="000D7271" w:rsidRPr="000D7271">
          <w:rPr>
            <w:rStyle w:val="af1"/>
            <w:vanish/>
          </w:rPr>
          <w:t>/</w:t>
        </w:r>
        <w:r w:rsidR="000D7271" w:rsidRPr="000D7271">
          <w:rPr>
            <w:rStyle w:val="af1"/>
            <w:vanish/>
            <w:lang w:val="fr-CH"/>
          </w:rPr>
          <w:t>IMG</w:t>
        </w:r>
        <w:r w:rsidR="000D7271" w:rsidRPr="000D7271">
          <w:rPr>
            <w:rStyle w:val="af1"/>
            <w:vanish/>
          </w:rPr>
          <w:t>/</w:t>
        </w:r>
        <w:r w:rsidR="000D7271" w:rsidRPr="000D7271">
          <w:rPr>
            <w:rStyle w:val="af1"/>
            <w:vanish/>
            <w:lang w:val="fr-CH"/>
          </w:rPr>
          <w:t>pdf</w:t>
        </w:r>
        <w:r w:rsidR="000D7271" w:rsidRPr="000D7271">
          <w:rPr>
            <w:rStyle w:val="af1"/>
            <w:vanish/>
          </w:rPr>
          <w:t>/2013_10_</w:t>
        </w:r>
        <w:r w:rsidR="000D7271" w:rsidRPr="000D7271">
          <w:rPr>
            <w:rStyle w:val="af1"/>
            <w:vanish/>
            <w:lang w:val="fr-CH"/>
          </w:rPr>
          <w:t>vih</w:t>
        </w:r>
        <w:r w:rsidR="000D7271" w:rsidRPr="000D7271">
          <w:rPr>
            <w:rStyle w:val="af1"/>
            <w:vanish/>
          </w:rPr>
          <w:t>_</w:t>
        </w:r>
        <w:r w:rsidR="000D7271" w:rsidRPr="000D7271">
          <w:rPr>
            <w:rStyle w:val="af1"/>
            <w:vanish/>
            <w:lang w:val="fr-CH"/>
          </w:rPr>
          <w:t>dakar</w:t>
        </w:r>
        <w:r w:rsidR="000D7271" w:rsidRPr="000D7271">
          <w:rPr>
            <w:rStyle w:val="af1"/>
            <w:vanish/>
          </w:rPr>
          <w:t>_</w:t>
        </w:r>
        <w:r w:rsidR="000D7271" w:rsidRPr="000D7271">
          <w:rPr>
            <w:rStyle w:val="af1"/>
            <w:vanish/>
            <w:lang w:val="fr-CH"/>
          </w:rPr>
          <w:t>senegalstrategie</w:t>
        </w:r>
        <w:r w:rsidR="000D7271" w:rsidRPr="000D7271">
          <w:rPr>
            <w:rStyle w:val="af1"/>
            <w:vanish/>
          </w:rPr>
          <w:t>.</w:t>
        </w:r>
        <w:r w:rsidR="000D7271" w:rsidRPr="000D7271">
          <w:rPr>
            <w:rStyle w:val="af1"/>
            <w:vanish/>
          </w:rPr>
          <w:br/>
        </w:r>
        <w:r w:rsidR="000D7271" w:rsidRPr="000D7271">
          <w:rPr>
            <w:rStyle w:val="af1"/>
            <w:vanish/>
            <w:lang w:val="fr-CH"/>
          </w:rPr>
          <w:t>pdfHYPERLINK</w:t>
        </w:r>
        <w:r w:rsidR="000D7271" w:rsidRPr="000D7271">
          <w:rPr>
            <w:rStyle w:val="af1"/>
            <w:vanish/>
          </w:rPr>
          <w:t>%20%22</w:t>
        </w:r>
        <w:r w:rsidR="000D7271" w:rsidRPr="000D7271">
          <w:rPr>
            <w:rStyle w:val="af1"/>
            <w:vanish/>
            <w:lang w:val="fr-CH"/>
          </w:rPr>
          <w:t>http</w:t>
        </w:r>
        <w:r w:rsidR="000D7271" w:rsidRPr="000D7271">
          <w:rPr>
            <w:rStyle w:val="af1"/>
            <w:vanish/>
          </w:rPr>
          <w:t>://</w:t>
        </w:r>
        <w:r w:rsidR="000D7271" w:rsidRPr="000D7271">
          <w:rPr>
            <w:rStyle w:val="af1"/>
            <w:vanish/>
            <w:lang w:val="fr-CH"/>
          </w:rPr>
          <w:t>www</w:t>
        </w:r>
        <w:r w:rsidR="000D7271" w:rsidRPr="000D7271">
          <w:rPr>
            <w:rStyle w:val="af1"/>
            <w:vanish/>
          </w:rPr>
          <w:t>.</w:t>
        </w:r>
        <w:r w:rsidR="000D7271" w:rsidRPr="000D7271">
          <w:rPr>
            <w:rStyle w:val="af1"/>
            <w:vanish/>
            <w:lang w:val="fr-CH"/>
          </w:rPr>
          <w:t>education</w:t>
        </w:r>
        <w:r w:rsidR="000D7271" w:rsidRPr="000D7271">
          <w:rPr>
            <w:rStyle w:val="af1"/>
            <w:vanish/>
          </w:rPr>
          <w:t>.</w:t>
        </w:r>
        <w:r w:rsidR="000D7271" w:rsidRPr="000D7271">
          <w:rPr>
            <w:rStyle w:val="af1"/>
            <w:vanish/>
            <w:lang w:val="fr-CH"/>
          </w:rPr>
          <w:t>gouv</w:t>
        </w:r>
        <w:r w:rsidR="000D7271" w:rsidRPr="000D7271">
          <w:rPr>
            <w:rStyle w:val="af1"/>
            <w:vanish/>
          </w:rPr>
          <w:t>.</w:t>
        </w:r>
        <w:r w:rsidR="000D7271" w:rsidRPr="000D7271">
          <w:rPr>
            <w:rStyle w:val="af1"/>
            <w:vanish/>
            <w:lang w:val="fr-CH"/>
          </w:rPr>
          <w:t>sn</w:t>
        </w:r>
        <w:r w:rsidR="000D7271" w:rsidRPr="000D7271">
          <w:rPr>
            <w:rStyle w:val="af1"/>
            <w:vanish/>
          </w:rPr>
          <w:t>/</w:t>
        </w:r>
        <w:r w:rsidR="000D7271" w:rsidRPr="000D7271">
          <w:rPr>
            <w:rStyle w:val="af1"/>
            <w:vanish/>
            <w:lang w:val="fr-CH"/>
          </w:rPr>
          <w:t>politique</w:t>
        </w:r>
        <w:r w:rsidR="000D7271" w:rsidRPr="000D7271">
          <w:rPr>
            <w:rStyle w:val="af1"/>
            <w:vanish/>
          </w:rPr>
          <w:t>/</w:t>
        </w:r>
        <w:r w:rsidR="000D7271" w:rsidRPr="000D7271">
          <w:rPr>
            <w:rStyle w:val="af1"/>
            <w:vanish/>
            <w:lang w:val="fr-CH"/>
          </w:rPr>
          <w:t>int</w:t>
        </w:r>
        <w:r w:rsidR="000D7271" w:rsidRPr="000D7271">
          <w:rPr>
            <w:rStyle w:val="af1"/>
            <w:vanish/>
          </w:rPr>
          <w:t>%221"</w:t>
        </w:r>
      </w:hyperlink>
      <w:r w:rsidR="000D7271" w:rsidRPr="000D7271">
        <w:t>, 14 февраля 2014 года</w:t>
      </w:r>
    </w:p>
    <w:p w:rsidR="000D7271" w:rsidRPr="000D7271" w:rsidRDefault="000D7271" w:rsidP="00D33EB3">
      <w:pPr>
        <w:pStyle w:val="Bullet1GR"/>
      </w:pPr>
      <w:r w:rsidRPr="000D7271">
        <w:t>www.education.gouv.sn/</w:t>
      </w:r>
      <w:proofErr w:type="spellStart"/>
      <w:r w:rsidRPr="000D7271">
        <w:t>politique</w:t>
      </w:r>
      <w:proofErr w:type="spellEnd"/>
      <w:r w:rsidRPr="000D7271">
        <w:t>/</w:t>
      </w:r>
      <w:proofErr w:type="spellStart"/>
      <w:r w:rsidRPr="000D7271">
        <w:t>int</w:t>
      </w:r>
      <w:proofErr w:type="spellEnd"/>
      <w:r w:rsidRPr="000D7271">
        <w:t>..., обращение к сайту 11 февраля 2014 года в</w:t>
      </w:r>
      <w:r w:rsidR="00D33EB3">
        <w:t> </w:t>
      </w:r>
      <w:r w:rsidRPr="000D7271">
        <w:t>11:40</w:t>
      </w:r>
    </w:p>
    <w:p w:rsidR="00381C24" w:rsidRPr="000D7271" w:rsidRDefault="000D7271" w:rsidP="000D7271">
      <w:pPr>
        <w:pStyle w:val="SingleTxtGR"/>
        <w:spacing w:before="240" w:after="0"/>
        <w:jc w:val="center"/>
        <w:rPr>
          <w:u w:val="single"/>
        </w:rPr>
      </w:pPr>
      <w:r>
        <w:rPr>
          <w:u w:val="single"/>
        </w:rPr>
        <w:tab/>
      </w:r>
      <w:r>
        <w:rPr>
          <w:u w:val="single"/>
        </w:rPr>
        <w:tab/>
      </w:r>
      <w:r>
        <w:rPr>
          <w:u w:val="single"/>
        </w:rPr>
        <w:tab/>
      </w:r>
    </w:p>
    <w:sectPr w:rsidR="00381C24" w:rsidRPr="000D7271" w:rsidSect="000D7271">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71" w:rsidRPr="00A312BC" w:rsidRDefault="000D7271" w:rsidP="00A312BC"/>
  </w:endnote>
  <w:endnote w:type="continuationSeparator" w:id="0">
    <w:p w:rsidR="000D7271" w:rsidRPr="00A312BC" w:rsidRDefault="000D727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71" w:rsidRPr="000D7271" w:rsidRDefault="000D7271">
    <w:pPr>
      <w:pStyle w:val="a8"/>
    </w:pPr>
    <w:r w:rsidRPr="000D7271">
      <w:rPr>
        <w:b/>
        <w:sz w:val="18"/>
      </w:rPr>
      <w:fldChar w:fldCharType="begin"/>
    </w:r>
    <w:r w:rsidRPr="000D7271">
      <w:rPr>
        <w:b/>
        <w:sz w:val="18"/>
      </w:rPr>
      <w:instrText xml:space="preserve"> PAGE  \* MERGEFORMAT </w:instrText>
    </w:r>
    <w:r w:rsidRPr="000D7271">
      <w:rPr>
        <w:b/>
        <w:sz w:val="18"/>
      </w:rPr>
      <w:fldChar w:fldCharType="separate"/>
    </w:r>
    <w:r w:rsidR="00AB707C">
      <w:rPr>
        <w:b/>
        <w:noProof/>
        <w:sz w:val="18"/>
      </w:rPr>
      <w:t>22</w:t>
    </w:r>
    <w:r w:rsidRPr="000D7271">
      <w:rPr>
        <w:b/>
        <w:sz w:val="18"/>
      </w:rPr>
      <w:fldChar w:fldCharType="end"/>
    </w:r>
    <w:r>
      <w:rPr>
        <w:b/>
        <w:sz w:val="18"/>
      </w:rPr>
      <w:tab/>
    </w:r>
    <w:r>
      <w:t>GE.18-12499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71" w:rsidRPr="000D7271" w:rsidRDefault="000D7271" w:rsidP="000D7271">
    <w:pPr>
      <w:pStyle w:val="a8"/>
      <w:tabs>
        <w:tab w:val="clear" w:pos="9639"/>
        <w:tab w:val="right" w:pos="9638"/>
      </w:tabs>
      <w:rPr>
        <w:b/>
        <w:sz w:val="18"/>
      </w:rPr>
    </w:pPr>
    <w:r>
      <w:t>GE.18-12499</w:t>
    </w:r>
    <w:r>
      <w:tab/>
    </w:r>
    <w:r w:rsidRPr="000D7271">
      <w:rPr>
        <w:b/>
        <w:sz w:val="18"/>
      </w:rPr>
      <w:fldChar w:fldCharType="begin"/>
    </w:r>
    <w:r w:rsidRPr="000D7271">
      <w:rPr>
        <w:b/>
        <w:sz w:val="18"/>
      </w:rPr>
      <w:instrText xml:space="preserve"> PAGE  \* MERGEFORMAT </w:instrText>
    </w:r>
    <w:r w:rsidRPr="000D7271">
      <w:rPr>
        <w:b/>
        <w:sz w:val="18"/>
      </w:rPr>
      <w:fldChar w:fldCharType="separate"/>
    </w:r>
    <w:r w:rsidR="00AB707C">
      <w:rPr>
        <w:b/>
        <w:noProof/>
        <w:sz w:val="18"/>
      </w:rPr>
      <w:t>21</w:t>
    </w:r>
    <w:r w:rsidRPr="000D72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71" w:rsidRPr="000D7271" w:rsidRDefault="000D7271" w:rsidP="000D7271">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18-12499 (R)</w:t>
    </w:r>
    <w:r>
      <w:rPr>
        <w:lang w:val="en-US"/>
      </w:rPr>
      <w:t xml:space="preserve">  171018  171018</w:t>
    </w:r>
    <w:r>
      <w:br/>
    </w:r>
    <w:r w:rsidRPr="000D7271">
      <w:rPr>
        <w:rFonts w:ascii="C39T30Lfz" w:hAnsi="C39T30Lfz"/>
        <w:kern w:val="14"/>
        <w:sz w:val="56"/>
      </w:rPr>
      <w:t></w:t>
    </w:r>
    <w:r w:rsidRPr="000D7271">
      <w:rPr>
        <w:rFonts w:ascii="C39T30Lfz" w:hAnsi="C39T30Lfz"/>
        <w:kern w:val="14"/>
        <w:sz w:val="56"/>
      </w:rPr>
      <w:t></w:t>
    </w:r>
    <w:r w:rsidRPr="000D7271">
      <w:rPr>
        <w:rFonts w:ascii="C39T30Lfz" w:hAnsi="C39T30Lfz"/>
        <w:kern w:val="14"/>
        <w:sz w:val="56"/>
      </w:rPr>
      <w:t></w:t>
    </w:r>
    <w:r w:rsidRPr="000D7271">
      <w:rPr>
        <w:rFonts w:ascii="C39T30Lfz" w:hAnsi="C39T30Lfz"/>
        <w:kern w:val="14"/>
        <w:sz w:val="56"/>
      </w:rPr>
      <w:t></w:t>
    </w:r>
    <w:r w:rsidRPr="000D7271">
      <w:rPr>
        <w:rFonts w:ascii="C39T30Lfz" w:hAnsi="C39T30Lfz"/>
        <w:kern w:val="14"/>
        <w:sz w:val="56"/>
      </w:rPr>
      <w:t></w:t>
    </w:r>
    <w:r w:rsidRPr="000D7271">
      <w:rPr>
        <w:rFonts w:ascii="C39T30Lfz" w:hAnsi="C39T30Lfz"/>
        <w:kern w:val="14"/>
        <w:sz w:val="56"/>
      </w:rPr>
      <w:t></w:t>
    </w:r>
    <w:r w:rsidRPr="000D7271">
      <w:rPr>
        <w:rFonts w:ascii="C39T30Lfz" w:hAnsi="C39T30Lfz"/>
        <w:kern w:val="14"/>
        <w:sz w:val="56"/>
      </w:rPr>
      <w:t></w:t>
    </w:r>
    <w:r w:rsidRPr="000D7271">
      <w:rPr>
        <w:rFonts w:ascii="C39T30Lfz" w:hAnsi="C39T30Lfz"/>
        <w:kern w:val="14"/>
        <w:sz w:val="56"/>
      </w:rPr>
      <w:t></w:t>
    </w:r>
    <w:r w:rsidRPr="000D727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SEN/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EN/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71" w:rsidRPr="001075E9" w:rsidRDefault="000D7271" w:rsidP="001075E9">
      <w:pPr>
        <w:tabs>
          <w:tab w:val="right" w:pos="2155"/>
        </w:tabs>
        <w:spacing w:after="80" w:line="240" w:lineRule="auto"/>
        <w:ind w:left="680"/>
        <w:rPr>
          <w:u w:val="single"/>
        </w:rPr>
      </w:pPr>
      <w:r>
        <w:rPr>
          <w:u w:val="single"/>
        </w:rPr>
        <w:tab/>
      </w:r>
    </w:p>
  </w:footnote>
  <w:footnote w:type="continuationSeparator" w:id="0">
    <w:p w:rsidR="000D7271" w:rsidRDefault="000D7271" w:rsidP="00407B78">
      <w:pPr>
        <w:tabs>
          <w:tab w:val="right" w:pos="2155"/>
        </w:tabs>
        <w:spacing w:after="80"/>
        <w:ind w:left="680"/>
        <w:rPr>
          <w:u w:val="single"/>
        </w:rPr>
      </w:pPr>
      <w:r>
        <w:rPr>
          <w:u w:val="single"/>
        </w:rPr>
        <w:tab/>
      </w:r>
    </w:p>
  </w:footnote>
  <w:footnote w:id="1">
    <w:p w:rsidR="000D7271" w:rsidRPr="006E760D" w:rsidRDefault="000D7271" w:rsidP="000D7271">
      <w:pPr>
        <w:pStyle w:val="ad"/>
      </w:pPr>
      <w:r>
        <w:tab/>
        <w:t>*</w:t>
      </w:r>
      <w:r>
        <w:tab/>
        <w:t>Настоящий документ выпускается без официального редактирования.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71" w:rsidRPr="000D7271" w:rsidRDefault="000D7271">
    <w:pPr>
      <w:pStyle w:val="a5"/>
    </w:pPr>
    <w:fldSimple w:instr=" TITLE  \* MERGEFORMAT ">
      <w:r w:rsidR="00AB707C">
        <w:t>CRPD/C/SEN/1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71" w:rsidRPr="000D7271" w:rsidRDefault="000D7271" w:rsidP="000D7271">
    <w:pPr>
      <w:pStyle w:val="a5"/>
      <w:jc w:val="right"/>
    </w:pPr>
    <w:fldSimple w:instr=" TITLE  \* MERGEFORMAT ">
      <w:r w:rsidR="00AB707C">
        <w:t>CRPD/C/SEN/1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59"/>
    <w:rsid w:val="00026643"/>
    <w:rsid w:val="00033EE1"/>
    <w:rsid w:val="00042B72"/>
    <w:rsid w:val="000558BD"/>
    <w:rsid w:val="000B57E7"/>
    <w:rsid w:val="000B6373"/>
    <w:rsid w:val="000B732B"/>
    <w:rsid w:val="000D7271"/>
    <w:rsid w:val="000F09DF"/>
    <w:rsid w:val="000F61B2"/>
    <w:rsid w:val="001075E9"/>
    <w:rsid w:val="00161DF6"/>
    <w:rsid w:val="00180183"/>
    <w:rsid w:val="0018024D"/>
    <w:rsid w:val="0018649F"/>
    <w:rsid w:val="00196389"/>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52493"/>
    <w:rsid w:val="00453318"/>
    <w:rsid w:val="00454E07"/>
    <w:rsid w:val="00472C5C"/>
    <w:rsid w:val="004C027E"/>
    <w:rsid w:val="0050108D"/>
    <w:rsid w:val="00513081"/>
    <w:rsid w:val="005156FE"/>
    <w:rsid w:val="00517901"/>
    <w:rsid w:val="00521B59"/>
    <w:rsid w:val="00526683"/>
    <w:rsid w:val="005709E0"/>
    <w:rsid w:val="00572E19"/>
    <w:rsid w:val="005961C8"/>
    <w:rsid w:val="005966F1"/>
    <w:rsid w:val="005D7914"/>
    <w:rsid w:val="005E2B41"/>
    <w:rsid w:val="005F0B42"/>
    <w:rsid w:val="006550CB"/>
    <w:rsid w:val="00681A10"/>
    <w:rsid w:val="006A1ED8"/>
    <w:rsid w:val="006B5625"/>
    <w:rsid w:val="006C2031"/>
    <w:rsid w:val="006D461A"/>
    <w:rsid w:val="006F35EE"/>
    <w:rsid w:val="007021FF"/>
    <w:rsid w:val="00712895"/>
    <w:rsid w:val="00757357"/>
    <w:rsid w:val="007C3F50"/>
    <w:rsid w:val="00806737"/>
    <w:rsid w:val="00825F8D"/>
    <w:rsid w:val="00833758"/>
    <w:rsid w:val="00834B71"/>
    <w:rsid w:val="0086445C"/>
    <w:rsid w:val="008934D2"/>
    <w:rsid w:val="00894693"/>
    <w:rsid w:val="008A08D7"/>
    <w:rsid w:val="008B6909"/>
    <w:rsid w:val="00903712"/>
    <w:rsid w:val="00906890"/>
    <w:rsid w:val="00911BE4"/>
    <w:rsid w:val="00951972"/>
    <w:rsid w:val="009608F3"/>
    <w:rsid w:val="009A24AC"/>
    <w:rsid w:val="00A14DA8"/>
    <w:rsid w:val="00A312BC"/>
    <w:rsid w:val="00A374B6"/>
    <w:rsid w:val="00A84021"/>
    <w:rsid w:val="00A84D35"/>
    <w:rsid w:val="00A917B3"/>
    <w:rsid w:val="00AB4B51"/>
    <w:rsid w:val="00AB707C"/>
    <w:rsid w:val="00AC12E8"/>
    <w:rsid w:val="00B10CC7"/>
    <w:rsid w:val="00B36DF7"/>
    <w:rsid w:val="00B539E7"/>
    <w:rsid w:val="00B62458"/>
    <w:rsid w:val="00B739FE"/>
    <w:rsid w:val="00BC18B2"/>
    <w:rsid w:val="00BD33EE"/>
    <w:rsid w:val="00BE126F"/>
    <w:rsid w:val="00C04B99"/>
    <w:rsid w:val="00C106D6"/>
    <w:rsid w:val="00C60F0C"/>
    <w:rsid w:val="00C805C9"/>
    <w:rsid w:val="00C839A2"/>
    <w:rsid w:val="00C92939"/>
    <w:rsid w:val="00CA1679"/>
    <w:rsid w:val="00CB151C"/>
    <w:rsid w:val="00CE5A1A"/>
    <w:rsid w:val="00CF55F6"/>
    <w:rsid w:val="00D036C3"/>
    <w:rsid w:val="00D33D63"/>
    <w:rsid w:val="00D33EB3"/>
    <w:rsid w:val="00D45E39"/>
    <w:rsid w:val="00D70810"/>
    <w:rsid w:val="00D90028"/>
    <w:rsid w:val="00D90138"/>
    <w:rsid w:val="00DD78D1"/>
    <w:rsid w:val="00DE32CD"/>
    <w:rsid w:val="00DF33CC"/>
    <w:rsid w:val="00DF71B9"/>
    <w:rsid w:val="00E30B7B"/>
    <w:rsid w:val="00E73F76"/>
    <w:rsid w:val="00E77684"/>
    <w:rsid w:val="00E92F15"/>
    <w:rsid w:val="00EA2C9F"/>
    <w:rsid w:val="00EA420E"/>
    <w:rsid w:val="00EB1E0E"/>
    <w:rsid w:val="00ED0BDA"/>
    <w:rsid w:val="00EF1360"/>
    <w:rsid w:val="00EF3220"/>
    <w:rsid w:val="00EF5185"/>
    <w:rsid w:val="00F43903"/>
    <w:rsid w:val="00F94155"/>
    <w:rsid w:val="00F9783F"/>
    <w:rsid w:val="00FD2EF7"/>
    <w:rsid w:val="00FE447E"/>
    <w:rsid w:val="00FE73EB"/>
    <w:rsid w:val="00FF606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BB001"/>
  <w15:docId w15:val="{034C2612-BB25-4AC4-BC18-E8857FCA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FE"/>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7C3F50"/>
    <w:pPr>
      <w:keepNext/>
      <w:outlineLvl w:val="1"/>
    </w:pPr>
    <w:rPr>
      <w:rFonts w:cs="Arial"/>
      <w:bCs/>
      <w:iCs/>
      <w:szCs w:val="28"/>
    </w:rPr>
  </w:style>
  <w:style w:type="paragraph" w:styleId="3">
    <w:name w:val="heading 3"/>
    <w:basedOn w:val="a"/>
    <w:next w:val="a"/>
    <w:link w:val="30"/>
    <w:semiHidden/>
    <w:qFormat/>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7C3F50"/>
    <w:pPr>
      <w:keepNext/>
      <w:spacing w:before="240" w:after="60"/>
      <w:outlineLvl w:val="3"/>
    </w:pPr>
    <w:rPr>
      <w:b/>
      <w:bCs/>
      <w:sz w:val="28"/>
      <w:szCs w:val="28"/>
    </w:rPr>
  </w:style>
  <w:style w:type="paragraph" w:styleId="5">
    <w:name w:val="heading 5"/>
    <w:basedOn w:val="a"/>
    <w:next w:val="a"/>
    <w:link w:val="50"/>
    <w:semiHidden/>
    <w:qFormat/>
    <w:rsid w:val="007C3F50"/>
    <w:pPr>
      <w:spacing w:before="240" w:after="60"/>
      <w:outlineLvl w:val="4"/>
    </w:pPr>
    <w:rPr>
      <w:b/>
      <w:bCs/>
      <w:i/>
      <w:iCs/>
      <w:sz w:val="26"/>
      <w:szCs w:val="26"/>
    </w:rPr>
  </w:style>
  <w:style w:type="paragraph" w:styleId="6">
    <w:name w:val="heading 6"/>
    <w:basedOn w:val="a"/>
    <w:next w:val="a"/>
    <w:link w:val="60"/>
    <w:semiHidden/>
    <w:qFormat/>
    <w:rsid w:val="007C3F50"/>
    <w:pPr>
      <w:spacing w:before="240" w:after="60"/>
      <w:outlineLvl w:val="5"/>
    </w:pPr>
    <w:rPr>
      <w:b/>
      <w:bCs/>
      <w:sz w:val="22"/>
    </w:rPr>
  </w:style>
  <w:style w:type="paragraph" w:styleId="7">
    <w:name w:val="heading 7"/>
    <w:basedOn w:val="a"/>
    <w:next w:val="a"/>
    <w:link w:val="70"/>
    <w:semiHidden/>
    <w:qFormat/>
    <w:rsid w:val="007C3F50"/>
    <w:pPr>
      <w:spacing w:before="240" w:after="60"/>
      <w:outlineLvl w:val="6"/>
    </w:pPr>
    <w:rPr>
      <w:sz w:val="24"/>
      <w:szCs w:val="24"/>
    </w:rPr>
  </w:style>
  <w:style w:type="paragraph" w:styleId="8">
    <w:name w:val="heading 8"/>
    <w:basedOn w:val="a"/>
    <w:next w:val="a"/>
    <w:link w:val="80"/>
    <w:semiHidden/>
    <w:qFormat/>
    <w:rsid w:val="007C3F50"/>
    <w:pPr>
      <w:spacing w:before="240" w:after="60"/>
      <w:outlineLvl w:val="7"/>
    </w:pPr>
    <w:rPr>
      <w:i/>
      <w:iCs/>
      <w:sz w:val="24"/>
      <w:szCs w:val="24"/>
    </w:rPr>
  </w:style>
  <w:style w:type="paragraph" w:styleId="9">
    <w:name w:val="heading 9"/>
    <w:basedOn w:val="a"/>
    <w:next w:val="a"/>
    <w:link w:val="90"/>
    <w:semiHidden/>
    <w:qFormat/>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92F1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92F15"/>
    <w:pPr>
      <w:numPr>
        <w:numId w:val="1"/>
      </w:numPr>
      <w:spacing w:after="120"/>
      <w:ind w:right="1134"/>
      <w:jc w:val="both"/>
    </w:pPr>
    <w:rPr>
      <w:rFonts w:eastAsia="Times New Roman" w:cs="Times New Roman"/>
      <w:szCs w:val="20"/>
      <w:lang w:eastAsia="ru-RU"/>
    </w:rPr>
  </w:style>
  <w:style w:type="paragraph" w:customStyle="1" w:styleId="Bullet2GR">
    <w:name w:val="_Bullet 2_GR"/>
    <w:basedOn w:val="a"/>
    <w:qFormat/>
    <w:rsid w:val="00E92F15"/>
    <w:pPr>
      <w:numPr>
        <w:numId w:val="2"/>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92F15"/>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uiPriority w:val="99"/>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uiPriority w:val="99"/>
    <w:rsid w:val="00E92F15"/>
    <w:rPr>
      <w:b/>
      <w:sz w:val="18"/>
      <w:lang w:val="en-GB" w:eastAsia="ru-RU"/>
    </w:rPr>
  </w:style>
  <w:style w:type="character" w:styleId="a7">
    <w:name w:val="page number"/>
    <w:aliases w:val="7_GR,7_G"/>
    <w:basedOn w:val="a0"/>
    <w:qFormat/>
    <w:rsid w:val="00E92F15"/>
    <w:rPr>
      <w:rFonts w:ascii="Times New Roman" w:hAnsi="Times New Roman"/>
      <w:b/>
      <w:sz w:val="18"/>
    </w:rPr>
  </w:style>
  <w:style w:type="paragraph" w:styleId="a8">
    <w:name w:val="footer"/>
    <w:aliases w:val="3_GR,3_G"/>
    <w:basedOn w:val="a"/>
    <w:link w:val="a9"/>
    <w:uiPriority w:val="9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uiPriority w:val="99"/>
    <w:rsid w:val="00E92F15"/>
    <w:rPr>
      <w:sz w:val="16"/>
      <w:lang w:val="en-GB" w:eastAsia="ru-RU"/>
    </w:rPr>
  </w:style>
  <w:style w:type="character" w:styleId="aa">
    <w:name w:val="footnote reference"/>
    <w:aliases w:val="4_GR,4_G"/>
    <w:basedOn w:val="a0"/>
    <w:qFormat/>
    <w:rsid w:val="00E92F15"/>
    <w:rPr>
      <w:rFonts w:ascii="Times New Roman" w:hAnsi="Times New Roman"/>
      <w:dstrike w:val="0"/>
      <w:sz w:val="18"/>
      <w:vertAlign w:val="superscript"/>
    </w:rPr>
  </w:style>
  <w:style w:type="character" w:styleId="ab">
    <w:name w:val="endnote reference"/>
    <w:aliases w:val="1_GR,1_G"/>
    <w:basedOn w:val="aa"/>
    <w:qFormat/>
    <w:rsid w:val="00E92F15"/>
    <w:rPr>
      <w:rFonts w:ascii="Times New Roman" w:hAnsi="Times New Roman"/>
      <w:dstrike w:val="0"/>
      <w:sz w:val="18"/>
      <w:vertAlign w:val="superscript"/>
    </w:rPr>
  </w:style>
  <w:style w:type="table" w:styleId="ac">
    <w:name w:val="Table Grid"/>
    <w:basedOn w:val="a1"/>
    <w:uiPriority w:val="59"/>
    <w:rsid w:val="00E92F1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
    <w:basedOn w:val="a0"/>
    <w:link w:val="ad"/>
    <w:rsid w:val="00E92F15"/>
    <w:rPr>
      <w:sz w:val="18"/>
      <w:lang w:val="ru-RU" w:eastAsia="ru-RU"/>
    </w:rPr>
  </w:style>
  <w:style w:type="paragraph" w:styleId="af">
    <w:name w:val="endnote text"/>
    <w:aliases w:val="2_GR,2_G"/>
    <w:basedOn w:val="ad"/>
    <w:link w:val="af0"/>
    <w:qFormat/>
    <w:rsid w:val="00E92F15"/>
  </w:style>
  <w:style w:type="character" w:customStyle="1" w:styleId="af0">
    <w:name w:val="Текст концевой сноски Знак"/>
    <w:aliases w:val="2_GR Знак,2_G Знак"/>
    <w:basedOn w:val="a0"/>
    <w:link w:val="af"/>
    <w:rsid w:val="00E92F15"/>
    <w:rPr>
      <w:sz w:val="18"/>
      <w:lang w:val="ru-RU" w:eastAsia="ru-RU"/>
    </w:rPr>
  </w:style>
  <w:style w:type="character" w:customStyle="1" w:styleId="10">
    <w:name w:val="Заголовок 1 Знак"/>
    <w:aliases w:val="Table_GR Знак,Table_G Знак"/>
    <w:basedOn w:val="a0"/>
    <w:link w:val="1"/>
    <w:rsid w:val="00E92F15"/>
    <w:rPr>
      <w:rFonts w:cs="Arial"/>
      <w:b/>
      <w:bCs/>
      <w:szCs w:val="32"/>
      <w:lang w:val="ru-RU" w:eastAsia="ru-RU"/>
    </w:rPr>
  </w:style>
  <w:style w:type="character" w:styleId="af1">
    <w:name w:val="Hyperlink"/>
    <w:basedOn w:val="a0"/>
    <w:unhideWhenUsed/>
    <w:rsid w:val="00E92F15"/>
    <w:rPr>
      <w:color w:val="0000FF" w:themeColor="hyperlink"/>
      <w:u w:val="none"/>
    </w:rPr>
  </w:style>
  <w:style w:type="character" w:styleId="af2">
    <w:name w:val="FollowedHyperlink"/>
    <w:basedOn w:val="a0"/>
    <w:semiHidden/>
    <w:unhideWhenUsed/>
    <w:rsid w:val="00E92F15"/>
    <w:rPr>
      <w:color w:val="800080" w:themeColor="followedHyperlink"/>
      <w:u w:val="none"/>
    </w:rPr>
  </w:style>
  <w:style w:type="character" w:customStyle="1" w:styleId="20">
    <w:name w:val="Заголовок 2 Знак"/>
    <w:basedOn w:val="a0"/>
    <w:link w:val="2"/>
    <w:semiHidden/>
    <w:rsid w:val="000D7271"/>
    <w:rPr>
      <w:rFonts w:eastAsiaTheme="minorHAnsi" w:cs="Arial"/>
      <w:bCs/>
      <w:iCs/>
      <w:szCs w:val="28"/>
      <w:lang w:val="ru-RU" w:eastAsia="en-US"/>
    </w:rPr>
  </w:style>
  <w:style w:type="character" w:customStyle="1" w:styleId="30">
    <w:name w:val="Заголовок 3 Знак"/>
    <w:basedOn w:val="a0"/>
    <w:link w:val="3"/>
    <w:semiHidden/>
    <w:rsid w:val="000D7271"/>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0D7271"/>
    <w:rPr>
      <w:rFonts w:eastAsiaTheme="minorHAnsi" w:cstheme="minorBidi"/>
      <w:b/>
      <w:bCs/>
      <w:sz w:val="28"/>
      <w:szCs w:val="28"/>
      <w:lang w:val="ru-RU" w:eastAsia="en-US"/>
    </w:rPr>
  </w:style>
  <w:style w:type="character" w:customStyle="1" w:styleId="50">
    <w:name w:val="Заголовок 5 Знак"/>
    <w:basedOn w:val="a0"/>
    <w:link w:val="5"/>
    <w:semiHidden/>
    <w:rsid w:val="000D7271"/>
    <w:rPr>
      <w:rFonts w:eastAsiaTheme="minorHAnsi" w:cstheme="minorBidi"/>
      <w:b/>
      <w:bCs/>
      <w:i/>
      <w:iCs/>
      <w:sz w:val="26"/>
      <w:szCs w:val="26"/>
      <w:lang w:val="ru-RU" w:eastAsia="en-US"/>
    </w:rPr>
  </w:style>
  <w:style w:type="character" w:customStyle="1" w:styleId="60">
    <w:name w:val="Заголовок 6 Знак"/>
    <w:basedOn w:val="a0"/>
    <w:link w:val="6"/>
    <w:semiHidden/>
    <w:rsid w:val="000D7271"/>
    <w:rPr>
      <w:rFonts w:eastAsiaTheme="minorHAnsi" w:cstheme="minorBidi"/>
      <w:b/>
      <w:bCs/>
      <w:sz w:val="22"/>
      <w:szCs w:val="22"/>
      <w:lang w:val="ru-RU" w:eastAsia="en-US"/>
    </w:rPr>
  </w:style>
  <w:style w:type="character" w:customStyle="1" w:styleId="70">
    <w:name w:val="Заголовок 7 Знак"/>
    <w:basedOn w:val="a0"/>
    <w:link w:val="7"/>
    <w:semiHidden/>
    <w:rsid w:val="000D7271"/>
    <w:rPr>
      <w:rFonts w:eastAsiaTheme="minorHAnsi" w:cstheme="minorBidi"/>
      <w:sz w:val="24"/>
      <w:szCs w:val="24"/>
      <w:lang w:val="ru-RU" w:eastAsia="en-US"/>
    </w:rPr>
  </w:style>
  <w:style w:type="character" w:customStyle="1" w:styleId="80">
    <w:name w:val="Заголовок 8 Знак"/>
    <w:basedOn w:val="a0"/>
    <w:link w:val="8"/>
    <w:semiHidden/>
    <w:rsid w:val="000D7271"/>
    <w:rPr>
      <w:rFonts w:eastAsiaTheme="minorHAnsi" w:cstheme="minorBidi"/>
      <w:i/>
      <w:iCs/>
      <w:sz w:val="24"/>
      <w:szCs w:val="24"/>
      <w:lang w:val="ru-RU" w:eastAsia="en-US"/>
    </w:rPr>
  </w:style>
  <w:style w:type="character" w:customStyle="1" w:styleId="90">
    <w:name w:val="Заголовок 9 Знак"/>
    <w:basedOn w:val="a0"/>
    <w:link w:val="9"/>
    <w:semiHidden/>
    <w:rsid w:val="000D7271"/>
    <w:rPr>
      <w:rFonts w:ascii="Arial" w:eastAsiaTheme="minorHAnsi" w:hAnsi="Arial" w:cs="Arial"/>
      <w:sz w:val="22"/>
      <w:szCs w:val="22"/>
      <w:lang w:val="ru-RU" w:eastAsia="en-US"/>
    </w:rPr>
  </w:style>
  <w:style w:type="paragraph" w:customStyle="1" w:styleId="SingleTxtG">
    <w:name w:val="_ Single Txt_G"/>
    <w:basedOn w:val="a"/>
    <w:qFormat/>
    <w:rsid w:val="000D7271"/>
    <w:pPr>
      <w:spacing w:after="120"/>
      <w:ind w:left="1134" w:right="1134"/>
      <w:jc w:val="both"/>
    </w:pPr>
    <w:rPr>
      <w:rFonts w:eastAsia="SimSun" w:cs="Times New Roman"/>
      <w:szCs w:val="20"/>
      <w:lang w:val="fr-CH"/>
    </w:rPr>
  </w:style>
  <w:style w:type="paragraph" w:customStyle="1" w:styleId="H1G">
    <w:name w:val="_ H_1_G"/>
    <w:basedOn w:val="a"/>
    <w:next w:val="a"/>
    <w:qFormat/>
    <w:rsid w:val="000D7271"/>
    <w:pPr>
      <w:keepNext/>
      <w:keepLines/>
      <w:tabs>
        <w:tab w:val="right" w:pos="851"/>
      </w:tabs>
      <w:spacing w:before="360" w:after="240" w:line="270" w:lineRule="exact"/>
      <w:ind w:left="1134" w:right="1134" w:hanging="1134"/>
    </w:pPr>
    <w:rPr>
      <w:rFonts w:eastAsia="SimSun" w:cs="Times New Roman"/>
      <w:b/>
      <w:sz w:val="24"/>
      <w:szCs w:val="20"/>
      <w:lang w:val="fr-CH"/>
    </w:rPr>
  </w:style>
  <w:style w:type="paragraph" w:customStyle="1" w:styleId="HChG">
    <w:name w:val="_ H _Ch_G"/>
    <w:basedOn w:val="a"/>
    <w:next w:val="a"/>
    <w:qFormat/>
    <w:rsid w:val="000D7271"/>
    <w:pPr>
      <w:keepNext/>
      <w:keepLines/>
      <w:tabs>
        <w:tab w:val="right" w:pos="851"/>
      </w:tabs>
      <w:spacing w:before="360" w:after="240" w:line="300" w:lineRule="exact"/>
      <w:ind w:left="1134" w:right="1134" w:hanging="1134"/>
    </w:pPr>
    <w:rPr>
      <w:rFonts w:eastAsia="SimSun" w:cs="Times New Roman"/>
      <w:b/>
      <w:sz w:val="28"/>
      <w:szCs w:val="20"/>
      <w:lang w:val="fr-CH"/>
    </w:rPr>
  </w:style>
  <w:style w:type="paragraph" w:customStyle="1" w:styleId="HMG">
    <w:name w:val="_ H __M_G"/>
    <w:basedOn w:val="a"/>
    <w:next w:val="a"/>
    <w:qFormat/>
    <w:rsid w:val="000D7271"/>
    <w:pPr>
      <w:keepNext/>
      <w:keepLines/>
      <w:tabs>
        <w:tab w:val="right" w:pos="851"/>
      </w:tabs>
      <w:spacing w:before="240" w:after="240" w:line="360" w:lineRule="exact"/>
      <w:ind w:left="1134" w:right="1134" w:hanging="1134"/>
    </w:pPr>
    <w:rPr>
      <w:rFonts w:eastAsia="SimSun" w:cs="Times New Roman"/>
      <w:b/>
      <w:sz w:val="34"/>
      <w:szCs w:val="20"/>
      <w:lang w:val="fr-CH"/>
    </w:rPr>
  </w:style>
  <w:style w:type="paragraph" w:customStyle="1" w:styleId="H23G">
    <w:name w:val="_ H_2/3_G"/>
    <w:basedOn w:val="a"/>
    <w:next w:val="a"/>
    <w:qFormat/>
    <w:rsid w:val="000D7271"/>
    <w:pPr>
      <w:keepNext/>
      <w:keepLines/>
      <w:tabs>
        <w:tab w:val="right" w:pos="851"/>
      </w:tabs>
      <w:spacing w:before="240" w:after="120" w:line="240" w:lineRule="exact"/>
      <w:ind w:left="1134" w:right="1134" w:hanging="1134"/>
    </w:pPr>
    <w:rPr>
      <w:rFonts w:eastAsia="SimSun" w:cs="Times New Roman"/>
      <w:b/>
      <w:szCs w:val="20"/>
      <w:lang w:val="fr-CH"/>
    </w:rPr>
  </w:style>
  <w:style w:type="paragraph" w:customStyle="1" w:styleId="H4G">
    <w:name w:val="_ H_4_G"/>
    <w:basedOn w:val="a"/>
    <w:next w:val="a"/>
    <w:qFormat/>
    <w:rsid w:val="000D7271"/>
    <w:pPr>
      <w:keepNext/>
      <w:keepLines/>
      <w:tabs>
        <w:tab w:val="right" w:pos="851"/>
      </w:tabs>
      <w:spacing w:before="240" w:after="120" w:line="240" w:lineRule="exact"/>
      <w:ind w:left="1134" w:right="1134" w:hanging="1134"/>
    </w:pPr>
    <w:rPr>
      <w:rFonts w:eastAsia="SimSun" w:cs="Times New Roman"/>
      <w:i/>
      <w:szCs w:val="20"/>
      <w:lang w:val="fr-CH"/>
    </w:rPr>
  </w:style>
  <w:style w:type="paragraph" w:customStyle="1" w:styleId="H56G">
    <w:name w:val="_ H_5/6_G"/>
    <w:basedOn w:val="a"/>
    <w:next w:val="a"/>
    <w:qFormat/>
    <w:rsid w:val="000D7271"/>
    <w:pPr>
      <w:keepNext/>
      <w:keepLines/>
      <w:tabs>
        <w:tab w:val="right" w:pos="851"/>
      </w:tabs>
      <w:spacing w:before="240" w:after="120" w:line="240" w:lineRule="exact"/>
      <w:ind w:left="1134" w:right="1134" w:hanging="1134"/>
    </w:pPr>
    <w:rPr>
      <w:rFonts w:eastAsia="SimSun" w:cs="Times New Roman"/>
      <w:szCs w:val="20"/>
      <w:lang w:val="fr-CH"/>
    </w:rPr>
  </w:style>
  <w:style w:type="paragraph" w:customStyle="1" w:styleId="SMG">
    <w:name w:val="__S_M_G"/>
    <w:basedOn w:val="a"/>
    <w:next w:val="a"/>
    <w:rsid w:val="000D7271"/>
    <w:pPr>
      <w:keepNext/>
      <w:keepLines/>
      <w:spacing w:before="240" w:after="240" w:line="420" w:lineRule="exact"/>
      <w:ind w:left="1134" w:right="1134"/>
    </w:pPr>
    <w:rPr>
      <w:rFonts w:eastAsia="SimSun" w:cs="Times New Roman"/>
      <w:b/>
      <w:sz w:val="40"/>
      <w:szCs w:val="20"/>
      <w:lang w:val="fr-CH"/>
    </w:rPr>
  </w:style>
  <w:style w:type="paragraph" w:customStyle="1" w:styleId="SLG">
    <w:name w:val="__S_L_G"/>
    <w:basedOn w:val="a"/>
    <w:next w:val="a"/>
    <w:rsid w:val="000D7271"/>
    <w:pPr>
      <w:keepNext/>
      <w:keepLines/>
      <w:spacing w:before="240" w:after="240" w:line="580" w:lineRule="exact"/>
      <w:ind w:left="1134" w:right="1134"/>
    </w:pPr>
    <w:rPr>
      <w:rFonts w:eastAsia="SimSun" w:cs="Times New Roman"/>
      <w:b/>
      <w:sz w:val="56"/>
      <w:szCs w:val="20"/>
      <w:lang w:val="fr-CH"/>
    </w:rPr>
  </w:style>
  <w:style w:type="paragraph" w:customStyle="1" w:styleId="SSG">
    <w:name w:val="__S_S_G"/>
    <w:basedOn w:val="a"/>
    <w:next w:val="a"/>
    <w:rsid w:val="000D7271"/>
    <w:pPr>
      <w:keepNext/>
      <w:keepLines/>
      <w:spacing w:before="240" w:after="240" w:line="300" w:lineRule="exact"/>
      <w:ind w:left="1134" w:right="1134"/>
    </w:pPr>
    <w:rPr>
      <w:rFonts w:eastAsia="SimSun" w:cs="Times New Roman"/>
      <w:b/>
      <w:sz w:val="28"/>
      <w:szCs w:val="20"/>
      <w:lang w:val="fr-CH"/>
    </w:rPr>
  </w:style>
  <w:style w:type="paragraph" w:customStyle="1" w:styleId="XLargeG">
    <w:name w:val="__XLarge_G"/>
    <w:basedOn w:val="a"/>
    <w:next w:val="a"/>
    <w:rsid w:val="000D7271"/>
    <w:pPr>
      <w:keepNext/>
      <w:keepLines/>
      <w:spacing w:before="240" w:after="240" w:line="420" w:lineRule="exact"/>
      <w:ind w:left="1134" w:right="1134"/>
    </w:pPr>
    <w:rPr>
      <w:rFonts w:eastAsia="SimSun" w:cs="Times New Roman"/>
      <w:b/>
      <w:sz w:val="40"/>
      <w:szCs w:val="20"/>
      <w:lang w:val="fr-CH"/>
    </w:rPr>
  </w:style>
  <w:style w:type="paragraph" w:customStyle="1" w:styleId="Bullet1G">
    <w:name w:val="_Bullet 1_G"/>
    <w:basedOn w:val="a"/>
    <w:qFormat/>
    <w:rsid w:val="000D7271"/>
    <w:pPr>
      <w:numPr>
        <w:numId w:val="4"/>
      </w:numPr>
      <w:spacing w:after="120"/>
      <w:ind w:right="1134"/>
      <w:jc w:val="both"/>
    </w:pPr>
    <w:rPr>
      <w:rFonts w:eastAsia="SimSun" w:cs="Times New Roman"/>
      <w:szCs w:val="20"/>
      <w:lang w:val="fr-CH"/>
    </w:rPr>
  </w:style>
  <w:style w:type="paragraph" w:customStyle="1" w:styleId="Bullet2G">
    <w:name w:val="_Bullet 2_G"/>
    <w:basedOn w:val="a"/>
    <w:qFormat/>
    <w:rsid w:val="000D7271"/>
    <w:pPr>
      <w:numPr>
        <w:numId w:val="5"/>
      </w:numPr>
      <w:spacing w:after="120"/>
      <w:ind w:right="1134"/>
      <w:jc w:val="both"/>
    </w:pPr>
    <w:rPr>
      <w:rFonts w:eastAsia="SimSun" w:cs="Times New Roman"/>
      <w:szCs w:val="20"/>
      <w:lang w:val="fr-CH"/>
    </w:rPr>
  </w:style>
  <w:style w:type="paragraph" w:customStyle="1" w:styleId="ParNoG">
    <w:name w:val="_ParNo_G"/>
    <w:basedOn w:val="SingleTxtG"/>
    <w:qFormat/>
    <w:rsid w:val="000D7271"/>
    <w:pPr>
      <w:numPr>
        <w:numId w:val="6"/>
      </w:numPr>
      <w:kinsoku w:val="0"/>
      <w:overflowPunct w:val="0"/>
      <w:autoSpaceDE w:val="0"/>
      <w:autoSpaceDN w:val="0"/>
      <w:adjustRightInd w:val="0"/>
      <w:snapToGrid w:val="0"/>
    </w:pPr>
  </w:style>
  <w:style w:type="paragraph" w:customStyle="1" w:styleId="Default">
    <w:name w:val="Default"/>
    <w:rsid w:val="000D7271"/>
    <w:pPr>
      <w:autoSpaceDE w:val="0"/>
      <w:autoSpaceDN w:val="0"/>
      <w:adjustRightInd w:val="0"/>
    </w:pPr>
    <w:rPr>
      <w:rFonts w:ascii="Tahoma" w:eastAsia="Calibri" w:hAnsi="Tahoma" w:cs="Tahoma"/>
      <w:color w:val="000000"/>
      <w:sz w:val="24"/>
      <w:szCs w:val="24"/>
      <w:lang w:val="wo-SN" w:eastAsia="en-US"/>
    </w:rPr>
  </w:style>
  <w:style w:type="paragraph" w:styleId="af3">
    <w:name w:val="List Paragraph"/>
    <w:basedOn w:val="a"/>
    <w:uiPriority w:val="34"/>
    <w:qFormat/>
    <w:rsid w:val="000D7271"/>
    <w:pPr>
      <w:suppressAutoHyphens w:val="0"/>
      <w:spacing w:after="200" w:line="276" w:lineRule="auto"/>
      <w:ind w:left="720"/>
      <w:contextualSpacing/>
    </w:pPr>
    <w:rPr>
      <w:rFonts w:ascii="Calibri" w:eastAsia="Calibri" w:hAnsi="Calibri" w:cs="Times New Roman"/>
      <w:sz w:val="22"/>
      <w:lang w:val="wo-SN"/>
    </w:rPr>
  </w:style>
  <w:style w:type="character" w:customStyle="1" w:styleId="InternetLink">
    <w:name w:val="Internet Link"/>
    <w:basedOn w:val="a0"/>
    <w:semiHidden/>
    <w:rsid w:val="000D7271"/>
    <w:rPr>
      <w:color w:val="00000A"/>
      <w:u w:val="none"/>
    </w:rPr>
  </w:style>
  <w:style w:type="character" w:customStyle="1" w:styleId="UnresolvedMention">
    <w:name w:val="Unresolved Mention"/>
    <w:basedOn w:val="a0"/>
    <w:uiPriority w:val="99"/>
    <w:semiHidden/>
    <w:unhideWhenUsed/>
    <w:rsid w:val="000D7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f.francophonie.org/IMG/pdf/2013_10_vih_dakar_senegalstrategi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pee.sn/IMG/pdf/loi_de_finances_2014.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65E33-779D-44DE-ABC5-5B6BEDE3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54</Pages>
  <Words>22378</Words>
  <Characters>149051</Characters>
  <Application>Microsoft Office Word</Application>
  <DocSecurity>0</DocSecurity>
  <Lines>2960</Lines>
  <Paragraphs>1002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CRPD/C/SEN/1</vt:lpstr>
      <vt:lpstr>A/</vt:lpstr>
      <vt:lpstr>A/</vt:lpstr>
    </vt:vector>
  </TitlesOfParts>
  <Company>DCM</Company>
  <LinksUpToDate>false</LinksUpToDate>
  <CharactersWithSpaces>171039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CRPD/C/SEN/1</dc:title>
  <dc:subject/>
  <dc:creator>Larisa MAYKOVSKAYA</dc:creator>
  <cp:keywords/>
  <cp:lastModifiedBy>Generic TPSRUS2</cp:lastModifiedBy>
  <cp:revision>3</cp:revision>
  <cp:lastPrinted>2018-10-17T10:24:00Z</cp:lastPrinted>
  <dcterms:created xsi:type="dcterms:W3CDTF">2018-10-17T10:23:00Z</dcterms:created>
  <dcterms:modified xsi:type="dcterms:W3CDTF">2018-10-17T10:24:00Z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