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3A411E" w14:paraId="0A238C51" w14:textId="77777777" w:rsidTr="00A704A8">
        <w:trPr>
          <w:trHeight w:hRule="exact" w:val="851"/>
        </w:trPr>
        <w:tc>
          <w:tcPr>
            <w:tcW w:w="1276" w:type="dxa"/>
            <w:tcBorders>
              <w:bottom w:val="single" w:sz="4" w:space="0" w:color="auto"/>
            </w:tcBorders>
          </w:tcPr>
          <w:p w14:paraId="4D823883" w14:textId="77777777" w:rsidR="00807D21" w:rsidRPr="00DB58B5" w:rsidRDefault="00807D21" w:rsidP="0016790E"/>
        </w:tc>
        <w:tc>
          <w:tcPr>
            <w:tcW w:w="2268" w:type="dxa"/>
            <w:tcBorders>
              <w:bottom w:val="single" w:sz="4" w:space="0" w:color="auto"/>
            </w:tcBorders>
            <w:vAlign w:val="bottom"/>
          </w:tcPr>
          <w:p w14:paraId="17BEE950" w14:textId="77777777" w:rsidR="00807D21" w:rsidRPr="003A411E" w:rsidRDefault="00807D21" w:rsidP="00A704A8">
            <w:pPr>
              <w:spacing w:after="80" w:line="300" w:lineRule="exact"/>
              <w:rPr>
                <w:sz w:val="28"/>
              </w:rPr>
            </w:pPr>
            <w:r w:rsidRPr="003A411E">
              <w:rPr>
                <w:sz w:val="28"/>
              </w:rPr>
              <w:t>Nations Unies</w:t>
            </w:r>
          </w:p>
        </w:tc>
        <w:tc>
          <w:tcPr>
            <w:tcW w:w="6095" w:type="dxa"/>
            <w:gridSpan w:val="2"/>
            <w:tcBorders>
              <w:bottom w:val="single" w:sz="4" w:space="0" w:color="auto"/>
            </w:tcBorders>
            <w:vAlign w:val="bottom"/>
          </w:tcPr>
          <w:p w14:paraId="12094EDF" w14:textId="4A31610D" w:rsidR="00807D21" w:rsidRPr="00424538" w:rsidRDefault="00424538" w:rsidP="00424538">
            <w:pPr>
              <w:jc w:val="right"/>
            </w:pPr>
            <w:r w:rsidRPr="00424538">
              <w:rPr>
                <w:sz w:val="40"/>
              </w:rPr>
              <w:t>CAT</w:t>
            </w:r>
            <w:r>
              <w:t>/OP/BFA/ROSP/1</w:t>
            </w:r>
          </w:p>
        </w:tc>
      </w:tr>
      <w:tr w:rsidR="00807D21" w:rsidRPr="003A411E" w14:paraId="1E7AF2E6" w14:textId="77777777" w:rsidTr="00A704A8">
        <w:trPr>
          <w:trHeight w:hRule="exact" w:val="2835"/>
        </w:trPr>
        <w:tc>
          <w:tcPr>
            <w:tcW w:w="1276" w:type="dxa"/>
            <w:tcBorders>
              <w:top w:val="single" w:sz="4" w:space="0" w:color="auto"/>
              <w:bottom w:val="single" w:sz="12" w:space="0" w:color="auto"/>
            </w:tcBorders>
          </w:tcPr>
          <w:p w14:paraId="10CAC7F6" w14:textId="77777777" w:rsidR="00807D21" w:rsidRPr="003A411E" w:rsidRDefault="00807D21" w:rsidP="00A704A8">
            <w:pPr>
              <w:spacing w:before="120"/>
              <w:jc w:val="center"/>
            </w:pPr>
            <w:r w:rsidRPr="003A411E">
              <w:rPr>
                <w:noProof/>
                <w:lang w:val="en-GB" w:eastAsia="en-GB"/>
              </w:rPr>
              <w:drawing>
                <wp:inline distT="0" distB="0" distL="0" distR="0" wp14:anchorId="5B7566A7" wp14:editId="41EFF2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65D540" w14:textId="77777777" w:rsidR="00807D21" w:rsidRPr="003A411E" w:rsidRDefault="003C727E" w:rsidP="003C727E">
            <w:pPr>
              <w:spacing w:before="120" w:line="380" w:lineRule="exact"/>
              <w:rPr>
                <w:b/>
                <w:sz w:val="40"/>
                <w:szCs w:val="40"/>
              </w:rPr>
            </w:pPr>
            <w:r w:rsidRPr="003A411E">
              <w:rPr>
                <w:b/>
                <w:sz w:val="34"/>
                <w:szCs w:val="34"/>
              </w:rPr>
              <w:t xml:space="preserve">Protocole facultatif </w:t>
            </w:r>
            <w:r w:rsidRPr="003A411E">
              <w:rPr>
                <w:b/>
                <w:sz w:val="34"/>
                <w:szCs w:val="34"/>
              </w:rPr>
              <w:br/>
              <w:t xml:space="preserve">se rapportant à la </w:t>
            </w:r>
            <w:r w:rsidR="00807D21" w:rsidRPr="003A411E">
              <w:rPr>
                <w:b/>
                <w:sz w:val="34"/>
                <w:szCs w:val="34"/>
              </w:rPr>
              <w:t xml:space="preserve">Convention </w:t>
            </w:r>
            <w:r w:rsidRPr="003A411E">
              <w:rPr>
                <w:b/>
                <w:sz w:val="34"/>
                <w:szCs w:val="34"/>
              </w:rPr>
              <w:br/>
            </w:r>
            <w:r w:rsidR="00807D21" w:rsidRPr="003A411E">
              <w:rPr>
                <w:b/>
                <w:sz w:val="34"/>
                <w:szCs w:val="34"/>
              </w:rPr>
              <w:t>contre</w:t>
            </w:r>
            <w:r w:rsidRPr="003A411E">
              <w:rPr>
                <w:b/>
                <w:sz w:val="34"/>
                <w:szCs w:val="34"/>
              </w:rPr>
              <w:t xml:space="preserve"> </w:t>
            </w:r>
            <w:r w:rsidR="00807D21" w:rsidRPr="003A411E">
              <w:rPr>
                <w:b/>
                <w:sz w:val="34"/>
                <w:szCs w:val="34"/>
              </w:rPr>
              <w:t xml:space="preserve">la torture et autres </w:t>
            </w:r>
            <w:r w:rsidRPr="003A411E">
              <w:rPr>
                <w:b/>
                <w:sz w:val="34"/>
                <w:szCs w:val="34"/>
              </w:rPr>
              <w:br/>
            </w:r>
            <w:r w:rsidR="00807D21" w:rsidRPr="003A411E">
              <w:rPr>
                <w:b/>
                <w:sz w:val="34"/>
                <w:szCs w:val="34"/>
              </w:rPr>
              <w:t>peines</w:t>
            </w:r>
            <w:r w:rsidRPr="003A411E">
              <w:rPr>
                <w:b/>
                <w:sz w:val="34"/>
                <w:szCs w:val="34"/>
              </w:rPr>
              <w:t xml:space="preserve"> </w:t>
            </w:r>
            <w:r w:rsidR="00807D21" w:rsidRPr="003A411E">
              <w:rPr>
                <w:b/>
                <w:sz w:val="34"/>
                <w:szCs w:val="34"/>
              </w:rPr>
              <w:t>ou traitements cruels,</w:t>
            </w:r>
            <w:r w:rsidR="00807D21" w:rsidRPr="003A411E">
              <w:rPr>
                <w:b/>
                <w:sz w:val="34"/>
                <w:szCs w:val="34"/>
              </w:rPr>
              <w:br/>
              <w:t>inhumains ou dégradants</w:t>
            </w:r>
          </w:p>
        </w:tc>
        <w:tc>
          <w:tcPr>
            <w:tcW w:w="2835" w:type="dxa"/>
            <w:tcBorders>
              <w:top w:val="single" w:sz="4" w:space="0" w:color="auto"/>
              <w:bottom w:val="single" w:sz="12" w:space="0" w:color="auto"/>
            </w:tcBorders>
          </w:tcPr>
          <w:p w14:paraId="33B2CA86" w14:textId="6C71F9BA" w:rsidR="00807D21" w:rsidRPr="003A411E" w:rsidRDefault="0016790E" w:rsidP="00D66AEE">
            <w:pPr>
              <w:spacing w:before="240"/>
            </w:pPr>
            <w:r w:rsidRPr="003A411E">
              <w:t>Distr</w:t>
            </w:r>
            <w:r w:rsidR="005A7E48">
              <w:t xml:space="preserve">. </w:t>
            </w:r>
            <w:r w:rsidR="002E2B81">
              <w:t>générale</w:t>
            </w:r>
            <w:r w:rsidR="008F1465" w:rsidRPr="003A411E">
              <w:t xml:space="preserve"> </w:t>
            </w:r>
          </w:p>
          <w:p w14:paraId="6D103B16" w14:textId="5128AE30" w:rsidR="0016790E" w:rsidRPr="003A411E" w:rsidRDefault="00D238C6" w:rsidP="00E375EF">
            <w:pPr>
              <w:spacing w:line="240" w:lineRule="exact"/>
            </w:pPr>
            <w:r>
              <w:t>8</w:t>
            </w:r>
            <w:r w:rsidR="002E2B81">
              <w:t xml:space="preserve"> février 2023</w:t>
            </w:r>
          </w:p>
          <w:p w14:paraId="22B7B4FA" w14:textId="77777777" w:rsidR="0016790E" w:rsidRPr="003A411E" w:rsidRDefault="0016790E" w:rsidP="0016790E">
            <w:pPr>
              <w:spacing w:line="240" w:lineRule="exact"/>
            </w:pPr>
          </w:p>
          <w:p w14:paraId="7CA6A991" w14:textId="77777777" w:rsidR="0016790E" w:rsidRPr="003A411E" w:rsidRDefault="0016790E" w:rsidP="0016790E">
            <w:pPr>
              <w:spacing w:line="240" w:lineRule="exact"/>
            </w:pPr>
            <w:r w:rsidRPr="003A411E">
              <w:t>Original : français</w:t>
            </w:r>
          </w:p>
          <w:p w14:paraId="20C41C35" w14:textId="67F29E37" w:rsidR="0016790E" w:rsidRPr="003A411E" w:rsidRDefault="00E8190D" w:rsidP="008F1465">
            <w:pPr>
              <w:spacing w:line="240" w:lineRule="exact"/>
            </w:pPr>
            <w:r w:rsidRPr="003A411E">
              <w:t>Anglais, espagnol et français</w:t>
            </w:r>
            <w:r w:rsidR="0061231B" w:rsidRPr="003A411E">
              <w:t xml:space="preserve"> seulement</w:t>
            </w:r>
          </w:p>
        </w:tc>
      </w:tr>
    </w:tbl>
    <w:p w14:paraId="6DC52CA1" w14:textId="77777777" w:rsidR="00817BA4" w:rsidRPr="003A411E" w:rsidRDefault="00817BA4" w:rsidP="00817BA4">
      <w:pPr>
        <w:spacing w:before="120"/>
        <w:rPr>
          <w:b/>
          <w:sz w:val="24"/>
          <w:szCs w:val="24"/>
        </w:rPr>
      </w:pPr>
      <w:r w:rsidRPr="003A411E">
        <w:rPr>
          <w:b/>
          <w:sz w:val="24"/>
          <w:szCs w:val="24"/>
        </w:rPr>
        <w:t>Sous-Comité pour la prévention de la torture et autres peines</w:t>
      </w:r>
      <w:r w:rsidRPr="003A411E">
        <w:rPr>
          <w:b/>
          <w:sz w:val="24"/>
          <w:szCs w:val="24"/>
        </w:rPr>
        <w:br/>
        <w:t>ou traitements cruels, inhumains ou dégradants</w:t>
      </w:r>
    </w:p>
    <w:p w14:paraId="404E1CD7" w14:textId="6B8650A6" w:rsidR="005B4B21" w:rsidRPr="003A411E" w:rsidRDefault="008F1465" w:rsidP="005A7E48">
      <w:pPr>
        <w:pStyle w:val="HMG"/>
        <w:spacing w:before="360"/>
      </w:pPr>
      <w:r w:rsidRPr="003A411E">
        <w:tab/>
      </w:r>
      <w:r w:rsidRPr="003A411E">
        <w:tab/>
        <w:t xml:space="preserve">Visite </w:t>
      </w:r>
      <w:r w:rsidRPr="003A411E">
        <w:rPr>
          <w:szCs w:val="34"/>
          <w:lang w:val="fr-FR"/>
        </w:rPr>
        <w:t xml:space="preserve">au Burkina Faso </w:t>
      </w:r>
      <w:r w:rsidR="00D66AEE" w:rsidRPr="003A411E">
        <w:rPr>
          <w:bCs/>
          <w:szCs w:val="34"/>
        </w:rPr>
        <w:t>menée</w:t>
      </w:r>
      <w:r w:rsidRPr="003A411E">
        <w:rPr>
          <w:bCs/>
          <w:szCs w:val="34"/>
        </w:rPr>
        <w:t xml:space="preserve"> </w:t>
      </w:r>
      <w:r w:rsidRPr="003A411E">
        <w:rPr>
          <w:szCs w:val="34"/>
          <w:lang w:val="fr-FR"/>
        </w:rPr>
        <w:t xml:space="preserve">du 3 au 9 décembre </w:t>
      </w:r>
      <w:r w:rsidR="005A7E48">
        <w:rPr>
          <w:szCs w:val="34"/>
          <w:lang w:val="fr-FR"/>
        </w:rPr>
        <w:br/>
      </w:r>
      <w:r w:rsidRPr="003A411E">
        <w:rPr>
          <w:szCs w:val="34"/>
          <w:lang w:val="fr-FR"/>
        </w:rPr>
        <w:t>2017</w:t>
      </w:r>
      <w:r w:rsidR="00D66AEE" w:rsidRPr="003A411E">
        <w:rPr>
          <w:szCs w:val="34"/>
          <w:lang w:val="fr-FR"/>
        </w:rPr>
        <w:t> </w:t>
      </w:r>
      <w:r w:rsidR="005B4B21" w:rsidRPr="003A411E">
        <w:t xml:space="preserve">: observations et recommandations adressées </w:t>
      </w:r>
      <w:r w:rsidRPr="003A411E">
        <w:t>à l’</w:t>
      </w:r>
      <w:r w:rsidR="00D66AEE" w:rsidRPr="003A411E">
        <w:t>É</w:t>
      </w:r>
      <w:r w:rsidRPr="003A411E">
        <w:t>tat partie</w:t>
      </w:r>
    </w:p>
    <w:p w14:paraId="0FB543CB" w14:textId="254161BA" w:rsidR="005B4B21" w:rsidRPr="003A411E" w:rsidRDefault="005B4B21" w:rsidP="00E644B9">
      <w:pPr>
        <w:pStyle w:val="HChG"/>
      </w:pPr>
      <w:r w:rsidRPr="003A411E">
        <w:tab/>
      </w:r>
      <w:r w:rsidRPr="003A411E">
        <w:tab/>
        <w:t>Rapport établi par le Sous-Comité</w:t>
      </w:r>
      <w:r w:rsidR="00A64725" w:rsidRPr="00677254">
        <w:rPr>
          <w:rStyle w:val="Appelnotedebasdep"/>
          <w:b w:val="0"/>
          <w:bCs/>
          <w:sz w:val="20"/>
          <w:vertAlign w:val="baseline"/>
        </w:rPr>
        <w:footnoteReference w:customMarkFollows="1" w:id="2"/>
        <w:t>*</w:t>
      </w:r>
      <w:r w:rsidR="00A64725" w:rsidRPr="00677254">
        <w:rPr>
          <w:rStyle w:val="Appelnotedebasdep"/>
          <w:b w:val="0"/>
          <w:bCs/>
          <w:position w:val="6"/>
          <w:sz w:val="20"/>
          <w:vertAlign w:val="baseline"/>
        </w:rPr>
        <w:t>,</w:t>
      </w:r>
      <w:r w:rsidR="00A64725" w:rsidRPr="000F5F66">
        <w:rPr>
          <w:rStyle w:val="Appelnotedebasdep"/>
          <w:b w:val="0"/>
          <w:bCs/>
          <w:sz w:val="20"/>
          <w:vertAlign w:val="baseline"/>
        </w:rPr>
        <w:t xml:space="preserve"> </w:t>
      </w:r>
      <w:r w:rsidR="00A64725" w:rsidRPr="00677254">
        <w:rPr>
          <w:rStyle w:val="Appelnotedebasdep"/>
          <w:b w:val="0"/>
          <w:bCs/>
          <w:sz w:val="20"/>
          <w:vertAlign w:val="baseline"/>
        </w:rPr>
        <w:footnoteReference w:customMarkFollows="1" w:id="3"/>
        <w:t>**</w:t>
      </w:r>
    </w:p>
    <w:p w14:paraId="37F67480" w14:textId="46401179" w:rsidR="005B4B21" w:rsidRDefault="005B4B21" w:rsidP="005B4B21">
      <w:pPr>
        <w:spacing w:after="120"/>
        <w:rPr>
          <w:sz w:val="28"/>
        </w:rPr>
      </w:pPr>
      <w:r w:rsidRPr="003A411E">
        <w:br w:type="page"/>
      </w:r>
      <w:r w:rsidRPr="003A411E">
        <w:rPr>
          <w:sz w:val="28"/>
        </w:rPr>
        <w:lastRenderedPageBreak/>
        <w:t>Table des matières</w:t>
      </w:r>
    </w:p>
    <w:p w14:paraId="04E01D5B" w14:textId="77777777" w:rsidR="005B4B21" w:rsidRPr="003A411E" w:rsidRDefault="005B4B21" w:rsidP="005B4B21">
      <w:pPr>
        <w:tabs>
          <w:tab w:val="right" w:pos="9638"/>
        </w:tabs>
        <w:spacing w:after="120"/>
        <w:ind w:left="283"/>
        <w:rPr>
          <w:i/>
          <w:sz w:val="18"/>
        </w:rPr>
      </w:pPr>
      <w:r w:rsidRPr="003A411E">
        <w:rPr>
          <w:i/>
          <w:sz w:val="18"/>
        </w:rPr>
        <w:tab/>
        <w:t>Page</w:t>
      </w:r>
    </w:p>
    <w:p w14:paraId="24D2F125" w14:textId="77777777" w:rsidR="005B4B21" w:rsidRPr="003A411E" w:rsidRDefault="005B4B21" w:rsidP="00677254">
      <w:pPr>
        <w:tabs>
          <w:tab w:val="right" w:pos="850"/>
          <w:tab w:val="left" w:pos="1134"/>
          <w:tab w:val="left" w:pos="1559"/>
          <w:tab w:val="left" w:pos="1984"/>
          <w:tab w:val="left" w:leader="dot" w:pos="8929"/>
          <w:tab w:val="right" w:pos="9638"/>
        </w:tabs>
        <w:spacing w:after="120"/>
      </w:pPr>
      <w:r w:rsidRPr="003A411E">
        <w:tab/>
        <w:t>I.</w:t>
      </w:r>
      <w:r w:rsidRPr="003A411E">
        <w:tab/>
        <w:t>Introduction</w:t>
      </w:r>
      <w:r w:rsidRPr="003A411E">
        <w:tab/>
      </w:r>
      <w:r w:rsidRPr="003A411E">
        <w:tab/>
        <w:t>3</w:t>
      </w:r>
    </w:p>
    <w:p w14:paraId="4B79DE0D" w14:textId="4AB07BD1" w:rsidR="008F1465" w:rsidRPr="003A411E" w:rsidRDefault="005B4B21" w:rsidP="00677254">
      <w:pPr>
        <w:tabs>
          <w:tab w:val="right" w:pos="850"/>
          <w:tab w:val="left" w:pos="1134"/>
          <w:tab w:val="left" w:pos="1559"/>
          <w:tab w:val="left" w:pos="1984"/>
          <w:tab w:val="left" w:leader="dot" w:pos="8929"/>
          <w:tab w:val="right" w:pos="9638"/>
        </w:tabs>
        <w:spacing w:after="120"/>
        <w:rPr>
          <w:lang w:val="fr-FR"/>
        </w:rPr>
      </w:pPr>
      <w:r w:rsidRPr="003A411E">
        <w:tab/>
      </w:r>
      <w:r w:rsidR="008F1465" w:rsidRPr="003A411E">
        <w:rPr>
          <w:lang w:val="fr-FR"/>
        </w:rPr>
        <w:t>II.</w:t>
      </w:r>
      <w:r w:rsidR="008F1465" w:rsidRPr="003A411E">
        <w:rPr>
          <w:lang w:val="fr-FR"/>
        </w:rPr>
        <w:tab/>
        <w:t>Facilitation de la visite et coopération</w:t>
      </w:r>
      <w:r w:rsidR="008F1465" w:rsidRPr="003A411E">
        <w:rPr>
          <w:lang w:val="fr-FR"/>
        </w:rPr>
        <w:tab/>
      </w:r>
      <w:r w:rsidR="00364ABF" w:rsidRPr="003A411E">
        <w:rPr>
          <w:lang w:val="fr-FR"/>
        </w:rPr>
        <w:tab/>
      </w:r>
      <w:r w:rsidR="008F1465" w:rsidRPr="003A411E">
        <w:rPr>
          <w:lang w:val="fr-FR"/>
        </w:rPr>
        <w:t>4</w:t>
      </w:r>
    </w:p>
    <w:p w14:paraId="1D4868C0" w14:textId="28BEB3E0" w:rsidR="008F1465" w:rsidRPr="003A411E" w:rsidRDefault="008F1465"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t>III.</w:t>
      </w:r>
      <w:r w:rsidRPr="003A411E">
        <w:rPr>
          <w:lang w:val="fr-FR"/>
        </w:rPr>
        <w:tab/>
        <w:t xml:space="preserve">Méthodologie et plan du rapport </w:t>
      </w:r>
      <w:r w:rsidRPr="003A411E">
        <w:rPr>
          <w:lang w:val="fr-FR"/>
        </w:rPr>
        <w:tab/>
      </w:r>
      <w:r w:rsidR="00364ABF" w:rsidRPr="003A411E">
        <w:rPr>
          <w:lang w:val="fr-FR"/>
        </w:rPr>
        <w:tab/>
      </w:r>
      <w:r w:rsidRPr="003A411E">
        <w:rPr>
          <w:lang w:val="fr-FR"/>
        </w:rPr>
        <w:t>4</w:t>
      </w:r>
    </w:p>
    <w:p w14:paraId="7DE740EC" w14:textId="584EF3B6" w:rsidR="008F1465" w:rsidRPr="003A411E" w:rsidRDefault="008F1465"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t>IV.</w:t>
      </w:r>
      <w:r w:rsidRPr="003A411E">
        <w:rPr>
          <w:lang w:val="fr-FR"/>
        </w:rPr>
        <w:tab/>
        <w:t>Mécanisme national de prévention</w:t>
      </w:r>
      <w:r w:rsidRPr="003A411E">
        <w:rPr>
          <w:lang w:val="fr-FR"/>
        </w:rPr>
        <w:tab/>
      </w:r>
      <w:r w:rsidR="00364ABF" w:rsidRPr="003A411E">
        <w:rPr>
          <w:lang w:val="fr-FR"/>
        </w:rPr>
        <w:tab/>
      </w:r>
      <w:r w:rsidR="006C3A05" w:rsidRPr="003A411E">
        <w:rPr>
          <w:lang w:val="fr-FR"/>
        </w:rPr>
        <w:t>4</w:t>
      </w:r>
    </w:p>
    <w:p w14:paraId="2BB2A043" w14:textId="5B2FA640" w:rsidR="008F1465" w:rsidRPr="003A411E" w:rsidRDefault="00364ABF"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t>A.</w:t>
      </w:r>
      <w:r w:rsidR="006F3F0F">
        <w:rPr>
          <w:lang w:val="fr-FR"/>
        </w:rPr>
        <w:tab/>
      </w:r>
      <w:r w:rsidR="008F1465" w:rsidRPr="003A411E">
        <w:rPr>
          <w:lang w:val="fr-FR"/>
        </w:rPr>
        <w:t>Cadre institutionnel</w:t>
      </w:r>
      <w:r w:rsidR="008F1465" w:rsidRPr="003A411E">
        <w:rPr>
          <w:lang w:val="fr-FR"/>
        </w:rPr>
        <w:tab/>
      </w:r>
      <w:r w:rsidR="005A0629">
        <w:rPr>
          <w:lang w:val="fr-FR"/>
        </w:rPr>
        <w:tab/>
      </w:r>
      <w:r w:rsidR="006C3A05" w:rsidRPr="003A411E">
        <w:rPr>
          <w:lang w:val="fr-FR"/>
        </w:rPr>
        <w:t>4</w:t>
      </w:r>
    </w:p>
    <w:p w14:paraId="7EBAEDFF" w14:textId="556062F0" w:rsidR="008F1465" w:rsidRPr="003A411E" w:rsidRDefault="00364ABF"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t>B.</w:t>
      </w:r>
      <w:r w:rsidR="006F3F0F">
        <w:rPr>
          <w:lang w:val="fr-FR"/>
        </w:rPr>
        <w:tab/>
      </w:r>
      <w:r w:rsidR="008F1465" w:rsidRPr="003A411E">
        <w:rPr>
          <w:lang w:val="fr-FR"/>
        </w:rPr>
        <w:t xml:space="preserve">Principes à respecter dans la mise en œuvre du </w:t>
      </w:r>
      <w:r w:rsidR="00D66AEE" w:rsidRPr="003A411E">
        <w:rPr>
          <w:lang w:val="fr-FR"/>
        </w:rPr>
        <w:t>m</w:t>
      </w:r>
      <w:r w:rsidR="00E8190D" w:rsidRPr="003A411E">
        <w:rPr>
          <w:lang w:val="fr-FR"/>
        </w:rPr>
        <w:t xml:space="preserve">écanisme </w:t>
      </w:r>
      <w:r w:rsidR="00D66AEE" w:rsidRPr="003A411E">
        <w:rPr>
          <w:lang w:val="fr-FR"/>
        </w:rPr>
        <w:t>n</w:t>
      </w:r>
      <w:r w:rsidR="00E8190D" w:rsidRPr="003A411E">
        <w:rPr>
          <w:lang w:val="fr-FR"/>
        </w:rPr>
        <w:t xml:space="preserve">ational de </w:t>
      </w:r>
      <w:r w:rsidR="00D66AEE" w:rsidRPr="003A411E">
        <w:rPr>
          <w:lang w:val="fr-FR"/>
        </w:rPr>
        <w:t>p</w:t>
      </w:r>
      <w:r w:rsidR="00E8190D" w:rsidRPr="003A411E">
        <w:rPr>
          <w:lang w:val="fr-FR"/>
        </w:rPr>
        <w:t>révention</w:t>
      </w:r>
      <w:r w:rsidR="008F1465" w:rsidRPr="003A411E">
        <w:rPr>
          <w:lang w:val="fr-FR"/>
        </w:rPr>
        <w:tab/>
      </w:r>
      <w:r w:rsidR="006C3A05" w:rsidRPr="003A411E">
        <w:rPr>
          <w:lang w:val="fr-FR"/>
        </w:rPr>
        <w:tab/>
        <w:t>5</w:t>
      </w:r>
    </w:p>
    <w:p w14:paraId="644950A9" w14:textId="6DC079C9" w:rsidR="008F1465" w:rsidRPr="003A411E" w:rsidRDefault="008F1465"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t>C.</w:t>
      </w:r>
      <w:r w:rsidR="006F3F0F">
        <w:rPr>
          <w:lang w:val="fr-FR"/>
        </w:rPr>
        <w:tab/>
      </w:r>
      <w:r w:rsidR="006C3A05" w:rsidRPr="003A411E">
        <w:rPr>
          <w:lang w:val="fr-FR"/>
        </w:rPr>
        <w:t>Recommandations</w:t>
      </w:r>
      <w:r w:rsidR="006C3A05" w:rsidRPr="003A411E">
        <w:rPr>
          <w:lang w:val="fr-FR"/>
        </w:rPr>
        <w:tab/>
      </w:r>
      <w:r w:rsidR="006C3A05" w:rsidRPr="003A411E">
        <w:rPr>
          <w:lang w:val="fr-FR"/>
        </w:rPr>
        <w:tab/>
        <w:t>5</w:t>
      </w:r>
    </w:p>
    <w:p w14:paraId="6BA85B81" w14:textId="47658A4D" w:rsidR="008F1465" w:rsidRPr="003A411E" w:rsidRDefault="006C3A05"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t>V.</w:t>
      </w:r>
      <w:r w:rsidRPr="003A411E">
        <w:rPr>
          <w:lang w:val="fr-FR"/>
        </w:rPr>
        <w:tab/>
        <w:t>Visites de terrain</w:t>
      </w:r>
      <w:r w:rsidRPr="003A411E">
        <w:rPr>
          <w:lang w:val="fr-FR"/>
        </w:rPr>
        <w:tab/>
      </w:r>
      <w:r w:rsidRPr="003A411E">
        <w:rPr>
          <w:lang w:val="fr-FR"/>
        </w:rPr>
        <w:tab/>
        <w:t>6</w:t>
      </w:r>
    </w:p>
    <w:p w14:paraId="34CB4439" w14:textId="0C0D03BE" w:rsidR="008F1465" w:rsidRPr="003A411E" w:rsidRDefault="00364ABF"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t>A.</w:t>
      </w:r>
      <w:r w:rsidR="006F3F0F">
        <w:rPr>
          <w:lang w:val="fr-FR"/>
        </w:rPr>
        <w:tab/>
      </w:r>
      <w:r w:rsidR="008F1465" w:rsidRPr="003A411E">
        <w:rPr>
          <w:lang w:val="fr-FR"/>
        </w:rPr>
        <w:t>Commissar</w:t>
      </w:r>
      <w:r w:rsidR="006C3A05" w:rsidRPr="003A411E">
        <w:rPr>
          <w:lang w:val="fr-FR"/>
        </w:rPr>
        <w:t>iats de police et gendarmeries</w:t>
      </w:r>
      <w:r w:rsidR="006C3A05" w:rsidRPr="003A411E">
        <w:rPr>
          <w:lang w:val="fr-FR"/>
        </w:rPr>
        <w:tab/>
      </w:r>
      <w:r w:rsidR="006C3A05" w:rsidRPr="003A411E">
        <w:rPr>
          <w:lang w:val="fr-FR"/>
        </w:rPr>
        <w:tab/>
        <w:t>6</w:t>
      </w:r>
    </w:p>
    <w:p w14:paraId="5FCA8238" w14:textId="1274234E" w:rsidR="008F1465" w:rsidRPr="003A411E" w:rsidRDefault="00364ABF"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t>B.</w:t>
      </w:r>
      <w:r w:rsidR="006F3F0F">
        <w:rPr>
          <w:lang w:val="fr-FR"/>
        </w:rPr>
        <w:tab/>
      </w:r>
      <w:r w:rsidR="00D66AEE" w:rsidRPr="003A411E">
        <w:rPr>
          <w:lang w:val="fr-FR"/>
        </w:rPr>
        <w:t>É</w:t>
      </w:r>
      <w:r w:rsidR="006C3A05" w:rsidRPr="003A411E">
        <w:rPr>
          <w:lang w:val="fr-FR"/>
        </w:rPr>
        <w:t>tablissements pénitentiaires</w:t>
      </w:r>
      <w:r w:rsidR="006C3A05" w:rsidRPr="003A411E">
        <w:rPr>
          <w:lang w:val="fr-FR"/>
        </w:rPr>
        <w:tab/>
      </w:r>
      <w:r w:rsidR="006C3A05" w:rsidRPr="003A411E">
        <w:rPr>
          <w:lang w:val="fr-FR"/>
        </w:rPr>
        <w:tab/>
        <w:t>12</w:t>
      </w:r>
    </w:p>
    <w:p w14:paraId="3BA9E477" w14:textId="691EB218" w:rsidR="008F1465" w:rsidRPr="003A411E" w:rsidRDefault="00364ABF"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t>C.</w:t>
      </w:r>
      <w:r w:rsidR="006F3F0F">
        <w:rPr>
          <w:lang w:val="fr-FR"/>
        </w:rPr>
        <w:tab/>
      </w:r>
      <w:r w:rsidR="006C3A05" w:rsidRPr="003A411E">
        <w:rPr>
          <w:lang w:val="fr-FR"/>
        </w:rPr>
        <w:t>Santé</w:t>
      </w:r>
      <w:r w:rsidR="006C3A05" w:rsidRPr="003A411E">
        <w:rPr>
          <w:lang w:val="fr-FR"/>
        </w:rPr>
        <w:tab/>
      </w:r>
      <w:r w:rsidR="006F3F0F">
        <w:rPr>
          <w:lang w:val="fr-FR"/>
        </w:rPr>
        <w:tab/>
      </w:r>
      <w:r w:rsidR="006C3A05" w:rsidRPr="003A411E">
        <w:rPr>
          <w:lang w:val="fr-FR"/>
        </w:rPr>
        <w:t>1</w:t>
      </w:r>
      <w:r w:rsidR="00042E07">
        <w:rPr>
          <w:lang w:val="fr-FR"/>
        </w:rPr>
        <w:t>6</w:t>
      </w:r>
    </w:p>
    <w:p w14:paraId="736C5D29" w14:textId="25738275" w:rsidR="008F1465" w:rsidRPr="003A411E" w:rsidRDefault="006C3A05"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t>VI.</w:t>
      </w:r>
      <w:r w:rsidRPr="003A411E">
        <w:rPr>
          <w:lang w:val="fr-FR"/>
        </w:rPr>
        <w:tab/>
        <w:t>Réforme législative</w:t>
      </w:r>
      <w:r w:rsidRPr="003A411E">
        <w:rPr>
          <w:lang w:val="fr-FR"/>
        </w:rPr>
        <w:tab/>
      </w:r>
      <w:r w:rsidRPr="003A411E">
        <w:rPr>
          <w:lang w:val="fr-FR"/>
        </w:rPr>
        <w:tab/>
        <w:t>1</w:t>
      </w:r>
      <w:r w:rsidR="00042E07">
        <w:rPr>
          <w:lang w:val="fr-FR"/>
        </w:rPr>
        <w:t>9</w:t>
      </w:r>
    </w:p>
    <w:p w14:paraId="1F3ED3F3" w14:textId="222D06BB" w:rsidR="008F1465" w:rsidRPr="003A411E" w:rsidRDefault="006C3A05"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t>VII.</w:t>
      </w:r>
      <w:r w:rsidRPr="003A411E">
        <w:rPr>
          <w:lang w:val="fr-FR"/>
        </w:rPr>
        <w:tab/>
      </w:r>
      <w:r w:rsidR="007F7A60" w:rsidRPr="003A411E">
        <w:rPr>
          <w:lang w:val="fr-FR"/>
        </w:rPr>
        <w:t>É</w:t>
      </w:r>
      <w:r w:rsidRPr="003A411E">
        <w:rPr>
          <w:lang w:val="fr-FR"/>
        </w:rPr>
        <w:t>tapes suivantes</w:t>
      </w:r>
      <w:r w:rsidRPr="003A411E">
        <w:rPr>
          <w:lang w:val="fr-FR"/>
        </w:rPr>
        <w:tab/>
      </w:r>
      <w:r w:rsidRPr="003A411E">
        <w:rPr>
          <w:lang w:val="fr-FR"/>
        </w:rPr>
        <w:tab/>
      </w:r>
      <w:r w:rsidR="00042E07">
        <w:rPr>
          <w:lang w:val="fr-FR"/>
        </w:rPr>
        <w:t>20</w:t>
      </w:r>
    </w:p>
    <w:p w14:paraId="1FB45768" w14:textId="2F881F06" w:rsidR="008F1465" w:rsidRPr="003A411E" w:rsidRDefault="008B2440" w:rsidP="008F1465">
      <w:pPr>
        <w:tabs>
          <w:tab w:val="right" w:pos="850"/>
          <w:tab w:val="right" w:leader="dot" w:pos="8787"/>
          <w:tab w:val="right" w:pos="9638"/>
        </w:tabs>
        <w:spacing w:after="120"/>
        <w:ind w:left="1134" w:hanging="1134"/>
        <w:rPr>
          <w:lang w:val="fr-FR"/>
        </w:rPr>
      </w:pPr>
      <w:r w:rsidRPr="003A411E">
        <w:rPr>
          <w:lang w:val="fr-FR"/>
        </w:rPr>
        <w:tab/>
      </w:r>
      <w:r w:rsidR="008F1465" w:rsidRPr="003A411E">
        <w:rPr>
          <w:lang w:val="fr-FR"/>
        </w:rPr>
        <w:t>Annexes</w:t>
      </w:r>
    </w:p>
    <w:p w14:paraId="6489E71A" w14:textId="0A3824F6" w:rsidR="008F1465" w:rsidRPr="003A411E" w:rsidRDefault="00364ABF" w:rsidP="00677254">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r>
      <w:r w:rsidR="006C3A05" w:rsidRPr="003A411E">
        <w:rPr>
          <w:lang w:val="fr-FR"/>
        </w:rPr>
        <w:t xml:space="preserve">Annexe </w:t>
      </w:r>
      <w:r w:rsidR="007F7A60" w:rsidRPr="003A411E">
        <w:rPr>
          <w:lang w:val="fr-FR"/>
        </w:rPr>
        <w:t xml:space="preserve">I </w:t>
      </w:r>
      <w:r w:rsidR="00E8190D" w:rsidRPr="003A411E">
        <w:t>– Liste des entités rencontrées par le Sous-</w:t>
      </w:r>
      <w:r w:rsidR="007F7A60" w:rsidRPr="003A411E">
        <w:t>C</w:t>
      </w:r>
      <w:r w:rsidR="00E8190D" w:rsidRPr="003A411E">
        <w:t>omité</w:t>
      </w:r>
      <w:r w:rsidR="006C3A05" w:rsidRPr="003A411E">
        <w:rPr>
          <w:lang w:val="fr-FR"/>
        </w:rPr>
        <w:tab/>
      </w:r>
      <w:r w:rsidR="006C3A05" w:rsidRPr="003A411E">
        <w:rPr>
          <w:lang w:val="fr-FR"/>
        </w:rPr>
        <w:tab/>
        <w:t>21</w:t>
      </w:r>
    </w:p>
    <w:p w14:paraId="3EEC2898" w14:textId="519F2C82" w:rsidR="008F1465" w:rsidRPr="003A411E" w:rsidRDefault="00364ABF" w:rsidP="00330D9D">
      <w:pPr>
        <w:tabs>
          <w:tab w:val="right" w:pos="850"/>
          <w:tab w:val="left" w:pos="1134"/>
          <w:tab w:val="left" w:pos="1559"/>
          <w:tab w:val="left" w:pos="1984"/>
          <w:tab w:val="left" w:leader="dot" w:pos="8929"/>
          <w:tab w:val="right" w:pos="9638"/>
        </w:tabs>
        <w:spacing w:after="120"/>
        <w:rPr>
          <w:lang w:val="fr-FR"/>
        </w:rPr>
      </w:pPr>
      <w:r w:rsidRPr="003A411E">
        <w:rPr>
          <w:lang w:val="fr-FR"/>
        </w:rPr>
        <w:tab/>
      </w:r>
      <w:r w:rsidRPr="003A411E">
        <w:rPr>
          <w:lang w:val="fr-FR"/>
        </w:rPr>
        <w:tab/>
      </w:r>
      <w:r w:rsidR="006C3A05" w:rsidRPr="003A411E">
        <w:rPr>
          <w:lang w:val="fr-FR"/>
        </w:rPr>
        <w:t xml:space="preserve">Annexe </w:t>
      </w:r>
      <w:r w:rsidR="007F7A60" w:rsidRPr="003A411E">
        <w:rPr>
          <w:lang w:val="fr-FR"/>
        </w:rPr>
        <w:t xml:space="preserve">II </w:t>
      </w:r>
      <w:r w:rsidR="00E8190D" w:rsidRPr="003A411E">
        <w:t>– Lieux de privation de liberté visités par le Sous-</w:t>
      </w:r>
      <w:r w:rsidR="007F7A60" w:rsidRPr="003A411E">
        <w:t>C</w:t>
      </w:r>
      <w:r w:rsidR="00E8190D" w:rsidRPr="003A411E">
        <w:t>omité</w:t>
      </w:r>
      <w:r w:rsidR="006C3A05" w:rsidRPr="003A411E">
        <w:rPr>
          <w:lang w:val="fr-FR"/>
        </w:rPr>
        <w:tab/>
      </w:r>
      <w:r w:rsidR="006C3A05" w:rsidRPr="003A411E">
        <w:rPr>
          <w:lang w:val="fr-FR"/>
        </w:rPr>
        <w:tab/>
        <w:t>23</w:t>
      </w:r>
    </w:p>
    <w:p w14:paraId="04DE2E9B" w14:textId="77777777" w:rsidR="008F1465" w:rsidRPr="003A411E" w:rsidRDefault="008F1465" w:rsidP="005A47D6">
      <w:pPr>
        <w:pStyle w:val="HChG"/>
        <w:rPr>
          <w:lang w:val="fr-FR"/>
        </w:rPr>
      </w:pPr>
      <w:r w:rsidRPr="003A411E">
        <w:rPr>
          <w:lang w:val="fr-FR"/>
        </w:rPr>
        <w:br w:type="page"/>
      </w:r>
      <w:r w:rsidR="005A47D6" w:rsidRPr="003A411E">
        <w:rPr>
          <w:lang w:val="fr-FR"/>
        </w:rPr>
        <w:lastRenderedPageBreak/>
        <w:tab/>
        <w:t>I.</w:t>
      </w:r>
      <w:r w:rsidR="005A47D6" w:rsidRPr="003A411E">
        <w:rPr>
          <w:lang w:val="fr-FR"/>
        </w:rPr>
        <w:tab/>
      </w:r>
      <w:r w:rsidRPr="003A411E">
        <w:rPr>
          <w:lang w:val="fr-FR"/>
        </w:rPr>
        <w:t>Introduction</w:t>
      </w:r>
    </w:p>
    <w:p w14:paraId="5AAEAC8D" w14:textId="3B8E5485" w:rsidR="008F1465" w:rsidRPr="003A411E" w:rsidRDefault="008F1465" w:rsidP="00AF7450">
      <w:pPr>
        <w:pStyle w:val="SingleTxtG"/>
        <w:rPr>
          <w:lang w:val="fr-FR"/>
        </w:rPr>
      </w:pPr>
      <w:r w:rsidRPr="003A411E">
        <w:rPr>
          <w:lang w:val="fr-FR"/>
        </w:rPr>
        <w:t>1.</w:t>
      </w:r>
      <w:r w:rsidRPr="003A411E">
        <w:rPr>
          <w:lang w:val="fr-FR"/>
        </w:rPr>
        <w:tab/>
        <w:t xml:space="preserve">Conformément au mandat que lui confère le Protocole facultatif, le Sous-Comité a </w:t>
      </w:r>
      <w:r w:rsidRPr="003A411E">
        <w:t>effectué</w:t>
      </w:r>
      <w:r w:rsidRPr="003A411E">
        <w:rPr>
          <w:lang w:val="fr-FR"/>
        </w:rPr>
        <w:t xml:space="preserve"> sa première visite au Burkina Faso du 3 au 9 décembre 2017. Le Burkina Faso est devenu partie à la Convention contre la torture</w:t>
      </w:r>
      <w:r w:rsidR="00AF7450" w:rsidRPr="003A411E">
        <w:rPr>
          <w:lang w:val="fr-FR"/>
        </w:rPr>
        <w:t xml:space="preserve"> et autres peines ou traitements cruels, inhumains ou dégradants</w:t>
      </w:r>
      <w:r w:rsidRPr="003A411E">
        <w:rPr>
          <w:lang w:val="fr-FR"/>
        </w:rPr>
        <w:t xml:space="preserve"> le 4 janvier 1999</w:t>
      </w:r>
      <w:r w:rsidR="00AF7450" w:rsidRPr="003A411E">
        <w:rPr>
          <w:lang w:val="fr-FR"/>
        </w:rPr>
        <w:t>,</w:t>
      </w:r>
      <w:r w:rsidRPr="003A411E">
        <w:rPr>
          <w:lang w:val="fr-FR"/>
        </w:rPr>
        <w:t xml:space="preserve"> et au Protocole facultatif </w:t>
      </w:r>
      <w:r w:rsidR="00BC42F4" w:rsidRPr="003A411E">
        <w:rPr>
          <w:lang w:val="fr-FR"/>
        </w:rPr>
        <w:t xml:space="preserve">s’y rapportant </w:t>
      </w:r>
      <w:r w:rsidRPr="003A411E">
        <w:rPr>
          <w:lang w:val="fr-FR"/>
        </w:rPr>
        <w:t xml:space="preserve">le 7 juillet 2010. </w:t>
      </w:r>
    </w:p>
    <w:p w14:paraId="7A1E788F" w14:textId="20686420" w:rsidR="008F1465" w:rsidRPr="003A411E" w:rsidRDefault="008F1465" w:rsidP="003A6DA3">
      <w:pPr>
        <w:pStyle w:val="SingleTxtG"/>
        <w:rPr>
          <w:lang w:val="fr-FR"/>
        </w:rPr>
      </w:pPr>
      <w:r w:rsidRPr="003A411E">
        <w:rPr>
          <w:lang w:val="fr-FR"/>
        </w:rPr>
        <w:t>2.</w:t>
      </w:r>
      <w:r w:rsidRPr="003A411E">
        <w:rPr>
          <w:lang w:val="fr-FR"/>
        </w:rPr>
        <w:tab/>
        <w:t xml:space="preserve">La délégation du </w:t>
      </w:r>
      <w:r w:rsidR="00AF7450" w:rsidRPr="003A411E">
        <w:rPr>
          <w:lang w:val="fr-FR"/>
        </w:rPr>
        <w:t>Sous-Comité</w:t>
      </w:r>
      <w:r w:rsidRPr="003A411E">
        <w:rPr>
          <w:lang w:val="fr-FR"/>
        </w:rPr>
        <w:t xml:space="preserve"> était composée </w:t>
      </w:r>
      <w:r w:rsidR="003A6DA3" w:rsidRPr="003A411E">
        <w:rPr>
          <w:lang w:val="fr-FR"/>
        </w:rPr>
        <w:t xml:space="preserve">de </w:t>
      </w:r>
      <w:r w:rsidRPr="003A411E">
        <w:rPr>
          <w:lang w:val="fr-FR"/>
        </w:rPr>
        <w:t>Gnambi Garba Kodjo (chef de la délégation), Catherine Paulet (rapporteu</w:t>
      </w:r>
      <w:r w:rsidR="003A6DA3" w:rsidRPr="003A411E">
        <w:rPr>
          <w:lang w:val="fr-FR"/>
        </w:rPr>
        <w:t>se</w:t>
      </w:r>
      <w:r w:rsidRPr="003A411E">
        <w:rPr>
          <w:lang w:val="fr-FR"/>
        </w:rPr>
        <w:t xml:space="preserve"> du Sous-</w:t>
      </w:r>
      <w:r w:rsidR="003A6DA3" w:rsidRPr="003A411E">
        <w:rPr>
          <w:lang w:val="fr-FR"/>
        </w:rPr>
        <w:t>C</w:t>
      </w:r>
      <w:r w:rsidRPr="003A411E">
        <w:rPr>
          <w:lang w:val="fr-FR"/>
        </w:rPr>
        <w:t>omité pour le Burkina Faso), Abdallah Ounnir et Emilio Ginés Santidrián</w:t>
      </w:r>
      <w:r w:rsidR="003A6DA3" w:rsidRPr="003A411E">
        <w:rPr>
          <w:lang w:val="fr-FR"/>
        </w:rPr>
        <w:t>,</w:t>
      </w:r>
      <w:r w:rsidRPr="003A411E">
        <w:rPr>
          <w:lang w:val="fr-FR"/>
        </w:rPr>
        <w:t xml:space="preserve"> et assistée de deux spécialistes des droits de l’homme du Haut-Commissariat des Nations Unies aux droits de l’homme </w:t>
      </w:r>
      <w:r w:rsidR="003A6DA3" w:rsidRPr="003A411E">
        <w:rPr>
          <w:lang w:val="fr-FR"/>
        </w:rPr>
        <w:t>ainsi que</w:t>
      </w:r>
      <w:r w:rsidRPr="003A411E">
        <w:rPr>
          <w:lang w:val="fr-FR"/>
        </w:rPr>
        <w:t xml:space="preserve"> de deux agents de sécurité de l’</w:t>
      </w:r>
      <w:r w:rsidR="003A6DA3" w:rsidRPr="003A411E">
        <w:rPr>
          <w:lang w:val="fr-FR"/>
        </w:rPr>
        <w:t>Organisation des Nations Unies</w:t>
      </w:r>
      <w:r w:rsidRPr="003A411E">
        <w:rPr>
          <w:lang w:val="fr-FR"/>
        </w:rPr>
        <w:t>.</w:t>
      </w:r>
    </w:p>
    <w:p w14:paraId="7E03EFE5" w14:textId="5FD5D951" w:rsidR="008F1465" w:rsidRPr="003A411E" w:rsidRDefault="008F1465" w:rsidP="003A6DA3">
      <w:pPr>
        <w:pStyle w:val="SingleTxtG"/>
        <w:rPr>
          <w:lang w:val="fr-FR"/>
        </w:rPr>
      </w:pPr>
      <w:r w:rsidRPr="003A411E">
        <w:rPr>
          <w:lang w:val="fr-FR"/>
        </w:rPr>
        <w:t>3.</w:t>
      </w:r>
      <w:r w:rsidRPr="003A411E">
        <w:rPr>
          <w:lang w:val="fr-FR"/>
        </w:rPr>
        <w:tab/>
        <w:t xml:space="preserve">Les objectifs principaux de la visite, conformément au </w:t>
      </w:r>
      <w:r w:rsidR="003A6DA3" w:rsidRPr="003A411E">
        <w:rPr>
          <w:lang w:val="fr-FR"/>
        </w:rPr>
        <w:t>P</w:t>
      </w:r>
      <w:r w:rsidRPr="003A411E">
        <w:rPr>
          <w:lang w:val="fr-FR"/>
        </w:rPr>
        <w:t xml:space="preserve">rotocole facultatif, étaient </w:t>
      </w:r>
      <w:r w:rsidR="003A6DA3" w:rsidRPr="003A411E">
        <w:rPr>
          <w:lang w:val="fr-FR"/>
        </w:rPr>
        <w:t>les suivants </w:t>
      </w:r>
      <w:r w:rsidRPr="003A411E">
        <w:rPr>
          <w:lang w:val="fr-FR"/>
        </w:rPr>
        <w:t xml:space="preserve">: </w:t>
      </w:r>
    </w:p>
    <w:p w14:paraId="78171E65" w14:textId="34CBD337" w:rsidR="008F1465" w:rsidRPr="003A411E" w:rsidRDefault="007F7A60" w:rsidP="007F7A60">
      <w:pPr>
        <w:pStyle w:val="SingleTxtG"/>
        <w:ind w:firstLine="567"/>
        <w:rPr>
          <w:lang w:val="fr-FR"/>
        </w:rPr>
      </w:pPr>
      <w:r w:rsidRPr="003A411E">
        <w:rPr>
          <w:lang w:val="fr-FR"/>
        </w:rPr>
        <w:t>a</w:t>
      </w:r>
      <w:r w:rsidR="008F1465" w:rsidRPr="003A411E">
        <w:rPr>
          <w:lang w:val="fr-FR"/>
        </w:rPr>
        <w:t xml:space="preserve">) </w:t>
      </w:r>
      <w:r w:rsidR="00BC42F4" w:rsidRPr="003A411E">
        <w:rPr>
          <w:lang w:val="fr-FR"/>
        </w:rPr>
        <w:tab/>
      </w:r>
      <w:r w:rsidRPr="003A411E">
        <w:rPr>
          <w:lang w:val="fr-FR"/>
        </w:rPr>
        <w:t>V</w:t>
      </w:r>
      <w:r w:rsidR="008F1465" w:rsidRPr="003A411E">
        <w:rPr>
          <w:lang w:val="fr-FR"/>
        </w:rPr>
        <w:t>isiter divers lieux de privation de liberté, afin de renforcer la protection des personnes privées de liberté contre le risque de to</w:t>
      </w:r>
      <w:r w:rsidR="0061231B" w:rsidRPr="003A411E">
        <w:rPr>
          <w:lang w:val="fr-FR"/>
        </w:rPr>
        <w:t>rture et de mauvais traitements ;</w:t>
      </w:r>
    </w:p>
    <w:p w14:paraId="29F612C9" w14:textId="1A9851B5" w:rsidR="008F1465" w:rsidRPr="003A411E" w:rsidRDefault="007F7A60" w:rsidP="006A2E1A">
      <w:pPr>
        <w:pStyle w:val="SingleTxtG"/>
        <w:ind w:firstLine="567"/>
        <w:rPr>
          <w:lang w:val="fr-FR"/>
        </w:rPr>
      </w:pPr>
      <w:r w:rsidRPr="003A411E">
        <w:rPr>
          <w:lang w:val="fr-FR"/>
        </w:rPr>
        <w:t>b</w:t>
      </w:r>
      <w:r w:rsidR="008F1465" w:rsidRPr="003A411E">
        <w:rPr>
          <w:lang w:val="fr-FR"/>
        </w:rPr>
        <w:t xml:space="preserve">) </w:t>
      </w:r>
      <w:r w:rsidR="00BC42F4" w:rsidRPr="003A411E">
        <w:rPr>
          <w:lang w:val="fr-FR"/>
        </w:rPr>
        <w:tab/>
      </w:r>
      <w:r w:rsidRPr="003A411E">
        <w:rPr>
          <w:lang w:val="fr-FR"/>
        </w:rPr>
        <w:t>F</w:t>
      </w:r>
      <w:r w:rsidR="008F1465" w:rsidRPr="003A411E">
        <w:rPr>
          <w:lang w:val="fr-FR"/>
        </w:rPr>
        <w:t>ournir conseils et assistance technique au Burkina Faso</w:t>
      </w:r>
      <w:r w:rsidR="003A6DA3" w:rsidRPr="003A411E">
        <w:rPr>
          <w:lang w:val="fr-FR"/>
        </w:rPr>
        <w:t>,</w:t>
      </w:r>
      <w:r w:rsidR="008F1465" w:rsidRPr="003A411E">
        <w:rPr>
          <w:lang w:val="fr-FR"/>
        </w:rPr>
        <w:t xml:space="preserve"> concernant la mise en place de son mécanisme national de prévention</w:t>
      </w:r>
      <w:r w:rsidR="006A2E1A" w:rsidRPr="003A411E">
        <w:rPr>
          <w:lang w:val="fr-FR"/>
        </w:rPr>
        <w:t>, conformément aux D</w:t>
      </w:r>
      <w:r w:rsidR="003A6DA3" w:rsidRPr="003A411E">
        <w:rPr>
          <w:lang w:val="fr-FR"/>
        </w:rPr>
        <w:t xml:space="preserve">irectives </w:t>
      </w:r>
      <w:r w:rsidR="006A2E1A" w:rsidRPr="003A411E">
        <w:rPr>
          <w:lang w:val="fr-FR"/>
        </w:rPr>
        <w:t>concernant les mécanismes nationaux de prévention</w:t>
      </w:r>
      <w:r w:rsidR="008F1465" w:rsidRPr="003A411E">
        <w:rPr>
          <w:lang w:val="fr-FR"/>
        </w:rPr>
        <w:t xml:space="preserve"> (</w:t>
      </w:r>
      <w:hyperlink r:id="rId12" w:history="1">
        <w:r w:rsidR="008F1465" w:rsidRPr="00E444C8">
          <w:rPr>
            <w:rStyle w:val="Lienhypertexte"/>
            <w:lang w:val="fr-FR"/>
          </w:rPr>
          <w:t>CAT/OP/12/5</w:t>
        </w:r>
      </w:hyperlink>
      <w:r w:rsidR="008F1465" w:rsidRPr="003A411E">
        <w:rPr>
          <w:lang w:val="fr-FR"/>
        </w:rPr>
        <w:t>)</w:t>
      </w:r>
      <w:r w:rsidR="006A2E1A" w:rsidRPr="003A411E">
        <w:rPr>
          <w:lang w:val="fr-FR"/>
        </w:rPr>
        <w:t xml:space="preserve"> du Sous-Comité</w:t>
      </w:r>
      <w:r w:rsidR="008F1465" w:rsidRPr="003A411E">
        <w:rPr>
          <w:lang w:val="fr-FR"/>
        </w:rPr>
        <w:t xml:space="preserve">. </w:t>
      </w:r>
    </w:p>
    <w:p w14:paraId="603B79DE" w14:textId="4264E4DF" w:rsidR="008F1465" w:rsidRPr="003A411E" w:rsidRDefault="008F1465" w:rsidP="00BC42F4">
      <w:pPr>
        <w:pStyle w:val="SingleTxtG"/>
        <w:rPr>
          <w:lang w:val="fr-FR"/>
        </w:rPr>
      </w:pPr>
      <w:r w:rsidRPr="003A411E">
        <w:rPr>
          <w:lang w:val="fr-FR"/>
        </w:rPr>
        <w:t>4.</w:t>
      </w:r>
      <w:r w:rsidRPr="003A411E">
        <w:rPr>
          <w:lang w:val="fr-FR"/>
        </w:rPr>
        <w:tab/>
      </w:r>
      <w:r w:rsidR="009C7992" w:rsidRPr="003A411E">
        <w:rPr>
          <w:lang w:val="fr-FR"/>
        </w:rPr>
        <w:t>La délégation</w:t>
      </w:r>
      <w:r w:rsidRPr="003A411E">
        <w:rPr>
          <w:lang w:val="fr-FR"/>
        </w:rPr>
        <w:t xml:space="preserve"> </w:t>
      </w:r>
      <w:r w:rsidR="009C7992" w:rsidRPr="003A411E">
        <w:rPr>
          <w:lang w:val="fr-FR"/>
        </w:rPr>
        <w:t>a rencontré</w:t>
      </w:r>
      <w:r w:rsidRPr="003A411E">
        <w:rPr>
          <w:lang w:val="fr-FR"/>
        </w:rPr>
        <w:t xml:space="preserve"> des personnes et des représentants d’institutions (</w:t>
      </w:r>
      <w:r w:rsidR="009C7992" w:rsidRPr="003A411E">
        <w:rPr>
          <w:lang w:val="fr-FR"/>
        </w:rPr>
        <w:t>voir a</w:t>
      </w:r>
      <w:r w:rsidRPr="003A411E">
        <w:rPr>
          <w:lang w:val="fr-FR"/>
        </w:rPr>
        <w:t>nnexe I), a visité des lieux de privation de liberté (</w:t>
      </w:r>
      <w:r w:rsidR="009C7992" w:rsidRPr="003A411E">
        <w:rPr>
          <w:lang w:val="fr-FR"/>
        </w:rPr>
        <w:t>voir a</w:t>
      </w:r>
      <w:r w:rsidRPr="003A411E">
        <w:rPr>
          <w:lang w:val="fr-FR"/>
        </w:rPr>
        <w:t>nnexe II) et s’est entretenu</w:t>
      </w:r>
      <w:r w:rsidR="009C7992" w:rsidRPr="003A411E">
        <w:rPr>
          <w:lang w:val="fr-FR"/>
        </w:rPr>
        <w:t>e</w:t>
      </w:r>
      <w:r w:rsidRPr="003A411E">
        <w:rPr>
          <w:lang w:val="fr-FR"/>
        </w:rPr>
        <w:t xml:space="preserve"> avec des personnes privées de liberté, des membres des forces de l’ordre, des agents pénitentiaires, des membres du personnel médical et d’autres personnes. Le </w:t>
      </w:r>
      <w:r w:rsidR="00AF7450" w:rsidRPr="003A411E">
        <w:rPr>
          <w:lang w:val="fr-FR"/>
        </w:rPr>
        <w:t>Sous-Comité</w:t>
      </w:r>
      <w:r w:rsidRPr="003A411E">
        <w:rPr>
          <w:lang w:val="fr-FR"/>
        </w:rPr>
        <w:t xml:space="preserve"> tient à remercier toutes </w:t>
      </w:r>
      <w:r w:rsidR="00BC42F4" w:rsidRPr="003A411E">
        <w:rPr>
          <w:lang w:val="fr-FR"/>
        </w:rPr>
        <w:t>c</w:t>
      </w:r>
      <w:r w:rsidRPr="003A411E">
        <w:rPr>
          <w:lang w:val="fr-FR"/>
        </w:rPr>
        <w:t>es personnes et institutions pour leur précieuse collaboration.</w:t>
      </w:r>
    </w:p>
    <w:p w14:paraId="64BF131C" w14:textId="12567B0B" w:rsidR="008F1465" w:rsidRPr="003A411E" w:rsidRDefault="008B2440" w:rsidP="009C7992">
      <w:pPr>
        <w:pStyle w:val="SingleTxtG"/>
        <w:rPr>
          <w:lang w:val="fr-FR"/>
        </w:rPr>
      </w:pPr>
      <w:r w:rsidRPr="003A411E">
        <w:rPr>
          <w:lang w:val="fr-FR"/>
        </w:rPr>
        <w:t>5.</w:t>
      </w:r>
      <w:r w:rsidRPr="003A411E">
        <w:rPr>
          <w:lang w:val="fr-FR"/>
        </w:rPr>
        <w:tab/>
      </w:r>
      <w:r w:rsidR="007F7A60" w:rsidRPr="003A411E">
        <w:rPr>
          <w:lang w:val="fr-FR"/>
        </w:rPr>
        <w:t>À</w:t>
      </w:r>
      <w:r w:rsidR="008F1465" w:rsidRPr="003A411E">
        <w:rPr>
          <w:lang w:val="fr-FR"/>
        </w:rPr>
        <w:t xml:space="preserve"> la fin de </w:t>
      </w:r>
      <w:r w:rsidR="009C7992" w:rsidRPr="003A411E">
        <w:rPr>
          <w:lang w:val="fr-FR"/>
        </w:rPr>
        <w:t>sa</w:t>
      </w:r>
      <w:r w:rsidR="008F1465" w:rsidRPr="003A411E">
        <w:rPr>
          <w:lang w:val="fr-FR"/>
        </w:rPr>
        <w:t xml:space="preserve"> visite, la délégation a présenté oralement ses observations préliminaires confidentielles aux représentants du </w:t>
      </w:r>
      <w:r w:rsidR="009C7992" w:rsidRPr="003A411E">
        <w:rPr>
          <w:lang w:val="fr-FR"/>
        </w:rPr>
        <w:t>G</w:t>
      </w:r>
      <w:r w:rsidR="008F1465" w:rsidRPr="003A411E">
        <w:rPr>
          <w:lang w:val="fr-FR"/>
        </w:rPr>
        <w:t xml:space="preserve">ouvernement. </w:t>
      </w:r>
    </w:p>
    <w:p w14:paraId="114D14BB" w14:textId="1ABB14D6" w:rsidR="008F1465" w:rsidRPr="003A411E" w:rsidRDefault="008F1465" w:rsidP="009C7992">
      <w:pPr>
        <w:pStyle w:val="SingleTxtG"/>
        <w:rPr>
          <w:lang w:val="fr-FR"/>
        </w:rPr>
      </w:pPr>
      <w:r w:rsidRPr="003A411E">
        <w:rPr>
          <w:lang w:val="fr-FR"/>
        </w:rPr>
        <w:t>6.</w:t>
      </w:r>
      <w:r w:rsidRPr="003A411E">
        <w:rPr>
          <w:lang w:val="fr-FR"/>
        </w:rPr>
        <w:tab/>
      </w:r>
      <w:r w:rsidR="009C7992" w:rsidRPr="003A411E">
        <w:rPr>
          <w:lang w:val="fr-FR"/>
        </w:rPr>
        <w:t>Le présent</w:t>
      </w:r>
      <w:r w:rsidRPr="003A411E">
        <w:rPr>
          <w:lang w:val="fr-FR"/>
        </w:rPr>
        <w:t xml:space="preserve"> rapport contient des observations, des conclusions et des recommandations.</w:t>
      </w:r>
    </w:p>
    <w:p w14:paraId="55211190" w14:textId="417FAAA5" w:rsidR="008F1465" w:rsidRPr="003A411E" w:rsidRDefault="008F1465" w:rsidP="009C7992">
      <w:pPr>
        <w:pStyle w:val="SingleTxtG"/>
        <w:rPr>
          <w:lang w:val="fr-FR"/>
        </w:rPr>
      </w:pPr>
      <w:r w:rsidRPr="003A411E">
        <w:rPr>
          <w:lang w:val="fr-FR"/>
        </w:rPr>
        <w:t xml:space="preserve">7. </w:t>
      </w:r>
      <w:r w:rsidRPr="003A411E">
        <w:rPr>
          <w:lang w:val="fr-FR"/>
        </w:rPr>
        <w:tab/>
        <w:t xml:space="preserve">Le </w:t>
      </w:r>
      <w:r w:rsidR="00AF7450" w:rsidRPr="003A411E">
        <w:rPr>
          <w:lang w:val="fr-FR"/>
        </w:rPr>
        <w:t>Sous-Comité</w:t>
      </w:r>
      <w:r w:rsidRPr="003A411E">
        <w:rPr>
          <w:lang w:val="fr-FR"/>
        </w:rPr>
        <w:t xml:space="preserve"> a la faculté de formuler des observations complémentaires </w:t>
      </w:r>
      <w:r w:rsidR="009C7992" w:rsidRPr="003A411E">
        <w:rPr>
          <w:lang w:val="fr-FR"/>
        </w:rPr>
        <w:t>au présent</w:t>
      </w:r>
      <w:r w:rsidRPr="003A411E">
        <w:rPr>
          <w:lang w:val="fr-FR"/>
        </w:rPr>
        <w:t xml:space="preserve"> rapport</w:t>
      </w:r>
      <w:r w:rsidR="009C7992" w:rsidRPr="003A411E">
        <w:rPr>
          <w:lang w:val="fr-FR"/>
        </w:rPr>
        <w:t>,</w:t>
      </w:r>
      <w:r w:rsidRPr="003A411E">
        <w:rPr>
          <w:lang w:val="fr-FR"/>
        </w:rPr>
        <w:t xml:space="preserve"> dans le cadre de ses échanges avec le Burkina Faso. L’absence d’observations sur une institution ou un lieu de détention donné que le </w:t>
      </w:r>
      <w:r w:rsidR="00AF7450" w:rsidRPr="003A411E">
        <w:rPr>
          <w:lang w:val="fr-FR"/>
        </w:rPr>
        <w:t>Sous-Comité</w:t>
      </w:r>
      <w:r w:rsidRPr="003A411E">
        <w:rPr>
          <w:lang w:val="fr-FR"/>
        </w:rPr>
        <w:t xml:space="preserve"> a visité ne doit nullement être interprétée comme un avis favorable ou défavorable </w:t>
      </w:r>
      <w:r w:rsidR="009C7992" w:rsidRPr="003A411E">
        <w:rPr>
          <w:lang w:val="fr-FR"/>
        </w:rPr>
        <w:t>sur</w:t>
      </w:r>
      <w:r w:rsidRPr="003A411E">
        <w:rPr>
          <w:lang w:val="fr-FR"/>
        </w:rPr>
        <w:t xml:space="preserve"> l’institution ou le lieu en question.</w:t>
      </w:r>
    </w:p>
    <w:p w14:paraId="70ABB406" w14:textId="59C24D2A" w:rsidR="008F1465" w:rsidRPr="003A411E" w:rsidRDefault="008F1465" w:rsidP="009C7992">
      <w:pPr>
        <w:pStyle w:val="SingleTxtG"/>
        <w:rPr>
          <w:b/>
          <w:lang w:val="fr-FR"/>
        </w:rPr>
      </w:pPr>
      <w:r w:rsidRPr="003A411E">
        <w:rPr>
          <w:lang w:val="fr-FR"/>
        </w:rPr>
        <w:t>8.</w:t>
      </w:r>
      <w:r w:rsidRPr="003A411E">
        <w:rPr>
          <w:b/>
          <w:lang w:val="fr-FR"/>
        </w:rPr>
        <w:t xml:space="preserve"> </w:t>
      </w:r>
      <w:r w:rsidRPr="003A411E">
        <w:rPr>
          <w:b/>
          <w:lang w:val="fr-FR"/>
        </w:rPr>
        <w:tab/>
        <w:t>Le Sous-Comité recommande que le présent rapport soit diffusé auprès de tous les organes, services et établissements concernés</w:t>
      </w:r>
      <w:r w:rsidR="009C7992" w:rsidRPr="003A411E">
        <w:rPr>
          <w:b/>
          <w:lang w:val="fr-FR"/>
        </w:rPr>
        <w:t>,</w:t>
      </w:r>
      <w:r w:rsidRPr="003A411E">
        <w:rPr>
          <w:b/>
          <w:lang w:val="fr-FR"/>
        </w:rPr>
        <w:t xml:space="preserve"> notamment ceux qu’il mentionne expressément.</w:t>
      </w:r>
    </w:p>
    <w:p w14:paraId="06264DE8" w14:textId="0E171A34" w:rsidR="008F1465" w:rsidRPr="00677254" w:rsidRDefault="008F1465" w:rsidP="0063247C">
      <w:pPr>
        <w:pStyle w:val="SingleTxtG"/>
        <w:rPr>
          <w:bCs/>
          <w:lang w:val="fr-FR"/>
        </w:rPr>
      </w:pPr>
      <w:r w:rsidRPr="003A411E">
        <w:rPr>
          <w:lang w:val="fr-FR"/>
        </w:rPr>
        <w:t>9.</w:t>
      </w:r>
      <w:r w:rsidRPr="003A411E">
        <w:rPr>
          <w:b/>
          <w:lang w:val="fr-FR"/>
        </w:rPr>
        <w:t xml:space="preserve"> </w:t>
      </w:r>
      <w:r w:rsidRPr="003A411E">
        <w:rPr>
          <w:b/>
          <w:lang w:val="fr-FR"/>
        </w:rPr>
        <w:tab/>
      </w:r>
      <w:r w:rsidRPr="003A411E">
        <w:rPr>
          <w:bCs/>
          <w:lang w:val="fr-FR"/>
        </w:rPr>
        <w:t>Conformément au paragraphe 2 de</w:t>
      </w:r>
      <w:r w:rsidRPr="00677254">
        <w:rPr>
          <w:bCs/>
          <w:lang w:val="fr-FR"/>
        </w:rPr>
        <w:t xml:space="preserve"> l’article 16 du Protocole facultatif, le présent rapport demeurera confidentiel jusqu’à ce que le Burkina Faso décide de le rendre public. Le </w:t>
      </w:r>
      <w:r w:rsidR="00AF7450" w:rsidRPr="00677254">
        <w:rPr>
          <w:bCs/>
          <w:lang w:val="fr-FR"/>
        </w:rPr>
        <w:t>Sous-Comité</w:t>
      </w:r>
      <w:r w:rsidRPr="00677254">
        <w:rPr>
          <w:bCs/>
          <w:lang w:val="fr-FR"/>
        </w:rPr>
        <w:t xml:space="preserve"> est convaincu que la publication du présent rapport contribuerait positivement à la prévention de la torture et des mauvais traitements au Burkina Faso.</w:t>
      </w:r>
    </w:p>
    <w:p w14:paraId="06877D59" w14:textId="2754FD7B" w:rsidR="008F1465" w:rsidRPr="003A411E" w:rsidRDefault="008F1465" w:rsidP="0063247C">
      <w:pPr>
        <w:pStyle w:val="SingleTxtG"/>
        <w:rPr>
          <w:b/>
          <w:lang w:val="fr-FR"/>
        </w:rPr>
      </w:pPr>
      <w:r w:rsidRPr="003A411E">
        <w:rPr>
          <w:lang w:val="fr-FR"/>
        </w:rPr>
        <w:t>10.</w:t>
      </w:r>
      <w:r w:rsidRPr="003A411E">
        <w:rPr>
          <w:b/>
          <w:lang w:val="fr-FR"/>
        </w:rPr>
        <w:t xml:space="preserve"> </w:t>
      </w:r>
      <w:r w:rsidRPr="003A411E">
        <w:rPr>
          <w:b/>
          <w:lang w:val="fr-FR"/>
        </w:rPr>
        <w:tab/>
        <w:t xml:space="preserve">Le </w:t>
      </w:r>
      <w:r w:rsidR="00AF7450" w:rsidRPr="003A411E">
        <w:rPr>
          <w:b/>
          <w:lang w:val="fr-FR"/>
        </w:rPr>
        <w:t>Sous-Comité</w:t>
      </w:r>
      <w:r w:rsidRPr="003A411E">
        <w:rPr>
          <w:b/>
          <w:lang w:val="fr-FR"/>
        </w:rPr>
        <w:t xml:space="preserve"> recommande au Burkina Faso de demander la publication du présent rapport conformément au paragraphe 2 de l’article 16 du Protocole facultatif.</w:t>
      </w:r>
    </w:p>
    <w:p w14:paraId="16E07E6D" w14:textId="423160DA" w:rsidR="008F1465" w:rsidRPr="00677254" w:rsidRDefault="008F1465" w:rsidP="0088718E">
      <w:pPr>
        <w:pStyle w:val="SingleTxtG"/>
        <w:rPr>
          <w:bCs/>
          <w:lang w:val="fr-FR"/>
        </w:rPr>
      </w:pPr>
      <w:r w:rsidRPr="003A411E">
        <w:rPr>
          <w:lang w:val="fr-FR"/>
        </w:rPr>
        <w:t>11.</w:t>
      </w:r>
      <w:r w:rsidRPr="003A411E">
        <w:rPr>
          <w:b/>
          <w:lang w:val="fr-FR"/>
        </w:rPr>
        <w:t xml:space="preserve"> </w:t>
      </w:r>
      <w:r w:rsidRPr="003A411E">
        <w:rPr>
          <w:b/>
          <w:lang w:val="fr-FR"/>
        </w:rPr>
        <w:tab/>
      </w:r>
      <w:r w:rsidRPr="00677254">
        <w:rPr>
          <w:bCs/>
          <w:lang w:val="fr-FR"/>
        </w:rPr>
        <w:t xml:space="preserve">Le </w:t>
      </w:r>
      <w:r w:rsidR="00AF7450" w:rsidRPr="00677254">
        <w:rPr>
          <w:bCs/>
          <w:lang w:val="fr-FR"/>
        </w:rPr>
        <w:t>Sous-Comité</w:t>
      </w:r>
      <w:r w:rsidRPr="00677254">
        <w:rPr>
          <w:bCs/>
          <w:lang w:val="fr-FR"/>
        </w:rPr>
        <w:t xml:space="preserve"> attire l’attention du Burkina Faso sur le Fonds spécial créé </w:t>
      </w:r>
      <w:r w:rsidR="0088718E" w:rsidRPr="003A411E">
        <w:rPr>
          <w:bCs/>
          <w:lang w:val="fr-FR"/>
        </w:rPr>
        <w:t>par le</w:t>
      </w:r>
      <w:r w:rsidRPr="00677254">
        <w:rPr>
          <w:bCs/>
          <w:lang w:val="fr-FR"/>
        </w:rPr>
        <w:t xml:space="preserve"> Protocole facultatif</w:t>
      </w:r>
      <w:r w:rsidR="0088718E" w:rsidRPr="003A411E">
        <w:rPr>
          <w:bCs/>
          <w:lang w:val="fr-FR"/>
        </w:rPr>
        <w:t>,</w:t>
      </w:r>
      <w:r w:rsidRPr="00677254">
        <w:rPr>
          <w:bCs/>
          <w:lang w:val="fr-FR"/>
        </w:rPr>
        <w:t xml:space="preserve"> </w:t>
      </w:r>
      <w:r w:rsidR="0088718E" w:rsidRPr="003A411E">
        <w:rPr>
          <w:bCs/>
          <w:lang w:val="fr-FR"/>
        </w:rPr>
        <w:t xml:space="preserve">en son </w:t>
      </w:r>
      <w:r w:rsidRPr="00677254">
        <w:rPr>
          <w:bCs/>
          <w:lang w:val="fr-FR"/>
        </w:rPr>
        <w:t>art</w:t>
      </w:r>
      <w:r w:rsidR="0088718E" w:rsidRPr="003A411E">
        <w:rPr>
          <w:bCs/>
          <w:lang w:val="fr-FR"/>
        </w:rPr>
        <w:t>icle</w:t>
      </w:r>
      <w:r w:rsidRPr="00677254">
        <w:rPr>
          <w:bCs/>
          <w:lang w:val="fr-FR"/>
        </w:rPr>
        <w:t xml:space="preserve"> 26</w:t>
      </w:r>
      <w:r w:rsidR="0088718E" w:rsidRPr="003A411E">
        <w:rPr>
          <w:bCs/>
          <w:lang w:val="fr-FR"/>
        </w:rPr>
        <w:t>,</w:t>
      </w:r>
      <w:r w:rsidRPr="00677254">
        <w:rPr>
          <w:bCs/>
          <w:lang w:val="fr-FR"/>
        </w:rPr>
        <w:t xml:space="preserve"> et rappelle à l’</w:t>
      </w:r>
      <w:r w:rsidR="0088718E" w:rsidRPr="003A411E">
        <w:rPr>
          <w:bCs/>
          <w:lang w:val="fr-FR"/>
        </w:rPr>
        <w:t>É</w:t>
      </w:r>
      <w:r w:rsidRPr="00677254">
        <w:rPr>
          <w:bCs/>
          <w:lang w:val="fr-FR"/>
        </w:rPr>
        <w:t>tat</w:t>
      </w:r>
      <w:r w:rsidR="0088718E" w:rsidRPr="003A411E">
        <w:rPr>
          <w:bCs/>
          <w:lang w:val="fr-FR"/>
        </w:rPr>
        <w:t xml:space="preserve"> partie</w:t>
      </w:r>
      <w:r w:rsidRPr="00677254">
        <w:rPr>
          <w:bCs/>
          <w:lang w:val="fr-FR"/>
        </w:rPr>
        <w:t xml:space="preserve"> que les recommandations formulées dans </w:t>
      </w:r>
      <w:r w:rsidR="0088718E" w:rsidRPr="003A411E">
        <w:rPr>
          <w:bCs/>
          <w:lang w:val="fr-FR"/>
        </w:rPr>
        <w:t>ses</w:t>
      </w:r>
      <w:r w:rsidRPr="00677254">
        <w:rPr>
          <w:bCs/>
          <w:lang w:val="fr-FR"/>
        </w:rPr>
        <w:t xml:space="preserve"> rapports de visite rendus publi</w:t>
      </w:r>
      <w:r w:rsidR="0088718E" w:rsidRPr="003A411E">
        <w:rPr>
          <w:bCs/>
          <w:lang w:val="fr-FR"/>
        </w:rPr>
        <w:t>c</w:t>
      </w:r>
      <w:r w:rsidRPr="00677254">
        <w:rPr>
          <w:bCs/>
          <w:lang w:val="fr-FR"/>
        </w:rPr>
        <w:t xml:space="preserve">s servent de fondement </w:t>
      </w:r>
      <w:r w:rsidR="0088718E" w:rsidRPr="003A411E">
        <w:rPr>
          <w:bCs/>
          <w:lang w:val="fr-FR"/>
        </w:rPr>
        <w:t>pour</w:t>
      </w:r>
      <w:r w:rsidRPr="00677254">
        <w:rPr>
          <w:bCs/>
          <w:lang w:val="fr-FR"/>
        </w:rPr>
        <w:t xml:space="preserve"> la soumission de demandes au Fonds spécial, conformément aux critères publiés par celui-ci.</w:t>
      </w:r>
    </w:p>
    <w:p w14:paraId="3D5ECCD3" w14:textId="4AEF93A5" w:rsidR="008F1465" w:rsidRPr="00677254" w:rsidRDefault="005A47D6" w:rsidP="00793F09">
      <w:pPr>
        <w:pStyle w:val="SingleTxtG"/>
        <w:rPr>
          <w:bCs/>
          <w:lang w:val="fr-FR"/>
        </w:rPr>
      </w:pPr>
      <w:r w:rsidRPr="003A411E">
        <w:rPr>
          <w:lang w:val="fr-FR"/>
        </w:rPr>
        <w:t>12.</w:t>
      </w:r>
      <w:r w:rsidRPr="003A411E">
        <w:rPr>
          <w:b/>
          <w:lang w:val="fr-FR"/>
        </w:rPr>
        <w:tab/>
      </w:r>
      <w:r w:rsidR="008F1465" w:rsidRPr="00677254">
        <w:rPr>
          <w:bCs/>
          <w:lang w:val="fr-FR"/>
        </w:rPr>
        <w:t>Le Sous-Comité tient à remercier les autorités pour l’aide et l’assistance qu’</w:t>
      </w:r>
      <w:r w:rsidR="0088718E" w:rsidRPr="003A411E">
        <w:rPr>
          <w:bCs/>
          <w:lang w:val="fr-FR"/>
        </w:rPr>
        <w:t>elles</w:t>
      </w:r>
      <w:r w:rsidR="008F1465" w:rsidRPr="00677254">
        <w:rPr>
          <w:bCs/>
          <w:lang w:val="fr-FR"/>
        </w:rPr>
        <w:t xml:space="preserve"> lui ont apporté</w:t>
      </w:r>
      <w:r w:rsidR="0088718E" w:rsidRPr="003A411E">
        <w:rPr>
          <w:bCs/>
          <w:lang w:val="fr-FR"/>
        </w:rPr>
        <w:t>e</w:t>
      </w:r>
      <w:r w:rsidR="008F1465" w:rsidRPr="00677254">
        <w:rPr>
          <w:bCs/>
          <w:lang w:val="fr-FR"/>
        </w:rPr>
        <w:t>s pendant la planification et la réalisation de sa visite</w:t>
      </w:r>
      <w:r w:rsidR="0088718E" w:rsidRPr="003A411E">
        <w:rPr>
          <w:bCs/>
          <w:lang w:val="fr-FR"/>
        </w:rPr>
        <w:t>,</w:t>
      </w:r>
      <w:r w:rsidR="008F1465" w:rsidRPr="00677254">
        <w:rPr>
          <w:bCs/>
          <w:lang w:val="fr-FR"/>
        </w:rPr>
        <w:t xml:space="preserve"> particulièrement Yakouma Jean de Dieu Bambara, l’agent de liaison désigné, dont la diligence et la disponibilité ont contribué à faciliter la visite. Le </w:t>
      </w:r>
      <w:r w:rsidR="00AF7450" w:rsidRPr="00677254">
        <w:rPr>
          <w:bCs/>
          <w:lang w:val="fr-FR"/>
        </w:rPr>
        <w:t>Sous-Comité</w:t>
      </w:r>
      <w:r w:rsidR="008F1465" w:rsidRPr="00677254">
        <w:rPr>
          <w:bCs/>
          <w:lang w:val="fr-FR"/>
        </w:rPr>
        <w:t xml:space="preserve"> exprime également sa reconnaissance au </w:t>
      </w:r>
      <w:r w:rsidR="0088718E" w:rsidRPr="003A411E">
        <w:rPr>
          <w:bCs/>
          <w:lang w:val="fr-FR"/>
        </w:rPr>
        <w:t>Bureau du Programme des Nations Unies pour le développement</w:t>
      </w:r>
      <w:r w:rsidR="00793F09" w:rsidRPr="003A411E">
        <w:rPr>
          <w:bCs/>
          <w:lang w:val="fr-FR"/>
        </w:rPr>
        <w:t xml:space="preserve"> au Burkina Faso</w:t>
      </w:r>
      <w:r w:rsidR="008F1465" w:rsidRPr="00677254">
        <w:rPr>
          <w:bCs/>
          <w:lang w:val="fr-FR"/>
        </w:rPr>
        <w:t xml:space="preserve"> pour son soutien.</w:t>
      </w:r>
    </w:p>
    <w:p w14:paraId="78E4A173" w14:textId="77777777" w:rsidR="008F1465" w:rsidRPr="003A411E" w:rsidRDefault="008F1465" w:rsidP="005A47D6">
      <w:pPr>
        <w:pStyle w:val="HChG"/>
        <w:rPr>
          <w:lang w:val="fr-FR"/>
        </w:rPr>
      </w:pPr>
      <w:r w:rsidRPr="003A411E">
        <w:rPr>
          <w:lang w:val="fr-FR"/>
        </w:rPr>
        <w:lastRenderedPageBreak/>
        <w:tab/>
        <w:t>II.</w:t>
      </w:r>
      <w:r w:rsidRPr="003A411E">
        <w:rPr>
          <w:lang w:val="fr-FR"/>
        </w:rPr>
        <w:tab/>
        <w:t>Facilitation de la visite et coopération</w:t>
      </w:r>
    </w:p>
    <w:p w14:paraId="7612C112" w14:textId="3811958C" w:rsidR="008F1465" w:rsidRPr="003A411E" w:rsidRDefault="008F1465" w:rsidP="00793F09">
      <w:pPr>
        <w:pStyle w:val="SingleTxtG"/>
        <w:rPr>
          <w:lang w:val="fr-FR"/>
        </w:rPr>
      </w:pPr>
      <w:r w:rsidRPr="003A411E">
        <w:rPr>
          <w:lang w:val="fr-FR"/>
        </w:rPr>
        <w:t xml:space="preserve">13. </w:t>
      </w:r>
      <w:r w:rsidRPr="003A411E">
        <w:rPr>
          <w:lang w:val="fr-FR"/>
        </w:rPr>
        <w:tab/>
        <w:t xml:space="preserve">Le </w:t>
      </w:r>
      <w:r w:rsidR="00AF7450" w:rsidRPr="003A411E">
        <w:rPr>
          <w:lang w:val="fr-FR"/>
        </w:rPr>
        <w:t>Sous-Comité</w:t>
      </w:r>
      <w:r w:rsidRPr="003A411E">
        <w:rPr>
          <w:lang w:val="fr-FR"/>
        </w:rPr>
        <w:t xml:space="preserve"> note avec satisfaction que le Gouvernement lui a accordé l’accès sans restriction aux lieux de détention, conformément au Protocole facultatif. Il a apprécié que les </w:t>
      </w:r>
      <w:r w:rsidR="00793F09" w:rsidRPr="003A411E">
        <w:rPr>
          <w:lang w:val="fr-FR"/>
        </w:rPr>
        <w:t>autorisations</w:t>
      </w:r>
      <w:r w:rsidRPr="003A411E">
        <w:rPr>
          <w:lang w:val="fr-FR"/>
        </w:rPr>
        <w:t xml:space="preserve"> nécessaires pour accéder à tous les lieux de privation de liberté, établi</w:t>
      </w:r>
      <w:r w:rsidR="00793F09" w:rsidRPr="003A411E">
        <w:rPr>
          <w:lang w:val="fr-FR"/>
        </w:rPr>
        <w:t>e</w:t>
      </w:r>
      <w:r w:rsidRPr="003A411E">
        <w:rPr>
          <w:lang w:val="fr-FR"/>
        </w:rPr>
        <w:t>s en accord avec le modèle du Sous-</w:t>
      </w:r>
      <w:r w:rsidR="00793F09" w:rsidRPr="003A411E">
        <w:rPr>
          <w:lang w:val="fr-FR"/>
        </w:rPr>
        <w:t>C</w:t>
      </w:r>
      <w:r w:rsidRPr="003A411E">
        <w:rPr>
          <w:lang w:val="fr-FR"/>
        </w:rPr>
        <w:t>omité, ainsi que les textes de lois</w:t>
      </w:r>
      <w:r w:rsidR="00793F09" w:rsidRPr="003A411E">
        <w:rPr>
          <w:lang w:val="fr-FR"/>
        </w:rPr>
        <w:t xml:space="preserve"> pertinents</w:t>
      </w:r>
      <w:r w:rsidRPr="003A411E">
        <w:rPr>
          <w:lang w:val="fr-FR"/>
        </w:rPr>
        <w:t xml:space="preserve"> et les informations </w:t>
      </w:r>
      <w:r w:rsidR="00793F09" w:rsidRPr="003A411E">
        <w:rPr>
          <w:lang w:val="fr-FR"/>
        </w:rPr>
        <w:t>relatives aux</w:t>
      </w:r>
      <w:r w:rsidRPr="003A411E">
        <w:rPr>
          <w:lang w:val="fr-FR"/>
        </w:rPr>
        <w:t xml:space="preserve"> postes de gendarmerie, </w:t>
      </w:r>
      <w:r w:rsidR="00793F09" w:rsidRPr="003A411E">
        <w:rPr>
          <w:lang w:val="fr-FR"/>
        </w:rPr>
        <w:t xml:space="preserve">aux </w:t>
      </w:r>
      <w:r w:rsidRPr="003A411E">
        <w:rPr>
          <w:lang w:val="fr-FR"/>
        </w:rPr>
        <w:t xml:space="preserve">postes de police et </w:t>
      </w:r>
      <w:r w:rsidR="00793F09" w:rsidRPr="003A411E">
        <w:rPr>
          <w:lang w:val="fr-FR"/>
        </w:rPr>
        <w:t xml:space="preserve">aux </w:t>
      </w:r>
      <w:r w:rsidRPr="003A411E">
        <w:rPr>
          <w:lang w:val="fr-FR"/>
        </w:rPr>
        <w:t xml:space="preserve">centres de détention, requis préalablement à la visite, aient été </w:t>
      </w:r>
      <w:r w:rsidR="00793F09" w:rsidRPr="003A411E">
        <w:rPr>
          <w:lang w:val="fr-FR"/>
        </w:rPr>
        <w:t>fournis</w:t>
      </w:r>
      <w:r w:rsidRPr="003A411E">
        <w:rPr>
          <w:lang w:val="fr-FR"/>
        </w:rPr>
        <w:t xml:space="preserve"> en temps opportun, ce qui a grandement </w:t>
      </w:r>
      <w:r w:rsidR="00793F09" w:rsidRPr="003A411E">
        <w:rPr>
          <w:lang w:val="fr-FR"/>
        </w:rPr>
        <w:t xml:space="preserve">facilité </w:t>
      </w:r>
      <w:r w:rsidRPr="003A411E">
        <w:rPr>
          <w:lang w:val="fr-FR"/>
        </w:rPr>
        <w:t xml:space="preserve">la visite. </w:t>
      </w:r>
    </w:p>
    <w:p w14:paraId="4885B8F7" w14:textId="25EF9A44" w:rsidR="008F1465" w:rsidRPr="003A411E" w:rsidRDefault="008F1465" w:rsidP="00793F09">
      <w:pPr>
        <w:pStyle w:val="SingleTxtG"/>
        <w:rPr>
          <w:lang w:val="fr-FR"/>
        </w:rPr>
      </w:pPr>
      <w:r w:rsidRPr="003A411E">
        <w:rPr>
          <w:lang w:val="fr-FR"/>
        </w:rPr>
        <w:t xml:space="preserve">14. </w:t>
      </w:r>
      <w:r w:rsidR="005A47D6" w:rsidRPr="003A411E">
        <w:rPr>
          <w:lang w:val="fr-FR"/>
        </w:rPr>
        <w:tab/>
      </w:r>
      <w:r w:rsidRPr="003A411E">
        <w:rPr>
          <w:lang w:val="fr-FR"/>
        </w:rPr>
        <w:t>Le Sous-</w:t>
      </w:r>
      <w:r w:rsidR="00793F09" w:rsidRPr="003A411E">
        <w:rPr>
          <w:lang w:val="fr-FR"/>
        </w:rPr>
        <w:t>C</w:t>
      </w:r>
      <w:r w:rsidRPr="003A411E">
        <w:rPr>
          <w:lang w:val="fr-FR"/>
        </w:rPr>
        <w:t xml:space="preserve">omité a apprécié le dialogue franc et constructif engagé avec les autorités. Il prend acte de l’engagement des pouvoirs publics </w:t>
      </w:r>
      <w:r w:rsidR="00793F09" w:rsidRPr="003A411E">
        <w:rPr>
          <w:lang w:val="fr-FR"/>
        </w:rPr>
        <w:t>à</w:t>
      </w:r>
      <w:r w:rsidRPr="003A411E">
        <w:rPr>
          <w:lang w:val="fr-FR"/>
        </w:rPr>
        <w:t xml:space="preserve"> remplir leurs obligations résultant du Protocole facultatif. </w:t>
      </w:r>
    </w:p>
    <w:p w14:paraId="526B1029" w14:textId="4D32EB0E" w:rsidR="008F1465" w:rsidRPr="00677254" w:rsidRDefault="008F1465" w:rsidP="00315603">
      <w:pPr>
        <w:pStyle w:val="SingleTxtG"/>
        <w:rPr>
          <w:bCs/>
          <w:lang w:val="fr-FR"/>
        </w:rPr>
      </w:pPr>
      <w:r w:rsidRPr="003A411E">
        <w:rPr>
          <w:lang w:val="fr-FR"/>
        </w:rPr>
        <w:t xml:space="preserve">15. </w:t>
      </w:r>
      <w:r w:rsidR="005A47D6" w:rsidRPr="003A411E">
        <w:rPr>
          <w:lang w:val="fr-FR"/>
        </w:rPr>
        <w:tab/>
      </w:r>
      <w:r w:rsidRPr="003A411E">
        <w:rPr>
          <w:lang w:val="fr-FR"/>
        </w:rPr>
        <w:t xml:space="preserve">La délégation regrette cependant de ne pas avoir pu visiter le commissariat de </w:t>
      </w:r>
      <w:r w:rsidR="006F156F" w:rsidRPr="003A411E">
        <w:rPr>
          <w:lang w:val="fr-FR"/>
        </w:rPr>
        <w:t>p</w:t>
      </w:r>
      <w:r w:rsidRPr="003A411E">
        <w:rPr>
          <w:lang w:val="fr-FR"/>
        </w:rPr>
        <w:t>olice de Wemtenga en raison du refus catégorique de son chef.</w:t>
      </w:r>
      <w:r w:rsidR="006F156F" w:rsidRPr="00677254">
        <w:rPr>
          <w:bCs/>
          <w:lang w:val="fr-FR"/>
        </w:rPr>
        <w:t xml:space="preserve"> </w:t>
      </w:r>
      <w:r w:rsidRPr="00677254">
        <w:rPr>
          <w:bCs/>
          <w:lang w:val="fr-FR"/>
        </w:rPr>
        <w:t xml:space="preserve">Ce refus constitue une violation grave des </w:t>
      </w:r>
      <w:r w:rsidR="0061231B" w:rsidRPr="00677254">
        <w:rPr>
          <w:bCs/>
          <w:lang w:val="fr-FR"/>
        </w:rPr>
        <w:t>dispositions des articles 4, 11</w:t>
      </w:r>
      <w:r w:rsidR="00315603" w:rsidRPr="00677254">
        <w:rPr>
          <w:bCs/>
          <w:lang w:val="fr-FR"/>
        </w:rPr>
        <w:t xml:space="preserve">, </w:t>
      </w:r>
      <w:r w:rsidR="00A84366" w:rsidRPr="00677254">
        <w:rPr>
          <w:bCs/>
          <w:lang w:val="fr-FR"/>
        </w:rPr>
        <w:t>a</w:t>
      </w:r>
      <w:r w:rsidR="00315603" w:rsidRPr="00677254">
        <w:rPr>
          <w:bCs/>
          <w:lang w:val="fr-FR"/>
        </w:rPr>
        <w:t>linéa</w:t>
      </w:r>
      <w:r w:rsidR="006F156F" w:rsidRPr="003A411E">
        <w:rPr>
          <w:bCs/>
          <w:lang w:val="fr-FR"/>
        </w:rPr>
        <w:t> </w:t>
      </w:r>
      <w:r w:rsidR="0061231B" w:rsidRPr="00677254">
        <w:rPr>
          <w:bCs/>
          <w:lang w:val="fr-FR"/>
        </w:rPr>
        <w:t>a), 12</w:t>
      </w:r>
      <w:r w:rsidR="00315603" w:rsidRPr="00677254">
        <w:rPr>
          <w:bCs/>
          <w:lang w:val="fr-FR"/>
        </w:rPr>
        <w:t>, alinéas </w:t>
      </w:r>
      <w:r w:rsidR="0061231B" w:rsidRPr="00677254">
        <w:rPr>
          <w:bCs/>
          <w:lang w:val="fr-FR"/>
        </w:rPr>
        <w:t>a) et b)</w:t>
      </w:r>
      <w:r w:rsidR="00315603" w:rsidRPr="00677254">
        <w:rPr>
          <w:bCs/>
          <w:lang w:val="fr-FR"/>
        </w:rPr>
        <w:t>,</w:t>
      </w:r>
      <w:r w:rsidR="0061231B" w:rsidRPr="00677254">
        <w:rPr>
          <w:bCs/>
          <w:lang w:val="fr-FR"/>
        </w:rPr>
        <w:t xml:space="preserve"> et 14</w:t>
      </w:r>
      <w:r w:rsidR="006F156F" w:rsidRPr="003A411E">
        <w:rPr>
          <w:bCs/>
          <w:lang w:val="fr-FR"/>
        </w:rPr>
        <w:t>, paragraphe 1,</w:t>
      </w:r>
      <w:r w:rsidRPr="00677254">
        <w:rPr>
          <w:bCs/>
          <w:lang w:val="fr-FR"/>
        </w:rPr>
        <w:t xml:space="preserve"> du Protocole</w:t>
      </w:r>
      <w:r w:rsidR="006F156F" w:rsidRPr="003A411E">
        <w:rPr>
          <w:bCs/>
          <w:lang w:val="fr-FR"/>
        </w:rPr>
        <w:t xml:space="preserve"> facultatif</w:t>
      </w:r>
      <w:r w:rsidRPr="00677254">
        <w:rPr>
          <w:bCs/>
          <w:lang w:val="fr-FR"/>
        </w:rPr>
        <w:t xml:space="preserve">. </w:t>
      </w:r>
      <w:r w:rsidRPr="003B0987">
        <w:rPr>
          <w:bCs/>
          <w:lang w:val="fr-FR"/>
        </w:rPr>
        <w:t>Bien</w:t>
      </w:r>
      <w:r w:rsidRPr="00677254">
        <w:rPr>
          <w:bCs/>
          <w:lang w:val="fr-FR"/>
        </w:rPr>
        <w:t xml:space="preserve"> que ce cas isolé ne remette pas en cause la bonne foi de l’</w:t>
      </w:r>
      <w:r w:rsidR="006F156F" w:rsidRPr="003A411E">
        <w:rPr>
          <w:bCs/>
          <w:lang w:val="fr-FR"/>
        </w:rPr>
        <w:t>É</w:t>
      </w:r>
      <w:r w:rsidRPr="00677254">
        <w:rPr>
          <w:bCs/>
          <w:lang w:val="fr-FR"/>
        </w:rPr>
        <w:t>tat</w:t>
      </w:r>
      <w:r w:rsidR="006F156F" w:rsidRPr="003A411E">
        <w:rPr>
          <w:bCs/>
          <w:lang w:val="fr-FR"/>
        </w:rPr>
        <w:t xml:space="preserve"> partie</w:t>
      </w:r>
      <w:r w:rsidRPr="00677254">
        <w:rPr>
          <w:bCs/>
          <w:lang w:val="fr-FR"/>
        </w:rPr>
        <w:t xml:space="preserve"> dans l’exécution de ses obligations, le </w:t>
      </w:r>
      <w:r w:rsidR="00AF7450" w:rsidRPr="00677254">
        <w:rPr>
          <w:bCs/>
          <w:lang w:val="fr-FR"/>
        </w:rPr>
        <w:t>Sous-Comité</w:t>
      </w:r>
      <w:r w:rsidRPr="00677254">
        <w:rPr>
          <w:bCs/>
          <w:lang w:val="fr-FR"/>
        </w:rPr>
        <w:t xml:space="preserve"> souligne la gravité de cet incident</w:t>
      </w:r>
      <w:r w:rsidR="006F156F" w:rsidRPr="003A411E">
        <w:rPr>
          <w:bCs/>
          <w:lang w:val="fr-FR"/>
        </w:rPr>
        <w:t>,</w:t>
      </w:r>
      <w:r w:rsidRPr="00677254">
        <w:rPr>
          <w:bCs/>
          <w:lang w:val="fr-FR"/>
        </w:rPr>
        <w:t xml:space="preserve"> qui renforce les allégations selon lesquelles des actes de torture et de mauvais traitements seraient souvent pratiqués dans ce commissariat durant les gardes à vue</w:t>
      </w:r>
      <w:r w:rsidR="006F156F" w:rsidRPr="003A411E">
        <w:rPr>
          <w:bCs/>
          <w:lang w:val="fr-FR"/>
        </w:rPr>
        <w:t>,</w:t>
      </w:r>
      <w:r w:rsidRPr="00677254">
        <w:rPr>
          <w:bCs/>
          <w:lang w:val="fr-FR"/>
        </w:rPr>
        <w:t xml:space="preserve"> et sape l’effort de coopération exemplaire fourni par l’</w:t>
      </w:r>
      <w:r w:rsidR="006F156F" w:rsidRPr="003A411E">
        <w:rPr>
          <w:bCs/>
          <w:lang w:val="fr-FR"/>
        </w:rPr>
        <w:t>É</w:t>
      </w:r>
      <w:r w:rsidRPr="00677254">
        <w:rPr>
          <w:bCs/>
          <w:lang w:val="fr-FR"/>
        </w:rPr>
        <w:t>tat</w:t>
      </w:r>
      <w:r w:rsidR="006F156F" w:rsidRPr="003A411E">
        <w:rPr>
          <w:bCs/>
          <w:lang w:val="fr-FR"/>
        </w:rPr>
        <w:t xml:space="preserve"> partie</w:t>
      </w:r>
      <w:r w:rsidRPr="00677254">
        <w:rPr>
          <w:bCs/>
          <w:lang w:val="fr-FR"/>
        </w:rPr>
        <w:t xml:space="preserve"> lors de la visite.</w:t>
      </w:r>
    </w:p>
    <w:p w14:paraId="7057E68F" w14:textId="455D5C51" w:rsidR="008F1465" w:rsidRPr="003A411E" w:rsidRDefault="008F1465" w:rsidP="006F156F">
      <w:pPr>
        <w:pStyle w:val="SingleTxtG"/>
        <w:rPr>
          <w:b/>
          <w:lang w:val="fr-FR"/>
        </w:rPr>
      </w:pPr>
      <w:r w:rsidRPr="003A411E">
        <w:rPr>
          <w:lang w:val="fr-FR"/>
        </w:rPr>
        <w:t>1</w:t>
      </w:r>
      <w:r w:rsidR="006F156F" w:rsidRPr="003A411E">
        <w:rPr>
          <w:lang w:val="fr-FR"/>
        </w:rPr>
        <w:t>6</w:t>
      </w:r>
      <w:r w:rsidRPr="003A411E">
        <w:rPr>
          <w:lang w:val="fr-FR"/>
        </w:rPr>
        <w:t>.</w:t>
      </w:r>
      <w:r w:rsidRPr="003A411E">
        <w:rPr>
          <w:b/>
          <w:lang w:val="fr-FR"/>
        </w:rPr>
        <w:t xml:space="preserve"> </w:t>
      </w:r>
      <w:r w:rsidR="005A47D6" w:rsidRPr="003A411E">
        <w:rPr>
          <w:b/>
          <w:lang w:val="fr-FR"/>
        </w:rPr>
        <w:tab/>
      </w:r>
      <w:r w:rsidRPr="003A411E">
        <w:rPr>
          <w:b/>
          <w:lang w:val="fr-FR"/>
        </w:rPr>
        <w:t xml:space="preserve">Le </w:t>
      </w:r>
      <w:r w:rsidR="00AF7450" w:rsidRPr="003A411E">
        <w:rPr>
          <w:b/>
          <w:lang w:val="fr-FR"/>
        </w:rPr>
        <w:t>Sous-Comité</w:t>
      </w:r>
      <w:r w:rsidRPr="003A411E">
        <w:rPr>
          <w:b/>
          <w:lang w:val="fr-FR"/>
        </w:rPr>
        <w:t xml:space="preserve"> recommande à l’</w:t>
      </w:r>
      <w:r w:rsidR="006F156F" w:rsidRPr="003A411E">
        <w:rPr>
          <w:b/>
          <w:lang w:val="fr-FR"/>
        </w:rPr>
        <w:t>É</w:t>
      </w:r>
      <w:r w:rsidRPr="003A411E">
        <w:rPr>
          <w:b/>
          <w:lang w:val="fr-FR"/>
        </w:rPr>
        <w:t>tat</w:t>
      </w:r>
      <w:r w:rsidR="006F156F" w:rsidRPr="003A411E">
        <w:rPr>
          <w:b/>
          <w:lang w:val="fr-FR"/>
        </w:rPr>
        <w:t xml:space="preserve"> partie</w:t>
      </w:r>
      <w:r w:rsidRPr="003A411E">
        <w:rPr>
          <w:b/>
          <w:lang w:val="fr-FR"/>
        </w:rPr>
        <w:t xml:space="preserve"> de diligenter une inspection </w:t>
      </w:r>
      <w:r w:rsidR="00315603" w:rsidRPr="003A411E">
        <w:rPr>
          <w:b/>
          <w:lang w:val="fr-FR"/>
        </w:rPr>
        <w:t xml:space="preserve">du commissariat de police de Wemtenga </w:t>
      </w:r>
      <w:r w:rsidRPr="003A411E">
        <w:rPr>
          <w:b/>
          <w:lang w:val="fr-FR"/>
        </w:rPr>
        <w:t xml:space="preserve">et de lui </w:t>
      </w:r>
      <w:r w:rsidR="005A47D6" w:rsidRPr="003A411E">
        <w:rPr>
          <w:b/>
          <w:lang w:val="fr-FR"/>
        </w:rPr>
        <w:t>en communiquer les conclusions.</w:t>
      </w:r>
    </w:p>
    <w:p w14:paraId="7734EAD7" w14:textId="77777777" w:rsidR="008F1465" w:rsidRPr="003A411E" w:rsidRDefault="008F1465" w:rsidP="005A47D6">
      <w:pPr>
        <w:pStyle w:val="HChG"/>
        <w:rPr>
          <w:lang w:val="fr-FR"/>
        </w:rPr>
      </w:pPr>
      <w:r w:rsidRPr="003A411E">
        <w:rPr>
          <w:lang w:val="fr-FR"/>
        </w:rPr>
        <w:tab/>
        <w:t>III.</w:t>
      </w:r>
      <w:r w:rsidRPr="003A411E">
        <w:rPr>
          <w:lang w:val="fr-FR"/>
        </w:rPr>
        <w:tab/>
        <w:t xml:space="preserve">Méthodologie et plan du rapport </w:t>
      </w:r>
    </w:p>
    <w:p w14:paraId="442233B7" w14:textId="5F0E43FC" w:rsidR="008F1465" w:rsidRPr="003A411E" w:rsidRDefault="008F1465" w:rsidP="00401968">
      <w:pPr>
        <w:pStyle w:val="SingleTxtG"/>
        <w:rPr>
          <w:lang w:val="fr-FR"/>
        </w:rPr>
      </w:pPr>
      <w:r w:rsidRPr="003A411E">
        <w:rPr>
          <w:lang w:val="fr-FR"/>
        </w:rPr>
        <w:t>1</w:t>
      </w:r>
      <w:r w:rsidR="006F156F" w:rsidRPr="003A411E">
        <w:rPr>
          <w:lang w:val="fr-FR"/>
        </w:rPr>
        <w:t>7</w:t>
      </w:r>
      <w:r w:rsidRPr="003A411E">
        <w:rPr>
          <w:lang w:val="fr-FR"/>
        </w:rPr>
        <w:t xml:space="preserve">. </w:t>
      </w:r>
      <w:r w:rsidR="005A47D6" w:rsidRPr="003A411E">
        <w:rPr>
          <w:lang w:val="fr-FR"/>
        </w:rPr>
        <w:tab/>
      </w:r>
      <w:r w:rsidR="006F156F" w:rsidRPr="003A411E">
        <w:rPr>
          <w:lang w:val="fr-FR"/>
        </w:rPr>
        <w:t>Le présent</w:t>
      </w:r>
      <w:r w:rsidRPr="003A411E">
        <w:rPr>
          <w:lang w:val="fr-FR"/>
        </w:rPr>
        <w:t xml:space="preserve"> rapport comporte trois parties : la première a trait à la mise en place du </w:t>
      </w:r>
      <w:r w:rsidR="006F156F" w:rsidRPr="003A411E">
        <w:rPr>
          <w:lang w:val="fr-FR"/>
        </w:rPr>
        <w:t>mécanisme national de prévention</w:t>
      </w:r>
      <w:r w:rsidR="00401968" w:rsidRPr="003A411E">
        <w:rPr>
          <w:lang w:val="fr-FR"/>
        </w:rPr>
        <w:t>,</w:t>
      </w:r>
      <w:r w:rsidRPr="003A411E">
        <w:rPr>
          <w:lang w:val="fr-FR"/>
        </w:rPr>
        <w:t xml:space="preserve"> la deuxième est consacrée aux conditions de détention observées lors des visites de terrain et la troisième est relative à la réforme législative au Burkina Faso. </w:t>
      </w:r>
    </w:p>
    <w:p w14:paraId="6F26C5D3" w14:textId="54EABDEB" w:rsidR="008F1465" w:rsidRPr="003A411E" w:rsidRDefault="005A47D6" w:rsidP="006A2C77">
      <w:pPr>
        <w:pStyle w:val="SingleTxtG"/>
        <w:rPr>
          <w:lang w:val="fr-FR"/>
        </w:rPr>
      </w:pPr>
      <w:r w:rsidRPr="003A411E">
        <w:rPr>
          <w:lang w:val="fr-FR"/>
        </w:rPr>
        <w:t>1</w:t>
      </w:r>
      <w:r w:rsidR="006F156F" w:rsidRPr="003A411E">
        <w:rPr>
          <w:lang w:val="fr-FR"/>
        </w:rPr>
        <w:t>8</w:t>
      </w:r>
      <w:r w:rsidRPr="003A411E">
        <w:rPr>
          <w:lang w:val="fr-FR"/>
        </w:rPr>
        <w:t>.</w:t>
      </w:r>
      <w:r w:rsidRPr="003A411E">
        <w:rPr>
          <w:lang w:val="fr-FR"/>
        </w:rPr>
        <w:tab/>
      </w:r>
      <w:r w:rsidR="008F1465" w:rsidRPr="003A411E">
        <w:rPr>
          <w:lang w:val="fr-FR"/>
        </w:rPr>
        <w:t>Le Sous-</w:t>
      </w:r>
      <w:r w:rsidR="006F156F" w:rsidRPr="003A411E">
        <w:rPr>
          <w:lang w:val="fr-FR"/>
        </w:rPr>
        <w:t>C</w:t>
      </w:r>
      <w:r w:rsidR="008F1465" w:rsidRPr="003A411E">
        <w:rPr>
          <w:lang w:val="fr-FR"/>
        </w:rPr>
        <w:t xml:space="preserve">omité souligne que </w:t>
      </w:r>
      <w:r w:rsidR="006F156F" w:rsidRPr="003A411E">
        <w:rPr>
          <w:lang w:val="fr-FR"/>
        </w:rPr>
        <w:t>le présent rapport</w:t>
      </w:r>
      <w:r w:rsidR="008F1465" w:rsidRPr="003A411E">
        <w:rPr>
          <w:lang w:val="fr-FR"/>
        </w:rPr>
        <w:t xml:space="preserve"> traite de problèmes structurels intrinsèquement liés</w:t>
      </w:r>
      <w:r w:rsidR="006F156F" w:rsidRPr="003A411E">
        <w:rPr>
          <w:lang w:val="fr-FR"/>
        </w:rPr>
        <w:t>,</w:t>
      </w:r>
      <w:r w:rsidR="008F1465" w:rsidRPr="003A411E">
        <w:rPr>
          <w:lang w:val="fr-FR"/>
        </w:rPr>
        <w:t xml:space="preserve"> dont l’examen commun est de nature à rendre efficiente la prévention de la torture et </w:t>
      </w:r>
      <w:r w:rsidR="006A2C77" w:rsidRPr="003A411E">
        <w:rPr>
          <w:lang w:val="fr-FR"/>
        </w:rPr>
        <w:t>des</w:t>
      </w:r>
      <w:r w:rsidR="008F1465" w:rsidRPr="003A411E">
        <w:rPr>
          <w:lang w:val="fr-FR"/>
        </w:rPr>
        <w:t xml:space="preserve"> mauvais traitements.</w:t>
      </w:r>
    </w:p>
    <w:p w14:paraId="3D802165" w14:textId="77777777" w:rsidR="008F1465" w:rsidRPr="003A411E" w:rsidRDefault="008F1465" w:rsidP="005A47D6">
      <w:pPr>
        <w:pStyle w:val="HChG"/>
        <w:rPr>
          <w:lang w:val="fr-FR"/>
        </w:rPr>
      </w:pPr>
      <w:r w:rsidRPr="003A411E">
        <w:rPr>
          <w:lang w:val="fr-FR"/>
        </w:rPr>
        <w:tab/>
        <w:t>IV.</w:t>
      </w:r>
      <w:r w:rsidRPr="003A411E">
        <w:rPr>
          <w:lang w:val="fr-FR"/>
        </w:rPr>
        <w:tab/>
        <w:t>Mécanisme national de prévention</w:t>
      </w:r>
    </w:p>
    <w:p w14:paraId="778DEF56" w14:textId="77777777" w:rsidR="008F1465" w:rsidRPr="003A411E" w:rsidRDefault="008F1465" w:rsidP="005A47D6">
      <w:pPr>
        <w:pStyle w:val="H1G"/>
        <w:rPr>
          <w:lang w:val="fr-FR"/>
        </w:rPr>
      </w:pPr>
      <w:r w:rsidRPr="003A411E">
        <w:rPr>
          <w:lang w:val="fr-FR"/>
        </w:rPr>
        <w:tab/>
        <w:t>A.</w:t>
      </w:r>
      <w:r w:rsidRPr="003A411E">
        <w:rPr>
          <w:lang w:val="fr-FR"/>
        </w:rPr>
        <w:tab/>
        <w:t>Cadre institutionnel</w:t>
      </w:r>
    </w:p>
    <w:p w14:paraId="1B23B9AB" w14:textId="6E5E8D08" w:rsidR="008F1465" w:rsidRPr="003A411E" w:rsidRDefault="006A2C77" w:rsidP="006A2C77">
      <w:pPr>
        <w:pStyle w:val="SingleTxtG"/>
        <w:rPr>
          <w:lang w:val="fr-FR"/>
        </w:rPr>
      </w:pPr>
      <w:r w:rsidRPr="003A411E">
        <w:rPr>
          <w:lang w:val="fr-FR"/>
        </w:rPr>
        <w:t>19</w:t>
      </w:r>
      <w:r w:rsidR="008F1465" w:rsidRPr="003A411E">
        <w:rPr>
          <w:lang w:val="fr-FR"/>
        </w:rPr>
        <w:t xml:space="preserve">. </w:t>
      </w:r>
      <w:r w:rsidR="008F1465" w:rsidRPr="003A411E">
        <w:rPr>
          <w:lang w:val="fr-FR"/>
        </w:rPr>
        <w:tab/>
        <w:t>Le Burkina Faso a ratifié le Protocole facultatif le 7 juillet 2010 et s’est engagé à mettre en place un mécanisme national de prévention dans un délai d’un an</w:t>
      </w:r>
      <w:r w:rsidRPr="003A411E">
        <w:rPr>
          <w:lang w:val="fr-FR"/>
        </w:rPr>
        <w:t>,</w:t>
      </w:r>
      <w:r w:rsidR="008F1465" w:rsidRPr="003A411E">
        <w:rPr>
          <w:lang w:val="fr-FR"/>
        </w:rPr>
        <w:t xml:space="preserve"> conformément à l’art</w:t>
      </w:r>
      <w:r w:rsidRPr="003A411E">
        <w:rPr>
          <w:lang w:val="fr-FR"/>
        </w:rPr>
        <w:t>icle</w:t>
      </w:r>
      <w:r w:rsidR="008F1465" w:rsidRPr="003A411E">
        <w:rPr>
          <w:lang w:val="fr-FR"/>
        </w:rPr>
        <w:t xml:space="preserve"> 17. Cependant, au moment de la visite, l’État partie n’avait pas encore mis en place son </w:t>
      </w:r>
      <w:r w:rsidRPr="003A411E">
        <w:rPr>
          <w:lang w:val="fr-FR"/>
        </w:rPr>
        <w:t>mécanisme</w:t>
      </w:r>
      <w:r w:rsidR="008F1465" w:rsidRPr="003A411E">
        <w:rPr>
          <w:lang w:val="fr-FR"/>
        </w:rPr>
        <w:t xml:space="preserve">, se retrouvant ainsi sur la liste des </w:t>
      </w:r>
      <w:r w:rsidRPr="003A411E">
        <w:rPr>
          <w:lang w:val="fr-FR"/>
        </w:rPr>
        <w:t>É</w:t>
      </w:r>
      <w:r w:rsidR="008F1465" w:rsidRPr="003A411E">
        <w:rPr>
          <w:lang w:val="fr-FR"/>
        </w:rPr>
        <w:t>tats parties ne remplissant pas leurs obligations découlant de l’art</w:t>
      </w:r>
      <w:r w:rsidRPr="003A411E">
        <w:rPr>
          <w:lang w:val="fr-FR"/>
        </w:rPr>
        <w:t>icle</w:t>
      </w:r>
      <w:r w:rsidR="008F1465" w:rsidRPr="003A411E">
        <w:rPr>
          <w:lang w:val="fr-FR"/>
        </w:rPr>
        <w:t xml:space="preserve"> 17 du </w:t>
      </w:r>
      <w:r w:rsidR="0088718E" w:rsidRPr="003A411E">
        <w:rPr>
          <w:lang w:val="fr-FR"/>
        </w:rPr>
        <w:t>P</w:t>
      </w:r>
      <w:r w:rsidR="008F1465" w:rsidRPr="003A411E">
        <w:rPr>
          <w:lang w:val="fr-FR"/>
        </w:rPr>
        <w:t>rotocole</w:t>
      </w:r>
      <w:r w:rsidR="0088718E" w:rsidRPr="003A411E">
        <w:rPr>
          <w:lang w:val="fr-FR"/>
        </w:rPr>
        <w:t xml:space="preserve"> facultatif</w:t>
      </w:r>
      <w:r w:rsidR="008F1465" w:rsidRPr="003A411E">
        <w:rPr>
          <w:lang w:val="fr-FR"/>
        </w:rPr>
        <w:t>.</w:t>
      </w:r>
    </w:p>
    <w:p w14:paraId="44969FAD" w14:textId="3AE5348D" w:rsidR="008F1465" w:rsidRPr="003A411E" w:rsidRDefault="005A47D6" w:rsidP="003C5ECB">
      <w:pPr>
        <w:pStyle w:val="SingleTxtG"/>
        <w:rPr>
          <w:lang w:val="fr-FR"/>
        </w:rPr>
      </w:pPr>
      <w:r w:rsidRPr="003A411E">
        <w:rPr>
          <w:lang w:val="fr-FR"/>
        </w:rPr>
        <w:t>2</w:t>
      </w:r>
      <w:r w:rsidR="006A2C77" w:rsidRPr="003A411E">
        <w:rPr>
          <w:lang w:val="fr-FR"/>
        </w:rPr>
        <w:t>0</w:t>
      </w:r>
      <w:r w:rsidR="008F1465" w:rsidRPr="003A411E">
        <w:rPr>
          <w:lang w:val="fr-FR"/>
        </w:rPr>
        <w:t xml:space="preserve">. </w:t>
      </w:r>
      <w:r w:rsidRPr="003A411E">
        <w:rPr>
          <w:lang w:val="fr-FR"/>
        </w:rPr>
        <w:tab/>
      </w:r>
      <w:r w:rsidR="008F1465" w:rsidRPr="003A411E">
        <w:rPr>
          <w:lang w:val="fr-FR"/>
        </w:rPr>
        <w:t>Pendant sa visite, le Sous-</w:t>
      </w:r>
      <w:r w:rsidR="006A2C77" w:rsidRPr="003A411E">
        <w:rPr>
          <w:lang w:val="fr-FR"/>
        </w:rPr>
        <w:t>C</w:t>
      </w:r>
      <w:r w:rsidR="008F1465" w:rsidRPr="003A411E">
        <w:rPr>
          <w:lang w:val="fr-FR"/>
        </w:rPr>
        <w:t xml:space="preserve">omité a pris connaissance des réformes constitutionnelle, législative et juridique en cours. </w:t>
      </w:r>
      <w:r w:rsidR="008F1465" w:rsidRPr="003A411E">
        <w:t>La loi</w:t>
      </w:r>
      <w:r w:rsidR="008F1465" w:rsidRPr="003A411E">
        <w:rPr>
          <w:lang w:val="fr-FR"/>
        </w:rPr>
        <w:t xml:space="preserve"> </w:t>
      </w:r>
      <w:r w:rsidR="00782504" w:rsidRPr="003A411E">
        <w:rPr>
          <w:lang w:val="fr-FR"/>
        </w:rPr>
        <w:t>n</w:t>
      </w:r>
      <w:r w:rsidR="008F1465" w:rsidRPr="00677254">
        <w:rPr>
          <w:vertAlign w:val="superscript"/>
          <w:lang w:val="fr-FR"/>
        </w:rPr>
        <w:t>o</w:t>
      </w:r>
      <w:r w:rsidR="003646B4">
        <w:rPr>
          <w:lang w:val="fr-FR"/>
        </w:rPr>
        <w:t> </w:t>
      </w:r>
      <w:r w:rsidR="008F1465" w:rsidRPr="003A411E">
        <w:rPr>
          <w:lang w:val="fr-FR"/>
        </w:rPr>
        <w:t>022-2014/AN</w:t>
      </w:r>
      <w:r w:rsidR="00782504" w:rsidRPr="003A411E">
        <w:rPr>
          <w:lang w:val="fr-FR"/>
        </w:rPr>
        <w:t xml:space="preserve"> du 27 mai 2014 portant prévention et répression de la torture et des pratiques assimilées</w:t>
      </w:r>
      <w:r w:rsidR="008F1465" w:rsidRPr="003A411E">
        <w:rPr>
          <w:lang w:val="fr-FR"/>
        </w:rPr>
        <w:t xml:space="preserve"> a</w:t>
      </w:r>
      <w:r w:rsidR="008F1465" w:rsidRPr="003A411E">
        <w:t xml:space="preserve"> institué un </w:t>
      </w:r>
      <w:r w:rsidR="008F1465" w:rsidRPr="003A411E">
        <w:rPr>
          <w:lang w:val="fr-FR"/>
        </w:rPr>
        <w:t>Observatoire national de prévention de la torture et autres pratiques assimilées</w:t>
      </w:r>
      <w:r w:rsidR="008F1465" w:rsidRPr="003A411E">
        <w:t>. Toutefois, au moment de la visite</w:t>
      </w:r>
      <w:r w:rsidR="00782504" w:rsidRPr="003A411E">
        <w:t>,</w:t>
      </w:r>
      <w:r w:rsidR="008F1465" w:rsidRPr="003A411E">
        <w:t xml:space="preserve"> l’</w:t>
      </w:r>
      <w:r w:rsidR="00782504" w:rsidRPr="003A411E">
        <w:t>O</w:t>
      </w:r>
      <w:r w:rsidR="008F1465" w:rsidRPr="003A411E">
        <w:t>bservatoire n’était pas opérationnel. L’</w:t>
      </w:r>
      <w:r w:rsidR="006A2C77" w:rsidRPr="003A411E">
        <w:t>État</w:t>
      </w:r>
      <w:r w:rsidR="008F1465" w:rsidRPr="003A411E">
        <w:t xml:space="preserve"> partie a informé la délégation de sa volonté de réviser cette loi pour adosser le </w:t>
      </w:r>
      <w:r w:rsidR="00782504" w:rsidRPr="003A411E">
        <w:t>mécanisme national de prévention</w:t>
      </w:r>
      <w:r w:rsidR="008F1465" w:rsidRPr="003A411E">
        <w:t xml:space="preserve"> à la </w:t>
      </w:r>
      <w:r w:rsidR="00782504" w:rsidRPr="003A411E">
        <w:t>Commission nationale des droits humains</w:t>
      </w:r>
      <w:r w:rsidR="008F1465" w:rsidRPr="003A411E">
        <w:t xml:space="preserve"> nouvellement réformée</w:t>
      </w:r>
      <w:r w:rsidR="00782504" w:rsidRPr="003A411E">
        <w:t>,</w:t>
      </w:r>
      <w:r w:rsidR="008F1465" w:rsidRPr="003A411E">
        <w:t xml:space="preserve"> mais </w:t>
      </w:r>
      <w:r w:rsidR="00782504" w:rsidRPr="003A411E">
        <w:t>pas</w:t>
      </w:r>
      <w:r w:rsidR="008F1465" w:rsidRPr="003A411E">
        <w:rPr>
          <w:lang w:val="fr-FR"/>
        </w:rPr>
        <w:t xml:space="preserve"> encore opérationnelle</w:t>
      </w:r>
      <w:r w:rsidR="008F1465" w:rsidRPr="003A411E">
        <w:t>.</w:t>
      </w:r>
    </w:p>
    <w:p w14:paraId="61787F6B" w14:textId="616D8F84" w:rsidR="008F1465" w:rsidRPr="003A411E" w:rsidRDefault="005A47D6" w:rsidP="006A2E1A">
      <w:pPr>
        <w:pStyle w:val="SingleTxtG"/>
        <w:rPr>
          <w:lang w:val="fr-FR"/>
        </w:rPr>
      </w:pPr>
      <w:r w:rsidRPr="003A411E">
        <w:rPr>
          <w:lang w:val="fr-FR"/>
        </w:rPr>
        <w:t>2</w:t>
      </w:r>
      <w:r w:rsidR="00782504" w:rsidRPr="003A411E">
        <w:rPr>
          <w:lang w:val="fr-FR"/>
        </w:rPr>
        <w:t>1</w:t>
      </w:r>
      <w:r w:rsidR="008F1465" w:rsidRPr="003A411E">
        <w:rPr>
          <w:lang w:val="fr-FR"/>
        </w:rPr>
        <w:t xml:space="preserve">. </w:t>
      </w:r>
      <w:r w:rsidRPr="003A411E">
        <w:rPr>
          <w:lang w:val="fr-FR"/>
        </w:rPr>
        <w:tab/>
      </w:r>
      <w:r w:rsidR="008F1465" w:rsidRPr="003A411E">
        <w:rPr>
          <w:lang w:val="fr-FR"/>
        </w:rPr>
        <w:t xml:space="preserve">Aux termes de l’article 21 du projet de loi portant modification de la </w:t>
      </w:r>
      <w:r w:rsidR="00782504" w:rsidRPr="003A411E">
        <w:rPr>
          <w:lang w:val="fr-FR"/>
        </w:rPr>
        <w:t>l</w:t>
      </w:r>
      <w:r w:rsidR="008F1465" w:rsidRPr="003A411E">
        <w:rPr>
          <w:lang w:val="fr-FR"/>
        </w:rPr>
        <w:t xml:space="preserve">oi </w:t>
      </w:r>
      <w:r w:rsidR="00782504" w:rsidRPr="003A411E">
        <w:rPr>
          <w:lang w:val="fr-FR"/>
        </w:rPr>
        <w:t>n</w:t>
      </w:r>
      <w:r w:rsidR="008F1465" w:rsidRPr="00677254">
        <w:rPr>
          <w:vertAlign w:val="superscript"/>
          <w:lang w:val="fr-FR"/>
        </w:rPr>
        <w:t>o</w:t>
      </w:r>
      <w:r w:rsidR="003646B4">
        <w:rPr>
          <w:lang w:val="fr-FR"/>
        </w:rPr>
        <w:t> </w:t>
      </w:r>
      <w:r w:rsidR="008F1465" w:rsidRPr="003A411E">
        <w:rPr>
          <w:lang w:val="fr-FR"/>
        </w:rPr>
        <w:t xml:space="preserve">022-2014/AN, la Commission </w:t>
      </w:r>
      <w:r w:rsidR="00782504" w:rsidRPr="003A411E">
        <w:t>nationale des droits humains</w:t>
      </w:r>
      <w:r w:rsidR="00782504" w:rsidRPr="003A411E">
        <w:rPr>
          <w:lang w:val="fr-FR"/>
        </w:rPr>
        <w:t xml:space="preserve"> </w:t>
      </w:r>
      <w:r w:rsidR="008F1465" w:rsidRPr="003A411E">
        <w:rPr>
          <w:lang w:val="fr-FR"/>
        </w:rPr>
        <w:t xml:space="preserve">est habilitée à visiter les lieux de privation de liberté sans restriction, </w:t>
      </w:r>
      <w:r w:rsidR="00782504" w:rsidRPr="003A411E">
        <w:rPr>
          <w:lang w:val="fr-FR"/>
        </w:rPr>
        <w:t xml:space="preserve">à </w:t>
      </w:r>
      <w:r w:rsidR="008F1465" w:rsidRPr="003A411E">
        <w:rPr>
          <w:lang w:val="fr-FR"/>
        </w:rPr>
        <w:t xml:space="preserve">prévenir la torture et les pratiques assimilées en tenant compte des normes internationales, et à examiner régulièrement la situation des personnes privées de liberté. Cependant, la délégation a noté que les dispositions dudit avant-projet </w:t>
      </w:r>
      <w:r w:rsidR="006A2E1A" w:rsidRPr="003A411E">
        <w:rPr>
          <w:lang w:val="fr-FR"/>
        </w:rPr>
        <w:lastRenderedPageBreak/>
        <w:t>n’étaient</w:t>
      </w:r>
      <w:r w:rsidR="008F1465" w:rsidRPr="003A411E">
        <w:rPr>
          <w:lang w:val="fr-FR"/>
        </w:rPr>
        <w:t xml:space="preserve"> pas suffisantes </w:t>
      </w:r>
      <w:r w:rsidR="006A2E1A" w:rsidRPr="003A411E">
        <w:rPr>
          <w:lang w:val="fr-FR"/>
        </w:rPr>
        <w:t>pour</w:t>
      </w:r>
      <w:r w:rsidR="008F1465" w:rsidRPr="003A411E">
        <w:rPr>
          <w:lang w:val="fr-FR"/>
        </w:rPr>
        <w:t xml:space="preserve"> satisfaire les garanties requises </w:t>
      </w:r>
      <w:r w:rsidR="006A2E1A" w:rsidRPr="003A411E">
        <w:rPr>
          <w:lang w:val="fr-FR"/>
        </w:rPr>
        <w:t>par</w:t>
      </w:r>
      <w:r w:rsidR="008F1465" w:rsidRPr="003A411E">
        <w:rPr>
          <w:lang w:val="fr-FR"/>
        </w:rPr>
        <w:t xml:space="preserve"> l’article 18 du Protocole facultatif</w:t>
      </w:r>
      <w:r w:rsidR="006A2E1A" w:rsidRPr="003A411E">
        <w:rPr>
          <w:lang w:val="fr-FR"/>
        </w:rPr>
        <w:t>,</w:t>
      </w:r>
      <w:r w:rsidR="008F1465" w:rsidRPr="003A411E">
        <w:rPr>
          <w:lang w:val="fr-FR"/>
        </w:rPr>
        <w:t xml:space="preserve"> à savoir l’indépendance, les ressources suffisantes, la compétence et la conformité </w:t>
      </w:r>
      <w:r w:rsidR="006A2E1A" w:rsidRPr="003A411E">
        <w:rPr>
          <w:lang w:val="fr-FR"/>
        </w:rPr>
        <w:t>aux</w:t>
      </w:r>
      <w:r w:rsidR="008F1465" w:rsidRPr="003A411E">
        <w:rPr>
          <w:lang w:val="fr-FR"/>
        </w:rPr>
        <w:t xml:space="preserve"> règles relatives aux </w:t>
      </w:r>
      <w:r w:rsidR="006A2E1A" w:rsidRPr="00677254">
        <w:rPr>
          <w:lang w:val="fr-FR"/>
        </w:rPr>
        <w:t>institution</w:t>
      </w:r>
      <w:r w:rsidR="006A2E1A" w:rsidRPr="003A411E">
        <w:rPr>
          <w:lang w:val="fr-FR"/>
        </w:rPr>
        <w:t>s</w:t>
      </w:r>
      <w:r w:rsidR="006A2E1A" w:rsidRPr="00677254">
        <w:rPr>
          <w:lang w:val="fr-FR"/>
        </w:rPr>
        <w:t xml:space="preserve"> nationale</w:t>
      </w:r>
      <w:r w:rsidR="006A2E1A" w:rsidRPr="003A411E">
        <w:rPr>
          <w:lang w:val="fr-FR"/>
        </w:rPr>
        <w:t>s</w:t>
      </w:r>
      <w:r w:rsidR="006A2E1A" w:rsidRPr="00677254">
        <w:rPr>
          <w:lang w:val="fr-FR"/>
        </w:rPr>
        <w:t xml:space="preserve"> pour la promotion et la protection des droits de l</w:t>
      </w:r>
      <w:r w:rsidR="00C11E12">
        <w:rPr>
          <w:lang w:val="fr-FR"/>
        </w:rPr>
        <w:t>’</w:t>
      </w:r>
      <w:r w:rsidR="006A2E1A" w:rsidRPr="00677254">
        <w:rPr>
          <w:lang w:val="fr-FR"/>
        </w:rPr>
        <w:t>homme</w:t>
      </w:r>
      <w:r w:rsidR="008F1465" w:rsidRPr="003A411E">
        <w:rPr>
          <w:lang w:val="fr-FR"/>
        </w:rPr>
        <w:t>.</w:t>
      </w:r>
    </w:p>
    <w:p w14:paraId="66BD2853" w14:textId="596324E8" w:rsidR="008F1465" w:rsidRPr="003A411E" w:rsidRDefault="005A47D6" w:rsidP="006A2E1A">
      <w:pPr>
        <w:pStyle w:val="SingleTxtG"/>
        <w:rPr>
          <w:lang w:val="fr-FR"/>
        </w:rPr>
      </w:pPr>
      <w:r w:rsidRPr="003A411E">
        <w:rPr>
          <w:lang w:val="fr-FR"/>
        </w:rPr>
        <w:t>2</w:t>
      </w:r>
      <w:r w:rsidR="006A2E1A" w:rsidRPr="003A411E">
        <w:rPr>
          <w:lang w:val="fr-FR"/>
        </w:rPr>
        <w:t>2</w:t>
      </w:r>
      <w:r w:rsidR="008F1465" w:rsidRPr="003A411E">
        <w:rPr>
          <w:lang w:val="fr-FR"/>
        </w:rPr>
        <w:t>.</w:t>
      </w:r>
      <w:r w:rsidRPr="003A411E">
        <w:rPr>
          <w:b/>
          <w:lang w:val="fr-FR"/>
        </w:rPr>
        <w:tab/>
      </w:r>
      <w:r w:rsidR="008F1465" w:rsidRPr="003A411E">
        <w:rPr>
          <w:b/>
          <w:lang w:val="fr-FR"/>
        </w:rPr>
        <w:t>Le Sous-</w:t>
      </w:r>
      <w:r w:rsidR="006A2C77" w:rsidRPr="003A411E">
        <w:rPr>
          <w:b/>
          <w:lang w:val="fr-FR"/>
        </w:rPr>
        <w:t>C</w:t>
      </w:r>
      <w:r w:rsidR="008F1465" w:rsidRPr="003A411E">
        <w:rPr>
          <w:b/>
          <w:lang w:val="fr-FR"/>
        </w:rPr>
        <w:t xml:space="preserve">omité recommande à l’État partie de veiller à ce que le </w:t>
      </w:r>
      <w:r w:rsidR="006A2E1A" w:rsidRPr="003A411E">
        <w:rPr>
          <w:b/>
          <w:lang w:val="fr-FR"/>
        </w:rPr>
        <w:t>mécanisme national de prévention</w:t>
      </w:r>
      <w:r w:rsidR="008F1465" w:rsidRPr="003A411E">
        <w:rPr>
          <w:b/>
          <w:lang w:val="fr-FR"/>
        </w:rPr>
        <w:t xml:space="preserve"> soit doté, par un texte législatif, d’un budget suffisant et autonome</w:t>
      </w:r>
      <w:r w:rsidR="006A2E1A" w:rsidRPr="003A411E">
        <w:rPr>
          <w:b/>
          <w:lang w:val="fr-FR"/>
        </w:rPr>
        <w:t xml:space="preserve"> ainsi que</w:t>
      </w:r>
      <w:r w:rsidR="008F1465" w:rsidRPr="003A411E">
        <w:rPr>
          <w:b/>
          <w:lang w:val="fr-FR"/>
        </w:rPr>
        <w:t xml:space="preserve"> d’un personnel suffisant et compétent</w:t>
      </w:r>
      <w:r w:rsidR="006A2E1A" w:rsidRPr="003A411E">
        <w:rPr>
          <w:b/>
          <w:lang w:val="fr-FR"/>
        </w:rPr>
        <w:t>,</w:t>
      </w:r>
      <w:r w:rsidR="008F1465" w:rsidRPr="003A411E">
        <w:rPr>
          <w:b/>
          <w:lang w:val="fr-FR"/>
        </w:rPr>
        <w:t xml:space="preserve"> et de s’assurer de l’indépendance de</w:t>
      </w:r>
      <w:r w:rsidR="006A2E1A" w:rsidRPr="003A411E">
        <w:rPr>
          <w:b/>
          <w:lang w:val="fr-FR"/>
        </w:rPr>
        <w:t xml:space="preserve"> se</w:t>
      </w:r>
      <w:r w:rsidR="008F1465" w:rsidRPr="003A411E">
        <w:rPr>
          <w:b/>
          <w:lang w:val="fr-FR"/>
        </w:rPr>
        <w:t>s membres.</w:t>
      </w:r>
    </w:p>
    <w:p w14:paraId="01C0ED0B" w14:textId="0C5D137B" w:rsidR="008F1465" w:rsidRPr="003A411E" w:rsidRDefault="005A47D6" w:rsidP="00D66AEE">
      <w:pPr>
        <w:pStyle w:val="H1G"/>
        <w:rPr>
          <w:lang w:val="fr-FR"/>
        </w:rPr>
      </w:pPr>
      <w:r w:rsidRPr="003A411E">
        <w:rPr>
          <w:lang w:val="fr-FR"/>
        </w:rPr>
        <w:tab/>
      </w:r>
      <w:r w:rsidR="008F1465" w:rsidRPr="003A411E">
        <w:rPr>
          <w:lang w:val="fr-FR"/>
        </w:rPr>
        <w:t>B.</w:t>
      </w:r>
      <w:r w:rsidR="008F1465" w:rsidRPr="003A411E">
        <w:rPr>
          <w:lang w:val="fr-FR"/>
        </w:rPr>
        <w:tab/>
        <w:t xml:space="preserve">Principes à respecter dans la mise en œuvre du </w:t>
      </w:r>
      <w:r w:rsidR="00D66AEE" w:rsidRPr="003A411E">
        <w:rPr>
          <w:lang w:val="fr-FR"/>
        </w:rPr>
        <w:t>m</w:t>
      </w:r>
      <w:r w:rsidR="008F1465" w:rsidRPr="003A411E">
        <w:rPr>
          <w:lang w:val="fr-FR"/>
        </w:rPr>
        <w:t xml:space="preserve">écanisme </w:t>
      </w:r>
      <w:r w:rsidR="00D66AEE" w:rsidRPr="003A411E">
        <w:rPr>
          <w:lang w:val="fr-FR"/>
        </w:rPr>
        <w:t>n</w:t>
      </w:r>
      <w:r w:rsidR="008F1465" w:rsidRPr="003A411E">
        <w:rPr>
          <w:lang w:val="fr-FR"/>
        </w:rPr>
        <w:t>ational de</w:t>
      </w:r>
      <w:r w:rsidR="00C11E12">
        <w:rPr>
          <w:lang w:val="fr-FR"/>
        </w:rPr>
        <w:t> </w:t>
      </w:r>
      <w:r w:rsidR="00D66AEE" w:rsidRPr="003A411E">
        <w:rPr>
          <w:lang w:val="fr-FR"/>
        </w:rPr>
        <w:t>p</w:t>
      </w:r>
      <w:r w:rsidR="008F1465" w:rsidRPr="003A411E">
        <w:rPr>
          <w:lang w:val="fr-FR"/>
        </w:rPr>
        <w:t>révention</w:t>
      </w:r>
    </w:p>
    <w:p w14:paraId="61528042" w14:textId="24E00555" w:rsidR="008F1465" w:rsidRPr="003A411E" w:rsidRDefault="00297660" w:rsidP="006A2E1A">
      <w:pPr>
        <w:pStyle w:val="SingleTxtG"/>
        <w:rPr>
          <w:lang w:val="fr-FR"/>
        </w:rPr>
      </w:pPr>
      <w:r w:rsidRPr="003A411E">
        <w:rPr>
          <w:lang w:val="fr-FR"/>
        </w:rPr>
        <w:t>2</w:t>
      </w:r>
      <w:r w:rsidR="006A2E1A" w:rsidRPr="003A411E">
        <w:rPr>
          <w:lang w:val="fr-FR"/>
        </w:rPr>
        <w:t>3</w:t>
      </w:r>
      <w:r w:rsidR="008F1465" w:rsidRPr="003A411E">
        <w:rPr>
          <w:lang w:val="fr-FR"/>
        </w:rPr>
        <w:t xml:space="preserve">. </w:t>
      </w:r>
      <w:r w:rsidRPr="003A411E">
        <w:rPr>
          <w:lang w:val="fr-FR"/>
        </w:rPr>
        <w:tab/>
      </w:r>
      <w:r w:rsidR="008F1465" w:rsidRPr="003A411E">
        <w:rPr>
          <w:lang w:val="fr-FR"/>
        </w:rPr>
        <w:t xml:space="preserve">Toute structure servant de </w:t>
      </w:r>
      <w:r w:rsidR="006A2E1A" w:rsidRPr="003A411E">
        <w:rPr>
          <w:lang w:val="fr-FR"/>
        </w:rPr>
        <w:t>mécanisme national de prévention</w:t>
      </w:r>
      <w:r w:rsidR="008F1465" w:rsidRPr="003A411E">
        <w:rPr>
          <w:lang w:val="fr-FR"/>
        </w:rPr>
        <w:t xml:space="preserve"> doit être conforme aux dispositions du Protocole facultatif, telles qu</w:t>
      </w:r>
      <w:r w:rsidR="006A2E1A" w:rsidRPr="003A411E">
        <w:rPr>
          <w:lang w:val="fr-FR"/>
        </w:rPr>
        <w:t>’</w:t>
      </w:r>
      <w:r w:rsidR="008F1465" w:rsidRPr="003A411E">
        <w:rPr>
          <w:lang w:val="fr-FR"/>
        </w:rPr>
        <w:t>e</w:t>
      </w:r>
      <w:r w:rsidR="006A2E1A" w:rsidRPr="003A411E">
        <w:rPr>
          <w:lang w:val="fr-FR"/>
        </w:rPr>
        <w:t>lles sont</w:t>
      </w:r>
      <w:r w:rsidR="008F1465" w:rsidRPr="003A411E">
        <w:rPr>
          <w:lang w:val="fr-FR"/>
        </w:rPr>
        <w:t xml:space="preserve"> développées </w:t>
      </w:r>
      <w:r w:rsidR="006A2E1A" w:rsidRPr="003A411E">
        <w:rPr>
          <w:lang w:val="fr-FR"/>
        </w:rPr>
        <w:t>dans</w:t>
      </w:r>
      <w:r w:rsidR="008F1465" w:rsidRPr="003A411E">
        <w:rPr>
          <w:lang w:val="fr-FR"/>
        </w:rPr>
        <w:t xml:space="preserve"> les Directives concernant les </w:t>
      </w:r>
      <w:r w:rsidR="006A2E1A" w:rsidRPr="003A411E">
        <w:rPr>
          <w:lang w:val="fr-FR"/>
        </w:rPr>
        <w:t>mécanismes nationaux de prévention</w:t>
      </w:r>
      <w:r w:rsidR="008F1465" w:rsidRPr="003A411E">
        <w:rPr>
          <w:lang w:val="fr-FR"/>
        </w:rPr>
        <w:t>, et aux Principes concernant le statut des institutions nationales pour la promotion et la protection des droits de l’homme (Principes de Paris).</w:t>
      </w:r>
    </w:p>
    <w:p w14:paraId="350F45D6" w14:textId="2E6A6434" w:rsidR="008F1465" w:rsidRPr="003A411E" w:rsidRDefault="00297660" w:rsidP="005F3D6D">
      <w:pPr>
        <w:pStyle w:val="SingleTxtG"/>
        <w:rPr>
          <w:lang w:val="fr-FR"/>
        </w:rPr>
      </w:pPr>
      <w:r w:rsidRPr="003A411E">
        <w:rPr>
          <w:lang w:val="fr-FR"/>
        </w:rPr>
        <w:t>2</w:t>
      </w:r>
      <w:r w:rsidR="006A2E1A" w:rsidRPr="003A411E">
        <w:rPr>
          <w:lang w:val="fr-FR"/>
        </w:rPr>
        <w:t>4</w:t>
      </w:r>
      <w:r w:rsidR="008F1465" w:rsidRPr="003A411E">
        <w:rPr>
          <w:lang w:val="fr-FR"/>
        </w:rPr>
        <w:t xml:space="preserve">. </w:t>
      </w:r>
      <w:r w:rsidRPr="003A411E">
        <w:rPr>
          <w:lang w:val="fr-FR"/>
        </w:rPr>
        <w:tab/>
      </w:r>
      <w:r w:rsidR="008F1465" w:rsidRPr="003A411E">
        <w:rPr>
          <w:lang w:val="fr-FR"/>
        </w:rPr>
        <w:t xml:space="preserve">Le choix institutionnel du </w:t>
      </w:r>
      <w:r w:rsidR="006A2E1A" w:rsidRPr="003A411E">
        <w:rPr>
          <w:lang w:val="fr-FR"/>
        </w:rPr>
        <w:t>mécanisme national de prévention</w:t>
      </w:r>
      <w:r w:rsidR="008F1465" w:rsidRPr="003A411E">
        <w:rPr>
          <w:lang w:val="fr-FR"/>
        </w:rPr>
        <w:t xml:space="preserve"> </w:t>
      </w:r>
      <w:r w:rsidR="005F3D6D" w:rsidRPr="003A411E">
        <w:rPr>
          <w:lang w:val="fr-FR"/>
        </w:rPr>
        <w:t>doit</w:t>
      </w:r>
      <w:r w:rsidR="008F1465" w:rsidRPr="003A411E">
        <w:rPr>
          <w:lang w:val="fr-FR"/>
        </w:rPr>
        <w:t xml:space="preserve"> faire l’objet d’une consultation élargie, transparente et inclusive.</w:t>
      </w:r>
    </w:p>
    <w:p w14:paraId="25F6F5C4" w14:textId="28964F18" w:rsidR="008F1465" w:rsidRPr="003A411E" w:rsidRDefault="00297660" w:rsidP="005F3D6D">
      <w:pPr>
        <w:pStyle w:val="SingleTxtG"/>
      </w:pPr>
      <w:r w:rsidRPr="003A411E">
        <w:rPr>
          <w:lang w:val="fr-FR"/>
        </w:rPr>
        <w:t>2</w:t>
      </w:r>
      <w:r w:rsidR="009D199D" w:rsidRPr="003A411E">
        <w:rPr>
          <w:lang w:val="fr-FR"/>
        </w:rPr>
        <w:t>5</w:t>
      </w:r>
      <w:r w:rsidR="008F1465" w:rsidRPr="003A411E">
        <w:rPr>
          <w:lang w:val="fr-FR"/>
        </w:rPr>
        <w:t xml:space="preserve">. </w:t>
      </w:r>
      <w:r w:rsidRPr="003A411E">
        <w:rPr>
          <w:lang w:val="fr-FR"/>
        </w:rPr>
        <w:tab/>
      </w:r>
      <w:r w:rsidR="008F1465" w:rsidRPr="003A411E">
        <w:rPr>
          <w:lang w:val="fr-FR"/>
        </w:rPr>
        <w:t xml:space="preserve">Le mandat du </w:t>
      </w:r>
      <w:r w:rsidR="009D199D" w:rsidRPr="003A411E">
        <w:rPr>
          <w:lang w:val="fr-FR"/>
        </w:rPr>
        <w:t>mécanisme national de prévention</w:t>
      </w:r>
      <w:r w:rsidR="008F1465" w:rsidRPr="003A411E">
        <w:rPr>
          <w:lang w:val="fr-FR"/>
        </w:rPr>
        <w:t xml:space="preserve"> </w:t>
      </w:r>
      <w:r w:rsidR="009D199D" w:rsidRPr="003A411E">
        <w:rPr>
          <w:lang w:val="fr-FR"/>
        </w:rPr>
        <w:t>quant</w:t>
      </w:r>
      <w:r w:rsidR="008F1465" w:rsidRPr="003A411E">
        <w:rPr>
          <w:lang w:val="fr-FR"/>
        </w:rPr>
        <w:t xml:space="preserve"> aux visites doit être défini dans un texte législatif, lequel </w:t>
      </w:r>
      <w:r w:rsidR="009D199D" w:rsidRPr="003A411E">
        <w:rPr>
          <w:lang w:val="fr-FR"/>
        </w:rPr>
        <w:t>d</w:t>
      </w:r>
      <w:r w:rsidR="005F3D6D" w:rsidRPr="003A411E">
        <w:rPr>
          <w:lang w:val="fr-FR"/>
        </w:rPr>
        <w:t>oit</w:t>
      </w:r>
      <w:r w:rsidR="009D199D" w:rsidRPr="003A411E">
        <w:rPr>
          <w:lang w:val="fr-FR"/>
        </w:rPr>
        <w:t xml:space="preserve"> prévoir</w:t>
      </w:r>
      <w:r w:rsidR="008F1465" w:rsidRPr="003A411E">
        <w:rPr>
          <w:lang w:val="fr-FR"/>
        </w:rPr>
        <w:t xml:space="preserve"> que ledit mandat couvre tous les lieux où se trouvent ou pourraient se trouver des personnes privées de liberté sur l’ordre d’une autorité publique ou avec son consentement exprès ou tacite</w:t>
      </w:r>
      <w:r w:rsidR="009D199D" w:rsidRPr="003A411E">
        <w:rPr>
          <w:lang w:val="fr-FR"/>
        </w:rPr>
        <w:t>, conformément à l’article 4 du Protocole facultatif et à l’avis émis par le Sous-Comité en la matière</w:t>
      </w:r>
      <w:r w:rsidR="008F1465" w:rsidRPr="00E375EF">
        <w:rPr>
          <w:rStyle w:val="Appelnotedebasdep"/>
        </w:rPr>
        <w:footnoteReference w:id="4"/>
      </w:r>
      <w:r w:rsidR="0061231B" w:rsidRPr="003A411E">
        <w:rPr>
          <w:lang w:val="fr-FR"/>
        </w:rPr>
        <w:t>.</w:t>
      </w:r>
    </w:p>
    <w:p w14:paraId="0E3F1D93" w14:textId="4E2EB777" w:rsidR="008F1465" w:rsidRPr="003A411E" w:rsidRDefault="00297660" w:rsidP="005F3D6D">
      <w:pPr>
        <w:pStyle w:val="SingleTxtG"/>
        <w:rPr>
          <w:lang w:val="fr-FR"/>
        </w:rPr>
      </w:pPr>
      <w:r w:rsidRPr="003A411E">
        <w:rPr>
          <w:lang w:val="fr-FR"/>
        </w:rPr>
        <w:t>2</w:t>
      </w:r>
      <w:r w:rsidR="009D199D" w:rsidRPr="003A411E">
        <w:rPr>
          <w:lang w:val="fr-FR"/>
        </w:rPr>
        <w:t>6</w:t>
      </w:r>
      <w:r w:rsidR="008F1465" w:rsidRPr="003A411E">
        <w:rPr>
          <w:lang w:val="fr-FR"/>
        </w:rPr>
        <w:t xml:space="preserve">. </w:t>
      </w:r>
      <w:r w:rsidRPr="003A411E">
        <w:rPr>
          <w:lang w:val="fr-FR"/>
        </w:rPr>
        <w:tab/>
      </w:r>
      <w:r w:rsidR="008F1465" w:rsidRPr="003A411E">
        <w:rPr>
          <w:lang w:val="fr-FR"/>
        </w:rPr>
        <w:t xml:space="preserve">La durée du mandat des membres du </w:t>
      </w:r>
      <w:r w:rsidR="009D199D" w:rsidRPr="003A411E">
        <w:rPr>
          <w:lang w:val="fr-FR"/>
        </w:rPr>
        <w:t>mécanisme national de prévention</w:t>
      </w:r>
      <w:r w:rsidR="008F1465" w:rsidRPr="003A411E">
        <w:rPr>
          <w:lang w:val="fr-FR"/>
        </w:rPr>
        <w:t xml:space="preserve"> </w:t>
      </w:r>
      <w:r w:rsidR="005F3D6D" w:rsidRPr="003A411E">
        <w:rPr>
          <w:lang w:val="fr-FR"/>
        </w:rPr>
        <w:t>doit</w:t>
      </w:r>
      <w:r w:rsidR="008F1465" w:rsidRPr="003A411E">
        <w:rPr>
          <w:lang w:val="fr-FR"/>
        </w:rPr>
        <w:t xml:space="preserve"> être spécifiée, conformément aux dispositions du Protocole</w:t>
      </w:r>
      <w:r w:rsidR="009D199D" w:rsidRPr="003A411E">
        <w:rPr>
          <w:lang w:val="fr-FR"/>
        </w:rPr>
        <w:t xml:space="preserve"> facultatif</w:t>
      </w:r>
      <w:r w:rsidR="008F1465" w:rsidRPr="003A411E">
        <w:rPr>
          <w:lang w:val="fr-FR"/>
        </w:rPr>
        <w:t xml:space="preserve">. Les membres et le personnel </w:t>
      </w:r>
      <w:r w:rsidR="005F3D6D" w:rsidRPr="003A411E">
        <w:rPr>
          <w:lang w:val="fr-FR"/>
        </w:rPr>
        <w:t>doivent</w:t>
      </w:r>
      <w:r w:rsidR="008F1465" w:rsidRPr="003A411E">
        <w:rPr>
          <w:lang w:val="fr-FR"/>
        </w:rPr>
        <w:t xml:space="preserve"> jouir de privilèges et </w:t>
      </w:r>
      <w:r w:rsidR="009D199D" w:rsidRPr="003A411E">
        <w:rPr>
          <w:lang w:val="fr-FR"/>
        </w:rPr>
        <w:t>d’</w:t>
      </w:r>
      <w:r w:rsidR="008F1465" w:rsidRPr="003A411E">
        <w:rPr>
          <w:lang w:val="fr-FR"/>
        </w:rPr>
        <w:t>immunités liés à l’exercice de leurs fonctions</w:t>
      </w:r>
      <w:r w:rsidR="009D199D" w:rsidRPr="003A411E">
        <w:rPr>
          <w:lang w:val="fr-FR"/>
        </w:rPr>
        <w:t>,</w:t>
      </w:r>
      <w:r w:rsidR="008F1465" w:rsidRPr="003A411E">
        <w:rPr>
          <w:lang w:val="fr-FR"/>
        </w:rPr>
        <w:t xml:space="preserve"> et des dispositions doivent être prises pour prévenir les représailles contre les membres du mécanisme et les personnes qui lui fournissent des informations. </w:t>
      </w:r>
    </w:p>
    <w:p w14:paraId="265E3AD0" w14:textId="1091C362" w:rsidR="008F1465" w:rsidRPr="003A411E" w:rsidRDefault="00297660" w:rsidP="005F3D6D">
      <w:pPr>
        <w:pStyle w:val="SingleTxtG"/>
        <w:rPr>
          <w:lang w:val="fr-FR"/>
        </w:rPr>
      </w:pPr>
      <w:r w:rsidRPr="003A411E">
        <w:rPr>
          <w:lang w:val="fr-FR"/>
        </w:rPr>
        <w:t>2</w:t>
      </w:r>
      <w:r w:rsidR="009D199D" w:rsidRPr="003A411E">
        <w:rPr>
          <w:lang w:val="fr-FR"/>
        </w:rPr>
        <w:t>7</w:t>
      </w:r>
      <w:r w:rsidR="008F1465" w:rsidRPr="003A411E">
        <w:rPr>
          <w:lang w:val="fr-FR"/>
        </w:rPr>
        <w:t>.</w:t>
      </w:r>
      <w:r w:rsidRPr="003A411E">
        <w:rPr>
          <w:lang w:val="fr-FR"/>
        </w:rPr>
        <w:tab/>
      </w:r>
      <w:r w:rsidR="008F1465" w:rsidRPr="003A411E">
        <w:rPr>
          <w:lang w:val="fr-FR"/>
        </w:rPr>
        <w:t xml:space="preserve">Le </w:t>
      </w:r>
      <w:r w:rsidR="009D199D" w:rsidRPr="003A411E">
        <w:rPr>
          <w:lang w:val="fr-FR"/>
        </w:rPr>
        <w:t>mécanisme national de prévention</w:t>
      </w:r>
      <w:r w:rsidR="008F1465" w:rsidRPr="003A411E">
        <w:rPr>
          <w:lang w:val="fr-FR"/>
        </w:rPr>
        <w:t xml:space="preserve"> doit jouir d’</w:t>
      </w:r>
      <w:r w:rsidR="009D199D" w:rsidRPr="003A411E">
        <w:rPr>
          <w:lang w:val="fr-FR"/>
        </w:rPr>
        <w:t xml:space="preserve">une </w:t>
      </w:r>
      <w:r w:rsidR="008F1465" w:rsidRPr="003A411E">
        <w:rPr>
          <w:lang w:val="fr-FR"/>
        </w:rPr>
        <w:t xml:space="preserve">autonomie financière et fonctionnelle. L’État partie </w:t>
      </w:r>
      <w:r w:rsidR="005F3D6D" w:rsidRPr="003A411E">
        <w:rPr>
          <w:lang w:val="fr-FR"/>
        </w:rPr>
        <w:t xml:space="preserve">doit </w:t>
      </w:r>
      <w:r w:rsidR="008F1465" w:rsidRPr="003A411E">
        <w:rPr>
          <w:lang w:val="fr-FR"/>
        </w:rPr>
        <w:t>veille</w:t>
      </w:r>
      <w:r w:rsidR="005F3D6D" w:rsidRPr="003A411E">
        <w:rPr>
          <w:lang w:val="fr-FR"/>
        </w:rPr>
        <w:t>r</w:t>
      </w:r>
      <w:r w:rsidR="008F1465" w:rsidRPr="003A411E">
        <w:rPr>
          <w:lang w:val="fr-FR"/>
        </w:rPr>
        <w:t xml:space="preserve"> à ce qu’une allocation spécifique soit versée au </w:t>
      </w:r>
      <w:r w:rsidR="005F3D6D" w:rsidRPr="003A411E">
        <w:rPr>
          <w:lang w:val="fr-FR"/>
        </w:rPr>
        <w:t>mécanisme</w:t>
      </w:r>
      <w:r w:rsidR="008F1465" w:rsidRPr="003A411E">
        <w:rPr>
          <w:lang w:val="fr-FR"/>
        </w:rPr>
        <w:t xml:space="preserve"> afin de lui permettre d’exécuter son mandat, son programme de visites et ses activités de suivi.</w:t>
      </w:r>
    </w:p>
    <w:p w14:paraId="08031010" w14:textId="24AFF9D0" w:rsidR="008F1465" w:rsidRPr="003A411E" w:rsidRDefault="00297660" w:rsidP="005F3D6D">
      <w:pPr>
        <w:pStyle w:val="SingleTxtG"/>
        <w:rPr>
          <w:lang w:val="fr-FR"/>
        </w:rPr>
      </w:pPr>
      <w:r w:rsidRPr="003A411E">
        <w:rPr>
          <w:lang w:val="fr-FR"/>
        </w:rPr>
        <w:t>2</w:t>
      </w:r>
      <w:r w:rsidR="005F3D6D" w:rsidRPr="003A411E">
        <w:rPr>
          <w:lang w:val="fr-FR"/>
        </w:rPr>
        <w:t>8</w:t>
      </w:r>
      <w:r w:rsidRPr="003A411E">
        <w:rPr>
          <w:lang w:val="fr-FR"/>
        </w:rPr>
        <w:t>.</w:t>
      </w:r>
      <w:r w:rsidRPr="003A411E">
        <w:rPr>
          <w:lang w:val="fr-FR"/>
        </w:rPr>
        <w:tab/>
      </w:r>
      <w:r w:rsidR="008F1465" w:rsidRPr="003A411E">
        <w:rPr>
          <w:lang w:val="fr-FR"/>
        </w:rPr>
        <w:t xml:space="preserve">Le </w:t>
      </w:r>
      <w:r w:rsidR="005F3D6D" w:rsidRPr="003A411E">
        <w:rPr>
          <w:lang w:val="fr-FR"/>
        </w:rPr>
        <w:t>mécanisme national de prévention</w:t>
      </w:r>
      <w:r w:rsidR="008F1465" w:rsidRPr="003A411E">
        <w:rPr>
          <w:lang w:val="fr-FR"/>
        </w:rPr>
        <w:t xml:space="preserve"> </w:t>
      </w:r>
      <w:r w:rsidR="005F3D6D" w:rsidRPr="003A411E">
        <w:rPr>
          <w:lang w:val="fr-FR"/>
        </w:rPr>
        <w:t xml:space="preserve">doit </w:t>
      </w:r>
      <w:r w:rsidR="008F1465" w:rsidRPr="003A411E">
        <w:rPr>
          <w:lang w:val="fr-FR"/>
        </w:rPr>
        <w:t>décide</w:t>
      </w:r>
      <w:r w:rsidR="005F3D6D" w:rsidRPr="003A411E">
        <w:rPr>
          <w:lang w:val="fr-FR"/>
        </w:rPr>
        <w:t>r</w:t>
      </w:r>
      <w:r w:rsidR="008F1465" w:rsidRPr="003A411E">
        <w:rPr>
          <w:lang w:val="fr-FR"/>
        </w:rPr>
        <w:t>, en toute autonomie, de l’affectation de ses ressources.</w:t>
      </w:r>
    </w:p>
    <w:p w14:paraId="788BE8C3" w14:textId="0D968754" w:rsidR="008F1465" w:rsidRPr="003A411E" w:rsidRDefault="005F3D6D" w:rsidP="005F3D6D">
      <w:pPr>
        <w:pStyle w:val="SingleTxtG"/>
        <w:rPr>
          <w:lang w:val="fr-FR"/>
        </w:rPr>
      </w:pPr>
      <w:r w:rsidRPr="003A411E">
        <w:rPr>
          <w:lang w:val="fr-FR"/>
        </w:rPr>
        <w:t>29</w:t>
      </w:r>
      <w:r w:rsidR="008F1465" w:rsidRPr="003A411E">
        <w:rPr>
          <w:lang w:val="fr-FR"/>
        </w:rPr>
        <w:t xml:space="preserve">. </w:t>
      </w:r>
      <w:r w:rsidR="00297660" w:rsidRPr="003A411E">
        <w:rPr>
          <w:lang w:val="fr-FR"/>
        </w:rPr>
        <w:tab/>
      </w:r>
      <w:r w:rsidR="008F1465" w:rsidRPr="003A411E">
        <w:rPr>
          <w:lang w:val="fr-FR"/>
        </w:rPr>
        <w:t>Les méthodes de travail</w:t>
      </w:r>
      <w:r w:rsidRPr="003A411E">
        <w:rPr>
          <w:lang w:val="fr-FR"/>
        </w:rPr>
        <w:t xml:space="preserve"> et</w:t>
      </w:r>
      <w:r w:rsidR="008F1465" w:rsidRPr="003A411E">
        <w:rPr>
          <w:lang w:val="fr-FR"/>
        </w:rPr>
        <w:t xml:space="preserve"> garanties d’indépendance du </w:t>
      </w:r>
      <w:r w:rsidRPr="003A411E">
        <w:rPr>
          <w:lang w:val="fr-FR"/>
        </w:rPr>
        <w:t>mécanisme national de prévention</w:t>
      </w:r>
      <w:r w:rsidR="008F1465" w:rsidRPr="003A411E">
        <w:rPr>
          <w:lang w:val="fr-FR"/>
        </w:rPr>
        <w:t xml:space="preserve">, </w:t>
      </w:r>
      <w:r w:rsidRPr="003A411E">
        <w:rPr>
          <w:lang w:val="fr-FR"/>
        </w:rPr>
        <w:t xml:space="preserve">ainsi que </w:t>
      </w:r>
      <w:r w:rsidR="008F1465" w:rsidRPr="003A411E">
        <w:rPr>
          <w:lang w:val="fr-FR"/>
        </w:rPr>
        <w:t xml:space="preserve">la coopération et l’échange d’informations avec la </w:t>
      </w:r>
      <w:r w:rsidRPr="003A411E">
        <w:rPr>
          <w:lang w:val="fr-FR"/>
        </w:rPr>
        <w:t xml:space="preserve">Commission </w:t>
      </w:r>
      <w:r w:rsidRPr="003A411E">
        <w:t>nationale des droits humains</w:t>
      </w:r>
      <w:r w:rsidR="008F1465" w:rsidRPr="003A411E">
        <w:rPr>
          <w:lang w:val="fr-FR"/>
        </w:rPr>
        <w:t xml:space="preserve">, </w:t>
      </w:r>
      <w:r w:rsidRPr="003A411E">
        <w:rPr>
          <w:lang w:val="fr-FR"/>
        </w:rPr>
        <w:t>doivent être</w:t>
      </w:r>
      <w:r w:rsidR="008F1465" w:rsidRPr="003A411E">
        <w:rPr>
          <w:lang w:val="fr-FR"/>
        </w:rPr>
        <w:t xml:space="preserve"> régis par des règlements internes. Le rapport annuel du </w:t>
      </w:r>
      <w:r w:rsidRPr="003A411E">
        <w:rPr>
          <w:lang w:val="fr-FR"/>
        </w:rPr>
        <w:t>mécanisme</w:t>
      </w:r>
      <w:r w:rsidR="008F1465" w:rsidRPr="003A411E">
        <w:rPr>
          <w:lang w:val="fr-FR"/>
        </w:rPr>
        <w:t xml:space="preserve"> </w:t>
      </w:r>
      <w:r w:rsidRPr="003A411E">
        <w:rPr>
          <w:lang w:val="fr-FR"/>
        </w:rPr>
        <w:t>doit être</w:t>
      </w:r>
      <w:r w:rsidR="008F1465" w:rsidRPr="003A411E">
        <w:rPr>
          <w:lang w:val="fr-FR"/>
        </w:rPr>
        <w:t xml:space="preserve"> distinct de celui de la </w:t>
      </w:r>
      <w:r w:rsidRPr="003A411E">
        <w:rPr>
          <w:lang w:val="fr-FR"/>
        </w:rPr>
        <w:t>Commission</w:t>
      </w:r>
      <w:r w:rsidR="008F1465" w:rsidRPr="003A411E">
        <w:rPr>
          <w:lang w:val="fr-FR"/>
        </w:rPr>
        <w:t xml:space="preserve"> et </w:t>
      </w:r>
      <w:r w:rsidRPr="003A411E">
        <w:rPr>
          <w:lang w:val="fr-FR"/>
        </w:rPr>
        <w:t>faire</w:t>
      </w:r>
      <w:r w:rsidR="008F1465" w:rsidRPr="003A411E">
        <w:rPr>
          <w:lang w:val="fr-FR"/>
        </w:rPr>
        <w:t xml:space="preserve"> l’objet d’une publication</w:t>
      </w:r>
      <w:r w:rsidRPr="003A411E">
        <w:rPr>
          <w:lang w:val="fr-FR"/>
        </w:rPr>
        <w:t>, conformément à</w:t>
      </w:r>
      <w:r w:rsidR="008F1465" w:rsidRPr="003A411E">
        <w:rPr>
          <w:lang w:val="fr-FR"/>
        </w:rPr>
        <w:t xml:space="preserve"> </w:t>
      </w:r>
      <w:r w:rsidRPr="003A411E">
        <w:rPr>
          <w:lang w:val="fr-FR"/>
        </w:rPr>
        <w:t>l’article </w:t>
      </w:r>
      <w:r w:rsidR="008F1465" w:rsidRPr="003A411E">
        <w:rPr>
          <w:lang w:val="fr-FR"/>
        </w:rPr>
        <w:t>23</w:t>
      </w:r>
      <w:r w:rsidRPr="003A411E">
        <w:rPr>
          <w:lang w:val="fr-FR"/>
        </w:rPr>
        <w:t xml:space="preserve"> </w:t>
      </w:r>
      <w:r w:rsidR="008F1465" w:rsidRPr="003A411E">
        <w:rPr>
          <w:lang w:val="fr-FR"/>
        </w:rPr>
        <w:t>du Protocole facultatif</w:t>
      </w:r>
      <w:r w:rsidRPr="003A411E">
        <w:rPr>
          <w:lang w:val="fr-FR"/>
        </w:rPr>
        <w:t>.</w:t>
      </w:r>
    </w:p>
    <w:p w14:paraId="2A6D6E76" w14:textId="77777777" w:rsidR="008F1465" w:rsidRPr="003A411E" w:rsidRDefault="008F1465" w:rsidP="00297660">
      <w:pPr>
        <w:pStyle w:val="H1G"/>
        <w:rPr>
          <w:lang w:val="fr-FR"/>
        </w:rPr>
      </w:pPr>
      <w:r w:rsidRPr="003A411E">
        <w:rPr>
          <w:lang w:val="fr-FR"/>
        </w:rPr>
        <w:tab/>
        <w:t>C.</w:t>
      </w:r>
      <w:r w:rsidRPr="003A411E">
        <w:rPr>
          <w:lang w:val="fr-FR"/>
        </w:rPr>
        <w:tab/>
        <w:t>Recommandations</w:t>
      </w:r>
    </w:p>
    <w:p w14:paraId="433374D1" w14:textId="4998660B" w:rsidR="008F1465" w:rsidRPr="003A411E" w:rsidRDefault="00297660" w:rsidP="00312B4F">
      <w:pPr>
        <w:pStyle w:val="SingleTxtG"/>
        <w:rPr>
          <w:b/>
          <w:lang w:val="fr-FR"/>
        </w:rPr>
      </w:pPr>
      <w:r w:rsidRPr="003A411E">
        <w:rPr>
          <w:bCs/>
          <w:lang w:val="fr-FR"/>
        </w:rPr>
        <w:t>3</w:t>
      </w:r>
      <w:r w:rsidR="005F3D6D" w:rsidRPr="003A411E">
        <w:rPr>
          <w:bCs/>
          <w:lang w:val="fr-FR"/>
        </w:rPr>
        <w:t>0</w:t>
      </w:r>
      <w:r w:rsidR="008F1465" w:rsidRPr="003A411E">
        <w:rPr>
          <w:bCs/>
          <w:lang w:val="fr-FR"/>
        </w:rPr>
        <w:t>.</w:t>
      </w:r>
      <w:r w:rsidR="008F1465" w:rsidRPr="003A411E">
        <w:rPr>
          <w:b/>
          <w:bCs/>
          <w:lang w:val="fr-FR"/>
        </w:rPr>
        <w:t xml:space="preserve"> </w:t>
      </w:r>
      <w:r w:rsidRPr="003A411E">
        <w:rPr>
          <w:b/>
          <w:bCs/>
          <w:lang w:val="fr-FR"/>
        </w:rPr>
        <w:tab/>
      </w:r>
      <w:r w:rsidR="008F1465" w:rsidRPr="003A411E">
        <w:rPr>
          <w:b/>
          <w:bCs/>
          <w:lang w:val="fr-FR"/>
        </w:rPr>
        <w:t xml:space="preserve">La loi modificative de </w:t>
      </w:r>
      <w:r w:rsidR="008F1465" w:rsidRPr="003A411E">
        <w:rPr>
          <w:b/>
          <w:lang w:val="fr-FR"/>
        </w:rPr>
        <w:t xml:space="preserve">la </w:t>
      </w:r>
      <w:r w:rsidR="005F3D6D" w:rsidRPr="003A411E">
        <w:rPr>
          <w:b/>
          <w:lang w:val="fr-FR"/>
        </w:rPr>
        <w:t>l</w:t>
      </w:r>
      <w:r w:rsidR="008F1465" w:rsidRPr="003A411E">
        <w:rPr>
          <w:b/>
          <w:lang w:val="fr-FR"/>
        </w:rPr>
        <w:t xml:space="preserve">oi </w:t>
      </w:r>
      <w:r w:rsidR="005F3D6D" w:rsidRPr="003A411E">
        <w:rPr>
          <w:b/>
          <w:lang w:val="fr-FR"/>
        </w:rPr>
        <w:t>n</w:t>
      </w:r>
      <w:r w:rsidR="008F1465" w:rsidRPr="00677254">
        <w:rPr>
          <w:b/>
          <w:vertAlign w:val="superscript"/>
          <w:lang w:val="fr-FR"/>
        </w:rPr>
        <w:t>o</w:t>
      </w:r>
      <w:r w:rsidR="003646B4">
        <w:rPr>
          <w:b/>
          <w:lang w:val="fr-FR"/>
        </w:rPr>
        <w:t> </w:t>
      </w:r>
      <w:r w:rsidR="008F1465" w:rsidRPr="003A411E">
        <w:rPr>
          <w:b/>
          <w:lang w:val="fr-FR"/>
        </w:rPr>
        <w:t xml:space="preserve">022-2014/AN </w:t>
      </w:r>
      <w:r w:rsidR="005F3D6D" w:rsidRPr="003A411E">
        <w:rPr>
          <w:b/>
          <w:lang w:val="fr-FR"/>
        </w:rPr>
        <w:t>portant</w:t>
      </w:r>
      <w:r w:rsidR="008F1465" w:rsidRPr="003A411E">
        <w:rPr>
          <w:b/>
          <w:lang w:val="fr-FR"/>
        </w:rPr>
        <w:t xml:space="preserve"> prévention et répression de la torture et des pratiques assimilées </w:t>
      </w:r>
      <w:r w:rsidR="00312B4F" w:rsidRPr="003A411E">
        <w:rPr>
          <w:b/>
          <w:lang w:val="fr-FR"/>
        </w:rPr>
        <w:t>doit</w:t>
      </w:r>
      <w:r w:rsidR="008F1465" w:rsidRPr="003A411E">
        <w:rPr>
          <w:b/>
          <w:lang w:val="fr-FR"/>
        </w:rPr>
        <w:t xml:space="preserve"> </w:t>
      </w:r>
      <w:r w:rsidR="005F3D6D" w:rsidRPr="003A411E">
        <w:rPr>
          <w:b/>
          <w:lang w:val="fr-FR"/>
        </w:rPr>
        <w:t>intégrer</w:t>
      </w:r>
      <w:r w:rsidR="008F1465" w:rsidRPr="003A411E">
        <w:rPr>
          <w:b/>
          <w:lang w:val="fr-FR"/>
        </w:rPr>
        <w:t xml:space="preserve"> les critères du Protocole facultatif</w:t>
      </w:r>
      <w:r w:rsidR="008F1465" w:rsidRPr="003A411E">
        <w:rPr>
          <w:b/>
          <w:bCs/>
          <w:lang w:val="fr-FR"/>
        </w:rPr>
        <w:t xml:space="preserve"> et des Principes de Paris</w:t>
      </w:r>
      <w:r w:rsidR="008F1465" w:rsidRPr="003A411E">
        <w:rPr>
          <w:b/>
          <w:lang w:val="fr-FR"/>
        </w:rPr>
        <w:t>, faire référence au Protocole facultatif et au Sous-</w:t>
      </w:r>
      <w:r w:rsidR="006A2C77" w:rsidRPr="003A411E">
        <w:rPr>
          <w:b/>
          <w:lang w:val="fr-FR"/>
        </w:rPr>
        <w:t>C</w:t>
      </w:r>
      <w:r w:rsidR="008F1465" w:rsidRPr="003A411E">
        <w:rPr>
          <w:b/>
          <w:lang w:val="fr-FR"/>
        </w:rPr>
        <w:t xml:space="preserve">omité, mentionner explicitement la création ou la désignation du </w:t>
      </w:r>
      <w:r w:rsidR="005F3D6D" w:rsidRPr="003A411E">
        <w:rPr>
          <w:b/>
          <w:lang w:val="fr-FR"/>
        </w:rPr>
        <w:t>m</w:t>
      </w:r>
      <w:r w:rsidR="008F1465" w:rsidRPr="003A411E">
        <w:rPr>
          <w:b/>
          <w:lang w:val="fr-FR"/>
        </w:rPr>
        <w:t xml:space="preserve">écanisme </w:t>
      </w:r>
      <w:r w:rsidR="005F3D6D" w:rsidRPr="003A411E">
        <w:rPr>
          <w:b/>
          <w:lang w:val="fr-FR"/>
        </w:rPr>
        <w:t>n</w:t>
      </w:r>
      <w:r w:rsidR="008F1465" w:rsidRPr="003A411E">
        <w:rPr>
          <w:b/>
          <w:lang w:val="fr-FR"/>
        </w:rPr>
        <w:t xml:space="preserve">ational de </w:t>
      </w:r>
      <w:r w:rsidR="005F3D6D" w:rsidRPr="003A411E">
        <w:rPr>
          <w:b/>
          <w:lang w:val="fr-FR"/>
        </w:rPr>
        <w:t>p</w:t>
      </w:r>
      <w:r w:rsidR="008F1465" w:rsidRPr="003A411E">
        <w:rPr>
          <w:b/>
          <w:lang w:val="fr-FR"/>
        </w:rPr>
        <w:t>révention, et faire référence à la publication de son rapport annuel.</w:t>
      </w:r>
    </w:p>
    <w:p w14:paraId="28154880" w14:textId="2224ACA5" w:rsidR="008F1465" w:rsidRPr="003A411E" w:rsidRDefault="00297660" w:rsidP="00312B4F">
      <w:pPr>
        <w:pStyle w:val="SingleTxtG"/>
        <w:rPr>
          <w:b/>
          <w:bCs/>
          <w:lang w:val="fr-FR"/>
        </w:rPr>
      </w:pPr>
      <w:r w:rsidRPr="003A411E">
        <w:rPr>
          <w:bCs/>
          <w:lang w:val="fr-FR"/>
        </w:rPr>
        <w:t>3</w:t>
      </w:r>
      <w:r w:rsidR="005F3D6D" w:rsidRPr="003A411E">
        <w:rPr>
          <w:bCs/>
          <w:lang w:val="fr-FR"/>
        </w:rPr>
        <w:t>1</w:t>
      </w:r>
      <w:r w:rsidR="008F1465" w:rsidRPr="003A411E">
        <w:rPr>
          <w:bCs/>
          <w:lang w:val="fr-FR"/>
        </w:rPr>
        <w:t>.</w:t>
      </w:r>
      <w:r w:rsidR="008F1465" w:rsidRPr="003A411E">
        <w:rPr>
          <w:b/>
          <w:bCs/>
          <w:lang w:val="fr-FR"/>
        </w:rPr>
        <w:t xml:space="preserve"> </w:t>
      </w:r>
      <w:r w:rsidRPr="003A411E">
        <w:rPr>
          <w:b/>
          <w:bCs/>
          <w:lang w:val="fr-FR"/>
        </w:rPr>
        <w:tab/>
      </w:r>
      <w:r w:rsidR="008F1465" w:rsidRPr="003A411E">
        <w:rPr>
          <w:b/>
          <w:bCs/>
          <w:lang w:val="fr-FR"/>
        </w:rPr>
        <w:t xml:space="preserve">Le choix du modèle et de la structure du </w:t>
      </w:r>
      <w:r w:rsidR="005F3D6D" w:rsidRPr="003A411E">
        <w:rPr>
          <w:b/>
          <w:bCs/>
          <w:lang w:val="fr-FR"/>
        </w:rPr>
        <w:t>mécanisme national de prévention</w:t>
      </w:r>
      <w:r w:rsidR="008F1465" w:rsidRPr="003A411E">
        <w:rPr>
          <w:b/>
          <w:bCs/>
          <w:lang w:val="fr-FR"/>
        </w:rPr>
        <w:t xml:space="preserve"> </w:t>
      </w:r>
      <w:r w:rsidR="00312B4F" w:rsidRPr="003A411E">
        <w:rPr>
          <w:b/>
          <w:bCs/>
          <w:lang w:val="fr-FR"/>
        </w:rPr>
        <w:t>doit</w:t>
      </w:r>
      <w:r w:rsidR="008F1465" w:rsidRPr="003A411E">
        <w:rPr>
          <w:b/>
          <w:bCs/>
          <w:lang w:val="fr-FR"/>
        </w:rPr>
        <w:t xml:space="preserve"> faire l’objet d’une procédure transparente, inclusive et </w:t>
      </w:r>
      <w:r w:rsidR="008F1465" w:rsidRPr="003A411E">
        <w:rPr>
          <w:b/>
          <w:lang w:val="fr-FR"/>
        </w:rPr>
        <w:t>participative</w:t>
      </w:r>
      <w:r w:rsidR="008F1465" w:rsidRPr="003A411E">
        <w:rPr>
          <w:b/>
          <w:bCs/>
          <w:lang w:val="fr-FR"/>
        </w:rPr>
        <w:t xml:space="preserve"> pour déterminer </w:t>
      </w:r>
      <w:r w:rsidR="008F1465" w:rsidRPr="003A411E">
        <w:rPr>
          <w:b/>
          <w:bCs/>
          <w:lang w:val="fr-FR"/>
        </w:rPr>
        <w:lastRenderedPageBreak/>
        <w:t>la configuration institutionnelle la plus efficace</w:t>
      </w:r>
      <w:r w:rsidR="005F3D6D" w:rsidRPr="003A411E">
        <w:rPr>
          <w:b/>
          <w:bCs/>
          <w:lang w:val="fr-FR"/>
        </w:rPr>
        <w:t>,</w:t>
      </w:r>
      <w:r w:rsidR="008F1465" w:rsidRPr="003A411E">
        <w:rPr>
          <w:b/>
          <w:bCs/>
          <w:lang w:val="fr-FR"/>
        </w:rPr>
        <w:t xml:space="preserve"> et éviter le chevauchement des mandats et la duplication des efforts. </w:t>
      </w:r>
    </w:p>
    <w:p w14:paraId="538B106B" w14:textId="7DC6C013" w:rsidR="008F1465" w:rsidRPr="003A411E" w:rsidRDefault="00297660" w:rsidP="00312B4F">
      <w:pPr>
        <w:pStyle w:val="SingleTxtG"/>
        <w:rPr>
          <w:b/>
          <w:bCs/>
          <w:lang w:val="fr-FR"/>
        </w:rPr>
      </w:pPr>
      <w:r w:rsidRPr="003A411E">
        <w:rPr>
          <w:bCs/>
          <w:lang w:val="fr-FR"/>
        </w:rPr>
        <w:t>3</w:t>
      </w:r>
      <w:r w:rsidR="00534B76" w:rsidRPr="003A411E">
        <w:rPr>
          <w:bCs/>
          <w:lang w:val="fr-FR"/>
        </w:rPr>
        <w:t>2</w:t>
      </w:r>
      <w:r w:rsidR="008F1465" w:rsidRPr="003A411E">
        <w:rPr>
          <w:bCs/>
          <w:lang w:val="fr-FR"/>
        </w:rPr>
        <w:t>.</w:t>
      </w:r>
      <w:r w:rsidR="008F1465" w:rsidRPr="003A411E">
        <w:rPr>
          <w:b/>
          <w:bCs/>
          <w:lang w:val="fr-FR"/>
        </w:rPr>
        <w:t xml:space="preserve"> </w:t>
      </w:r>
      <w:r w:rsidRPr="003A411E">
        <w:rPr>
          <w:b/>
          <w:bCs/>
          <w:lang w:val="fr-FR"/>
        </w:rPr>
        <w:tab/>
      </w:r>
      <w:r w:rsidR="008F1465" w:rsidRPr="003A411E">
        <w:rPr>
          <w:b/>
          <w:bCs/>
          <w:lang w:val="fr-FR"/>
        </w:rPr>
        <w:t xml:space="preserve">Il doit en être de même pour le processus de nomination et de sélection des membres du </w:t>
      </w:r>
      <w:r w:rsidR="005F3D6D" w:rsidRPr="003A411E">
        <w:rPr>
          <w:b/>
          <w:bCs/>
          <w:lang w:val="fr-FR"/>
        </w:rPr>
        <w:t>mécanisme,</w:t>
      </w:r>
      <w:r w:rsidR="008F1465" w:rsidRPr="003A411E">
        <w:rPr>
          <w:b/>
          <w:bCs/>
          <w:lang w:val="fr-FR"/>
        </w:rPr>
        <w:t xml:space="preserve"> lequel doit assurer </w:t>
      </w:r>
      <w:r w:rsidR="008F1465" w:rsidRPr="003A411E">
        <w:rPr>
          <w:b/>
          <w:lang w:val="fr-FR"/>
        </w:rPr>
        <w:t>l’équilibre</w:t>
      </w:r>
      <w:r w:rsidR="008F1465" w:rsidRPr="003A411E">
        <w:rPr>
          <w:b/>
          <w:bCs/>
          <w:lang w:val="fr-FR"/>
        </w:rPr>
        <w:t xml:space="preserve"> des genres et tenir compte du pluralisme ethnique. Les membres doivent posséder les compétences et connaissances requises pour l’exercice de leur mandat, notamment des connaissances médicales et juridiques, et ne </w:t>
      </w:r>
      <w:r w:rsidR="00312B4F" w:rsidRPr="003A411E">
        <w:rPr>
          <w:b/>
          <w:bCs/>
          <w:lang w:val="fr-FR"/>
        </w:rPr>
        <w:t>doivent</w:t>
      </w:r>
      <w:r w:rsidR="008F1465" w:rsidRPr="003A411E">
        <w:rPr>
          <w:b/>
          <w:bCs/>
          <w:lang w:val="fr-FR"/>
        </w:rPr>
        <w:t xml:space="preserve"> pas occuper de </w:t>
      </w:r>
      <w:r w:rsidR="005F3D6D" w:rsidRPr="003A411E">
        <w:rPr>
          <w:b/>
          <w:bCs/>
          <w:lang w:val="fr-FR"/>
        </w:rPr>
        <w:t>postes</w:t>
      </w:r>
      <w:r w:rsidR="008F1465" w:rsidRPr="003A411E">
        <w:rPr>
          <w:b/>
          <w:bCs/>
          <w:lang w:val="fr-FR"/>
        </w:rPr>
        <w:t xml:space="preserve"> susceptibles de donner lieu à des conflits d’intérêt</w:t>
      </w:r>
      <w:r w:rsidR="003C5ECB" w:rsidRPr="003A411E">
        <w:rPr>
          <w:b/>
          <w:bCs/>
          <w:lang w:val="fr-FR"/>
        </w:rPr>
        <w:t>s</w:t>
      </w:r>
      <w:r w:rsidR="008F1465" w:rsidRPr="003A411E">
        <w:rPr>
          <w:b/>
          <w:bCs/>
          <w:lang w:val="fr-FR"/>
        </w:rPr>
        <w:t>.</w:t>
      </w:r>
    </w:p>
    <w:p w14:paraId="1901C25F" w14:textId="3A43998D" w:rsidR="008F1465" w:rsidRPr="003A411E" w:rsidRDefault="00297660" w:rsidP="00534B76">
      <w:pPr>
        <w:pStyle w:val="SingleTxtG"/>
        <w:rPr>
          <w:b/>
          <w:bCs/>
          <w:lang w:val="fr-FR"/>
        </w:rPr>
      </w:pPr>
      <w:r w:rsidRPr="003A411E">
        <w:rPr>
          <w:bCs/>
          <w:lang w:val="fr-FR"/>
        </w:rPr>
        <w:t>3</w:t>
      </w:r>
      <w:r w:rsidR="00534B76" w:rsidRPr="003A411E">
        <w:rPr>
          <w:bCs/>
          <w:lang w:val="fr-FR"/>
        </w:rPr>
        <w:t>3</w:t>
      </w:r>
      <w:r w:rsidR="008F1465" w:rsidRPr="003A411E">
        <w:rPr>
          <w:bCs/>
          <w:lang w:val="fr-FR"/>
        </w:rPr>
        <w:t>.</w:t>
      </w:r>
      <w:r w:rsidR="008F1465" w:rsidRPr="003A411E">
        <w:rPr>
          <w:b/>
          <w:bCs/>
          <w:lang w:val="fr-FR"/>
        </w:rPr>
        <w:t xml:space="preserve"> </w:t>
      </w:r>
      <w:r w:rsidRPr="003A411E">
        <w:rPr>
          <w:b/>
          <w:bCs/>
          <w:lang w:val="fr-FR"/>
        </w:rPr>
        <w:tab/>
      </w:r>
      <w:r w:rsidR="008F1465" w:rsidRPr="003A411E">
        <w:rPr>
          <w:b/>
          <w:bCs/>
          <w:lang w:val="fr-FR"/>
        </w:rPr>
        <w:t xml:space="preserve">Le </w:t>
      </w:r>
      <w:r w:rsidR="003C5ECB" w:rsidRPr="003A411E">
        <w:rPr>
          <w:b/>
          <w:bCs/>
          <w:lang w:val="fr-FR"/>
        </w:rPr>
        <w:t>mécanisme national de prévention</w:t>
      </w:r>
      <w:r w:rsidR="008F1465" w:rsidRPr="003A411E">
        <w:rPr>
          <w:b/>
          <w:bCs/>
          <w:lang w:val="fr-FR"/>
        </w:rPr>
        <w:t xml:space="preserve"> doit pouvoir </w:t>
      </w:r>
      <w:r w:rsidR="008F1465" w:rsidRPr="003A411E">
        <w:rPr>
          <w:b/>
          <w:lang w:val="fr-FR"/>
        </w:rPr>
        <w:t>effectuer</w:t>
      </w:r>
      <w:r w:rsidR="008F1465" w:rsidRPr="003A411E">
        <w:rPr>
          <w:b/>
          <w:bCs/>
          <w:lang w:val="fr-FR"/>
        </w:rPr>
        <w:t xml:space="preserve"> des visites inopinées dans tous les lieux de privation de liberté</w:t>
      </w:r>
      <w:r w:rsidR="003C5ECB" w:rsidRPr="003A411E">
        <w:rPr>
          <w:b/>
          <w:bCs/>
          <w:lang w:val="fr-FR"/>
        </w:rPr>
        <w:t>,</w:t>
      </w:r>
      <w:r w:rsidR="008F1465" w:rsidRPr="003A411E">
        <w:rPr>
          <w:b/>
          <w:bCs/>
          <w:lang w:val="fr-FR"/>
        </w:rPr>
        <w:t xml:space="preserve"> </w:t>
      </w:r>
      <w:r w:rsidR="003C5ECB" w:rsidRPr="003A411E">
        <w:rPr>
          <w:b/>
          <w:bCs/>
          <w:lang w:val="fr-FR"/>
        </w:rPr>
        <w:t>à</w:t>
      </w:r>
      <w:r w:rsidR="008F1465" w:rsidRPr="003A411E">
        <w:rPr>
          <w:b/>
          <w:bCs/>
          <w:lang w:val="fr-FR"/>
        </w:rPr>
        <w:t xml:space="preserve"> la fréquence qu’il décide</w:t>
      </w:r>
      <w:r w:rsidR="003C5ECB" w:rsidRPr="003A411E">
        <w:rPr>
          <w:b/>
          <w:bCs/>
          <w:lang w:val="fr-FR"/>
        </w:rPr>
        <w:t>,</w:t>
      </w:r>
      <w:r w:rsidR="008F1465" w:rsidRPr="003A411E">
        <w:rPr>
          <w:b/>
          <w:bCs/>
          <w:lang w:val="fr-FR"/>
        </w:rPr>
        <w:t xml:space="preserve"> </w:t>
      </w:r>
      <w:r w:rsidR="003C5ECB" w:rsidRPr="003A411E">
        <w:rPr>
          <w:b/>
          <w:bCs/>
          <w:lang w:val="fr-FR"/>
        </w:rPr>
        <w:t>ce qui implique</w:t>
      </w:r>
      <w:r w:rsidR="008F1465" w:rsidRPr="003A411E">
        <w:rPr>
          <w:b/>
          <w:bCs/>
          <w:lang w:val="fr-FR"/>
        </w:rPr>
        <w:t xml:space="preserve"> la possibilité de mener des entretiens privés avec les personnes privées de liberté.</w:t>
      </w:r>
    </w:p>
    <w:p w14:paraId="738A86C2" w14:textId="64D9B14F" w:rsidR="008F1465" w:rsidRPr="003A411E" w:rsidRDefault="00297660" w:rsidP="00312B4F">
      <w:pPr>
        <w:pStyle w:val="SingleTxtG"/>
        <w:rPr>
          <w:b/>
          <w:bCs/>
          <w:lang w:val="fr-FR"/>
        </w:rPr>
      </w:pPr>
      <w:r w:rsidRPr="003A411E">
        <w:rPr>
          <w:bCs/>
          <w:lang w:val="fr-FR"/>
        </w:rPr>
        <w:t>3</w:t>
      </w:r>
      <w:r w:rsidR="00534B76" w:rsidRPr="003A411E">
        <w:rPr>
          <w:bCs/>
          <w:lang w:val="fr-FR"/>
        </w:rPr>
        <w:t>4</w:t>
      </w:r>
      <w:r w:rsidR="008F1465" w:rsidRPr="003A411E">
        <w:rPr>
          <w:bCs/>
          <w:lang w:val="fr-FR"/>
        </w:rPr>
        <w:t>.</w:t>
      </w:r>
      <w:r w:rsidRPr="003A411E">
        <w:rPr>
          <w:b/>
          <w:bCs/>
          <w:lang w:val="fr-FR"/>
        </w:rPr>
        <w:tab/>
      </w:r>
      <w:r w:rsidR="008F1465" w:rsidRPr="003A411E">
        <w:rPr>
          <w:b/>
          <w:bCs/>
          <w:lang w:val="fr-FR"/>
        </w:rPr>
        <w:t xml:space="preserve">L’indépendance financière et opérationnelle du </w:t>
      </w:r>
      <w:r w:rsidR="003C5ECB" w:rsidRPr="003A411E">
        <w:rPr>
          <w:b/>
          <w:bCs/>
          <w:lang w:val="fr-FR"/>
        </w:rPr>
        <w:t>mécanisme national de prévention</w:t>
      </w:r>
      <w:r w:rsidR="008F1465" w:rsidRPr="003A411E">
        <w:rPr>
          <w:b/>
          <w:bCs/>
          <w:lang w:val="fr-FR"/>
        </w:rPr>
        <w:t xml:space="preserve"> doit être garantie par la loi et de facto. Les ressources </w:t>
      </w:r>
      <w:r w:rsidR="008F1465" w:rsidRPr="003A411E">
        <w:rPr>
          <w:b/>
          <w:lang w:val="fr-FR"/>
        </w:rPr>
        <w:t>nécessaires</w:t>
      </w:r>
      <w:r w:rsidR="008F1465" w:rsidRPr="003A411E">
        <w:rPr>
          <w:b/>
          <w:bCs/>
          <w:lang w:val="fr-FR"/>
        </w:rPr>
        <w:t xml:space="preserve"> </w:t>
      </w:r>
      <w:r w:rsidR="00312B4F" w:rsidRPr="003A411E">
        <w:rPr>
          <w:b/>
          <w:bCs/>
          <w:lang w:val="fr-FR"/>
        </w:rPr>
        <w:t>doivent</w:t>
      </w:r>
      <w:r w:rsidR="008F1465" w:rsidRPr="003A411E">
        <w:rPr>
          <w:b/>
          <w:bCs/>
          <w:lang w:val="fr-FR"/>
        </w:rPr>
        <w:t xml:space="preserve"> être allouées pour permettre son bon fonctionnement.</w:t>
      </w:r>
    </w:p>
    <w:p w14:paraId="2460AEEC" w14:textId="129AAA43" w:rsidR="008F1465" w:rsidRPr="003A411E" w:rsidRDefault="00297660" w:rsidP="00534B76">
      <w:pPr>
        <w:pStyle w:val="SingleTxtG"/>
        <w:rPr>
          <w:b/>
          <w:bCs/>
          <w:lang w:val="fr-FR"/>
        </w:rPr>
      </w:pPr>
      <w:r w:rsidRPr="003A411E">
        <w:rPr>
          <w:bCs/>
          <w:lang w:val="fr-FR"/>
        </w:rPr>
        <w:t>3</w:t>
      </w:r>
      <w:r w:rsidR="00534B76" w:rsidRPr="003A411E">
        <w:rPr>
          <w:bCs/>
          <w:lang w:val="fr-FR"/>
        </w:rPr>
        <w:t>5</w:t>
      </w:r>
      <w:r w:rsidR="008F1465" w:rsidRPr="003A411E">
        <w:rPr>
          <w:bCs/>
          <w:lang w:val="fr-FR"/>
        </w:rPr>
        <w:t>.</w:t>
      </w:r>
      <w:r w:rsidRPr="003A411E">
        <w:rPr>
          <w:b/>
          <w:bCs/>
          <w:lang w:val="fr-FR"/>
        </w:rPr>
        <w:tab/>
      </w:r>
      <w:r w:rsidR="008F1465" w:rsidRPr="003A411E">
        <w:rPr>
          <w:b/>
          <w:bCs/>
          <w:lang w:val="fr-FR"/>
        </w:rPr>
        <w:t xml:space="preserve">Des efforts de sensibilisation et de communication doivent être déployés pour assurer la visibilité du </w:t>
      </w:r>
      <w:r w:rsidR="003C5ECB" w:rsidRPr="003A411E">
        <w:rPr>
          <w:b/>
          <w:bCs/>
          <w:lang w:val="fr-FR"/>
        </w:rPr>
        <w:t>mécanisme national de prévention</w:t>
      </w:r>
      <w:r w:rsidR="008F1465" w:rsidRPr="003A411E">
        <w:rPr>
          <w:b/>
          <w:bCs/>
          <w:lang w:val="fr-FR"/>
        </w:rPr>
        <w:t xml:space="preserve"> </w:t>
      </w:r>
      <w:r w:rsidR="003C5ECB" w:rsidRPr="003A411E">
        <w:rPr>
          <w:b/>
          <w:bCs/>
          <w:lang w:val="fr-FR"/>
        </w:rPr>
        <w:t>ainsi que sa distinction</w:t>
      </w:r>
      <w:r w:rsidR="008F1465" w:rsidRPr="003A411E">
        <w:rPr>
          <w:b/>
          <w:bCs/>
          <w:lang w:val="fr-FR"/>
        </w:rPr>
        <w:t xml:space="preserve"> de la </w:t>
      </w:r>
      <w:r w:rsidR="003C5ECB" w:rsidRPr="003A411E">
        <w:rPr>
          <w:b/>
          <w:bCs/>
          <w:lang w:val="fr-FR"/>
        </w:rPr>
        <w:t>Commission nationale des droits humains</w:t>
      </w:r>
      <w:r w:rsidR="008F1465" w:rsidRPr="003A411E">
        <w:rPr>
          <w:b/>
          <w:bCs/>
          <w:lang w:val="fr-FR"/>
        </w:rPr>
        <w:t>.</w:t>
      </w:r>
    </w:p>
    <w:p w14:paraId="2C2363AF" w14:textId="77777777" w:rsidR="008F1465" w:rsidRPr="003A411E" w:rsidRDefault="008F1465" w:rsidP="00297660">
      <w:pPr>
        <w:pStyle w:val="HChG"/>
        <w:rPr>
          <w:lang w:val="fr-FR"/>
        </w:rPr>
      </w:pPr>
      <w:r w:rsidRPr="003A411E">
        <w:rPr>
          <w:lang w:val="fr-FR"/>
        </w:rPr>
        <w:tab/>
        <w:t>V.</w:t>
      </w:r>
      <w:r w:rsidRPr="003A411E">
        <w:rPr>
          <w:lang w:val="fr-FR"/>
        </w:rPr>
        <w:tab/>
        <w:t>Visites de terrain</w:t>
      </w:r>
    </w:p>
    <w:p w14:paraId="64B40325" w14:textId="77777777" w:rsidR="008F1465" w:rsidRPr="003A411E" w:rsidRDefault="008F1465" w:rsidP="00297660">
      <w:pPr>
        <w:pStyle w:val="H1G"/>
        <w:rPr>
          <w:lang w:val="fr-FR"/>
        </w:rPr>
      </w:pPr>
      <w:r w:rsidRPr="003A411E">
        <w:rPr>
          <w:lang w:val="fr-FR"/>
        </w:rPr>
        <w:tab/>
        <w:t xml:space="preserve">A. </w:t>
      </w:r>
      <w:r w:rsidR="00297660" w:rsidRPr="003A411E">
        <w:rPr>
          <w:lang w:val="fr-FR"/>
        </w:rPr>
        <w:tab/>
      </w:r>
      <w:r w:rsidRPr="003A411E">
        <w:rPr>
          <w:lang w:val="fr-FR"/>
        </w:rPr>
        <w:t>Commissariats de police et gendarmeries</w:t>
      </w:r>
    </w:p>
    <w:p w14:paraId="68E982B9" w14:textId="2ED6F0F4" w:rsidR="008F1465" w:rsidRPr="003A411E" w:rsidRDefault="00297660" w:rsidP="00534B76">
      <w:pPr>
        <w:pStyle w:val="SingleTxtG"/>
        <w:rPr>
          <w:lang w:val="fr-FR"/>
        </w:rPr>
      </w:pPr>
      <w:r w:rsidRPr="003A411E">
        <w:rPr>
          <w:lang w:val="fr-FR"/>
        </w:rPr>
        <w:t>3</w:t>
      </w:r>
      <w:r w:rsidR="00534B76" w:rsidRPr="003A411E">
        <w:rPr>
          <w:lang w:val="fr-FR"/>
        </w:rPr>
        <w:t>6</w:t>
      </w:r>
      <w:r w:rsidR="008F1465" w:rsidRPr="003A411E">
        <w:rPr>
          <w:lang w:val="fr-FR"/>
        </w:rPr>
        <w:t xml:space="preserve">. </w:t>
      </w:r>
      <w:r w:rsidRPr="003A411E">
        <w:rPr>
          <w:lang w:val="fr-FR"/>
        </w:rPr>
        <w:tab/>
      </w:r>
      <w:r w:rsidR="008F1465" w:rsidRPr="003A411E">
        <w:rPr>
          <w:lang w:val="fr-FR"/>
        </w:rPr>
        <w:t xml:space="preserve">La délégation a </w:t>
      </w:r>
      <w:r w:rsidR="008F1465" w:rsidRPr="003A411E">
        <w:rPr>
          <w:bCs/>
          <w:lang w:val="fr-FR"/>
        </w:rPr>
        <w:t>visité</w:t>
      </w:r>
      <w:r w:rsidR="008F1465" w:rsidRPr="003A411E">
        <w:rPr>
          <w:lang w:val="fr-FR"/>
        </w:rPr>
        <w:t xml:space="preserve"> deux </w:t>
      </w:r>
      <w:r w:rsidR="00D73CA6" w:rsidRPr="003A411E">
        <w:rPr>
          <w:lang w:val="fr-FR"/>
        </w:rPr>
        <w:t>c</w:t>
      </w:r>
      <w:r w:rsidR="008F1465" w:rsidRPr="003A411E">
        <w:rPr>
          <w:lang w:val="fr-FR"/>
        </w:rPr>
        <w:t xml:space="preserve">ommissariats de </w:t>
      </w:r>
      <w:r w:rsidR="00D73CA6" w:rsidRPr="003A411E">
        <w:rPr>
          <w:lang w:val="fr-FR"/>
        </w:rPr>
        <w:t xml:space="preserve">la </w:t>
      </w:r>
      <w:r w:rsidR="008F1465" w:rsidRPr="003A411E">
        <w:rPr>
          <w:lang w:val="fr-FR"/>
        </w:rPr>
        <w:t xml:space="preserve">Police </w:t>
      </w:r>
      <w:r w:rsidR="00D73CA6" w:rsidRPr="003A411E">
        <w:rPr>
          <w:lang w:val="fr-FR"/>
        </w:rPr>
        <w:t>n</w:t>
      </w:r>
      <w:r w:rsidR="008F1465" w:rsidRPr="003A411E">
        <w:rPr>
          <w:lang w:val="fr-FR"/>
        </w:rPr>
        <w:t xml:space="preserve">ationale et trois postes de </w:t>
      </w:r>
      <w:r w:rsidR="00D73CA6" w:rsidRPr="003A411E">
        <w:rPr>
          <w:lang w:val="fr-FR"/>
        </w:rPr>
        <w:t>la</w:t>
      </w:r>
      <w:r w:rsidR="008F1465" w:rsidRPr="003A411E">
        <w:rPr>
          <w:lang w:val="fr-FR"/>
        </w:rPr>
        <w:t xml:space="preserve"> Gendarmerie </w:t>
      </w:r>
      <w:r w:rsidR="00D73CA6" w:rsidRPr="003A411E">
        <w:rPr>
          <w:lang w:val="fr-FR"/>
        </w:rPr>
        <w:t>n</w:t>
      </w:r>
      <w:r w:rsidR="008F1465" w:rsidRPr="003A411E">
        <w:rPr>
          <w:lang w:val="fr-FR"/>
        </w:rPr>
        <w:t>ationale</w:t>
      </w:r>
      <w:r w:rsidR="00D73CA6" w:rsidRPr="003A411E">
        <w:rPr>
          <w:lang w:val="fr-FR"/>
        </w:rPr>
        <w:t xml:space="preserve"> (voir annexe II)</w:t>
      </w:r>
      <w:r w:rsidR="0061231B" w:rsidRPr="003A411E">
        <w:rPr>
          <w:lang w:val="fr-FR"/>
        </w:rPr>
        <w:t>.</w:t>
      </w:r>
    </w:p>
    <w:p w14:paraId="6148DCB4" w14:textId="77777777" w:rsidR="008F1465" w:rsidRPr="003A411E" w:rsidRDefault="008F1465" w:rsidP="00297660">
      <w:pPr>
        <w:pStyle w:val="H23G"/>
        <w:rPr>
          <w:lang w:val="fr-FR"/>
        </w:rPr>
      </w:pPr>
      <w:r w:rsidRPr="003A411E">
        <w:rPr>
          <w:lang w:val="fr-FR"/>
        </w:rPr>
        <w:tab/>
        <w:t xml:space="preserve">1. </w:t>
      </w:r>
      <w:r w:rsidR="00297660" w:rsidRPr="003A411E">
        <w:rPr>
          <w:lang w:val="fr-FR"/>
        </w:rPr>
        <w:tab/>
      </w:r>
      <w:r w:rsidRPr="003A411E">
        <w:rPr>
          <w:lang w:val="fr-FR"/>
        </w:rPr>
        <w:t>Conditions matérielles et sanitaires de détention</w:t>
      </w:r>
    </w:p>
    <w:p w14:paraId="4347DC01" w14:textId="27CEC263" w:rsidR="008F1465" w:rsidRPr="003A411E" w:rsidRDefault="00297660" w:rsidP="006261D0">
      <w:pPr>
        <w:pStyle w:val="SingleTxtG"/>
        <w:rPr>
          <w:lang w:val="fr-FR"/>
        </w:rPr>
      </w:pPr>
      <w:r w:rsidRPr="003A411E">
        <w:rPr>
          <w:lang w:val="fr-FR"/>
        </w:rPr>
        <w:t>3</w:t>
      </w:r>
      <w:r w:rsidR="00534B76" w:rsidRPr="003A411E">
        <w:rPr>
          <w:lang w:val="fr-FR"/>
        </w:rPr>
        <w:t>7</w:t>
      </w:r>
      <w:r w:rsidR="008F1465" w:rsidRPr="003A411E">
        <w:rPr>
          <w:lang w:val="fr-FR"/>
        </w:rPr>
        <w:t xml:space="preserve">. </w:t>
      </w:r>
      <w:r w:rsidRPr="003A411E">
        <w:rPr>
          <w:lang w:val="fr-FR"/>
        </w:rPr>
        <w:tab/>
      </w:r>
      <w:r w:rsidR="008F1465" w:rsidRPr="003A411E">
        <w:rPr>
          <w:lang w:val="fr-FR"/>
        </w:rPr>
        <w:t xml:space="preserve">La délégation a constaté que les conditions de détention des personnes gardées à vue dans les commissariats de police </w:t>
      </w:r>
      <w:r w:rsidR="008F1465" w:rsidRPr="003A411E">
        <w:rPr>
          <w:bCs/>
          <w:lang w:val="fr-FR"/>
        </w:rPr>
        <w:t>n’étaient</w:t>
      </w:r>
      <w:r w:rsidR="008F1465" w:rsidRPr="003A411E">
        <w:rPr>
          <w:lang w:val="fr-FR"/>
        </w:rPr>
        <w:t xml:space="preserve"> pas conformes </w:t>
      </w:r>
      <w:r w:rsidR="00D73CA6" w:rsidRPr="003A411E">
        <w:rPr>
          <w:lang w:val="fr-FR"/>
        </w:rPr>
        <w:t>à l’Ensemble de</w:t>
      </w:r>
      <w:r w:rsidR="008F1465" w:rsidRPr="003A411E">
        <w:rPr>
          <w:lang w:val="fr-FR"/>
        </w:rPr>
        <w:t xml:space="preserve"> règles minima des Nations Unies</w:t>
      </w:r>
      <w:r w:rsidR="0061231B" w:rsidRPr="003A411E">
        <w:rPr>
          <w:lang w:val="fr-FR"/>
        </w:rPr>
        <w:t xml:space="preserve"> pour le traitement des détenus</w:t>
      </w:r>
      <w:r w:rsidR="00D73CA6" w:rsidRPr="003A411E">
        <w:rPr>
          <w:lang w:val="fr-FR"/>
        </w:rPr>
        <w:t xml:space="preserve"> (Règles Nelson Mandela)</w:t>
      </w:r>
      <w:r w:rsidR="006261D0">
        <w:rPr>
          <w:lang w:val="fr-FR"/>
        </w:rPr>
        <w:t>, notamment les règles 12 à 17</w:t>
      </w:r>
      <w:r w:rsidR="0061231B" w:rsidRPr="003A411E">
        <w:rPr>
          <w:lang w:val="fr-FR"/>
        </w:rPr>
        <w:t>.</w:t>
      </w:r>
    </w:p>
    <w:p w14:paraId="36CFDA72" w14:textId="7DFECB33" w:rsidR="008F1465" w:rsidRPr="003A411E" w:rsidRDefault="00297660" w:rsidP="00534B76">
      <w:pPr>
        <w:pStyle w:val="SingleTxtG"/>
        <w:rPr>
          <w:lang w:val="fr-FR"/>
        </w:rPr>
      </w:pPr>
      <w:r w:rsidRPr="003A411E">
        <w:rPr>
          <w:lang w:val="fr-FR"/>
        </w:rPr>
        <w:t>3</w:t>
      </w:r>
      <w:r w:rsidR="00534B76" w:rsidRPr="003A411E">
        <w:rPr>
          <w:lang w:val="fr-FR"/>
        </w:rPr>
        <w:t>8</w:t>
      </w:r>
      <w:r w:rsidR="008F1465" w:rsidRPr="003A411E">
        <w:rPr>
          <w:lang w:val="fr-FR"/>
        </w:rPr>
        <w:t xml:space="preserve">. </w:t>
      </w:r>
      <w:r w:rsidRPr="003A411E">
        <w:rPr>
          <w:lang w:val="fr-FR"/>
        </w:rPr>
        <w:tab/>
      </w:r>
      <w:r w:rsidR="008F1465" w:rsidRPr="003A411E">
        <w:rPr>
          <w:lang w:val="fr-FR"/>
        </w:rPr>
        <w:t xml:space="preserve">Les cellules du </w:t>
      </w:r>
      <w:r w:rsidR="008F1465" w:rsidRPr="003A411E">
        <w:rPr>
          <w:bCs/>
          <w:lang w:val="fr-FR"/>
        </w:rPr>
        <w:t>commissariat</w:t>
      </w:r>
      <w:r w:rsidR="008F1465" w:rsidRPr="003A411E">
        <w:rPr>
          <w:lang w:val="fr-FR"/>
        </w:rPr>
        <w:t xml:space="preserve"> </w:t>
      </w:r>
      <w:r w:rsidR="00D73CA6" w:rsidRPr="003A411E">
        <w:rPr>
          <w:lang w:val="fr-FR"/>
        </w:rPr>
        <w:t>c</w:t>
      </w:r>
      <w:r w:rsidR="008F1465" w:rsidRPr="003A411E">
        <w:rPr>
          <w:lang w:val="fr-FR"/>
        </w:rPr>
        <w:t xml:space="preserve">entral de la </w:t>
      </w:r>
      <w:r w:rsidR="00D73CA6" w:rsidRPr="003A411E">
        <w:rPr>
          <w:lang w:val="fr-FR"/>
        </w:rPr>
        <w:t>p</w:t>
      </w:r>
      <w:r w:rsidR="008F1465" w:rsidRPr="003A411E">
        <w:rPr>
          <w:lang w:val="fr-FR"/>
        </w:rPr>
        <w:t xml:space="preserve">olice de Ouagadougou étaient dans un état de délabrement et de saleté inacceptable. La cellule de détention principale et les autres cellules manquaient d’aération et de lumière naturelle, </w:t>
      </w:r>
      <w:r w:rsidR="00D73CA6" w:rsidRPr="003A411E">
        <w:rPr>
          <w:lang w:val="fr-FR"/>
        </w:rPr>
        <w:t xml:space="preserve">étaient </w:t>
      </w:r>
      <w:r w:rsidR="008F1465" w:rsidRPr="003A411E">
        <w:rPr>
          <w:lang w:val="fr-FR"/>
        </w:rPr>
        <w:t>infestées d’insectes et de rats</w:t>
      </w:r>
      <w:r w:rsidR="00D73CA6" w:rsidRPr="003A411E">
        <w:rPr>
          <w:lang w:val="fr-FR"/>
        </w:rPr>
        <w:t>,</w:t>
      </w:r>
      <w:r w:rsidR="008119D6" w:rsidRPr="003A411E">
        <w:rPr>
          <w:lang w:val="fr-FR"/>
        </w:rPr>
        <w:t xml:space="preserve"> et leurs sols étaient jonchés de détritus</w:t>
      </w:r>
      <w:r w:rsidR="008F1465" w:rsidRPr="003A411E">
        <w:rPr>
          <w:lang w:val="fr-FR"/>
        </w:rPr>
        <w:t xml:space="preserve">. Une autre cellule </w:t>
      </w:r>
      <w:r w:rsidR="00D73CA6" w:rsidRPr="003A411E">
        <w:rPr>
          <w:lang w:val="fr-FR"/>
        </w:rPr>
        <w:t xml:space="preserve">de </w:t>
      </w:r>
      <w:r w:rsidR="008F1465" w:rsidRPr="003A411E">
        <w:rPr>
          <w:lang w:val="fr-FR"/>
        </w:rPr>
        <w:t>16</w:t>
      </w:r>
      <w:r w:rsidR="00D73CA6" w:rsidRPr="003A411E">
        <w:rPr>
          <w:lang w:val="fr-FR"/>
        </w:rPr>
        <w:t> </w:t>
      </w:r>
      <w:r w:rsidR="008F1465" w:rsidRPr="003A411E">
        <w:rPr>
          <w:lang w:val="fr-FR"/>
        </w:rPr>
        <w:t>m</w:t>
      </w:r>
      <w:r w:rsidR="00D73CA6" w:rsidRPr="003A411E">
        <w:rPr>
          <w:lang w:val="fr-FR"/>
        </w:rPr>
        <w:t>ètres carrés</w:t>
      </w:r>
      <w:r w:rsidR="008F1465" w:rsidRPr="003A411E">
        <w:rPr>
          <w:lang w:val="fr-FR"/>
        </w:rPr>
        <w:t xml:space="preserve"> non utilisée</w:t>
      </w:r>
      <w:r w:rsidR="00D73CA6" w:rsidRPr="003A411E">
        <w:rPr>
          <w:lang w:val="fr-FR"/>
        </w:rPr>
        <w:t xml:space="preserve"> et</w:t>
      </w:r>
      <w:r w:rsidR="008F1465" w:rsidRPr="003A411E">
        <w:rPr>
          <w:lang w:val="fr-FR"/>
        </w:rPr>
        <w:t xml:space="preserve"> adjacente à la cellule principale servait de dépotoir.</w:t>
      </w:r>
    </w:p>
    <w:p w14:paraId="5EFC1736" w14:textId="5C6F79FE" w:rsidR="008F1465" w:rsidRPr="003A411E" w:rsidRDefault="00D73CA6" w:rsidP="00534B76">
      <w:pPr>
        <w:pStyle w:val="SingleTxtG"/>
        <w:rPr>
          <w:lang w:val="fr-FR"/>
        </w:rPr>
      </w:pPr>
      <w:r w:rsidRPr="003A411E">
        <w:rPr>
          <w:lang w:val="fr-FR"/>
        </w:rPr>
        <w:t>3</w:t>
      </w:r>
      <w:r w:rsidR="00534B76" w:rsidRPr="003A411E">
        <w:rPr>
          <w:lang w:val="fr-FR"/>
        </w:rPr>
        <w:t>9</w:t>
      </w:r>
      <w:r w:rsidR="00297660" w:rsidRPr="003A411E">
        <w:rPr>
          <w:lang w:val="fr-FR"/>
        </w:rPr>
        <w:t>.</w:t>
      </w:r>
      <w:r w:rsidR="00297660" w:rsidRPr="003A411E">
        <w:rPr>
          <w:lang w:val="fr-FR"/>
        </w:rPr>
        <w:tab/>
      </w:r>
      <w:r w:rsidR="008F1465" w:rsidRPr="003A411E">
        <w:rPr>
          <w:lang w:val="fr-FR"/>
        </w:rPr>
        <w:t>Les personnes gardées à vue manquaient de produits d’hygiène personnelle, dormaient torse nu</w:t>
      </w:r>
      <w:r w:rsidR="0051120E" w:rsidRPr="003A411E">
        <w:rPr>
          <w:lang w:val="fr-FR"/>
        </w:rPr>
        <w:t>,</w:t>
      </w:r>
      <w:r w:rsidR="008F1465" w:rsidRPr="003A411E">
        <w:rPr>
          <w:lang w:val="fr-FR"/>
        </w:rPr>
        <w:t xml:space="preserve"> à même le sol, sans matelas</w:t>
      </w:r>
      <w:r w:rsidR="0051120E" w:rsidRPr="003A411E">
        <w:rPr>
          <w:lang w:val="fr-FR"/>
        </w:rPr>
        <w:t>,</w:t>
      </w:r>
      <w:r w:rsidR="008F1465" w:rsidRPr="003A411E">
        <w:rPr>
          <w:lang w:val="fr-FR"/>
        </w:rPr>
        <w:t xml:space="preserve"> couverture </w:t>
      </w:r>
      <w:r w:rsidR="0051120E" w:rsidRPr="003A411E">
        <w:rPr>
          <w:lang w:val="fr-FR"/>
        </w:rPr>
        <w:t>ou</w:t>
      </w:r>
      <w:r w:rsidR="008F1465" w:rsidRPr="003A411E">
        <w:rPr>
          <w:lang w:val="fr-FR"/>
        </w:rPr>
        <w:t xml:space="preserve"> protection contre les moustiques. Les cellules dégageaient une odeur d’urine et d’excréments. </w:t>
      </w:r>
    </w:p>
    <w:p w14:paraId="08135D9E" w14:textId="65EAC6AB" w:rsidR="008F1465" w:rsidRPr="003A411E" w:rsidRDefault="00297660" w:rsidP="0051120E">
      <w:pPr>
        <w:pStyle w:val="SingleTxtG"/>
        <w:rPr>
          <w:lang w:val="fr-FR"/>
        </w:rPr>
      </w:pPr>
      <w:r w:rsidRPr="003A411E">
        <w:rPr>
          <w:lang w:val="fr-FR"/>
        </w:rPr>
        <w:t>4</w:t>
      </w:r>
      <w:r w:rsidR="00534B76" w:rsidRPr="003A411E">
        <w:rPr>
          <w:lang w:val="fr-FR"/>
        </w:rPr>
        <w:t>0</w:t>
      </w:r>
      <w:r w:rsidRPr="003A411E">
        <w:rPr>
          <w:lang w:val="fr-FR"/>
        </w:rPr>
        <w:t>.</w:t>
      </w:r>
      <w:r w:rsidRPr="003A411E">
        <w:rPr>
          <w:lang w:val="fr-FR"/>
        </w:rPr>
        <w:tab/>
      </w:r>
      <w:r w:rsidR="008F1465" w:rsidRPr="003A411E">
        <w:rPr>
          <w:lang w:val="fr-FR"/>
        </w:rPr>
        <w:t>La cellule principale</w:t>
      </w:r>
      <w:r w:rsidR="0051120E" w:rsidRPr="003A411E">
        <w:rPr>
          <w:lang w:val="fr-FR"/>
        </w:rPr>
        <w:t>,</w:t>
      </w:r>
      <w:r w:rsidR="008F1465" w:rsidRPr="003A411E">
        <w:rPr>
          <w:lang w:val="fr-FR"/>
        </w:rPr>
        <w:t xml:space="preserve"> mesurant 42</w:t>
      </w:r>
      <w:r w:rsidR="0051120E" w:rsidRPr="003A411E">
        <w:rPr>
          <w:lang w:val="fr-FR"/>
        </w:rPr>
        <w:t> </w:t>
      </w:r>
      <w:r w:rsidR="008F1465" w:rsidRPr="003A411E">
        <w:rPr>
          <w:lang w:val="fr-FR"/>
        </w:rPr>
        <w:t>m</w:t>
      </w:r>
      <w:r w:rsidR="0051120E" w:rsidRPr="003A411E">
        <w:rPr>
          <w:lang w:val="fr-FR"/>
        </w:rPr>
        <w:t>ètres carrés</w:t>
      </w:r>
      <w:r w:rsidR="008F1465" w:rsidRPr="003A411E">
        <w:rPr>
          <w:lang w:val="fr-FR"/>
        </w:rPr>
        <w:t xml:space="preserve"> </w:t>
      </w:r>
      <w:r w:rsidR="0051120E" w:rsidRPr="003A411E">
        <w:rPr>
          <w:lang w:val="fr-FR"/>
        </w:rPr>
        <w:t>pour</w:t>
      </w:r>
      <w:r w:rsidR="008F1465" w:rsidRPr="003A411E">
        <w:rPr>
          <w:lang w:val="fr-FR"/>
        </w:rPr>
        <w:t xml:space="preserve"> une capacité de 50 personnes</w:t>
      </w:r>
      <w:r w:rsidR="0051120E" w:rsidRPr="003A411E">
        <w:rPr>
          <w:lang w:val="fr-FR"/>
        </w:rPr>
        <w:t>,</w:t>
      </w:r>
      <w:r w:rsidR="008F1465" w:rsidRPr="003A411E">
        <w:rPr>
          <w:lang w:val="fr-FR"/>
        </w:rPr>
        <w:t xml:space="preserve"> selon les autorités, était équipée de trois latrines, mais </w:t>
      </w:r>
      <w:r w:rsidR="0051120E" w:rsidRPr="003A411E">
        <w:rPr>
          <w:lang w:val="fr-FR"/>
        </w:rPr>
        <w:t>dépourvue de</w:t>
      </w:r>
      <w:r w:rsidR="008F1465" w:rsidRPr="003A411E">
        <w:rPr>
          <w:lang w:val="fr-FR"/>
        </w:rPr>
        <w:t xml:space="preserve"> douche </w:t>
      </w:r>
      <w:r w:rsidR="0051120E" w:rsidRPr="003A411E">
        <w:rPr>
          <w:lang w:val="fr-FR"/>
        </w:rPr>
        <w:t>et d’</w:t>
      </w:r>
      <w:r w:rsidR="008F1465" w:rsidRPr="003A411E">
        <w:rPr>
          <w:lang w:val="fr-FR"/>
        </w:rPr>
        <w:t xml:space="preserve">eau potable. Les conditions d’hygiène étaient inacceptables. </w:t>
      </w:r>
      <w:r w:rsidR="0051120E" w:rsidRPr="003A411E">
        <w:rPr>
          <w:lang w:val="fr-FR"/>
        </w:rPr>
        <w:t>À</w:t>
      </w:r>
      <w:r w:rsidR="008F1465" w:rsidRPr="003A411E">
        <w:rPr>
          <w:lang w:val="fr-FR"/>
        </w:rPr>
        <w:t xml:space="preserve"> proximité, une cellule plus petite (9</w:t>
      </w:r>
      <w:r w:rsidR="0051120E" w:rsidRPr="003A411E">
        <w:rPr>
          <w:lang w:val="fr-FR"/>
        </w:rPr>
        <w:t> </w:t>
      </w:r>
      <w:r w:rsidR="008F1465" w:rsidRPr="003A411E">
        <w:rPr>
          <w:lang w:val="fr-FR"/>
        </w:rPr>
        <w:t>m</w:t>
      </w:r>
      <w:r w:rsidR="0051120E" w:rsidRPr="003A411E">
        <w:rPr>
          <w:lang w:val="fr-FR"/>
        </w:rPr>
        <w:t>ètres carrés</w:t>
      </w:r>
      <w:r w:rsidR="008F1465" w:rsidRPr="003A411E">
        <w:rPr>
          <w:lang w:val="fr-FR"/>
        </w:rPr>
        <w:t xml:space="preserve">) réservée aux femmes, </w:t>
      </w:r>
      <w:r w:rsidR="0051120E" w:rsidRPr="003A411E">
        <w:rPr>
          <w:lang w:val="fr-FR"/>
        </w:rPr>
        <w:t xml:space="preserve">tout </w:t>
      </w:r>
      <w:r w:rsidR="008F1465" w:rsidRPr="003A411E">
        <w:rPr>
          <w:lang w:val="fr-FR"/>
        </w:rPr>
        <w:t>aussi insalubre, ne disposait ni de toilettes</w:t>
      </w:r>
      <w:r w:rsidR="0051120E" w:rsidRPr="003A411E">
        <w:rPr>
          <w:lang w:val="fr-FR"/>
        </w:rPr>
        <w:t>,</w:t>
      </w:r>
      <w:r w:rsidR="008F1465" w:rsidRPr="003A411E">
        <w:rPr>
          <w:lang w:val="fr-FR"/>
        </w:rPr>
        <w:t xml:space="preserve"> ni de douche</w:t>
      </w:r>
      <w:r w:rsidR="0051120E" w:rsidRPr="003A411E">
        <w:rPr>
          <w:lang w:val="fr-FR"/>
        </w:rPr>
        <w:t>,</w:t>
      </w:r>
      <w:r w:rsidR="008F1465" w:rsidRPr="003A411E">
        <w:rPr>
          <w:lang w:val="fr-FR"/>
        </w:rPr>
        <w:t xml:space="preserve"> ni d’eau potable. </w:t>
      </w:r>
    </w:p>
    <w:p w14:paraId="69FB388F" w14:textId="2B92A337" w:rsidR="008F1465" w:rsidRPr="003A411E" w:rsidRDefault="00297660" w:rsidP="00534B76">
      <w:pPr>
        <w:pStyle w:val="SingleTxtG"/>
        <w:rPr>
          <w:lang w:val="fr-FR"/>
        </w:rPr>
      </w:pPr>
      <w:r w:rsidRPr="003A411E">
        <w:rPr>
          <w:lang w:val="fr-FR"/>
        </w:rPr>
        <w:t>4</w:t>
      </w:r>
      <w:r w:rsidR="00534B76" w:rsidRPr="003A411E">
        <w:rPr>
          <w:lang w:val="fr-FR"/>
        </w:rPr>
        <w:t>1</w:t>
      </w:r>
      <w:r w:rsidRPr="003A411E">
        <w:rPr>
          <w:lang w:val="fr-FR"/>
        </w:rPr>
        <w:t>.</w:t>
      </w:r>
      <w:r w:rsidRPr="003A411E">
        <w:rPr>
          <w:lang w:val="fr-FR"/>
        </w:rPr>
        <w:tab/>
      </w:r>
      <w:r w:rsidR="008F1465" w:rsidRPr="003A411E">
        <w:rPr>
          <w:lang w:val="fr-FR"/>
        </w:rPr>
        <w:t xml:space="preserve">Le commissariat de Ouagadougou a été visité à deux reprises. Lors de la première visite, les </w:t>
      </w:r>
      <w:r w:rsidR="0051120E" w:rsidRPr="003A411E">
        <w:rPr>
          <w:lang w:val="fr-FR"/>
        </w:rPr>
        <w:t>12 </w:t>
      </w:r>
      <w:r w:rsidR="008F1465" w:rsidRPr="003A411E">
        <w:rPr>
          <w:lang w:val="fr-FR"/>
        </w:rPr>
        <w:t>hommes</w:t>
      </w:r>
      <w:r w:rsidR="0051120E" w:rsidRPr="003A411E">
        <w:rPr>
          <w:lang w:val="fr-FR"/>
        </w:rPr>
        <w:t xml:space="preserve"> –</w:t>
      </w:r>
      <w:r w:rsidR="008F1465" w:rsidRPr="003A411E">
        <w:rPr>
          <w:lang w:val="fr-FR"/>
        </w:rPr>
        <w:t xml:space="preserve"> dont </w:t>
      </w:r>
      <w:r w:rsidR="0051120E" w:rsidRPr="003A411E">
        <w:rPr>
          <w:lang w:val="fr-FR"/>
        </w:rPr>
        <w:t>2 </w:t>
      </w:r>
      <w:r w:rsidR="008F1465" w:rsidRPr="003A411E">
        <w:rPr>
          <w:lang w:val="fr-FR"/>
        </w:rPr>
        <w:t>mineurs</w:t>
      </w:r>
      <w:r w:rsidR="0051120E" w:rsidRPr="003A411E">
        <w:rPr>
          <w:lang w:val="fr-FR"/>
        </w:rPr>
        <w:t xml:space="preserve"> –</w:t>
      </w:r>
      <w:r w:rsidR="008F1465" w:rsidRPr="003A411E">
        <w:rPr>
          <w:lang w:val="fr-FR"/>
        </w:rPr>
        <w:t xml:space="preserve"> gardés à vue dans la grande cellule étaient vêtus de sous-vêtements</w:t>
      </w:r>
      <w:r w:rsidR="0051120E" w:rsidRPr="003A411E">
        <w:rPr>
          <w:lang w:val="fr-FR"/>
        </w:rPr>
        <w:t xml:space="preserve"> uniquement</w:t>
      </w:r>
      <w:r w:rsidR="008F1465" w:rsidRPr="003A411E">
        <w:rPr>
          <w:lang w:val="fr-FR"/>
        </w:rPr>
        <w:t xml:space="preserve">, et pieds nus. Lors de la deuxième visite (deux jours </w:t>
      </w:r>
      <w:r w:rsidR="0051120E" w:rsidRPr="003A411E">
        <w:rPr>
          <w:lang w:val="fr-FR"/>
        </w:rPr>
        <w:t>plus tard</w:t>
      </w:r>
      <w:r w:rsidR="008F1465" w:rsidRPr="003A411E">
        <w:rPr>
          <w:lang w:val="fr-FR"/>
        </w:rPr>
        <w:t xml:space="preserve">), certains détenus avaient été libérés, y compris les mineurs. Les nouveaux détenus portaient tous </w:t>
      </w:r>
      <w:r w:rsidR="0051120E" w:rsidRPr="003A411E">
        <w:rPr>
          <w:lang w:val="fr-FR"/>
        </w:rPr>
        <w:t>des</w:t>
      </w:r>
      <w:r w:rsidR="008F1465" w:rsidRPr="003A411E">
        <w:rPr>
          <w:lang w:val="fr-FR"/>
        </w:rPr>
        <w:t xml:space="preserve"> vêtements. </w:t>
      </w:r>
    </w:p>
    <w:p w14:paraId="65B5AEB2" w14:textId="4AC2699D" w:rsidR="008F1465" w:rsidRPr="003A411E" w:rsidRDefault="00297660" w:rsidP="00534B76">
      <w:pPr>
        <w:pStyle w:val="SingleTxtG"/>
        <w:rPr>
          <w:lang w:val="fr-FR"/>
        </w:rPr>
      </w:pPr>
      <w:r w:rsidRPr="003A411E">
        <w:rPr>
          <w:lang w:val="fr-FR"/>
        </w:rPr>
        <w:t>4</w:t>
      </w:r>
      <w:r w:rsidR="00534B76" w:rsidRPr="003A411E">
        <w:rPr>
          <w:lang w:val="fr-FR"/>
        </w:rPr>
        <w:t>2</w:t>
      </w:r>
      <w:r w:rsidRPr="003A411E">
        <w:rPr>
          <w:lang w:val="fr-FR"/>
        </w:rPr>
        <w:t>.</w:t>
      </w:r>
      <w:r w:rsidRPr="003A411E">
        <w:rPr>
          <w:lang w:val="fr-FR"/>
        </w:rPr>
        <w:tab/>
      </w:r>
      <w:r w:rsidR="008F1465" w:rsidRPr="003A411E">
        <w:rPr>
          <w:lang w:val="fr-FR"/>
        </w:rPr>
        <w:t>Le commissariat ne disposait d’aucun lieu de dépôt de</w:t>
      </w:r>
      <w:r w:rsidR="0051120E" w:rsidRPr="003A411E">
        <w:rPr>
          <w:lang w:val="fr-FR"/>
        </w:rPr>
        <w:t>s</w:t>
      </w:r>
      <w:r w:rsidR="008F1465" w:rsidRPr="003A411E">
        <w:rPr>
          <w:lang w:val="fr-FR"/>
        </w:rPr>
        <w:t xml:space="preserve"> vêtements et objets personnels des </w:t>
      </w:r>
      <w:r w:rsidR="00686FD9" w:rsidRPr="003A411E">
        <w:rPr>
          <w:lang w:val="fr-FR"/>
        </w:rPr>
        <w:t xml:space="preserve">personnes </w:t>
      </w:r>
      <w:r w:rsidR="008F1465" w:rsidRPr="003A411E">
        <w:rPr>
          <w:lang w:val="fr-FR"/>
        </w:rPr>
        <w:t>gardé</w:t>
      </w:r>
      <w:r w:rsidR="00686FD9" w:rsidRPr="003A411E">
        <w:rPr>
          <w:lang w:val="fr-FR"/>
        </w:rPr>
        <w:t>e</w:t>
      </w:r>
      <w:r w:rsidR="008F1465" w:rsidRPr="003A411E">
        <w:rPr>
          <w:lang w:val="fr-FR"/>
        </w:rPr>
        <w:t>s à vue, le</w:t>
      </w:r>
      <w:r w:rsidR="00686FD9" w:rsidRPr="003A411E">
        <w:rPr>
          <w:lang w:val="fr-FR"/>
        </w:rPr>
        <w:t>ur</w:t>
      </w:r>
      <w:r w:rsidR="008F1465" w:rsidRPr="003A411E">
        <w:rPr>
          <w:lang w:val="fr-FR"/>
        </w:rPr>
        <w:t xml:space="preserve">s vêtements étant jetés </w:t>
      </w:r>
      <w:r w:rsidR="0051120E" w:rsidRPr="003A411E">
        <w:rPr>
          <w:lang w:val="fr-FR"/>
        </w:rPr>
        <w:t>au</w:t>
      </w:r>
      <w:r w:rsidR="008F1465" w:rsidRPr="003A411E">
        <w:rPr>
          <w:lang w:val="fr-FR"/>
        </w:rPr>
        <w:t xml:space="preserve"> sol à l’extérieur du bâtiment. De</w:t>
      </w:r>
      <w:r w:rsidR="003646B4">
        <w:rPr>
          <w:lang w:val="fr-FR"/>
        </w:rPr>
        <w:t> </w:t>
      </w:r>
      <w:r w:rsidR="008F1465" w:rsidRPr="003A411E">
        <w:rPr>
          <w:lang w:val="fr-FR"/>
        </w:rPr>
        <w:t>même, aucun espace n’</w:t>
      </w:r>
      <w:r w:rsidR="00686FD9" w:rsidRPr="003A411E">
        <w:rPr>
          <w:lang w:val="fr-FR"/>
        </w:rPr>
        <w:t xml:space="preserve">était mis à leur disposition </w:t>
      </w:r>
      <w:r w:rsidR="0051120E" w:rsidRPr="003A411E">
        <w:rPr>
          <w:lang w:val="fr-FR"/>
        </w:rPr>
        <w:t>comme</w:t>
      </w:r>
      <w:r w:rsidR="008F1465" w:rsidRPr="003A411E">
        <w:rPr>
          <w:lang w:val="fr-FR"/>
        </w:rPr>
        <w:t xml:space="preserve"> lieu de promenade.</w:t>
      </w:r>
    </w:p>
    <w:p w14:paraId="2AD974B8" w14:textId="42C53B00" w:rsidR="008F1465" w:rsidRPr="003A411E" w:rsidRDefault="00297660" w:rsidP="001678AD">
      <w:pPr>
        <w:pStyle w:val="SingleTxtG"/>
        <w:rPr>
          <w:lang w:val="fr-FR"/>
        </w:rPr>
      </w:pPr>
      <w:r w:rsidRPr="003A411E">
        <w:rPr>
          <w:bCs/>
          <w:lang w:val="fr-FR"/>
        </w:rPr>
        <w:lastRenderedPageBreak/>
        <w:t>4</w:t>
      </w:r>
      <w:r w:rsidR="00534B76" w:rsidRPr="003A411E">
        <w:rPr>
          <w:bCs/>
          <w:lang w:val="fr-FR"/>
        </w:rPr>
        <w:t>3</w:t>
      </w:r>
      <w:r w:rsidRPr="003A411E">
        <w:rPr>
          <w:bCs/>
          <w:lang w:val="fr-FR"/>
        </w:rPr>
        <w:t>.</w:t>
      </w:r>
      <w:r w:rsidRPr="003A411E">
        <w:rPr>
          <w:bCs/>
          <w:lang w:val="fr-FR"/>
        </w:rPr>
        <w:tab/>
      </w:r>
      <w:r w:rsidR="008F1465" w:rsidRPr="003A411E">
        <w:rPr>
          <w:bCs/>
          <w:lang w:val="fr-FR"/>
        </w:rPr>
        <w:t xml:space="preserve">La délégation a constaté que la nourriture et l’eau n’étaient </w:t>
      </w:r>
      <w:r w:rsidR="001678AD" w:rsidRPr="003A411E">
        <w:rPr>
          <w:bCs/>
          <w:lang w:val="fr-FR"/>
        </w:rPr>
        <w:t>ni</w:t>
      </w:r>
      <w:r w:rsidR="008F1465" w:rsidRPr="003A411E">
        <w:rPr>
          <w:bCs/>
          <w:lang w:val="fr-FR"/>
        </w:rPr>
        <w:t xml:space="preserve"> de bonne qualité ni </w:t>
      </w:r>
      <w:r w:rsidR="001678AD" w:rsidRPr="003A411E">
        <w:rPr>
          <w:bCs/>
          <w:lang w:val="fr-FR"/>
        </w:rPr>
        <w:t xml:space="preserve">présentes </w:t>
      </w:r>
      <w:r w:rsidR="008F1465" w:rsidRPr="003A411E">
        <w:rPr>
          <w:bCs/>
          <w:lang w:val="fr-FR"/>
        </w:rPr>
        <w:t>en quantité suffisante.</w:t>
      </w:r>
      <w:r w:rsidR="008F1465" w:rsidRPr="003A411E">
        <w:t xml:space="preserve"> </w:t>
      </w:r>
      <w:r w:rsidR="008F1465" w:rsidRPr="003A411E">
        <w:rPr>
          <w:bCs/>
          <w:lang w:val="fr-FR"/>
        </w:rPr>
        <w:t xml:space="preserve">Les </w:t>
      </w:r>
      <w:r w:rsidR="00686FD9" w:rsidRPr="003A411E">
        <w:rPr>
          <w:bCs/>
          <w:lang w:val="fr-FR"/>
        </w:rPr>
        <w:t xml:space="preserve">personnes </w:t>
      </w:r>
      <w:r w:rsidR="008F1465" w:rsidRPr="003A411E">
        <w:rPr>
          <w:lang w:val="fr-FR"/>
        </w:rPr>
        <w:t>gardé</w:t>
      </w:r>
      <w:r w:rsidR="00686FD9" w:rsidRPr="003A411E">
        <w:rPr>
          <w:lang w:val="fr-FR"/>
        </w:rPr>
        <w:t>e</w:t>
      </w:r>
      <w:r w:rsidR="008F1465" w:rsidRPr="003A411E">
        <w:rPr>
          <w:lang w:val="fr-FR"/>
        </w:rPr>
        <w:t xml:space="preserve">s à vue préparaient </w:t>
      </w:r>
      <w:r w:rsidR="00686FD9" w:rsidRPr="003A411E">
        <w:rPr>
          <w:lang w:val="fr-FR"/>
        </w:rPr>
        <w:t>elles</w:t>
      </w:r>
      <w:r w:rsidR="008F1465" w:rsidRPr="003A411E">
        <w:rPr>
          <w:lang w:val="fr-FR"/>
        </w:rPr>
        <w:t>-mêmes leur unique repas quotidien à base de riz et de haricots. Les repas étaient pris à même le sol</w:t>
      </w:r>
      <w:r w:rsidR="001678AD" w:rsidRPr="003A411E">
        <w:rPr>
          <w:lang w:val="fr-FR"/>
        </w:rPr>
        <w:t>,</w:t>
      </w:r>
      <w:r w:rsidR="008F1465" w:rsidRPr="003A411E">
        <w:rPr>
          <w:lang w:val="fr-FR"/>
        </w:rPr>
        <w:t xml:space="preserve"> dans un grand récipient</w:t>
      </w:r>
      <w:r w:rsidR="001678AD" w:rsidRPr="003A411E">
        <w:rPr>
          <w:lang w:val="fr-FR"/>
        </w:rPr>
        <w:t>,</w:t>
      </w:r>
      <w:r w:rsidR="008F1465" w:rsidRPr="003A411E">
        <w:rPr>
          <w:lang w:val="fr-FR"/>
        </w:rPr>
        <w:t xml:space="preserve"> dans des conditions d’hygiène déplorables. L</w:t>
      </w:r>
      <w:r w:rsidR="00874FCA" w:rsidRPr="003A411E">
        <w:rPr>
          <w:lang w:val="fr-FR"/>
        </w:rPr>
        <w:t>’</w:t>
      </w:r>
      <w:r w:rsidR="008F1465" w:rsidRPr="003A411E">
        <w:rPr>
          <w:lang w:val="fr-FR"/>
        </w:rPr>
        <w:t xml:space="preserve">entretien des personnes gardées à vue </w:t>
      </w:r>
      <w:r w:rsidR="00B637E6" w:rsidRPr="003A411E">
        <w:rPr>
          <w:lang w:val="fr-FR"/>
        </w:rPr>
        <w:t>était</w:t>
      </w:r>
      <w:r w:rsidR="008F1465" w:rsidRPr="003A411E">
        <w:rPr>
          <w:lang w:val="fr-FR"/>
        </w:rPr>
        <w:t xml:space="preserve"> </w:t>
      </w:r>
      <w:r w:rsidR="001678AD" w:rsidRPr="003A411E">
        <w:rPr>
          <w:lang w:val="fr-FR"/>
        </w:rPr>
        <w:t>pris en charge</w:t>
      </w:r>
      <w:r w:rsidR="008F1465" w:rsidRPr="003A411E">
        <w:rPr>
          <w:lang w:val="fr-FR"/>
        </w:rPr>
        <w:t xml:space="preserve"> par les familles</w:t>
      </w:r>
      <w:r w:rsidR="00B637E6" w:rsidRPr="003A411E">
        <w:rPr>
          <w:lang w:val="fr-FR"/>
        </w:rPr>
        <w:t>, et c</w:t>
      </w:r>
      <w:r w:rsidR="001678AD" w:rsidRPr="003A411E">
        <w:rPr>
          <w:lang w:val="fr-FR"/>
        </w:rPr>
        <w:t>elle</w:t>
      </w:r>
      <w:r w:rsidR="00B637E6" w:rsidRPr="003A411E">
        <w:rPr>
          <w:lang w:val="fr-FR"/>
        </w:rPr>
        <w:t>s</w:t>
      </w:r>
      <w:r w:rsidR="001678AD" w:rsidRPr="003A411E">
        <w:rPr>
          <w:lang w:val="fr-FR"/>
        </w:rPr>
        <w:t xml:space="preserve"> qui ne disposent d’aucun soutien</w:t>
      </w:r>
      <w:r w:rsidR="008F1465" w:rsidRPr="003A411E">
        <w:rPr>
          <w:lang w:val="fr-FR"/>
        </w:rPr>
        <w:t xml:space="preserve"> familial dépendent de la solidarité de leurs codétenus.</w:t>
      </w:r>
      <w:r w:rsidR="001678AD" w:rsidRPr="003A411E">
        <w:rPr>
          <w:lang w:val="fr-FR"/>
        </w:rPr>
        <w:t xml:space="preserve"> Enfin, l</w:t>
      </w:r>
      <w:r w:rsidR="008F1465" w:rsidRPr="003A411E">
        <w:rPr>
          <w:lang w:val="fr-FR"/>
        </w:rPr>
        <w:t xml:space="preserve">es </w:t>
      </w:r>
      <w:r w:rsidR="00686FD9" w:rsidRPr="003A411E">
        <w:rPr>
          <w:lang w:val="fr-FR"/>
        </w:rPr>
        <w:t xml:space="preserve">personnes </w:t>
      </w:r>
      <w:r w:rsidR="008F1465" w:rsidRPr="003A411E">
        <w:rPr>
          <w:lang w:val="fr-FR"/>
        </w:rPr>
        <w:t>gardé</w:t>
      </w:r>
      <w:r w:rsidR="00686FD9" w:rsidRPr="003A411E">
        <w:rPr>
          <w:lang w:val="fr-FR"/>
        </w:rPr>
        <w:t>e</w:t>
      </w:r>
      <w:r w:rsidR="008F1465" w:rsidRPr="003A411E">
        <w:rPr>
          <w:lang w:val="fr-FR"/>
        </w:rPr>
        <w:t xml:space="preserve">s à vue </w:t>
      </w:r>
      <w:r w:rsidR="008119D6" w:rsidRPr="003A411E">
        <w:rPr>
          <w:lang w:val="fr-FR"/>
        </w:rPr>
        <w:t>ne recevaient qu’une</w:t>
      </w:r>
      <w:r w:rsidR="008F1465" w:rsidRPr="003A411E">
        <w:rPr>
          <w:lang w:val="fr-FR"/>
        </w:rPr>
        <w:t xml:space="preserve"> faible quantité d’eau </w:t>
      </w:r>
      <w:r w:rsidR="001678AD" w:rsidRPr="003A411E">
        <w:rPr>
          <w:lang w:val="fr-FR"/>
        </w:rPr>
        <w:t>par jour, soit</w:t>
      </w:r>
      <w:r w:rsidR="008F1465" w:rsidRPr="003A411E">
        <w:rPr>
          <w:lang w:val="fr-FR"/>
        </w:rPr>
        <w:t xml:space="preserve"> </w:t>
      </w:r>
      <w:r w:rsidR="001678AD" w:rsidRPr="003A411E">
        <w:rPr>
          <w:lang w:val="fr-FR"/>
        </w:rPr>
        <w:t>deux</w:t>
      </w:r>
      <w:r w:rsidR="008F1465" w:rsidRPr="003A411E">
        <w:rPr>
          <w:lang w:val="fr-FR"/>
        </w:rPr>
        <w:t xml:space="preserve"> </w:t>
      </w:r>
      <w:r w:rsidR="008119D6" w:rsidRPr="003A411E">
        <w:rPr>
          <w:lang w:val="fr-FR"/>
        </w:rPr>
        <w:t>litres pour</w:t>
      </w:r>
      <w:r w:rsidR="008F1465" w:rsidRPr="003A411E">
        <w:rPr>
          <w:lang w:val="fr-FR"/>
        </w:rPr>
        <w:t xml:space="preserve"> boire et se laver.</w:t>
      </w:r>
    </w:p>
    <w:p w14:paraId="735F82E5" w14:textId="5CF32AEB" w:rsidR="008F1465" w:rsidRPr="003A411E" w:rsidRDefault="00297660" w:rsidP="00915418">
      <w:pPr>
        <w:pStyle w:val="SingleTxtG"/>
        <w:rPr>
          <w:lang w:val="fr-FR"/>
        </w:rPr>
      </w:pPr>
      <w:r w:rsidRPr="003A411E">
        <w:rPr>
          <w:lang w:val="fr-FR"/>
        </w:rPr>
        <w:t>4</w:t>
      </w:r>
      <w:r w:rsidR="00534B76" w:rsidRPr="003A411E">
        <w:rPr>
          <w:lang w:val="fr-FR"/>
        </w:rPr>
        <w:t>4</w:t>
      </w:r>
      <w:r w:rsidRPr="003A411E">
        <w:rPr>
          <w:lang w:val="fr-FR"/>
        </w:rPr>
        <w:t>.</w:t>
      </w:r>
      <w:r w:rsidRPr="003A411E">
        <w:rPr>
          <w:lang w:val="fr-FR"/>
        </w:rPr>
        <w:tab/>
      </w:r>
      <w:r w:rsidR="008F1465" w:rsidRPr="003A411E">
        <w:rPr>
          <w:lang w:val="fr-FR"/>
        </w:rPr>
        <w:t>La situation semblait bien pire au commissariat de Wemtenga</w:t>
      </w:r>
      <w:r w:rsidR="001678AD" w:rsidRPr="003A411E">
        <w:rPr>
          <w:lang w:val="fr-FR"/>
        </w:rPr>
        <w:t>,</w:t>
      </w:r>
      <w:r w:rsidR="008F1465" w:rsidRPr="003A411E">
        <w:rPr>
          <w:lang w:val="fr-FR"/>
        </w:rPr>
        <w:t xml:space="preserve"> que la délégation n’a pu visiter. En effet, de nombreux détenus </w:t>
      </w:r>
      <w:r w:rsidR="001678AD" w:rsidRPr="003A411E">
        <w:rPr>
          <w:lang w:val="fr-FR"/>
        </w:rPr>
        <w:t>interrogés</w:t>
      </w:r>
      <w:r w:rsidR="008F1465" w:rsidRPr="003A411E">
        <w:rPr>
          <w:lang w:val="fr-FR"/>
        </w:rPr>
        <w:t xml:space="preserve"> à la </w:t>
      </w:r>
      <w:r w:rsidR="00F80956" w:rsidRPr="003A411E">
        <w:rPr>
          <w:lang w:val="fr-FR"/>
        </w:rPr>
        <w:t>m</w:t>
      </w:r>
      <w:r w:rsidR="001678AD" w:rsidRPr="003A411E">
        <w:rPr>
          <w:lang w:val="fr-FR"/>
        </w:rPr>
        <w:t>aison d’arrêt et de correction de Ouagadougou</w:t>
      </w:r>
      <w:r w:rsidR="008F1465" w:rsidRPr="003A411E">
        <w:rPr>
          <w:lang w:val="fr-FR"/>
        </w:rPr>
        <w:t xml:space="preserve"> ont témoigné de la saleté, de l’exig</w:t>
      </w:r>
      <w:r w:rsidR="001678AD" w:rsidRPr="003A411E">
        <w:rPr>
          <w:lang w:val="fr-FR"/>
        </w:rPr>
        <w:t>uï</w:t>
      </w:r>
      <w:r w:rsidR="008F1465" w:rsidRPr="003A411E">
        <w:rPr>
          <w:lang w:val="fr-FR"/>
        </w:rPr>
        <w:t xml:space="preserve">té et de l’absence d’eau et de lumière dans trois </w:t>
      </w:r>
      <w:r w:rsidR="001678AD" w:rsidRPr="003A411E">
        <w:rPr>
          <w:lang w:val="fr-FR"/>
        </w:rPr>
        <w:t xml:space="preserve">des quatre </w:t>
      </w:r>
      <w:r w:rsidR="008F1465" w:rsidRPr="003A411E">
        <w:rPr>
          <w:lang w:val="fr-FR"/>
        </w:rPr>
        <w:t xml:space="preserve">cellules. Il a aussi </w:t>
      </w:r>
      <w:r w:rsidR="001678AD" w:rsidRPr="003A411E">
        <w:rPr>
          <w:lang w:val="fr-FR"/>
        </w:rPr>
        <w:t xml:space="preserve">été </w:t>
      </w:r>
      <w:r w:rsidR="008F1465" w:rsidRPr="003A411E">
        <w:rPr>
          <w:lang w:val="fr-FR"/>
        </w:rPr>
        <w:t>rapporté qu’une cellule d’une superficie de 1</w:t>
      </w:r>
      <w:r w:rsidR="00915418" w:rsidRPr="003A411E">
        <w:rPr>
          <w:lang w:val="fr-FR"/>
        </w:rPr>
        <w:t> </w:t>
      </w:r>
      <w:r w:rsidR="008F1465" w:rsidRPr="003A411E">
        <w:rPr>
          <w:lang w:val="fr-FR"/>
        </w:rPr>
        <w:t>m</w:t>
      </w:r>
      <w:r w:rsidR="001678AD" w:rsidRPr="003A411E">
        <w:rPr>
          <w:lang w:val="fr-FR"/>
        </w:rPr>
        <w:t>ètre carré</w:t>
      </w:r>
      <w:r w:rsidR="008F1465" w:rsidRPr="003A411E">
        <w:rPr>
          <w:lang w:val="fr-FR"/>
        </w:rPr>
        <w:t xml:space="preserve"> servait à enfermer des détenus durant un certain temps</w:t>
      </w:r>
      <w:r w:rsidR="001678AD" w:rsidRPr="003A411E">
        <w:rPr>
          <w:lang w:val="fr-FR"/>
        </w:rPr>
        <w:t>,</w:t>
      </w:r>
      <w:r w:rsidR="008F1465" w:rsidRPr="003A411E">
        <w:rPr>
          <w:lang w:val="fr-FR"/>
        </w:rPr>
        <w:t xml:space="preserve"> avant ou après les interrogatoires.</w:t>
      </w:r>
    </w:p>
    <w:p w14:paraId="322D730B" w14:textId="2AC5525B" w:rsidR="008F1465" w:rsidRPr="003A411E" w:rsidRDefault="00297660" w:rsidP="00534B76">
      <w:pPr>
        <w:pStyle w:val="SingleTxtG"/>
        <w:rPr>
          <w:lang w:val="fr-FR"/>
        </w:rPr>
      </w:pPr>
      <w:r w:rsidRPr="003A411E">
        <w:rPr>
          <w:lang w:val="fr-FR"/>
        </w:rPr>
        <w:t>4</w:t>
      </w:r>
      <w:r w:rsidR="00534B76" w:rsidRPr="003A411E">
        <w:rPr>
          <w:lang w:val="fr-FR"/>
        </w:rPr>
        <w:t>5</w:t>
      </w:r>
      <w:r w:rsidRPr="003A411E">
        <w:rPr>
          <w:lang w:val="fr-FR"/>
        </w:rPr>
        <w:t>.</w:t>
      </w:r>
      <w:r w:rsidRPr="003A411E">
        <w:rPr>
          <w:lang w:val="fr-FR"/>
        </w:rPr>
        <w:tab/>
      </w:r>
      <w:r w:rsidR="008F1465" w:rsidRPr="003A411E">
        <w:rPr>
          <w:lang w:val="fr-FR"/>
        </w:rPr>
        <w:t xml:space="preserve">Les conditions matérielles de travail du personnel de police et de gendarmerie étaient déplorables. Ainsi, la délégation a constaté l’état de délabrement des locaux de la Brigade de </w:t>
      </w:r>
      <w:r w:rsidR="001678AD" w:rsidRPr="003A411E">
        <w:rPr>
          <w:lang w:val="fr-FR"/>
        </w:rPr>
        <w:t>r</w:t>
      </w:r>
      <w:r w:rsidR="008F1465" w:rsidRPr="003A411E">
        <w:rPr>
          <w:lang w:val="fr-FR"/>
        </w:rPr>
        <w:t xml:space="preserve">echerche et </w:t>
      </w:r>
      <w:r w:rsidR="001678AD" w:rsidRPr="003A411E">
        <w:rPr>
          <w:lang w:val="fr-FR"/>
        </w:rPr>
        <w:t>d’i</w:t>
      </w:r>
      <w:r w:rsidR="008F1465" w:rsidRPr="003A411E">
        <w:rPr>
          <w:lang w:val="fr-FR"/>
        </w:rPr>
        <w:t xml:space="preserve">ntervention de la Gendarmerie </w:t>
      </w:r>
      <w:r w:rsidR="001678AD" w:rsidRPr="003A411E">
        <w:rPr>
          <w:lang w:val="fr-FR"/>
        </w:rPr>
        <w:t>n</w:t>
      </w:r>
      <w:r w:rsidR="008F1465" w:rsidRPr="003A411E">
        <w:rPr>
          <w:lang w:val="fr-FR"/>
        </w:rPr>
        <w:t>ationale de Paspanga</w:t>
      </w:r>
      <w:r w:rsidR="001678AD" w:rsidRPr="003A411E">
        <w:rPr>
          <w:lang w:val="fr-FR"/>
        </w:rPr>
        <w:t>,</w:t>
      </w:r>
      <w:r w:rsidR="008F1465" w:rsidRPr="003A411E">
        <w:rPr>
          <w:lang w:val="fr-FR"/>
        </w:rPr>
        <w:t xml:space="preserve"> notamment des bureaux des officiers de police judiciaire. </w:t>
      </w:r>
    </w:p>
    <w:p w14:paraId="14A33D8C" w14:textId="6EF538E2" w:rsidR="008F1465" w:rsidRPr="003A411E" w:rsidRDefault="00297660" w:rsidP="00534B76">
      <w:pPr>
        <w:pStyle w:val="SingleTxtG"/>
        <w:rPr>
          <w:lang w:val="fr-FR"/>
        </w:rPr>
      </w:pPr>
      <w:r w:rsidRPr="003A411E">
        <w:rPr>
          <w:lang w:val="fr-FR"/>
        </w:rPr>
        <w:t>4</w:t>
      </w:r>
      <w:r w:rsidR="00534B76" w:rsidRPr="003A411E">
        <w:rPr>
          <w:lang w:val="fr-FR"/>
        </w:rPr>
        <w:t>6</w:t>
      </w:r>
      <w:r w:rsidRPr="003A411E">
        <w:rPr>
          <w:lang w:val="fr-FR"/>
        </w:rPr>
        <w:t>.</w:t>
      </w:r>
      <w:r w:rsidRPr="003A411E">
        <w:rPr>
          <w:lang w:val="fr-FR"/>
        </w:rPr>
        <w:tab/>
      </w:r>
      <w:r w:rsidR="008F1465" w:rsidRPr="003A411E">
        <w:rPr>
          <w:lang w:val="fr-FR"/>
        </w:rPr>
        <w:t>Un</w:t>
      </w:r>
      <w:r w:rsidRPr="003A411E">
        <w:t xml:space="preserve"> b</w:t>
      </w:r>
      <w:r w:rsidR="008F1465" w:rsidRPr="003A411E">
        <w:rPr>
          <w:lang w:val="fr-FR"/>
        </w:rPr>
        <w:t xml:space="preserve">âton et une corde à nœud était déposés dans le bureau destiné aux interrogatoires, ce qui pouvait laisser penser à une </w:t>
      </w:r>
      <w:r w:rsidR="008F1465" w:rsidRPr="003A411E">
        <w:rPr>
          <w:bCs/>
          <w:lang w:val="fr-FR"/>
        </w:rPr>
        <w:t>utilisation</w:t>
      </w:r>
      <w:r w:rsidR="008F1465" w:rsidRPr="003A411E">
        <w:rPr>
          <w:lang w:val="fr-FR"/>
        </w:rPr>
        <w:t xml:space="preserve"> inappropriée à l’encontre des </w:t>
      </w:r>
      <w:r w:rsidR="00686FD9" w:rsidRPr="003A411E">
        <w:rPr>
          <w:lang w:val="fr-FR"/>
        </w:rPr>
        <w:t xml:space="preserve">personnes </w:t>
      </w:r>
      <w:r w:rsidR="008F1465" w:rsidRPr="003A411E">
        <w:rPr>
          <w:lang w:val="fr-FR"/>
        </w:rPr>
        <w:t>gardé</w:t>
      </w:r>
      <w:r w:rsidR="00686FD9" w:rsidRPr="003A411E">
        <w:rPr>
          <w:lang w:val="fr-FR"/>
        </w:rPr>
        <w:t>e</w:t>
      </w:r>
      <w:r w:rsidR="008F1465" w:rsidRPr="003A411E">
        <w:rPr>
          <w:lang w:val="fr-FR"/>
        </w:rPr>
        <w:t xml:space="preserve">s à vue (intimidation ou violences). </w:t>
      </w:r>
    </w:p>
    <w:p w14:paraId="557CE173" w14:textId="5CA2D25C" w:rsidR="008F1465" w:rsidRPr="003A411E" w:rsidRDefault="00297660" w:rsidP="00534B76">
      <w:pPr>
        <w:pStyle w:val="SingleTxtG"/>
        <w:rPr>
          <w:lang w:val="fr-FR"/>
        </w:rPr>
      </w:pPr>
      <w:r w:rsidRPr="003A411E">
        <w:rPr>
          <w:lang w:val="fr-FR"/>
        </w:rPr>
        <w:t>4</w:t>
      </w:r>
      <w:r w:rsidR="00534B76" w:rsidRPr="003A411E">
        <w:rPr>
          <w:lang w:val="fr-FR"/>
        </w:rPr>
        <w:t>7</w:t>
      </w:r>
      <w:r w:rsidRPr="003A411E">
        <w:rPr>
          <w:lang w:val="fr-FR"/>
        </w:rPr>
        <w:t>.</w:t>
      </w:r>
      <w:r w:rsidRPr="003A411E">
        <w:rPr>
          <w:lang w:val="fr-FR"/>
        </w:rPr>
        <w:tab/>
      </w:r>
      <w:r w:rsidR="008F1465" w:rsidRPr="003A411E">
        <w:rPr>
          <w:lang w:val="fr-FR"/>
        </w:rPr>
        <w:t>Les cellules de garde à vue</w:t>
      </w:r>
      <w:r w:rsidR="00523509" w:rsidRPr="003A411E">
        <w:rPr>
          <w:lang w:val="fr-FR"/>
        </w:rPr>
        <w:t>,</w:t>
      </w:r>
      <w:r w:rsidR="008F1465" w:rsidRPr="003A411E">
        <w:rPr>
          <w:lang w:val="fr-FR"/>
        </w:rPr>
        <w:t xml:space="preserve"> aussi bien celle</w:t>
      </w:r>
      <w:r w:rsidR="00523509" w:rsidRPr="003A411E">
        <w:rPr>
          <w:lang w:val="fr-FR"/>
        </w:rPr>
        <w:t>s</w:t>
      </w:r>
      <w:r w:rsidR="008F1465" w:rsidRPr="003A411E">
        <w:rPr>
          <w:lang w:val="fr-FR"/>
        </w:rPr>
        <w:t xml:space="preserve"> des hommes que celles réservées aux femmes et aux mineurs</w:t>
      </w:r>
      <w:r w:rsidR="00523509" w:rsidRPr="003A411E">
        <w:rPr>
          <w:lang w:val="fr-FR"/>
        </w:rPr>
        <w:t>,</w:t>
      </w:r>
      <w:r w:rsidR="008F1465" w:rsidRPr="003A411E">
        <w:rPr>
          <w:lang w:val="fr-FR"/>
        </w:rPr>
        <w:t xml:space="preserve"> étaient utilisées </w:t>
      </w:r>
      <w:r w:rsidR="008F1465" w:rsidRPr="003A411E">
        <w:rPr>
          <w:bCs/>
          <w:lang w:val="fr-FR"/>
        </w:rPr>
        <w:t>conjointement</w:t>
      </w:r>
      <w:r w:rsidR="008F1465" w:rsidRPr="003A411E">
        <w:rPr>
          <w:lang w:val="fr-FR"/>
        </w:rPr>
        <w:t xml:space="preserve"> par la Brigade de recherche et d’intervention et la Brigade </w:t>
      </w:r>
      <w:r w:rsidR="00523509" w:rsidRPr="003A411E">
        <w:rPr>
          <w:lang w:val="fr-FR"/>
        </w:rPr>
        <w:t>t</w:t>
      </w:r>
      <w:r w:rsidR="008F1465" w:rsidRPr="003A411E">
        <w:rPr>
          <w:lang w:val="fr-FR"/>
        </w:rPr>
        <w:t xml:space="preserve">erritoriale de la </w:t>
      </w:r>
      <w:r w:rsidR="00523509" w:rsidRPr="003A411E">
        <w:rPr>
          <w:lang w:val="fr-FR"/>
        </w:rPr>
        <w:t>G</w:t>
      </w:r>
      <w:r w:rsidR="008F1465" w:rsidRPr="003A411E">
        <w:rPr>
          <w:lang w:val="fr-FR"/>
        </w:rPr>
        <w:t xml:space="preserve">endarmerie </w:t>
      </w:r>
      <w:r w:rsidR="00523509" w:rsidRPr="003A411E">
        <w:rPr>
          <w:lang w:val="fr-FR"/>
        </w:rPr>
        <w:t>n</w:t>
      </w:r>
      <w:r w:rsidR="008F1465" w:rsidRPr="003A411E">
        <w:rPr>
          <w:lang w:val="fr-FR"/>
        </w:rPr>
        <w:t>ationale. Ces installations étaient propres et disposaient d’une cour avec toilettes et salle d’eau.</w:t>
      </w:r>
    </w:p>
    <w:p w14:paraId="32E1DE75" w14:textId="50295473" w:rsidR="008F1465" w:rsidRPr="003A411E" w:rsidRDefault="00523509" w:rsidP="00534B76">
      <w:pPr>
        <w:pStyle w:val="SingleTxtG"/>
        <w:rPr>
          <w:b/>
          <w:bCs/>
          <w:lang w:val="fr-FR"/>
        </w:rPr>
      </w:pPr>
      <w:r w:rsidRPr="003A411E">
        <w:rPr>
          <w:bCs/>
          <w:lang w:val="fr-FR"/>
        </w:rPr>
        <w:t>4</w:t>
      </w:r>
      <w:r w:rsidR="00534B76" w:rsidRPr="003A411E">
        <w:rPr>
          <w:bCs/>
          <w:lang w:val="fr-FR"/>
        </w:rPr>
        <w:t>8</w:t>
      </w:r>
      <w:r w:rsidR="008F1465" w:rsidRPr="003A411E">
        <w:rPr>
          <w:bCs/>
          <w:lang w:val="fr-FR"/>
        </w:rPr>
        <w:t>.</w:t>
      </w:r>
      <w:r w:rsidR="008F1465" w:rsidRPr="003A411E">
        <w:rPr>
          <w:b/>
          <w:bCs/>
          <w:lang w:val="fr-FR"/>
        </w:rPr>
        <w:t xml:space="preserve"> </w:t>
      </w:r>
      <w:r w:rsidR="00297660" w:rsidRPr="003A411E">
        <w:rPr>
          <w:b/>
          <w:bCs/>
          <w:lang w:val="fr-FR"/>
        </w:rPr>
        <w:tab/>
      </w:r>
      <w:r w:rsidR="008F1465" w:rsidRPr="003A411E">
        <w:rPr>
          <w:b/>
          <w:bCs/>
          <w:lang w:val="fr-FR"/>
        </w:rPr>
        <w:t>Le Sous-</w:t>
      </w:r>
      <w:r w:rsidR="006A2C77" w:rsidRPr="003A411E">
        <w:rPr>
          <w:b/>
          <w:bCs/>
          <w:lang w:val="fr-FR"/>
        </w:rPr>
        <w:t>C</w:t>
      </w:r>
      <w:r w:rsidR="008F1465" w:rsidRPr="003A411E">
        <w:rPr>
          <w:b/>
          <w:bCs/>
          <w:lang w:val="fr-FR"/>
        </w:rPr>
        <w:t>omité recommande aux autorités du Burkina Faso :</w:t>
      </w:r>
    </w:p>
    <w:p w14:paraId="1E1FF4A4" w14:textId="6CE193F7" w:rsidR="008F1465" w:rsidRPr="003A411E" w:rsidRDefault="008F1465" w:rsidP="00434A08">
      <w:pPr>
        <w:pStyle w:val="SingleTxtG"/>
        <w:ind w:firstLine="567"/>
        <w:rPr>
          <w:b/>
          <w:lang w:val="fr-FR"/>
        </w:rPr>
      </w:pPr>
      <w:r w:rsidRPr="003A411E">
        <w:rPr>
          <w:b/>
          <w:lang w:val="fr-FR"/>
        </w:rPr>
        <w:t xml:space="preserve">a) </w:t>
      </w:r>
      <w:r w:rsidRPr="003A411E">
        <w:rPr>
          <w:b/>
          <w:lang w:val="fr-FR"/>
        </w:rPr>
        <w:tab/>
      </w:r>
      <w:r w:rsidR="00523509" w:rsidRPr="003A411E">
        <w:rPr>
          <w:b/>
          <w:lang w:val="fr-FR"/>
        </w:rPr>
        <w:t>D’</w:t>
      </w:r>
      <w:r w:rsidRPr="003A411E">
        <w:rPr>
          <w:b/>
          <w:lang w:val="fr-FR"/>
        </w:rPr>
        <w:t xml:space="preserve">améliorer les conditions d’hygiène et </w:t>
      </w:r>
      <w:r w:rsidR="00523509" w:rsidRPr="003A411E">
        <w:rPr>
          <w:b/>
          <w:lang w:val="fr-FR"/>
        </w:rPr>
        <w:t xml:space="preserve">de </w:t>
      </w:r>
      <w:r w:rsidRPr="003A411E">
        <w:rPr>
          <w:b/>
          <w:lang w:val="fr-FR"/>
        </w:rPr>
        <w:t>salubrité dans les locaux de garde à vue</w:t>
      </w:r>
      <w:r w:rsidRPr="00E375EF">
        <w:rPr>
          <w:rStyle w:val="Appelnotedebasdep"/>
        </w:rPr>
        <w:footnoteReference w:id="5"/>
      </w:r>
      <w:r w:rsidR="00523509" w:rsidRPr="003A411E">
        <w:rPr>
          <w:b/>
          <w:lang w:val="fr-FR"/>
        </w:rPr>
        <w:t> </w:t>
      </w:r>
      <w:r w:rsidRPr="003A411E">
        <w:rPr>
          <w:b/>
          <w:lang w:val="fr-FR"/>
        </w:rPr>
        <w:t xml:space="preserve">; </w:t>
      </w:r>
    </w:p>
    <w:p w14:paraId="4AF8EBA7" w14:textId="3DF20217" w:rsidR="008F1465" w:rsidRPr="003A411E" w:rsidRDefault="008F1465" w:rsidP="00434A08">
      <w:pPr>
        <w:pStyle w:val="SingleTxtG"/>
        <w:ind w:firstLine="567"/>
        <w:rPr>
          <w:b/>
          <w:lang w:val="fr-FR"/>
        </w:rPr>
      </w:pPr>
      <w:r w:rsidRPr="003A411E">
        <w:rPr>
          <w:b/>
          <w:lang w:val="fr-FR"/>
        </w:rPr>
        <w:t xml:space="preserve">b) </w:t>
      </w:r>
      <w:r w:rsidRPr="003A411E">
        <w:rPr>
          <w:b/>
          <w:lang w:val="fr-FR"/>
        </w:rPr>
        <w:tab/>
      </w:r>
      <w:r w:rsidR="00523509" w:rsidRPr="003A411E">
        <w:rPr>
          <w:b/>
          <w:lang w:val="fr-FR"/>
        </w:rPr>
        <w:t xml:space="preserve">De </w:t>
      </w:r>
      <w:r w:rsidRPr="003A411E">
        <w:rPr>
          <w:b/>
          <w:lang w:val="fr-FR"/>
        </w:rPr>
        <w:t>fournir des matelas, couchages</w:t>
      </w:r>
      <w:r w:rsidRPr="00E375EF">
        <w:rPr>
          <w:rStyle w:val="Appelnotedebasdep"/>
        </w:rPr>
        <w:footnoteReference w:id="6"/>
      </w:r>
      <w:r w:rsidRPr="003A411E">
        <w:rPr>
          <w:b/>
          <w:lang w:val="fr-FR"/>
        </w:rPr>
        <w:t xml:space="preserve"> et moustiquaires aux </w:t>
      </w:r>
      <w:r w:rsidR="00686FD9" w:rsidRPr="003A411E">
        <w:rPr>
          <w:b/>
          <w:lang w:val="fr-FR"/>
        </w:rPr>
        <w:t xml:space="preserve">personnes </w:t>
      </w:r>
      <w:r w:rsidRPr="003A411E">
        <w:rPr>
          <w:b/>
          <w:lang w:val="fr-FR"/>
        </w:rPr>
        <w:t>gardé</w:t>
      </w:r>
      <w:r w:rsidR="00686FD9" w:rsidRPr="003A411E">
        <w:rPr>
          <w:b/>
          <w:lang w:val="fr-FR"/>
        </w:rPr>
        <w:t>e</w:t>
      </w:r>
      <w:r w:rsidRPr="003A411E">
        <w:rPr>
          <w:b/>
          <w:lang w:val="fr-FR"/>
        </w:rPr>
        <w:t>s à vue ;</w:t>
      </w:r>
    </w:p>
    <w:p w14:paraId="4A7548B9" w14:textId="0C7EAA60" w:rsidR="008F1465" w:rsidRPr="003A411E" w:rsidRDefault="008F1465" w:rsidP="00893DBC">
      <w:pPr>
        <w:pStyle w:val="SingleTxtG"/>
        <w:ind w:firstLine="567"/>
        <w:rPr>
          <w:b/>
          <w:lang w:val="fr-FR"/>
        </w:rPr>
      </w:pPr>
      <w:r w:rsidRPr="003A411E">
        <w:rPr>
          <w:b/>
          <w:lang w:val="fr-FR"/>
        </w:rPr>
        <w:t xml:space="preserve">c) </w:t>
      </w:r>
      <w:r w:rsidRPr="003A411E">
        <w:rPr>
          <w:b/>
          <w:lang w:val="fr-FR"/>
        </w:rPr>
        <w:tab/>
      </w:r>
      <w:r w:rsidR="00893DBC" w:rsidRPr="003A411E">
        <w:rPr>
          <w:b/>
          <w:lang w:val="fr-FR"/>
        </w:rPr>
        <w:t xml:space="preserve">De </w:t>
      </w:r>
      <w:r w:rsidRPr="003A411E">
        <w:rPr>
          <w:b/>
          <w:lang w:val="fr-FR"/>
        </w:rPr>
        <w:t xml:space="preserve">doter les commissariats et gendarmeries d’un budget </w:t>
      </w:r>
      <w:r w:rsidR="00893DBC" w:rsidRPr="003A411E">
        <w:rPr>
          <w:b/>
          <w:lang w:val="fr-FR"/>
        </w:rPr>
        <w:t>alloué à</w:t>
      </w:r>
      <w:r w:rsidRPr="003A411E">
        <w:rPr>
          <w:b/>
          <w:lang w:val="fr-FR"/>
        </w:rPr>
        <w:t xml:space="preserve"> l’achat de nourriture su</w:t>
      </w:r>
      <w:r w:rsidR="0061231B" w:rsidRPr="003A411E">
        <w:rPr>
          <w:b/>
          <w:lang w:val="fr-FR"/>
        </w:rPr>
        <w:t xml:space="preserve">ffisante pour les </w:t>
      </w:r>
      <w:r w:rsidR="00686FD9" w:rsidRPr="003A411E">
        <w:rPr>
          <w:b/>
          <w:lang w:val="fr-FR"/>
        </w:rPr>
        <w:t xml:space="preserve">personnes </w:t>
      </w:r>
      <w:r w:rsidR="0061231B" w:rsidRPr="003A411E">
        <w:rPr>
          <w:b/>
          <w:lang w:val="fr-FR"/>
        </w:rPr>
        <w:t>gardé</w:t>
      </w:r>
      <w:r w:rsidR="00686FD9" w:rsidRPr="003A411E">
        <w:rPr>
          <w:b/>
          <w:lang w:val="fr-FR"/>
        </w:rPr>
        <w:t>e</w:t>
      </w:r>
      <w:r w:rsidR="0061231B" w:rsidRPr="003A411E">
        <w:rPr>
          <w:b/>
          <w:lang w:val="fr-FR"/>
        </w:rPr>
        <w:t>s à vue</w:t>
      </w:r>
      <w:r w:rsidRPr="00E375EF">
        <w:rPr>
          <w:rStyle w:val="Appelnotedebasdep"/>
        </w:rPr>
        <w:footnoteReference w:id="7"/>
      </w:r>
      <w:r w:rsidR="0061231B" w:rsidRPr="003A411E">
        <w:rPr>
          <w:b/>
          <w:lang w:val="fr-FR"/>
        </w:rPr>
        <w:t> ;</w:t>
      </w:r>
      <w:r w:rsidR="00C11E12">
        <w:rPr>
          <w:b/>
          <w:lang w:val="fr-FR"/>
        </w:rPr>
        <w:t xml:space="preserve"> </w:t>
      </w:r>
    </w:p>
    <w:p w14:paraId="1073BFFF" w14:textId="21BBAE22" w:rsidR="008F1465" w:rsidRPr="003A411E" w:rsidRDefault="008F1465" w:rsidP="00893DBC">
      <w:pPr>
        <w:pStyle w:val="SingleTxtG"/>
        <w:ind w:firstLine="567"/>
        <w:rPr>
          <w:b/>
          <w:lang w:val="fr-FR"/>
        </w:rPr>
      </w:pPr>
      <w:r w:rsidRPr="003A411E">
        <w:rPr>
          <w:b/>
          <w:lang w:val="fr-FR"/>
        </w:rPr>
        <w:t xml:space="preserve">d) </w:t>
      </w:r>
      <w:r w:rsidRPr="003A411E">
        <w:rPr>
          <w:b/>
          <w:lang w:val="fr-FR"/>
        </w:rPr>
        <w:tab/>
      </w:r>
      <w:r w:rsidR="00893DBC" w:rsidRPr="003A411E">
        <w:rPr>
          <w:b/>
          <w:lang w:val="fr-FR"/>
        </w:rPr>
        <w:t xml:space="preserve">De </w:t>
      </w:r>
      <w:r w:rsidRPr="003A411E">
        <w:rPr>
          <w:b/>
          <w:lang w:val="fr-FR"/>
        </w:rPr>
        <w:t xml:space="preserve">s’assurer que les </w:t>
      </w:r>
      <w:r w:rsidR="00686FD9" w:rsidRPr="003A411E">
        <w:rPr>
          <w:b/>
          <w:lang w:val="fr-FR"/>
        </w:rPr>
        <w:t xml:space="preserve">personnes </w:t>
      </w:r>
      <w:r w:rsidRPr="003A411E">
        <w:rPr>
          <w:b/>
          <w:lang w:val="fr-FR"/>
        </w:rPr>
        <w:t>gardé</w:t>
      </w:r>
      <w:r w:rsidR="00686FD9" w:rsidRPr="003A411E">
        <w:rPr>
          <w:b/>
          <w:lang w:val="fr-FR"/>
        </w:rPr>
        <w:t>e</w:t>
      </w:r>
      <w:r w:rsidRPr="003A411E">
        <w:rPr>
          <w:b/>
          <w:lang w:val="fr-FR"/>
        </w:rPr>
        <w:t>s à vue disposent de vêtements</w:t>
      </w:r>
      <w:r w:rsidR="00893DBC" w:rsidRPr="003A411E">
        <w:rPr>
          <w:b/>
          <w:lang w:val="fr-FR"/>
        </w:rPr>
        <w:t xml:space="preserve"> ainsi que</w:t>
      </w:r>
      <w:r w:rsidRPr="003A411E">
        <w:rPr>
          <w:b/>
          <w:lang w:val="fr-FR"/>
        </w:rPr>
        <w:t xml:space="preserve"> d’</w:t>
      </w:r>
      <w:r w:rsidR="00893DBC" w:rsidRPr="003A411E">
        <w:rPr>
          <w:b/>
          <w:lang w:val="fr-FR"/>
        </w:rPr>
        <w:t xml:space="preserve">un </w:t>
      </w:r>
      <w:r w:rsidRPr="003A411E">
        <w:rPr>
          <w:b/>
          <w:lang w:val="fr-FR"/>
        </w:rPr>
        <w:t xml:space="preserve">accès à l’eau potable, </w:t>
      </w:r>
      <w:r w:rsidR="00893DBC" w:rsidRPr="003A411E">
        <w:rPr>
          <w:b/>
          <w:lang w:val="fr-FR"/>
        </w:rPr>
        <w:t>à des</w:t>
      </w:r>
      <w:r w:rsidRPr="003A411E">
        <w:rPr>
          <w:b/>
          <w:lang w:val="fr-FR"/>
        </w:rPr>
        <w:t xml:space="preserve"> toilettes</w:t>
      </w:r>
      <w:r w:rsidR="00893DBC" w:rsidRPr="003A411E">
        <w:rPr>
          <w:b/>
          <w:lang w:val="fr-FR"/>
        </w:rPr>
        <w:t>,</w:t>
      </w:r>
      <w:r w:rsidRPr="003A411E">
        <w:rPr>
          <w:b/>
          <w:lang w:val="fr-FR"/>
        </w:rPr>
        <w:t xml:space="preserve"> </w:t>
      </w:r>
      <w:r w:rsidR="00893DBC" w:rsidRPr="003A411E">
        <w:rPr>
          <w:b/>
          <w:lang w:val="fr-FR"/>
        </w:rPr>
        <w:t>à une</w:t>
      </w:r>
      <w:r w:rsidRPr="003A411E">
        <w:rPr>
          <w:b/>
          <w:lang w:val="fr-FR"/>
        </w:rPr>
        <w:t xml:space="preserve"> douche et à des produits d’hygiène personnelle ;</w:t>
      </w:r>
    </w:p>
    <w:p w14:paraId="4399447F" w14:textId="76D582CD" w:rsidR="008F1465" w:rsidRPr="003A411E" w:rsidRDefault="008F1465" w:rsidP="00893DBC">
      <w:pPr>
        <w:pStyle w:val="SingleTxtG"/>
        <w:ind w:firstLine="567"/>
        <w:rPr>
          <w:b/>
          <w:lang w:val="fr-FR"/>
        </w:rPr>
      </w:pPr>
      <w:r w:rsidRPr="003A411E">
        <w:rPr>
          <w:b/>
          <w:lang w:val="fr-FR"/>
        </w:rPr>
        <w:t>e)</w:t>
      </w:r>
      <w:r w:rsidRPr="003A411E">
        <w:rPr>
          <w:b/>
          <w:lang w:val="fr-FR"/>
        </w:rPr>
        <w:tab/>
      </w:r>
      <w:r w:rsidR="00893DBC" w:rsidRPr="003A411E">
        <w:rPr>
          <w:b/>
          <w:lang w:val="fr-FR"/>
        </w:rPr>
        <w:t>De réserver</w:t>
      </w:r>
      <w:r w:rsidRPr="003A411E">
        <w:rPr>
          <w:b/>
          <w:lang w:val="fr-FR"/>
        </w:rPr>
        <w:t xml:space="preserve"> un espace </w:t>
      </w:r>
      <w:r w:rsidR="00893DBC" w:rsidRPr="003A411E">
        <w:rPr>
          <w:b/>
          <w:lang w:val="fr-FR"/>
        </w:rPr>
        <w:t>au</w:t>
      </w:r>
      <w:r w:rsidRPr="003A411E">
        <w:rPr>
          <w:b/>
          <w:lang w:val="fr-FR"/>
        </w:rPr>
        <w:t xml:space="preserve"> rangement des effets personnels des personnes gardées à vue</w:t>
      </w:r>
      <w:r w:rsidR="00893DBC" w:rsidRPr="003A411E">
        <w:rPr>
          <w:b/>
          <w:lang w:val="fr-FR"/>
        </w:rPr>
        <w:t>,</w:t>
      </w:r>
      <w:r w:rsidRPr="003A411E">
        <w:rPr>
          <w:b/>
          <w:lang w:val="fr-FR"/>
        </w:rPr>
        <w:t xml:space="preserve"> et </w:t>
      </w:r>
      <w:r w:rsidR="00893DBC" w:rsidRPr="003A411E">
        <w:rPr>
          <w:b/>
          <w:lang w:val="fr-FR"/>
        </w:rPr>
        <w:t xml:space="preserve">de </w:t>
      </w:r>
      <w:r w:rsidRPr="003A411E">
        <w:rPr>
          <w:b/>
          <w:lang w:val="fr-FR"/>
        </w:rPr>
        <w:t xml:space="preserve">mettre en place un système permettant leur enregistrement et </w:t>
      </w:r>
      <w:r w:rsidR="00893DBC" w:rsidRPr="003A411E">
        <w:rPr>
          <w:b/>
          <w:lang w:val="fr-FR"/>
        </w:rPr>
        <w:t xml:space="preserve">leur </w:t>
      </w:r>
      <w:r w:rsidRPr="003A411E">
        <w:rPr>
          <w:b/>
          <w:lang w:val="fr-FR"/>
        </w:rPr>
        <w:t>consignation ;</w:t>
      </w:r>
    </w:p>
    <w:p w14:paraId="69E59214" w14:textId="7807DAFF" w:rsidR="008F1465" w:rsidRPr="003A411E" w:rsidRDefault="008F1465" w:rsidP="00893DBC">
      <w:pPr>
        <w:pStyle w:val="SingleTxtG"/>
        <w:ind w:firstLine="567"/>
        <w:rPr>
          <w:b/>
          <w:lang w:val="fr-FR"/>
        </w:rPr>
      </w:pPr>
      <w:r w:rsidRPr="003A411E">
        <w:rPr>
          <w:b/>
          <w:lang w:val="fr-FR"/>
        </w:rPr>
        <w:t xml:space="preserve">f) </w:t>
      </w:r>
      <w:r w:rsidRPr="003A411E">
        <w:rPr>
          <w:b/>
          <w:lang w:val="fr-FR"/>
        </w:rPr>
        <w:tab/>
      </w:r>
      <w:r w:rsidR="00893DBC" w:rsidRPr="003A411E">
        <w:rPr>
          <w:b/>
          <w:lang w:val="fr-FR"/>
        </w:rPr>
        <w:t>D’</w:t>
      </w:r>
      <w:r w:rsidRPr="003A411E">
        <w:rPr>
          <w:b/>
          <w:lang w:val="fr-FR"/>
        </w:rPr>
        <w:t>assurer un éclairage et une aération suffisants dans les cellules de g</w:t>
      </w:r>
      <w:r w:rsidR="0061231B" w:rsidRPr="003A411E">
        <w:rPr>
          <w:b/>
          <w:lang w:val="fr-FR"/>
        </w:rPr>
        <w:t>arde à vue</w:t>
      </w:r>
      <w:r w:rsidRPr="00E375EF">
        <w:rPr>
          <w:rStyle w:val="Appelnotedebasdep"/>
        </w:rPr>
        <w:footnoteReference w:id="8"/>
      </w:r>
      <w:r w:rsidR="0061231B" w:rsidRPr="003A411E">
        <w:rPr>
          <w:b/>
          <w:lang w:val="fr-FR"/>
        </w:rPr>
        <w:t> ;</w:t>
      </w:r>
    </w:p>
    <w:p w14:paraId="2721F038" w14:textId="4366FA34" w:rsidR="008F1465" w:rsidRPr="003A411E" w:rsidRDefault="008F1465" w:rsidP="00893DBC">
      <w:pPr>
        <w:pStyle w:val="SingleTxtG"/>
        <w:ind w:firstLine="567"/>
        <w:rPr>
          <w:b/>
          <w:lang w:val="fr-FR"/>
        </w:rPr>
      </w:pPr>
      <w:r w:rsidRPr="003A411E">
        <w:rPr>
          <w:b/>
          <w:lang w:val="fr-FR"/>
        </w:rPr>
        <w:t>g)</w:t>
      </w:r>
      <w:r w:rsidRPr="003A411E">
        <w:rPr>
          <w:b/>
          <w:lang w:val="fr-FR"/>
        </w:rPr>
        <w:tab/>
      </w:r>
      <w:r w:rsidR="00893DBC" w:rsidRPr="003A411E">
        <w:rPr>
          <w:b/>
          <w:lang w:val="fr-FR"/>
        </w:rPr>
        <w:t xml:space="preserve">De </w:t>
      </w:r>
      <w:r w:rsidRPr="003A411E">
        <w:rPr>
          <w:b/>
          <w:lang w:val="fr-FR"/>
        </w:rPr>
        <w:t xml:space="preserve">s’assurer que chaque détenu </w:t>
      </w:r>
      <w:r w:rsidR="00893DBC" w:rsidRPr="003A411E">
        <w:rPr>
          <w:b/>
          <w:lang w:val="fr-FR"/>
        </w:rPr>
        <w:t>dispose d’</w:t>
      </w:r>
      <w:r w:rsidRPr="003A411E">
        <w:rPr>
          <w:b/>
          <w:lang w:val="fr-FR"/>
        </w:rPr>
        <w:t xml:space="preserve">au moins une heure </w:t>
      </w:r>
      <w:r w:rsidR="00893DBC" w:rsidRPr="003A411E">
        <w:rPr>
          <w:b/>
          <w:lang w:val="fr-FR"/>
        </w:rPr>
        <w:t xml:space="preserve">par jour </w:t>
      </w:r>
      <w:r w:rsidRPr="003A411E">
        <w:rPr>
          <w:b/>
          <w:lang w:val="fr-FR"/>
        </w:rPr>
        <w:t>de p</w:t>
      </w:r>
      <w:r w:rsidR="0061231B" w:rsidRPr="003A411E">
        <w:rPr>
          <w:b/>
          <w:lang w:val="fr-FR"/>
        </w:rPr>
        <w:t>romenade en plein air</w:t>
      </w:r>
      <w:r w:rsidRPr="00E375EF">
        <w:rPr>
          <w:rStyle w:val="Appelnotedebasdep"/>
        </w:rPr>
        <w:footnoteReference w:id="9"/>
      </w:r>
      <w:r w:rsidR="0061231B" w:rsidRPr="003A411E">
        <w:rPr>
          <w:b/>
          <w:lang w:val="fr-FR"/>
        </w:rPr>
        <w:t> ;</w:t>
      </w:r>
    </w:p>
    <w:p w14:paraId="5C095DD9" w14:textId="6D918655" w:rsidR="008F1465" w:rsidRPr="003A411E" w:rsidRDefault="008F1465" w:rsidP="00434A08">
      <w:pPr>
        <w:pStyle w:val="SingleTxtG"/>
        <w:ind w:firstLine="567"/>
        <w:rPr>
          <w:b/>
          <w:lang w:val="fr-FR"/>
        </w:rPr>
      </w:pPr>
      <w:r w:rsidRPr="003A411E">
        <w:rPr>
          <w:b/>
          <w:lang w:val="fr-FR"/>
        </w:rPr>
        <w:t xml:space="preserve">h) </w:t>
      </w:r>
      <w:r w:rsidRPr="003A411E">
        <w:rPr>
          <w:b/>
          <w:lang w:val="fr-FR"/>
        </w:rPr>
        <w:tab/>
      </w:r>
      <w:r w:rsidR="00893DBC" w:rsidRPr="003A411E">
        <w:rPr>
          <w:b/>
          <w:lang w:val="fr-FR"/>
        </w:rPr>
        <w:t xml:space="preserve">De </w:t>
      </w:r>
      <w:r w:rsidRPr="003A411E">
        <w:rPr>
          <w:b/>
          <w:lang w:val="fr-FR"/>
        </w:rPr>
        <w:t>prévoir des cellules séparées réservées aux femmes et aux mineurs ;</w:t>
      </w:r>
    </w:p>
    <w:p w14:paraId="6E622EF0" w14:textId="42027CA1" w:rsidR="008F1465" w:rsidRPr="003A411E" w:rsidRDefault="008F1465" w:rsidP="00434A08">
      <w:pPr>
        <w:pStyle w:val="SingleTxtG"/>
        <w:ind w:firstLine="567"/>
        <w:rPr>
          <w:b/>
          <w:lang w:val="fr-FR"/>
        </w:rPr>
      </w:pPr>
      <w:r w:rsidRPr="003A411E">
        <w:rPr>
          <w:b/>
          <w:lang w:val="fr-FR"/>
        </w:rPr>
        <w:t xml:space="preserve">i) </w:t>
      </w:r>
      <w:r w:rsidR="00893DBC" w:rsidRPr="003A411E">
        <w:rPr>
          <w:b/>
          <w:lang w:val="fr-FR"/>
        </w:rPr>
        <w:tab/>
        <w:t xml:space="preserve">De </w:t>
      </w:r>
      <w:r w:rsidRPr="003A411E">
        <w:rPr>
          <w:b/>
          <w:lang w:val="fr-FR"/>
        </w:rPr>
        <w:t>s’assurer qu’aucun objet contondant non référencé et non réglementaire ne se trouve dans un bureau d’interrogatoire.</w:t>
      </w:r>
    </w:p>
    <w:p w14:paraId="47AF969D" w14:textId="77777777" w:rsidR="008F1465" w:rsidRPr="003A411E" w:rsidRDefault="008F1465" w:rsidP="00297660">
      <w:pPr>
        <w:pStyle w:val="H23G"/>
        <w:rPr>
          <w:lang w:val="fr-FR"/>
        </w:rPr>
      </w:pPr>
      <w:r w:rsidRPr="003A411E">
        <w:rPr>
          <w:lang w:val="fr-FR"/>
        </w:rPr>
        <w:lastRenderedPageBreak/>
        <w:tab/>
        <w:t>2.</w:t>
      </w:r>
      <w:r w:rsidRPr="003A411E">
        <w:rPr>
          <w:lang w:val="fr-FR"/>
        </w:rPr>
        <w:tab/>
        <w:t>Garanties juridiques fondamentales</w:t>
      </w:r>
    </w:p>
    <w:p w14:paraId="3631CE64" w14:textId="5D373C4D" w:rsidR="008F1465" w:rsidRPr="003A411E" w:rsidRDefault="008F1465" w:rsidP="00677254">
      <w:pPr>
        <w:pStyle w:val="H4G"/>
        <w:rPr>
          <w:b/>
          <w:bCs/>
          <w:lang w:val="fr-FR"/>
        </w:rPr>
      </w:pPr>
      <w:r w:rsidRPr="003A411E">
        <w:rPr>
          <w:lang w:val="fr-FR"/>
        </w:rPr>
        <w:tab/>
      </w:r>
      <w:r w:rsidR="009C7184" w:rsidRPr="003A411E">
        <w:rPr>
          <w:lang w:val="fr-FR"/>
        </w:rPr>
        <w:t>i.</w:t>
      </w:r>
      <w:r w:rsidRPr="003A411E">
        <w:rPr>
          <w:lang w:val="fr-FR"/>
        </w:rPr>
        <w:tab/>
      </w:r>
      <w:r w:rsidR="00893DBC" w:rsidRPr="003A411E">
        <w:rPr>
          <w:lang w:val="fr-FR"/>
        </w:rPr>
        <w:t>D</w:t>
      </w:r>
      <w:r w:rsidRPr="003A411E">
        <w:rPr>
          <w:lang w:val="fr-FR"/>
        </w:rPr>
        <w:t>roit à être informé de ses droits et des motifs de son arrestation</w:t>
      </w:r>
    </w:p>
    <w:p w14:paraId="2FC7A580" w14:textId="6ABAC94C" w:rsidR="008F1465" w:rsidRPr="003A411E" w:rsidRDefault="00893DBC">
      <w:pPr>
        <w:pStyle w:val="SingleTxtG"/>
        <w:rPr>
          <w:lang w:val="fr-FR"/>
        </w:rPr>
      </w:pPr>
      <w:r w:rsidRPr="003A411E">
        <w:rPr>
          <w:lang w:val="fr-FR"/>
        </w:rPr>
        <w:t>4</w:t>
      </w:r>
      <w:r w:rsidR="00534B76" w:rsidRPr="003A411E">
        <w:rPr>
          <w:lang w:val="fr-FR"/>
        </w:rPr>
        <w:t>9</w:t>
      </w:r>
      <w:r w:rsidR="00E66A64" w:rsidRPr="003A411E">
        <w:rPr>
          <w:lang w:val="fr-FR"/>
        </w:rPr>
        <w:t>.</w:t>
      </w:r>
      <w:r w:rsidR="00E66A64" w:rsidRPr="003A411E">
        <w:rPr>
          <w:lang w:val="fr-FR"/>
        </w:rPr>
        <w:tab/>
      </w:r>
      <w:r w:rsidR="008F1465" w:rsidRPr="003A411E">
        <w:rPr>
          <w:lang w:val="fr-FR"/>
        </w:rPr>
        <w:t xml:space="preserve">Le Code de </w:t>
      </w:r>
      <w:r w:rsidR="004C41A9" w:rsidRPr="003A411E">
        <w:rPr>
          <w:lang w:val="fr-FR"/>
        </w:rPr>
        <w:t>p</w:t>
      </w:r>
      <w:r w:rsidR="008F1465" w:rsidRPr="003A411E">
        <w:rPr>
          <w:lang w:val="fr-FR"/>
        </w:rPr>
        <w:t xml:space="preserve">rocédure </w:t>
      </w:r>
      <w:r w:rsidR="004C41A9" w:rsidRPr="003A411E">
        <w:rPr>
          <w:lang w:val="fr-FR"/>
        </w:rPr>
        <w:t>p</w:t>
      </w:r>
      <w:r w:rsidR="008F1465" w:rsidRPr="003A411E">
        <w:rPr>
          <w:lang w:val="fr-FR"/>
        </w:rPr>
        <w:t xml:space="preserve">énale ne comporte pas de dispositions sur le droit de la personne gardée à vue à être informée de </w:t>
      </w:r>
      <w:r w:rsidR="008F1465" w:rsidRPr="00677254">
        <w:rPr>
          <w:lang w:val="fr-FR"/>
        </w:rPr>
        <w:t>ses</w:t>
      </w:r>
      <w:r w:rsidR="008F1465" w:rsidRPr="003A411E">
        <w:rPr>
          <w:lang w:val="fr-FR"/>
        </w:rPr>
        <w:t xml:space="preserve"> droits</w:t>
      </w:r>
      <w:r w:rsidR="008F1465" w:rsidRPr="00E375EF">
        <w:rPr>
          <w:rStyle w:val="Appelnotedebasdep"/>
        </w:rPr>
        <w:footnoteReference w:id="10"/>
      </w:r>
      <w:r w:rsidR="00364920" w:rsidRPr="003A411E">
        <w:rPr>
          <w:lang w:val="fr-FR"/>
        </w:rPr>
        <w:t xml:space="preserve"> </w:t>
      </w:r>
      <w:r w:rsidR="008F1465" w:rsidRPr="003A411E">
        <w:rPr>
          <w:lang w:val="fr-FR"/>
        </w:rPr>
        <w:t xml:space="preserve">et des motifs de son arrestation. Toutefois, ces droits sont indiqués dans le procès-verbal, rédigé en français par l’officier de police judiciaire. Conformément à l’article 61 dudit Code, les </w:t>
      </w:r>
      <w:r w:rsidR="00686FD9" w:rsidRPr="003A411E">
        <w:rPr>
          <w:lang w:val="fr-FR"/>
        </w:rPr>
        <w:t xml:space="preserve">personnes </w:t>
      </w:r>
      <w:r w:rsidR="008F1465" w:rsidRPr="003A411E">
        <w:rPr>
          <w:lang w:val="fr-FR"/>
        </w:rPr>
        <w:t>gardé</w:t>
      </w:r>
      <w:r w:rsidR="00686FD9" w:rsidRPr="003A411E">
        <w:rPr>
          <w:lang w:val="fr-FR"/>
        </w:rPr>
        <w:t>e</w:t>
      </w:r>
      <w:r w:rsidR="008F1465" w:rsidRPr="003A411E">
        <w:rPr>
          <w:lang w:val="fr-FR"/>
        </w:rPr>
        <w:t xml:space="preserve">s à vue procèdent à la lecture du procès-verbal, sauf </w:t>
      </w:r>
      <w:r w:rsidR="00801694" w:rsidRPr="003A411E">
        <w:rPr>
          <w:lang w:val="fr-FR"/>
        </w:rPr>
        <w:t>si elles</w:t>
      </w:r>
      <w:r w:rsidR="008F1465" w:rsidRPr="003A411E">
        <w:rPr>
          <w:lang w:val="fr-FR"/>
        </w:rPr>
        <w:t xml:space="preserve"> déclarent ne pas savoir lire ; dans ce cas, la lecture et la traduction leur en sont faites par un interprète ou par un officier de police judiciaire dans leur langue. </w:t>
      </w:r>
      <w:r w:rsidR="00801694" w:rsidRPr="003A411E">
        <w:rPr>
          <w:lang w:val="fr-FR"/>
        </w:rPr>
        <w:t>Toutefois,</w:t>
      </w:r>
      <w:r w:rsidR="008F1465" w:rsidRPr="003A411E">
        <w:rPr>
          <w:lang w:val="fr-FR"/>
        </w:rPr>
        <w:t xml:space="preserve"> il ressort des entretiens que plusieurs </w:t>
      </w:r>
      <w:r w:rsidR="00686FD9" w:rsidRPr="003A411E">
        <w:rPr>
          <w:lang w:val="fr-FR"/>
        </w:rPr>
        <w:t xml:space="preserve">personnes </w:t>
      </w:r>
      <w:r w:rsidR="008F1465" w:rsidRPr="003A411E">
        <w:rPr>
          <w:lang w:val="fr-FR"/>
        </w:rPr>
        <w:t>détenu</w:t>
      </w:r>
      <w:r w:rsidR="00686FD9" w:rsidRPr="003A411E">
        <w:rPr>
          <w:lang w:val="fr-FR"/>
        </w:rPr>
        <w:t>e</w:t>
      </w:r>
      <w:r w:rsidR="008F1465" w:rsidRPr="003A411E">
        <w:rPr>
          <w:lang w:val="fr-FR"/>
        </w:rPr>
        <w:t>s et gardé</w:t>
      </w:r>
      <w:r w:rsidR="00686FD9" w:rsidRPr="003A411E">
        <w:rPr>
          <w:lang w:val="fr-FR"/>
        </w:rPr>
        <w:t>e</w:t>
      </w:r>
      <w:r w:rsidR="008F1465" w:rsidRPr="003A411E">
        <w:rPr>
          <w:lang w:val="fr-FR"/>
        </w:rPr>
        <w:t>s à vue ont signé, parfois contraint</w:t>
      </w:r>
      <w:r w:rsidR="00686FD9" w:rsidRPr="003A411E">
        <w:rPr>
          <w:lang w:val="fr-FR"/>
        </w:rPr>
        <w:t>e</w:t>
      </w:r>
      <w:r w:rsidR="008F1465" w:rsidRPr="003A411E">
        <w:rPr>
          <w:lang w:val="fr-FR"/>
        </w:rPr>
        <w:t xml:space="preserve">s, leur procès-verbal sans en connaître le contenu. La plupart des </w:t>
      </w:r>
      <w:r w:rsidR="00801694" w:rsidRPr="003A411E">
        <w:rPr>
          <w:lang w:val="fr-FR"/>
        </w:rPr>
        <w:t>personnes</w:t>
      </w:r>
      <w:r w:rsidR="008F1465" w:rsidRPr="003A411E">
        <w:rPr>
          <w:lang w:val="fr-FR"/>
        </w:rPr>
        <w:t xml:space="preserve"> interrogé</w:t>
      </w:r>
      <w:r w:rsidR="00364920" w:rsidRPr="003A411E">
        <w:rPr>
          <w:lang w:val="fr-FR"/>
        </w:rPr>
        <w:t>e</w:t>
      </w:r>
      <w:r w:rsidR="008F1465" w:rsidRPr="003A411E">
        <w:rPr>
          <w:lang w:val="fr-FR"/>
        </w:rPr>
        <w:t>s par la délégation ont déclaré n’avoir été informé</w:t>
      </w:r>
      <w:r w:rsidR="00364920" w:rsidRPr="003A411E">
        <w:rPr>
          <w:lang w:val="fr-FR"/>
        </w:rPr>
        <w:t>e</w:t>
      </w:r>
      <w:r w:rsidR="008F1465" w:rsidRPr="003A411E">
        <w:rPr>
          <w:lang w:val="fr-FR"/>
        </w:rPr>
        <w:t xml:space="preserve">s </w:t>
      </w:r>
      <w:r w:rsidR="00364920" w:rsidRPr="003A411E">
        <w:rPr>
          <w:lang w:val="fr-FR"/>
        </w:rPr>
        <w:t xml:space="preserve">ni </w:t>
      </w:r>
      <w:r w:rsidR="008F1465" w:rsidRPr="003A411E">
        <w:rPr>
          <w:lang w:val="fr-FR"/>
        </w:rPr>
        <w:t>de leurs droits ni de leur situation pénale.</w:t>
      </w:r>
    </w:p>
    <w:p w14:paraId="1924EACE" w14:textId="428A80B8" w:rsidR="008F1465" w:rsidRPr="003A411E" w:rsidRDefault="00E66A64">
      <w:pPr>
        <w:pStyle w:val="SingleTxtG"/>
        <w:rPr>
          <w:lang w:val="fr-FR"/>
        </w:rPr>
      </w:pPr>
      <w:r w:rsidRPr="003A411E">
        <w:rPr>
          <w:lang w:val="fr-FR"/>
        </w:rPr>
        <w:t>5</w:t>
      </w:r>
      <w:r w:rsidR="00534B76" w:rsidRPr="003A411E">
        <w:rPr>
          <w:lang w:val="fr-FR"/>
        </w:rPr>
        <w:t>0</w:t>
      </w:r>
      <w:r w:rsidRPr="003A411E">
        <w:rPr>
          <w:lang w:val="fr-FR"/>
        </w:rPr>
        <w:t>.</w:t>
      </w:r>
      <w:r w:rsidRPr="003A411E">
        <w:rPr>
          <w:lang w:val="fr-FR"/>
        </w:rPr>
        <w:tab/>
      </w:r>
      <w:r w:rsidR="008F1465" w:rsidRPr="003A411E">
        <w:rPr>
          <w:lang w:val="fr-FR"/>
        </w:rPr>
        <w:t>Lors de sa visite, la délégation a reçu de nombreuses allégations de personnes privées de liberté concernant le non-respect de</w:t>
      </w:r>
      <w:r w:rsidR="004145EB" w:rsidRPr="003A411E">
        <w:rPr>
          <w:lang w:val="fr-FR"/>
        </w:rPr>
        <w:t>s</w:t>
      </w:r>
      <w:r w:rsidR="008F1465" w:rsidRPr="003A411E">
        <w:rPr>
          <w:lang w:val="fr-FR"/>
        </w:rPr>
        <w:t xml:space="preserve"> garanties fondamentales</w:t>
      </w:r>
      <w:r w:rsidR="004145EB" w:rsidRPr="003A411E">
        <w:rPr>
          <w:lang w:val="fr-FR"/>
        </w:rPr>
        <w:t xml:space="preserve"> de leurs droits</w:t>
      </w:r>
      <w:r w:rsidR="008F1465" w:rsidRPr="003A411E">
        <w:rPr>
          <w:lang w:val="fr-FR"/>
        </w:rPr>
        <w:t xml:space="preserve"> lors de la détention, y compris l’accès à un avocat, le droit à un examen médical</w:t>
      </w:r>
      <w:r w:rsidR="00801694" w:rsidRPr="003A411E">
        <w:rPr>
          <w:lang w:val="fr-FR"/>
        </w:rPr>
        <w:t xml:space="preserve"> ainsi que</w:t>
      </w:r>
      <w:r w:rsidR="004145EB" w:rsidRPr="003A411E">
        <w:rPr>
          <w:lang w:val="fr-FR"/>
        </w:rPr>
        <w:t xml:space="preserve"> le droit de</w:t>
      </w:r>
      <w:r w:rsidR="008F1465" w:rsidRPr="003A411E">
        <w:rPr>
          <w:lang w:val="fr-FR"/>
        </w:rPr>
        <w:t xml:space="preserve"> contacter la famille et/ou la représentation diplomatique pour les étrangers.</w:t>
      </w:r>
    </w:p>
    <w:p w14:paraId="3850A95E" w14:textId="77874DF8" w:rsidR="008F1465" w:rsidRPr="003A411E" w:rsidRDefault="00E66A64" w:rsidP="00534B76">
      <w:pPr>
        <w:pStyle w:val="SingleTxtG"/>
        <w:rPr>
          <w:b/>
          <w:bCs/>
          <w:lang w:val="fr-FR"/>
        </w:rPr>
      </w:pPr>
      <w:r w:rsidRPr="003A411E">
        <w:rPr>
          <w:bCs/>
          <w:lang w:val="fr-FR"/>
        </w:rPr>
        <w:t>5</w:t>
      </w:r>
      <w:r w:rsidR="00534B76" w:rsidRPr="003A411E">
        <w:rPr>
          <w:bCs/>
          <w:lang w:val="fr-FR"/>
        </w:rPr>
        <w:t>1</w:t>
      </w:r>
      <w:r w:rsidR="008F1465" w:rsidRPr="003A411E">
        <w:rPr>
          <w:bCs/>
          <w:lang w:val="fr-FR"/>
        </w:rPr>
        <w:t>.</w:t>
      </w:r>
      <w:r w:rsidR="008F1465" w:rsidRPr="003A411E">
        <w:rPr>
          <w:b/>
          <w:bCs/>
          <w:lang w:val="fr-FR"/>
        </w:rPr>
        <w:t xml:space="preserve"> </w:t>
      </w:r>
      <w:r w:rsidR="008F1465" w:rsidRPr="003A411E">
        <w:rPr>
          <w:b/>
          <w:bCs/>
          <w:lang w:val="fr-FR"/>
        </w:rPr>
        <w:tab/>
        <w:t>Le Sous-</w:t>
      </w:r>
      <w:r w:rsidR="006A2C77" w:rsidRPr="003A411E">
        <w:rPr>
          <w:b/>
          <w:bCs/>
          <w:lang w:val="fr-FR"/>
        </w:rPr>
        <w:t>C</w:t>
      </w:r>
      <w:r w:rsidR="008F1465" w:rsidRPr="003A411E">
        <w:rPr>
          <w:b/>
          <w:bCs/>
          <w:lang w:val="fr-FR"/>
        </w:rPr>
        <w:t xml:space="preserve">omité </w:t>
      </w:r>
      <w:r w:rsidR="008F1465" w:rsidRPr="003A411E">
        <w:rPr>
          <w:b/>
          <w:lang w:val="fr-FR"/>
        </w:rPr>
        <w:t>recommande</w:t>
      </w:r>
      <w:r w:rsidR="008F1465" w:rsidRPr="003A411E">
        <w:rPr>
          <w:b/>
          <w:bCs/>
          <w:lang w:val="fr-FR"/>
        </w:rPr>
        <w:t xml:space="preserve"> à l’</w:t>
      </w:r>
      <w:r w:rsidR="008F1465" w:rsidRPr="003A411E">
        <w:rPr>
          <w:b/>
          <w:lang w:val="fr-FR"/>
        </w:rPr>
        <w:t>É</w:t>
      </w:r>
      <w:r w:rsidR="008F1465" w:rsidRPr="003A411E">
        <w:rPr>
          <w:b/>
          <w:bCs/>
          <w:lang w:val="fr-FR"/>
        </w:rPr>
        <w:t>tat partie :</w:t>
      </w:r>
    </w:p>
    <w:p w14:paraId="097E4E66" w14:textId="4BF09D82" w:rsidR="008F1465" w:rsidRPr="003A411E" w:rsidRDefault="008F1465">
      <w:pPr>
        <w:pStyle w:val="SingleTxtG"/>
        <w:ind w:firstLine="567"/>
        <w:rPr>
          <w:b/>
          <w:lang w:val="fr-FR"/>
        </w:rPr>
      </w:pPr>
      <w:r w:rsidRPr="003A411E">
        <w:rPr>
          <w:b/>
          <w:lang w:val="fr-FR"/>
        </w:rPr>
        <w:t>a)</w:t>
      </w:r>
      <w:r w:rsidRPr="003A411E">
        <w:rPr>
          <w:b/>
          <w:lang w:val="fr-FR"/>
        </w:rPr>
        <w:tab/>
      </w:r>
      <w:r w:rsidR="00801694" w:rsidRPr="003A411E">
        <w:rPr>
          <w:b/>
          <w:lang w:val="fr-FR"/>
        </w:rPr>
        <w:t>D’adopter les</w:t>
      </w:r>
      <w:r w:rsidRPr="003A411E">
        <w:rPr>
          <w:b/>
          <w:lang w:val="fr-FR"/>
        </w:rPr>
        <w:t xml:space="preserve"> mesures législatives et administratives nécessaires pour garantir que toute personne privée de liberté </w:t>
      </w:r>
      <w:r w:rsidR="00801694" w:rsidRPr="003A411E">
        <w:rPr>
          <w:b/>
          <w:lang w:val="fr-FR"/>
        </w:rPr>
        <w:t>est</w:t>
      </w:r>
      <w:r w:rsidRPr="003A411E">
        <w:rPr>
          <w:b/>
          <w:lang w:val="fr-FR"/>
        </w:rPr>
        <w:t xml:space="preserve"> informée, dès son arrestation, de ses droits et des motifs de son arrestation</w:t>
      </w:r>
      <w:r w:rsidR="00F13C9A" w:rsidRPr="003A411E">
        <w:rPr>
          <w:b/>
          <w:lang w:val="fr-FR"/>
        </w:rPr>
        <w:t>, oralement</w:t>
      </w:r>
      <w:r w:rsidRPr="003A411E">
        <w:rPr>
          <w:b/>
          <w:lang w:val="fr-FR"/>
        </w:rPr>
        <w:t xml:space="preserve">, dans une langue </w:t>
      </w:r>
      <w:r w:rsidR="00801694" w:rsidRPr="003A411E">
        <w:rPr>
          <w:b/>
          <w:lang w:val="fr-FR"/>
        </w:rPr>
        <w:t>qu’elle comprend</w:t>
      </w:r>
      <w:r w:rsidRPr="003A411E">
        <w:rPr>
          <w:b/>
          <w:lang w:val="fr-FR"/>
        </w:rPr>
        <w:t xml:space="preserve">, avec recours à un interprète si nécessaire, </w:t>
      </w:r>
      <w:r w:rsidR="00F13C9A" w:rsidRPr="003A411E">
        <w:rPr>
          <w:b/>
          <w:lang w:val="fr-FR"/>
        </w:rPr>
        <w:t>ainsi que par écrit</w:t>
      </w:r>
      <w:r w:rsidRPr="003A411E">
        <w:rPr>
          <w:b/>
          <w:lang w:val="fr-FR"/>
        </w:rPr>
        <w:t> ;</w:t>
      </w:r>
    </w:p>
    <w:p w14:paraId="4D924AF6" w14:textId="12701439" w:rsidR="008F1465" w:rsidRPr="003A411E" w:rsidRDefault="008F1465">
      <w:pPr>
        <w:pStyle w:val="SingleTxtG"/>
        <w:ind w:firstLine="567"/>
        <w:rPr>
          <w:b/>
          <w:lang w:val="fr-FR"/>
        </w:rPr>
      </w:pPr>
      <w:r w:rsidRPr="003A411E">
        <w:rPr>
          <w:b/>
          <w:lang w:val="fr-FR"/>
        </w:rPr>
        <w:t>b)</w:t>
      </w:r>
      <w:r w:rsidRPr="003A411E">
        <w:rPr>
          <w:b/>
          <w:lang w:val="fr-FR"/>
        </w:rPr>
        <w:tab/>
      </w:r>
      <w:r w:rsidR="00801694" w:rsidRPr="003A411E">
        <w:rPr>
          <w:b/>
          <w:lang w:val="fr-FR"/>
        </w:rPr>
        <w:t>De placer</w:t>
      </w:r>
      <w:r w:rsidRPr="003A411E">
        <w:rPr>
          <w:b/>
          <w:lang w:val="fr-FR"/>
        </w:rPr>
        <w:t xml:space="preserve"> de manière visible </w:t>
      </w:r>
      <w:r w:rsidR="00801694" w:rsidRPr="003A411E">
        <w:rPr>
          <w:b/>
          <w:lang w:val="fr-FR"/>
        </w:rPr>
        <w:t xml:space="preserve">des </w:t>
      </w:r>
      <w:r w:rsidRPr="003A411E">
        <w:rPr>
          <w:b/>
          <w:lang w:val="fr-FR"/>
        </w:rPr>
        <w:t>affiches indiquant les droits des détenus dans les commissariats et les postes de gendarmerie.</w:t>
      </w:r>
    </w:p>
    <w:p w14:paraId="0052AA25" w14:textId="0087471B" w:rsidR="008F1465" w:rsidRPr="003A411E" w:rsidRDefault="008F1465" w:rsidP="00677254">
      <w:pPr>
        <w:pStyle w:val="H4G"/>
        <w:rPr>
          <w:lang w:val="fr-FR"/>
        </w:rPr>
      </w:pPr>
      <w:r w:rsidRPr="003A411E">
        <w:rPr>
          <w:lang w:val="fr-FR"/>
        </w:rPr>
        <w:tab/>
      </w:r>
      <w:r w:rsidR="009C7184" w:rsidRPr="003A411E">
        <w:rPr>
          <w:lang w:val="fr-FR"/>
        </w:rPr>
        <w:t>ii.</w:t>
      </w:r>
      <w:r w:rsidRPr="003A411E">
        <w:rPr>
          <w:lang w:val="fr-FR"/>
        </w:rPr>
        <w:tab/>
      </w:r>
      <w:r w:rsidR="00801694" w:rsidRPr="003A411E">
        <w:rPr>
          <w:lang w:val="fr-FR"/>
        </w:rPr>
        <w:t>D</w:t>
      </w:r>
      <w:r w:rsidRPr="003A411E">
        <w:rPr>
          <w:lang w:val="fr-FR"/>
        </w:rPr>
        <w:t>roit à l’assistance d’un avocat</w:t>
      </w:r>
      <w:r w:rsidR="00C11E12">
        <w:rPr>
          <w:lang w:val="fr-FR"/>
        </w:rPr>
        <w:t xml:space="preserve"> </w:t>
      </w:r>
    </w:p>
    <w:p w14:paraId="7E55FAB2" w14:textId="331EC885" w:rsidR="008F1465" w:rsidRPr="003A411E" w:rsidRDefault="00E66A64">
      <w:pPr>
        <w:pStyle w:val="SingleTxtG"/>
        <w:rPr>
          <w:lang w:val="fr-FR"/>
        </w:rPr>
      </w:pPr>
      <w:r w:rsidRPr="003A411E">
        <w:rPr>
          <w:lang w:val="fr-FR"/>
        </w:rPr>
        <w:t>5</w:t>
      </w:r>
      <w:r w:rsidR="00534B76" w:rsidRPr="003A411E">
        <w:rPr>
          <w:lang w:val="fr-FR"/>
        </w:rPr>
        <w:t>2</w:t>
      </w:r>
      <w:r w:rsidRPr="003A411E">
        <w:rPr>
          <w:lang w:val="fr-FR"/>
        </w:rPr>
        <w:t>.</w:t>
      </w:r>
      <w:r w:rsidRPr="003A411E">
        <w:rPr>
          <w:lang w:val="fr-FR"/>
        </w:rPr>
        <w:tab/>
      </w:r>
      <w:r w:rsidR="008F1465" w:rsidRPr="003A411E">
        <w:rPr>
          <w:lang w:val="fr-FR"/>
        </w:rPr>
        <w:t xml:space="preserve">Le </w:t>
      </w:r>
      <w:r w:rsidR="006A2C77" w:rsidRPr="003A411E">
        <w:rPr>
          <w:lang w:val="fr-FR"/>
        </w:rPr>
        <w:t>S</w:t>
      </w:r>
      <w:r w:rsidR="008F1465" w:rsidRPr="003A411E">
        <w:rPr>
          <w:lang w:val="fr-FR"/>
        </w:rPr>
        <w:t>ous-</w:t>
      </w:r>
      <w:r w:rsidR="006A2C77" w:rsidRPr="003A411E">
        <w:rPr>
          <w:lang w:val="fr-FR"/>
        </w:rPr>
        <w:t>C</w:t>
      </w:r>
      <w:r w:rsidR="008F1465" w:rsidRPr="003A411E">
        <w:rPr>
          <w:lang w:val="fr-FR"/>
        </w:rPr>
        <w:t xml:space="preserve">omité est préoccupé par l’inexistence, dans le </w:t>
      </w:r>
      <w:r w:rsidR="00801694" w:rsidRPr="003A411E">
        <w:rPr>
          <w:lang w:val="fr-FR"/>
        </w:rPr>
        <w:t>C</w:t>
      </w:r>
      <w:r w:rsidR="008F1465" w:rsidRPr="003A411E">
        <w:rPr>
          <w:lang w:val="fr-FR"/>
        </w:rPr>
        <w:t xml:space="preserve">ode de </w:t>
      </w:r>
      <w:r w:rsidR="00801694" w:rsidRPr="003A411E">
        <w:rPr>
          <w:lang w:val="fr-FR"/>
        </w:rPr>
        <w:t>p</w:t>
      </w:r>
      <w:r w:rsidR="008F1465" w:rsidRPr="003A411E">
        <w:rPr>
          <w:lang w:val="fr-FR"/>
        </w:rPr>
        <w:t xml:space="preserve">rocédure </w:t>
      </w:r>
      <w:r w:rsidR="00801694" w:rsidRPr="003A411E">
        <w:rPr>
          <w:lang w:val="fr-FR"/>
        </w:rPr>
        <w:t>p</w:t>
      </w:r>
      <w:r w:rsidR="008F1465" w:rsidRPr="003A411E">
        <w:rPr>
          <w:lang w:val="fr-FR"/>
        </w:rPr>
        <w:t xml:space="preserve">énale, de la garantie de la présence d’un avocat dès l’interpellation d’une personne. </w:t>
      </w:r>
      <w:r w:rsidR="00801694" w:rsidRPr="003A411E">
        <w:rPr>
          <w:lang w:val="fr-FR"/>
        </w:rPr>
        <w:t>Cette garantie n’est prévue, à l’article 111 dudit Code,</w:t>
      </w:r>
      <w:r w:rsidR="008F1465" w:rsidRPr="003A411E">
        <w:rPr>
          <w:lang w:val="fr-FR"/>
        </w:rPr>
        <w:t xml:space="preserve"> que lors de la première comparution devant un magistrat</w:t>
      </w:r>
      <w:r w:rsidR="00915418" w:rsidRPr="003A411E">
        <w:rPr>
          <w:lang w:val="fr-FR"/>
        </w:rPr>
        <w:t>,</w:t>
      </w:r>
      <w:r w:rsidR="008F1465" w:rsidRPr="003A411E">
        <w:rPr>
          <w:lang w:val="fr-FR"/>
        </w:rPr>
        <w:t xml:space="preserve"> </w:t>
      </w:r>
      <w:r w:rsidR="00915418" w:rsidRPr="003A411E">
        <w:rPr>
          <w:lang w:val="fr-FR"/>
        </w:rPr>
        <w:t>c</w:t>
      </w:r>
      <w:r w:rsidR="008F1465" w:rsidRPr="003A411E">
        <w:rPr>
          <w:lang w:val="fr-FR"/>
        </w:rPr>
        <w:t xml:space="preserve">e qui est contraire au Règlement </w:t>
      </w:r>
      <w:r w:rsidR="00E33C68" w:rsidRPr="003A411E">
        <w:rPr>
          <w:lang w:val="fr-FR"/>
        </w:rPr>
        <w:t>n</w:t>
      </w:r>
      <w:r w:rsidR="008F1465" w:rsidRPr="00677254">
        <w:rPr>
          <w:vertAlign w:val="superscript"/>
          <w:lang w:val="fr-FR"/>
        </w:rPr>
        <w:t>o</w:t>
      </w:r>
      <w:r w:rsidR="003646B4">
        <w:rPr>
          <w:lang w:val="fr-FR"/>
        </w:rPr>
        <w:t> </w:t>
      </w:r>
      <w:r w:rsidR="008F1465" w:rsidRPr="003A411E">
        <w:rPr>
          <w:lang w:val="fr-FR"/>
        </w:rPr>
        <w:t>05/CM/UEMOA</w:t>
      </w:r>
      <w:r w:rsidR="00E33C68" w:rsidRPr="003A411E">
        <w:rPr>
          <w:lang w:val="fr-FR"/>
        </w:rPr>
        <w:t xml:space="preserve"> relatif à l’harmonisation des règles régissant la profession d’avocat dans l’espace de l’Union économique et monétaire ouest-africaine, </w:t>
      </w:r>
      <w:r w:rsidR="00915418" w:rsidRPr="003A411E">
        <w:rPr>
          <w:lang w:val="fr-FR"/>
        </w:rPr>
        <w:t>lequel</w:t>
      </w:r>
      <w:r w:rsidR="008F1465" w:rsidRPr="003A411E">
        <w:rPr>
          <w:lang w:val="fr-FR"/>
        </w:rPr>
        <w:t xml:space="preserve"> prévoit la présence d’un </w:t>
      </w:r>
      <w:r w:rsidR="00E33C68" w:rsidRPr="003A411E">
        <w:rPr>
          <w:lang w:val="fr-FR"/>
        </w:rPr>
        <w:t>avocat</w:t>
      </w:r>
      <w:r w:rsidR="008F1465" w:rsidRPr="003A411E">
        <w:rPr>
          <w:lang w:val="fr-FR"/>
        </w:rPr>
        <w:t xml:space="preserve"> dès la phase de l’interpellation. Les entretiens menés par la délégation révèlent que la plupart des </w:t>
      </w:r>
      <w:r w:rsidR="00364920" w:rsidRPr="003A411E">
        <w:rPr>
          <w:lang w:val="fr-FR"/>
        </w:rPr>
        <w:t xml:space="preserve">personnes </w:t>
      </w:r>
      <w:r w:rsidR="008F1465" w:rsidRPr="003A411E">
        <w:rPr>
          <w:lang w:val="fr-FR"/>
        </w:rPr>
        <w:t>gardé</w:t>
      </w:r>
      <w:r w:rsidR="00364920" w:rsidRPr="003A411E">
        <w:rPr>
          <w:lang w:val="fr-FR"/>
        </w:rPr>
        <w:t>e</w:t>
      </w:r>
      <w:r w:rsidR="008F1465" w:rsidRPr="003A411E">
        <w:rPr>
          <w:lang w:val="fr-FR"/>
        </w:rPr>
        <w:t>s à vue n’</w:t>
      </w:r>
      <w:r w:rsidR="00E33C68" w:rsidRPr="003A411E">
        <w:rPr>
          <w:lang w:val="fr-FR"/>
        </w:rPr>
        <w:t>avaient</w:t>
      </w:r>
      <w:r w:rsidR="008F1465" w:rsidRPr="003A411E">
        <w:rPr>
          <w:lang w:val="fr-FR"/>
        </w:rPr>
        <w:t xml:space="preserve"> pas été informé</w:t>
      </w:r>
      <w:r w:rsidR="00364920" w:rsidRPr="003A411E">
        <w:rPr>
          <w:lang w:val="fr-FR"/>
        </w:rPr>
        <w:t>e</w:t>
      </w:r>
      <w:r w:rsidR="008F1465" w:rsidRPr="003A411E">
        <w:rPr>
          <w:lang w:val="fr-FR"/>
        </w:rPr>
        <w:t>s de leur droit d’être assisté</w:t>
      </w:r>
      <w:r w:rsidR="00364920" w:rsidRPr="003A411E">
        <w:rPr>
          <w:lang w:val="fr-FR"/>
        </w:rPr>
        <w:t>e</w:t>
      </w:r>
      <w:r w:rsidR="004145EB" w:rsidRPr="003A411E">
        <w:rPr>
          <w:lang w:val="fr-FR"/>
        </w:rPr>
        <w:t>s</w:t>
      </w:r>
      <w:r w:rsidR="008F1465" w:rsidRPr="003A411E">
        <w:rPr>
          <w:lang w:val="fr-FR"/>
        </w:rPr>
        <w:t xml:space="preserve"> par un avocat et n’avaient pas fait valoir ce droit.</w:t>
      </w:r>
    </w:p>
    <w:p w14:paraId="437F73C7" w14:textId="281BC1C5" w:rsidR="008F1465" w:rsidRPr="003A411E" w:rsidRDefault="00E66A64">
      <w:pPr>
        <w:pStyle w:val="SingleTxtG"/>
        <w:rPr>
          <w:lang w:val="fr-FR"/>
        </w:rPr>
      </w:pPr>
      <w:r w:rsidRPr="003A411E">
        <w:rPr>
          <w:lang w:val="fr-FR"/>
        </w:rPr>
        <w:t>5</w:t>
      </w:r>
      <w:r w:rsidR="00534B76" w:rsidRPr="003A411E">
        <w:rPr>
          <w:lang w:val="fr-FR"/>
        </w:rPr>
        <w:t>3</w:t>
      </w:r>
      <w:r w:rsidRPr="003A411E">
        <w:rPr>
          <w:lang w:val="fr-FR"/>
        </w:rPr>
        <w:t>.</w:t>
      </w:r>
      <w:r w:rsidRPr="003A411E">
        <w:rPr>
          <w:lang w:val="fr-FR"/>
        </w:rPr>
        <w:tab/>
      </w:r>
      <w:r w:rsidR="008F1465" w:rsidRPr="003A411E">
        <w:rPr>
          <w:lang w:val="fr-FR"/>
        </w:rPr>
        <w:t xml:space="preserve">Les informations reçues par la délégation renseignent sur l’insuffisance du nombre d’avocats (137 avocats inscrits et 28 avocats stagiaires en 2014) pour tout le pays. </w:t>
      </w:r>
      <w:r w:rsidR="00E33C68" w:rsidRPr="003A411E">
        <w:rPr>
          <w:lang w:val="fr-FR"/>
        </w:rPr>
        <w:t xml:space="preserve">Cette </w:t>
      </w:r>
      <w:r w:rsidR="008F1465" w:rsidRPr="003A411E">
        <w:rPr>
          <w:lang w:val="fr-FR"/>
        </w:rPr>
        <w:t>insuffisance, particulièrement hors de Ouagadougou, et la difficulté d’accès à un défenseur dès les premiers moments de la garde à vue constituent des sources de préoccupation.</w:t>
      </w:r>
    </w:p>
    <w:p w14:paraId="0B897DED" w14:textId="60E6177E" w:rsidR="008F1465" w:rsidRPr="003A411E" w:rsidRDefault="00E66A64">
      <w:pPr>
        <w:pStyle w:val="SingleTxtG"/>
        <w:rPr>
          <w:lang w:val="fr-FR"/>
        </w:rPr>
      </w:pPr>
      <w:r w:rsidRPr="003A411E">
        <w:rPr>
          <w:lang w:val="fr-FR"/>
        </w:rPr>
        <w:t>5</w:t>
      </w:r>
      <w:r w:rsidR="00534B76" w:rsidRPr="003A411E">
        <w:rPr>
          <w:lang w:val="fr-FR"/>
        </w:rPr>
        <w:t>4</w:t>
      </w:r>
      <w:r w:rsidRPr="003A411E">
        <w:rPr>
          <w:lang w:val="fr-FR"/>
        </w:rPr>
        <w:t>.</w:t>
      </w:r>
      <w:r w:rsidRPr="003A411E">
        <w:rPr>
          <w:lang w:val="fr-FR"/>
        </w:rPr>
        <w:tab/>
      </w:r>
      <w:r w:rsidR="008F1465" w:rsidRPr="003A411E">
        <w:rPr>
          <w:lang w:val="fr-FR"/>
        </w:rPr>
        <w:t xml:space="preserve">La délégation a été informée de l’existence d’un fonds d’assistance judiciaire. Une commission d’assistance, créée à cette fin au sein de chaque tribunal de grande instance, délivre des certificats d’indigence afin de permettre aux demandeurs de bénéficier du fonds. Les entretiens </w:t>
      </w:r>
      <w:r w:rsidR="00E33C68" w:rsidRPr="003A411E">
        <w:rPr>
          <w:lang w:val="fr-FR"/>
        </w:rPr>
        <w:t xml:space="preserve">menés </w:t>
      </w:r>
      <w:r w:rsidR="008F1465" w:rsidRPr="003A411E">
        <w:rPr>
          <w:lang w:val="fr-FR"/>
        </w:rPr>
        <w:t xml:space="preserve">avec les détenus ont cependant révélé que ces fonds ne seraient pas effectivement utilisés </w:t>
      </w:r>
      <w:r w:rsidR="00E33C68" w:rsidRPr="003A411E">
        <w:rPr>
          <w:lang w:val="fr-FR"/>
        </w:rPr>
        <w:t>à leur</w:t>
      </w:r>
      <w:r w:rsidR="008F1465" w:rsidRPr="003A411E">
        <w:rPr>
          <w:lang w:val="fr-FR"/>
        </w:rPr>
        <w:t xml:space="preserve"> profit.</w:t>
      </w:r>
    </w:p>
    <w:p w14:paraId="34B09E67" w14:textId="4D37BB59" w:rsidR="008F1465" w:rsidRPr="003A411E" w:rsidRDefault="00E66A64">
      <w:pPr>
        <w:pStyle w:val="SingleTxtG"/>
        <w:rPr>
          <w:b/>
          <w:bCs/>
          <w:lang w:val="fr-FR"/>
        </w:rPr>
      </w:pPr>
      <w:r w:rsidRPr="003A411E">
        <w:rPr>
          <w:bCs/>
          <w:lang w:val="fr-FR"/>
        </w:rPr>
        <w:t>5</w:t>
      </w:r>
      <w:r w:rsidR="00534B76" w:rsidRPr="003A411E">
        <w:rPr>
          <w:bCs/>
          <w:lang w:val="fr-FR"/>
        </w:rPr>
        <w:t>5</w:t>
      </w:r>
      <w:r w:rsidR="008F1465" w:rsidRPr="003A411E">
        <w:rPr>
          <w:bCs/>
          <w:lang w:val="fr-FR"/>
        </w:rPr>
        <w:t>.</w:t>
      </w:r>
      <w:r w:rsidRPr="003A411E">
        <w:rPr>
          <w:bCs/>
          <w:lang w:val="fr-FR"/>
        </w:rPr>
        <w:tab/>
      </w:r>
      <w:r w:rsidR="008F1465" w:rsidRPr="003A411E">
        <w:rPr>
          <w:b/>
          <w:bCs/>
          <w:lang w:val="fr-FR"/>
        </w:rPr>
        <w:t>Le Sous-</w:t>
      </w:r>
      <w:r w:rsidR="006A2C77" w:rsidRPr="003A411E">
        <w:rPr>
          <w:b/>
          <w:bCs/>
          <w:lang w:val="fr-FR"/>
        </w:rPr>
        <w:t>C</w:t>
      </w:r>
      <w:r w:rsidR="008F1465" w:rsidRPr="003A411E">
        <w:rPr>
          <w:b/>
          <w:bCs/>
          <w:lang w:val="fr-FR"/>
        </w:rPr>
        <w:t xml:space="preserve">omité </w:t>
      </w:r>
      <w:r w:rsidR="008F1465" w:rsidRPr="003A411E">
        <w:rPr>
          <w:b/>
          <w:lang w:val="fr-FR"/>
        </w:rPr>
        <w:t>recommande</w:t>
      </w:r>
      <w:r w:rsidR="008F1465" w:rsidRPr="003A411E">
        <w:rPr>
          <w:b/>
          <w:bCs/>
          <w:lang w:val="fr-FR"/>
        </w:rPr>
        <w:t xml:space="preserve"> à l’</w:t>
      </w:r>
      <w:r w:rsidR="008F1465" w:rsidRPr="003A411E">
        <w:rPr>
          <w:b/>
          <w:lang w:val="fr-FR"/>
        </w:rPr>
        <w:t>É</w:t>
      </w:r>
      <w:r w:rsidR="008F1465" w:rsidRPr="003A411E">
        <w:rPr>
          <w:b/>
          <w:bCs/>
          <w:lang w:val="fr-FR"/>
        </w:rPr>
        <w:t>tat partie :</w:t>
      </w:r>
    </w:p>
    <w:p w14:paraId="76B99CD2" w14:textId="74EB7D16" w:rsidR="008F1465" w:rsidRPr="003A411E" w:rsidRDefault="00677254" w:rsidP="00677254">
      <w:pPr>
        <w:spacing w:after="120"/>
        <w:ind w:left="1134" w:right="1134" w:firstLine="567"/>
        <w:jc w:val="both"/>
        <w:rPr>
          <w:b/>
          <w:bCs/>
          <w:lang w:val="fr-FR"/>
        </w:rPr>
      </w:pPr>
      <w:r w:rsidRPr="003A411E">
        <w:rPr>
          <w:b/>
          <w:bCs/>
          <w:lang w:val="fr-FR"/>
        </w:rPr>
        <w:t>a)</w:t>
      </w:r>
      <w:r w:rsidRPr="003A411E">
        <w:rPr>
          <w:b/>
          <w:bCs/>
          <w:lang w:val="fr-FR"/>
        </w:rPr>
        <w:tab/>
      </w:r>
      <w:r w:rsidR="00E33C68" w:rsidRPr="003A411E">
        <w:rPr>
          <w:b/>
          <w:bCs/>
          <w:lang w:val="fr-FR"/>
        </w:rPr>
        <w:t>De mettre en place</w:t>
      </w:r>
      <w:r w:rsidR="008F1465" w:rsidRPr="003A411E">
        <w:rPr>
          <w:b/>
          <w:bCs/>
          <w:lang w:val="fr-FR"/>
        </w:rPr>
        <w:t xml:space="preserve"> </w:t>
      </w:r>
      <w:r w:rsidR="001A6743" w:rsidRPr="003A411E">
        <w:rPr>
          <w:b/>
          <w:bCs/>
          <w:lang w:val="fr-FR"/>
        </w:rPr>
        <w:t>une</w:t>
      </w:r>
      <w:r w:rsidR="008F1465" w:rsidRPr="003A411E">
        <w:rPr>
          <w:b/>
          <w:bCs/>
          <w:lang w:val="fr-FR"/>
        </w:rPr>
        <w:t xml:space="preserve"> réforme législative garantissant aux personnes gardées à vue le droit à l’assistance d’un avocat de leur choix ou commis d’office dès l’arrestation</w:t>
      </w:r>
      <w:r w:rsidR="008F1465" w:rsidRPr="00677254">
        <w:rPr>
          <w:rStyle w:val="Appelnotedebasdep"/>
        </w:rPr>
        <w:footnoteReference w:id="11"/>
      </w:r>
      <w:r w:rsidR="008F1465" w:rsidRPr="003A411E">
        <w:rPr>
          <w:b/>
          <w:bCs/>
          <w:lang w:val="fr-FR"/>
        </w:rPr>
        <w:t xml:space="preserve"> et durant le premier interrogatoire ;</w:t>
      </w:r>
    </w:p>
    <w:p w14:paraId="49C22876" w14:textId="53F4E469" w:rsidR="008F1465" w:rsidRPr="003A411E" w:rsidRDefault="00677254" w:rsidP="00677254">
      <w:pPr>
        <w:spacing w:after="120"/>
        <w:ind w:left="1134" w:right="1134" w:firstLine="567"/>
        <w:jc w:val="both"/>
        <w:rPr>
          <w:b/>
          <w:bCs/>
          <w:lang w:val="fr-FR"/>
        </w:rPr>
      </w:pPr>
      <w:r w:rsidRPr="003A411E">
        <w:rPr>
          <w:b/>
          <w:bCs/>
          <w:lang w:val="fr-FR"/>
        </w:rPr>
        <w:t>b)</w:t>
      </w:r>
      <w:r w:rsidRPr="003A411E">
        <w:rPr>
          <w:b/>
          <w:bCs/>
          <w:lang w:val="fr-FR"/>
        </w:rPr>
        <w:tab/>
      </w:r>
      <w:r w:rsidR="00E33C68" w:rsidRPr="003A411E">
        <w:rPr>
          <w:b/>
          <w:bCs/>
          <w:lang w:val="fr-FR"/>
        </w:rPr>
        <w:t xml:space="preserve">De créer </w:t>
      </w:r>
      <w:r w:rsidR="008F1465" w:rsidRPr="003A411E">
        <w:rPr>
          <w:b/>
          <w:bCs/>
          <w:lang w:val="fr-FR"/>
        </w:rPr>
        <w:t xml:space="preserve">un système d’aide judiciaire efficace pour les indigents. </w:t>
      </w:r>
    </w:p>
    <w:p w14:paraId="38972097" w14:textId="62DCE278" w:rsidR="008F1465" w:rsidRPr="003A411E" w:rsidRDefault="008F1465" w:rsidP="00677254">
      <w:pPr>
        <w:pStyle w:val="H4G"/>
        <w:rPr>
          <w:lang w:val="fr-FR"/>
        </w:rPr>
      </w:pPr>
      <w:r w:rsidRPr="003A411E">
        <w:rPr>
          <w:lang w:val="fr-FR"/>
        </w:rPr>
        <w:lastRenderedPageBreak/>
        <w:tab/>
      </w:r>
      <w:r w:rsidR="009C7184" w:rsidRPr="003A411E">
        <w:rPr>
          <w:lang w:val="fr-FR"/>
        </w:rPr>
        <w:t>iii.</w:t>
      </w:r>
      <w:r w:rsidRPr="003A411E">
        <w:rPr>
          <w:lang w:val="fr-FR"/>
        </w:rPr>
        <w:tab/>
      </w:r>
      <w:r w:rsidR="00E33C68" w:rsidRPr="003A411E">
        <w:rPr>
          <w:lang w:val="fr-FR"/>
        </w:rPr>
        <w:t>D</w:t>
      </w:r>
      <w:r w:rsidRPr="003A411E">
        <w:rPr>
          <w:lang w:val="fr-FR"/>
        </w:rPr>
        <w:t>roit à un examen médical</w:t>
      </w:r>
    </w:p>
    <w:p w14:paraId="18CA2603" w14:textId="47729E86" w:rsidR="008F1465" w:rsidRPr="003A411E" w:rsidRDefault="00F92D3C">
      <w:pPr>
        <w:pStyle w:val="SingleTxtG"/>
      </w:pPr>
      <w:r w:rsidRPr="003A411E">
        <w:rPr>
          <w:lang w:val="fr-FR"/>
        </w:rPr>
        <w:t>5</w:t>
      </w:r>
      <w:r w:rsidR="00534B76" w:rsidRPr="003A411E">
        <w:rPr>
          <w:lang w:val="fr-FR"/>
        </w:rPr>
        <w:t>6</w:t>
      </w:r>
      <w:r w:rsidRPr="003A411E">
        <w:rPr>
          <w:lang w:val="fr-FR"/>
        </w:rPr>
        <w:t>.</w:t>
      </w:r>
      <w:r w:rsidRPr="003A411E">
        <w:rPr>
          <w:lang w:val="fr-FR"/>
        </w:rPr>
        <w:tab/>
      </w:r>
      <w:r w:rsidR="008F1465" w:rsidRPr="003A411E">
        <w:rPr>
          <w:lang w:val="fr-FR"/>
        </w:rPr>
        <w:t xml:space="preserve">Le Code de </w:t>
      </w:r>
      <w:r w:rsidR="00E33C68" w:rsidRPr="003A411E">
        <w:rPr>
          <w:lang w:val="fr-FR"/>
        </w:rPr>
        <w:t>p</w:t>
      </w:r>
      <w:r w:rsidR="008F1465" w:rsidRPr="003A411E">
        <w:rPr>
          <w:lang w:val="fr-FR"/>
        </w:rPr>
        <w:t xml:space="preserve">rocédure </w:t>
      </w:r>
      <w:r w:rsidR="00E33C68" w:rsidRPr="003A411E">
        <w:rPr>
          <w:lang w:val="fr-FR"/>
        </w:rPr>
        <w:t>p</w:t>
      </w:r>
      <w:r w:rsidR="008F1465" w:rsidRPr="003A411E">
        <w:rPr>
          <w:lang w:val="fr-FR"/>
        </w:rPr>
        <w:t xml:space="preserve">énale garantit le droit à un examen médical de la personne gardée à vue, si elle le demande après </w:t>
      </w:r>
      <w:r w:rsidR="00E33C68" w:rsidRPr="003A411E">
        <w:rPr>
          <w:lang w:val="fr-FR"/>
        </w:rPr>
        <w:t>soixante-douze</w:t>
      </w:r>
      <w:r w:rsidR="008F1465" w:rsidRPr="003A411E">
        <w:rPr>
          <w:lang w:val="fr-FR"/>
        </w:rPr>
        <w:t xml:space="preserve"> heures. Cependant, </w:t>
      </w:r>
      <w:r w:rsidR="00E33C68" w:rsidRPr="003A411E">
        <w:rPr>
          <w:lang w:val="fr-FR"/>
        </w:rPr>
        <w:t xml:space="preserve">selon l’article 63 dudit Code, </w:t>
      </w:r>
      <w:r w:rsidR="008F1465" w:rsidRPr="003A411E">
        <w:rPr>
          <w:lang w:val="fr-FR"/>
        </w:rPr>
        <w:t xml:space="preserve">c’est le procureur qui peut désigner un médecin qui examinera </w:t>
      </w:r>
      <w:r w:rsidR="00364920" w:rsidRPr="003A411E">
        <w:rPr>
          <w:lang w:val="fr-FR"/>
        </w:rPr>
        <w:t>cette personne</w:t>
      </w:r>
      <w:r w:rsidR="008F1465" w:rsidRPr="003A411E">
        <w:rPr>
          <w:lang w:val="fr-FR"/>
        </w:rPr>
        <w:t xml:space="preserve"> à n’importe quel moment de </w:t>
      </w:r>
      <w:r w:rsidR="00364920" w:rsidRPr="003A411E">
        <w:rPr>
          <w:lang w:val="fr-FR"/>
        </w:rPr>
        <w:t>sa</w:t>
      </w:r>
      <w:r w:rsidR="008F1465" w:rsidRPr="003A411E">
        <w:rPr>
          <w:lang w:val="fr-FR"/>
        </w:rPr>
        <w:t xml:space="preserve"> garde à vue. Le Sous-</w:t>
      </w:r>
      <w:r w:rsidR="006A2C77" w:rsidRPr="003A411E">
        <w:rPr>
          <w:lang w:val="fr-FR"/>
        </w:rPr>
        <w:t>C</w:t>
      </w:r>
      <w:r w:rsidR="008F1465" w:rsidRPr="003A411E">
        <w:rPr>
          <w:lang w:val="fr-FR"/>
        </w:rPr>
        <w:t xml:space="preserve">omité est préoccupé par le fait qu’aucun examen médical </w:t>
      </w:r>
      <w:r w:rsidR="00152A13" w:rsidRPr="003A411E">
        <w:rPr>
          <w:lang w:val="fr-FR"/>
        </w:rPr>
        <w:t>n’est</w:t>
      </w:r>
      <w:r w:rsidR="008F1465" w:rsidRPr="003A411E">
        <w:rPr>
          <w:lang w:val="fr-FR"/>
        </w:rPr>
        <w:t xml:space="preserve"> effectué durant les </w:t>
      </w:r>
      <w:r w:rsidR="00152A13" w:rsidRPr="003A411E">
        <w:rPr>
          <w:lang w:val="fr-FR"/>
        </w:rPr>
        <w:t xml:space="preserve">soixante-douze </w:t>
      </w:r>
      <w:r w:rsidR="008F1465" w:rsidRPr="003A411E">
        <w:rPr>
          <w:lang w:val="fr-FR"/>
        </w:rPr>
        <w:t xml:space="preserve">premières heures de la garde à vue, et qu’après ce délai, le droit à l’examen médical dépend aussi d’une décision judicaire. </w:t>
      </w:r>
    </w:p>
    <w:p w14:paraId="1E20FCCF" w14:textId="1338629C" w:rsidR="008F1465" w:rsidRPr="003A411E" w:rsidRDefault="001D4CDF">
      <w:pPr>
        <w:pStyle w:val="SingleTxtG"/>
        <w:rPr>
          <w:lang w:val="fr-FR"/>
        </w:rPr>
      </w:pPr>
      <w:r w:rsidRPr="003A411E">
        <w:rPr>
          <w:lang w:val="fr-FR"/>
        </w:rPr>
        <w:t>5</w:t>
      </w:r>
      <w:r w:rsidR="00534B76" w:rsidRPr="003A411E">
        <w:rPr>
          <w:lang w:val="fr-FR"/>
        </w:rPr>
        <w:t>7</w:t>
      </w:r>
      <w:r w:rsidRPr="003A411E">
        <w:rPr>
          <w:lang w:val="fr-FR"/>
        </w:rPr>
        <w:t>.</w:t>
      </w:r>
      <w:r w:rsidRPr="003A411E">
        <w:rPr>
          <w:lang w:val="fr-FR"/>
        </w:rPr>
        <w:tab/>
      </w:r>
      <w:r w:rsidR="008F1465" w:rsidRPr="003A411E">
        <w:rPr>
          <w:lang w:val="fr-FR"/>
        </w:rPr>
        <w:t>Le Burkina Faso ne dispose pas d’un système de couverture maladie universelle. Les médicaments sont à la charge des détenus et de leur famille. La plupart des personnes gardées à vue rencontrées n’avaient pas été informées de leur droit à un examen médical et certain</w:t>
      </w:r>
      <w:r w:rsidR="00152A13" w:rsidRPr="003A411E">
        <w:rPr>
          <w:lang w:val="fr-FR"/>
        </w:rPr>
        <w:t>e</w:t>
      </w:r>
      <w:r w:rsidR="008F1465" w:rsidRPr="003A411E">
        <w:rPr>
          <w:lang w:val="fr-FR"/>
        </w:rPr>
        <w:t>s ont déclaré que leurs demandes de voir un médecin avaient été rejetées.</w:t>
      </w:r>
    </w:p>
    <w:p w14:paraId="6B555F5A" w14:textId="2765DDBF" w:rsidR="00152A13" w:rsidRPr="003A411E" w:rsidRDefault="00152A13">
      <w:pPr>
        <w:pStyle w:val="SingleTxtG"/>
        <w:rPr>
          <w:b/>
          <w:bCs/>
          <w:lang w:val="fr-FR"/>
        </w:rPr>
      </w:pPr>
      <w:r w:rsidRPr="003A411E">
        <w:rPr>
          <w:bCs/>
          <w:lang w:val="fr-FR"/>
        </w:rPr>
        <w:t>5</w:t>
      </w:r>
      <w:r w:rsidR="00534B76" w:rsidRPr="003A411E">
        <w:rPr>
          <w:bCs/>
          <w:lang w:val="fr-FR"/>
        </w:rPr>
        <w:t>8</w:t>
      </w:r>
      <w:r w:rsidR="001D4CDF" w:rsidRPr="003A411E">
        <w:rPr>
          <w:bCs/>
          <w:lang w:val="fr-FR"/>
        </w:rPr>
        <w:t>.</w:t>
      </w:r>
      <w:r w:rsidR="001D4CDF" w:rsidRPr="003A411E">
        <w:rPr>
          <w:b/>
          <w:bCs/>
          <w:lang w:val="fr-FR"/>
        </w:rPr>
        <w:tab/>
      </w:r>
      <w:r w:rsidR="008F1465" w:rsidRPr="003A411E">
        <w:rPr>
          <w:b/>
          <w:bCs/>
          <w:lang w:val="fr-FR"/>
        </w:rPr>
        <w:t>Le Sous-</w:t>
      </w:r>
      <w:r w:rsidR="006A2C77" w:rsidRPr="003A411E">
        <w:rPr>
          <w:b/>
          <w:bCs/>
          <w:lang w:val="fr-FR"/>
        </w:rPr>
        <w:t>C</w:t>
      </w:r>
      <w:r w:rsidR="008F1465" w:rsidRPr="003A411E">
        <w:rPr>
          <w:b/>
          <w:bCs/>
          <w:lang w:val="fr-FR"/>
        </w:rPr>
        <w:t xml:space="preserve">omité </w:t>
      </w:r>
      <w:r w:rsidR="008F1465" w:rsidRPr="003A411E">
        <w:rPr>
          <w:b/>
          <w:lang w:val="fr-FR"/>
        </w:rPr>
        <w:t>recommande</w:t>
      </w:r>
      <w:r w:rsidR="008F1465" w:rsidRPr="003A411E">
        <w:rPr>
          <w:b/>
          <w:bCs/>
          <w:lang w:val="fr-FR"/>
        </w:rPr>
        <w:t xml:space="preserve"> à l’État partie </w:t>
      </w:r>
      <w:r w:rsidRPr="003A411E">
        <w:rPr>
          <w:b/>
          <w:bCs/>
          <w:lang w:val="fr-FR"/>
        </w:rPr>
        <w:t>:</w:t>
      </w:r>
    </w:p>
    <w:p w14:paraId="53FB57B0" w14:textId="2493DB86" w:rsidR="00152A13" w:rsidRPr="003A411E" w:rsidRDefault="00152A13" w:rsidP="00677254">
      <w:pPr>
        <w:pStyle w:val="SingleTxtG"/>
        <w:ind w:firstLine="567"/>
        <w:rPr>
          <w:b/>
          <w:bCs/>
          <w:lang w:val="fr-FR"/>
        </w:rPr>
      </w:pPr>
      <w:r w:rsidRPr="00677254">
        <w:rPr>
          <w:b/>
          <w:lang w:val="fr-FR"/>
        </w:rPr>
        <w:t>a)</w:t>
      </w:r>
      <w:r w:rsidRPr="00677254">
        <w:rPr>
          <w:b/>
          <w:lang w:val="fr-FR"/>
        </w:rPr>
        <w:tab/>
        <w:t>D</w:t>
      </w:r>
      <w:r w:rsidR="008F1465" w:rsidRPr="003A411E">
        <w:rPr>
          <w:b/>
          <w:bCs/>
          <w:lang w:val="fr-FR"/>
        </w:rPr>
        <w:t>e réformer sa législation pour garantir aux personnes gardées à vue le droit à un examen médical dès leur arrestation</w:t>
      </w:r>
      <w:r w:rsidRPr="003A411E">
        <w:rPr>
          <w:b/>
          <w:bCs/>
          <w:lang w:val="fr-FR"/>
        </w:rPr>
        <w:t> ;</w:t>
      </w:r>
      <w:r w:rsidR="008F1465" w:rsidRPr="003A411E">
        <w:rPr>
          <w:b/>
          <w:bCs/>
          <w:lang w:val="fr-FR"/>
        </w:rPr>
        <w:t xml:space="preserve"> </w:t>
      </w:r>
    </w:p>
    <w:p w14:paraId="0D6AB023" w14:textId="1CA1C67A" w:rsidR="00152A13" w:rsidRPr="003A411E" w:rsidRDefault="00152A13" w:rsidP="00677254">
      <w:pPr>
        <w:pStyle w:val="SingleTxtG"/>
        <w:ind w:firstLine="567"/>
        <w:rPr>
          <w:b/>
          <w:bCs/>
          <w:lang w:val="fr-FR"/>
        </w:rPr>
      </w:pPr>
      <w:r w:rsidRPr="003A411E">
        <w:rPr>
          <w:b/>
          <w:bCs/>
          <w:lang w:val="fr-FR"/>
        </w:rPr>
        <w:t>b)</w:t>
      </w:r>
      <w:r w:rsidRPr="003A411E">
        <w:rPr>
          <w:b/>
          <w:bCs/>
          <w:lang w:val="fr-FR"/>
        </w:rPr>
        <w:tab/>
        <w:t>D</w:t>
      </w:r>
      <w:r w:rsidR="008F1465" w:rsidRPr="003A411E">
        <w:rPr>
          <w:b/>
          <w:bCs/>
          <w:lang w:val="fr-FR"/>
        </w:rPr>
        <w:t>e veiller à l’effectivité de cet examen</w:t>
      </w:r>
      <w:r w:rsidR="003932A4" w:rsidRPr="003A411E">
        <w:rPr>
          <w:b/>
          <w:bCs/>
          <w:lang w:val="fr-FR"/>
        </w:rPr>
        <w:t xml:space="preserve"> médical</w:t>
      </w:r>
      <w:r w:rsidR="008F1465" w:rsidRPr="003A411E">
        <w:rPr>
          <w:b/>
          <w:bCs/>
          <w:lang w:val="fr-FR"/>
        </w:rPr>
        <w:t xml:space="preserve"> et de son caractère systématique en début de garde à vue</w:t>
      </w:r>
      <w:r w:rsidRPr="003A411E">
        <w:rPr>
          <w:b/>
          <w:bCs/>
          <w:lang w:val="fr-FR"/>
        </w:rPr>
        <w:t> ;</w:t>
      </w:r>
      <w:r w:rsidR="008F1465" w:rsidRPr="003A411E">
        <w:rPr>
          <w:b/>
          <w:bCs/>
          <w:lang w:val="fr-FR"/>
        </w:rPr>
        <w:t xml:space="preserve"> </w:t>
      </w:r>
    </w:p>
    <w:p w14:paraId="728F621E" w14:textId="57934197" w:rsidR="008F1465" w:rsidRPr="003A411E" w:rsidRDefault="00152A13" w:rsidP="00677254">
      <w:pPr>
        <w:pStyle w:val="SingleTxtG"/>
        <w:ind w:firstLine="567"/>
        <w:rPr>
          <w:b/>
          <w:bCs/>
          <w:lang w:val="fr-FR"/>
        </w:rPr>
      </w:pPr>
      <w:r w:rsidRPr="003A411E">
        <w:rPr>
          <w:b/>
          <w:bCs/>
          <w:lang w:val="fr-FR"/>
        </w:rPr>
        <w:t>c)</w:t>
      </w:r>
      <w:r w:rsidRPr="003A411E">
        <w:rPr>
          <w:b/>
          <w:bCs/>
          <w:lang w:val="fr-FR"/>
        </w:rPr>
        <w:tab/>
        <w:t>De garantir que l’e</w:t>
      </w:r>
      <w:r w:rsidR="008F1465" w:rsidRPr="003A411E">
        <w:rPr>
          <w:b/>
          <w:bCs/>
          <w:lang w:val="fr-FR"/>
        </w:rPr>
        <w:t>xamen</w:t>
      </w:r>
      <w:r w:rsidRPr="003A411E">
        <w:rPr>
          <w:b/>
          <w:bCs/>
          <w:lang w:val="fr-FR"/>
        </w:rPr>
        <w:t xml:space="preserve"> médical est</w:t>
      </w:r>
      <w:r w:rsidR="008F1465" w:rsidRPr="003A411E">
        <w:rPr>
          <w:b/>
          <w:bCs/>
          <w:lang w:val="fr-FR"/>
        </w:rPr>
        <w:t xml:space="preserve"> effectué par un médecin choisi par la personne gardée à vue</w:t>
      </w:r>
      <w:r w:rsidRPr="003A411E">
        <w:rPr>
          <w:b/>
          <w:bCs/>
          <w:lang w:val="fr-FR"/>
        </w:rPr>
        <w:t>,</w:t>
      </w:r>
      <w:r w:rsidR="008F1465" w:rsidRPr="003A411E">
        <w:rPr>
          <w:b/>
          <w:bCs/>
          <w:lang w:val="fr-FR"/>
        </w:rPr>
        <w:t xml:space="preserve"> ou par </w:t>
      </w:r>
      <w:r w:rsidRPr="003A411E">
        <w:rPr>
          <w:b/>
          <w:bCs/>
          <w:lang w:val="fr-FR"/>
        </w:rPr>
        <w:t>un</w:t>
      </w:r>
      <w:r w:rsidR="008F1465" w:rsidRPr="003A411E">
        <w:rPr>
          <w:b/>
          <w:bCs/>
          <w:lang w:val="fr-FR"/>
        </w:rPr>
        <w:t xml:space="preserve"> médecin indépendant formé pour déceler les cas de torture et de </w:t>
      </w:r>
      <w:r w:rsidRPr="003A411E">
        <w:rPr>
          <w:b/>
          <w:bCs/>
          <w:lang w:val="fr-FR"/>
        </w:rPr>
        <w:t xml:space="preserve">mauvais traitements conformément au Manuel pour enquêter efficacement sur la torture et autres peines ou </w:t>
      </w:r>
      <w:r w:rsidR="008F1465" w:rsidRPr="003A411E">
        <w:rPr>
          <w:b/>
          <w:bCs/>
          <w:lang w:val="fr-FR"/>
        </w:rPr>
        <w:t>traitements cruels, inhumains ou dégradants (Protocole d’Istanbul).</w:t>
      </w:r>
    </w:p>
    <w:p w14:paraId="01B41FB3" w14:textId="33AADA5F" w:rsidR="008F1465" w:rsidRPr="003A411E" w:rsidRDefault="008F1465" w:rsidP="00677254">
      <w:pPr>
        <w:pStyle w:val="H4G"/>
        <w:rPr>
          <w:lang w:val="fr-FR"/>
        </w:rPr>
      </w:pPr>
      <w:r w:rsidRPr="003A411E">
        <w:rPr>
          <w:lang w:val="fr-FR"/>
        </w:rPr>
        <w:tab/>
      </w:r>
      <w:r w:rsidR="009C7184" w:rsidRPr="003A411E">
        <w:rPr>
          <w:lang w:val="fr-FR"/>
        </w:rPr>
        <w:t>iv.</w:t>
      </w:r>
      <w:r w:rsidRPr="003A411E">
        <w:rPr>
          <w:lang w:val="fr-FR"/>
        </w:rPr>
        <w:tab/>
        <w:t>Information de la famille</w:t>
      </w:r>
    </w:p>
    <w:p w14:paraId="7630C0CF" w14:textId="1DCB10AB" w:rsidR="008F1465" w:rsidRPr="003A411E" w:rsidRDefault="006C19E3">
      <w:pPr>
        <w:pStyle w:val="SingleTxtG"/>
        <w:rPr>
          <w:lang w:val="fr-FR"/>
        </w:rPr>
      </w:pPr>
      <w:r w:rsidRPr="003A411E">
        <w:rPr>
          <w:lang w:val="fr-FR"/>
        </w:rPr>
        <w:t>5</w:t>
      </w:r>
      <w:r w:rsidR="00534B76" w:rsidRPr="003A411E">
        <w:rPr>
          <w:lang w:val="fr-FR"/>
        </w:rPr>
        <w:t>9</w:t>
      </w:r>
      <w:r w:rsidR="001D4CDF" w:rsidRPr="003A411E">
        <w:rPr>
          <w:lang w:val="fr-FR"/>
        </w:rPr>
        <w:t>.</w:t>
      </w:r>
      <w:r w:rsidR="001D4CDF" w:rsidRPr="003A411E">
        <w:rPr>
          <w:lang w:val="fr-FR"/>
        </w:rPr>
        <w:tab/>
      </w:r>
      <w:r w:rsidR="008F1465" w:rsidRPr="003A411E">
        <w:rPr>
          <w:lang w:val="fr-FR"/>
        </w:rPr>
        <w:t xml:space="preserve">Le </w:t>
      </w:r>
      <w:r w:rsidRPr="003A411E">
        <w:rPr>
          <w:lang w:val="fr-FR"/>
        </w:rPr>
        <w:t xml:space="preserve">Sous-Comité est préoccupé par le fait que le </w:t>
      </w:r>
      <w:r w:rsidR="008F1465" w:rsidRPr="003A411E">
        <w:rPr>
          <w:lang w:val="fr-FR"/>
        </w:rPr>
        <w:t xml:space="preserve">Code de </w:t>
      </w:r>
      <w:r w:rsidRPr="003A411E">
        <w:rPr>
          <w:lang w:val="fr-FR"/>
        </w:rPr>
        <w:t>p</w:t>
      </w:r>
      <w:r w:rsidR="008F1465" w:rsidRPr="003A411E">
        <w:rPr>
          <w:lang w:val="fr-FR"/>
        </w:rPr>
        <w:t xml:space="preserve">rocédure </w:t>
      </w:r>
      <w:r w:rsidRPr="003A411E">
        <w:rPr>
          <w:lang w:val="fr-FR"/>
        </w:rPr>
        <w:t>p</w:t>
      </w:r>
      <w:r w:rsidR="008F1465" w:rsidRPr="003A411E">
        <w:rPr>
          <w:lang w:val="fr-FR"/>
        </w:rPr>
        <w:t>énale ne prévoit pas le droit pour la personne gardée à vue d’informer sa famille de sa détention</w:t>
      </w:r>
      <w:r w:rsidRPr="003A411E">
        <w:rPr>
          <w:lang w:val="fr-FR"/>
        </w:rPr>
        <w:t>, ce que corroborent</w:t>
      </w:r>
      <w:r w:rsidR="008F1465" w:rsidRPr="003A411E">
        <w:rPr>
          <w:lang w:val="fr-FR"/>
        </w:rPr>
        <w:t xml:space="preserve"> dans la pratique les entretiens menés par la délégation.</w:t>
      </w:r>
    </w:p>
    <w:p w14:paraId="4761BA8A" w14:textId="6A4D9779" w:rsidR="008F1465" w:rsidRPr="003A411E" w:rsidRDefault="001D4CDF">
      <w:pPr>
        <w:pStyle w:val="SingleTxtG"/>
        <w:rPr>
          <w:b/>
          <w:bCs/>
          <w:lang w:val="fr-FR"/>
        </w:rPr>
      </w:pPr>
      <w:r w:rsidRPr="003A411E">
        <w:rPr>
          <w:bCs/>
          <w:lang w:val="fr-FR"/>
        </w:rPr>
        <w:t>6</w:t>
      </w:r>
      <w:r w:rsidR="00534B76" w:rsidRPr="003A411E">
        <w:rPr>
          <w:bCs/>
          <w:lang w:val="fr-FR"/>
        </w:rPr>
        <w:t>0</w:t>
      </w:r>
      <w:r w:rsidR="008F1465" w:rsidRPr="003A411E">
        <w:rPr>
          <w:bCs/>
          <w:lang w:val="fr-FR"/>
        </w:rPr>
        <w:t>.</w:t>
      </w:r>
      <w:r w:rsidRPr="003A411E">
        <w:rPr>
          <w:bCs/>
          <w:lang w:val="fr-FR"/>
        </w:rPr>
        <w:tab/>
      </w:r>
      <w:r w:rsidR="008F1465" w:rsidRPr="003A411E">
        <w:rPr>
          <w:b/>
          <w:bCs/>
          <w:lang w:val="fr-FR"/>
        </w:rPr>
        <w:t>Le Sous-</w:t>
      </w:r>
      <w:r w:rsidR="006A2C77" w:rsidRPr="003A411E">
        <w:rPr>
          <w:b/>
          <w:bCs/>
          <w:lang w:val="fr-FR"/>
        </w:rPr>
        <w:t>C</w:t>
      </w:r>
      <w:r w:rsidR="008F1465" w:rsidRPr="003A411E">
        <w:rPr>
          <w:b/>
          <w:bCs/>
          <w:lang w:val="fr-FR"/>
        </w:rPr>
        <w:t>omité recommande à l’</w:t>
      </w:r>
      <w:r w:rsidR="008F1465" w:rsidRPr="003A411E">
        <w:rPr>
          <w:b/>
          <w:lang w:val="fr-FR"/>
        </w:rPr>
        <w:t>É</w:t>
      </w:r>
      <w:r w:rsidR="008F1465" w:rsidRPr="003A411E">
        <w:rPr>
          <w:b/>
          <w:bCs/>
          <w:lang w:val="fr-FR"/>
        </w:rPr>
        <w:t>tat</w:t>
      </w:r>
      <w:r w:rsidR="006C19E3" w:rsidRPr="003A411E">
        <w:rPr>
          <w:b/>
          <w:bCs/>
          <w:lang w:val="fr-FR"/>
        </w:rPr>
        <w:t xml:space="preserve"> partie</w:t>
      </w:r>
      <w:r w:rsidR="008F1465" w:rsidRPr="003A411E">
        <w:rPr>
          <w:b/>
          <w:bCs/>
          <w:lang w:val="fr-FR"/>
        </w:rPr>
        <w:t xml:space="preserve"> de garantir à toute personne gardée à vue le droit de contacter sa famille ou d’autres personnes de son choix dès le début de la privation de liberté</w:t>
      </w:r>
      <w:r w:rsidR="008F1465" w:rsidRPr="00E375EF">
        <w:rPr>
          <w:rStyle w:val="Appelnotedebasdep"/>
        </w:rPr>
        <w:footnoteReference w:id="12"/>
      </w:r>
      <w:r w:rsidR="008F1465" w:rsidRPr="003A411E">
        <w:rPr>
          <w:b/>
          <w:bCs/>
          <w:lang w:val="fr-FR"/>
        </w:rPr>
        <w:t>. Cette mesure contribuerait efficacement à la prévention de la torture et des mauvais traitements.</w:t>
      </w:r>
    </w:p>
    <w:p w14:paraId="0B3E1BEC" w14:textId="798205D8" w:rsidR="008F1465" w:rsidRPr="003A411E" w:rsidRDefault="001D4CDF" w:rsidP="00677254">
      <w:pPr>
        <w:pStyle w:val="H4G"/>
        <w:rPr>
          <w:lang w:val="fr-FR"/>
        </w:rPr>
      </w:pPr>
      <w:r w:rsidRPr="003A411E">
        <w:rPr>
          <w:lang w:val="fr-FR"/>
        </w:rPr>
        <w:tab/>
      </w:r>
      <w:r w:rsidR="009C7184" w:rsidRPr="003A411E">
        <w:rPr>
          <w:lang w:val="fr-FR"/>
        </w:rPr>
        <w:t>v.</w:t>
      </w:r>
      <w:r w:rsidR="008F1465" w:rsidRPr="003A411E">
        <w:rPr>
          <w:lang w:val="fr-FR"/>
        </w:rPr>
        <w:t xml:space="preserve"> </w:t>
      </w:r>
      <w:r w:rsidRPr="003A411E">
        <w:rPr>
          <w:lang w:val="fr-FR"/>
        </w:rPr>
        <w:tab/>
      </w:r>
      <w:r w:rsidR="008F1465" w:rsidRPr="003A411E">
        <w:rPr>
          <w:lang w:val="fr-FR"/>
        </w:rPr>
        <w:t>Durée de la garde à vue</w:t>
      </w:r>
      <w:r w:rsidR="00F85058" w:rsidRPr="003A411E">
        <w:rPr>
          <w:lang w:val="fr-FR"/>
        </w:rPr>
        <w:t xml:space="preserve"> et garanties fondamentales</w:t>
      </w:r>
    </w:p>
    <w:p w14:paraId="68C1F3C4" w14:textId="1E453A29" w:rsidR="008F1465" w:rsidRPr="003A411E" w:rsidRDefault="001D4CDF">
      <w:pPr>
        <w:pStyle w:val="SingleTxtG"/>
        <w:rPr>
          <w:lang w:val="fr-FR"/>
        </w:rPr>
      </w:pPr>
      <w:r w:rsidRPr="003A411E">
        <w:rPr>
          <w:lang w:val="fr-FR"/>
        </w:rPr>
        <w:t>6</w:t>
      </w:r>
      <w:r w:rsidR="00534B76" w:rsidRPr="003A411E">
        <w:rPr>
          <w:lang w:val="fr-FR"/>
        </w:rPr>
        <w:t>1</w:t>
      </w:r>
      <w:r w:rsidRPr="003A411E">
        <w:rPr>
          <w:lang w:val="fr-FR"/>
        </w:rPr>
        <w:t>.</w:t>
      </w:r>
      <w:r w:rsidRPr="003A411E">
        <w:rPr>
          <w:lang w:val="fr-FR"/>
        </w:rPr>
        <w:tab/>
      </w:r>
      <w:r w:rsidR="00751F6F" w:rsidRPr="003A411E">
        <w:rPr>
          <w:lang w:val="fr-FR"/>
        </w:rPr>
        <w:t>Le</w:t>
      </w:r>
      <w:r w:rsidR="004D0608" w:rsidRPr="003A411E">
        <w:rPr>
          <w:lang w:val="fr-FR"/>
        </w:rPr>
        <w:t xml:space="preserve"> </w:t>
      </w:r>
      <w:r w:rsidR="008F1465" w:rsidRPr="003A411E">
        <w:rPr>
          <w:lang w:val="fr-FR"/>
        </w:rPr>
        <w:t xml:space="preserve">Code de </w:t>
      </w:r>
      <w:r w:rsidR="006C19E3" w:rsidRPr="003A411E">
        <w:rPr>
          <w:lang w:val="fr-FR"/>
        </w:rPr>
        <w:t>p</w:t>
      </w:r>
      <w:r w:rsidR="008F1465" w:rsidRPr="003A411E">
        <w:rPr>
          <w:lang w:val="fr-FR"/>
        </w:rPr>
        <w:t xml:space="preserve">rocédure </w:t>
      </w:r>
      <w:r w:rsidR="006C19E3" w:rsidRPr="003A411E">
        <w:rPr>
          <w:lang w:val="fr-FR"/>
        </w:rPr>
        <w:t>p</w:t>
      </w:r>
      <w:r w:rsidR="008F1465" w:rsidRPr="003A411E">
        <w:rPr>
          <w:lang w:val="fr-FR"/>
        </w:rPr>
        <w:t>énale prévoit</w:t>
      </w:r>
      <w:r w:rsidR="006C19E3" w:rsidRPr="003A411E">
        <w:rPr>
          <w:lang w:val="fr-FR"/>
        </w:rPr>
        <w:t xml:space="preserve"> aux articles 62 et 75</w:t>
      </w:r>
      <w:r w:rsidR="008F1465" w:rsidRPr="003A411E">
        <w:rPr>
          <w:lang w:val="fr-FR"/>
        </w:rPr>
        <w:t xml:space="preserve"> une durée de garde à vue allant jusqu’à </w:t>
      </w:r>
      <w:r w:rsidR="006C19E3" w:rsidRPr="003A411E">
        <w:rPr>
          <w:lang w:val="fr-FR"/>
        </w:rPr>
        <w:t>soixante-douze</w:t>
      </w:r>
      <w:r w:rsidR="008F1465" w:rsidRPr="003A411E">
        <w:rPr>
          <w:lang w:val="fr-FR"/>
        </w:rPr>
        <w:t xml:space="preserve"> heures, avec possibilité de prolongation de </w:t>
      </w:r>
      <w:r w:rsidR="006C19E3" w:rsidRPr="003A411E">
        <w:rPr>
          <w:lang w:val="fr-FR"/>
        </w:rPr>
        <w:t>quarante-huit</w:t>
      </w:r>
      <w:r w:rsidR="008F1465" w:rsidRPr="003A411E">
        <w:rPr>
          <w:lang w:val="fr-FR"/>
        </w:rPr>
        <w:t xml:space="preserve"> heures par le procureur ou le juge d’instruction</w:t>
      </w:r>
      <w:r w:rsidR="006C19E3" w:rsidRPr="003A411E">
        <w:rPr>
          <w:lang w:val="fr-FR"/>
        </w:rPr>
        <w:t>, ce qui</w:t>
      </w:r>
      <w:r w:rsidR="004D0608" w:rsidRPr="003A411E">
        <w:rPr>
          <w:lang w:val="fr-FR"/>
        </w:rPr>
        <w:t xml:space="preserve"> constitue une source de préoccupation pour le </w:t>
      </w:r>
      <w:r w:rsidR="00AF7450" w:rsidRPr="003A411E">
        <w:rPr>
          <w:lang w:val="fr-FR"/>
        </w:rPr>
        <w:t>Sous-Comité</w:t>
      </w:r>
      <w:r w:rsidR="004D0608" w:rsidRPr="003A411E">
        <w:rPr>
          <w:lang w:val="fr-FR"/>
        </w:rPr>
        <w:t xml:space="preserve">. </w:t>
      </w:r>
      <w:r w:rsidR="008F1465" w:rsidRPr="003A411E">
        <w:rPr>
          <w:lang w:val="fr-FR"/>
        </w:rPr>
        <w:t xml:space="preserve">La délégation a constaté, lors des entretiens et dans les registres, </w:t>
      </w:r>
      <w:r w:rsidR="006C19E3" w:rsidRPr="003A411E">
        <w:rPr>
          <w:lang w:val="fr-FR"/>
        </w:rPr>
        <w:t>la</w:t>
      </w:r>
      <w:r w:rsidR="008F1465" w:rsidRPr="003A411E">
        <w:rPr>
          <w:lang w:val="fr-FR"/>
        </w:rPr>
        <w:t xml:space="preserve"> prolongation</w:t>
      </w:r>
      <w:r w:rsidR="006C19E3" w:rsidRPr="003A411E">
        <w:rPr>
          <w:lang w:val="fr-FR"/>
        </w:rPr>
        <w:t xml:space="preserve"> quasi systématique</w:t>
      </w:r>
      <w:r w:rsidR="008F1465" w:rsidRPr="003A411E">
        <w:rPr>
          <w:lang w:val="fr-FR"/>
        </w:rPr>
        <w:t xml:space="preserve"> de la garde à vue, sans possibilité de savoir si elle avait été autorisée par le procureur. </w:t>
      </w:r>
    </w:p>
    <w:p w14:paraId="73B18788" w14:textId="22340853" w:rsidR="008F1465" w:rsidRPr="003A411E" w:rsidRDefault="001D4CDF">
      <w:pPr>
        <w:pStyle w:val="SingleTxtG"/>
        <w:rPr>
          <w:lang w:val="fr-FR"/>
        </w:rPr>
      </w:pPr>
      <w:r w:rsidRPr="003A411E">
        <w:rPr>
          <w:lang w:val="fr-FR"/>
        </w:rPr>
        <w:t>6</w:t>
      </w:r>
      <w:r w:rsidR="00534B76" w:rsidRPr="003A411E">
        <w:rPr>
          <w:lang w:val="fr-FR"/>
        </w:rPr>
        <w:t>2</w:t>
      </w:r>
      <w:r w:rsidRPr="003A411E">
        <w:rPr>
          <w:lang w:val="fr-FR"/>
        </w:rPr>
        <w:t>.</w:t>
      </w:r>
      <w:r w:rsidRPr="003A411E">
        <w:rPr>
          <w:lang w:val="fr-FR"/>
        </w:rPr>
        <w:tab/>
      </w:r>
      <w:r w:rsidR="008F1465" w:rsidRPr="003A411E">
        <w:rPr>
          <w:lang w:val="fr-FR"/>
        </w:rPr>
        <w:t xml:space="preserve">Un détenu </w:t>
      </w:r>
      <w:r w:rsidR="00F80956" w:rsidRPr="003A411E">
        <w:rPr>
          <w:lang w:val="fr-FR"/>
        </w:rPr>
        <w:t>de</w:t>
      </w:r>
      <w:r w:rsidR="008F1465" w:rsidRPr="003A411E">
        <w:rPr>
          <w:lang w:val="fr-FR"/>
        </w:rPr>
        <w:t xml:space="preserve"> la </w:t>
      </w:r>
      <w:r w:rsidR="00F80956" w:rsidRPr="003A411E">
        <w:rPr>
          <w:lang w:val="fr-FR"/>
        </w:rPr>
        <w:t>maison d’arrêt et de correction de Ouagadougou</w:t>
      </w:r>
      <w:r w:rsidR="008F1465" w:rsidRPr="003A411E">
        <w:rPr>
          <w:lang w:val="fr-FR"/>
        </w:rPr>
        <w:t xml:space="preserve"> a indiqué avoir été gardé à vue au </w:t>
      </w:r>
      <w:r w:rsidR="00F80956" w:rsidRPr="003A411E">
        <w:rPr>
          <w:lang w:val="fr-FR"/>
        </w:rPr>
        <w:t>c</w:t>
      </w:r>
      <w:r w:rsidR="008F1465" w:rsidRPr="003A411E">
        <w:rPr>
          <w:lang w:val="fr-FR"/>
        </w:rPr>
        <w:t xml:space="preserve">ommissariat de Wemtenga pendant </w:t>
      </w:r>
      <w:r w:rsidR="00F80956" w:rsidRPr="003A411E">
        <w:rPr>
          <w:lang w:val="fr-FR"/>
        </w:rPr>
        <w:t>quarante</w:t>
      </w:r>
      <w:r w:rsidR="008F1465" w:rsidRPr="003A411E">
        <w:rPr>
          <w:lang w:val="fr-FR"/>
        </w:rPr>
        <w:t xml:space="preserve"> jours. </w:t>
      </w:r>
      <w:r w:rsidR="00F80956" w:rsidRPr="003A411E">
        <w:rPr>
          <w:lang w:val="fr-FR"/>
        </w:rPr>
        <w:t>A</w:t>
      </w:r>
      <w:r w:rsidR="008F1465" w:rsidRPr="003A411E">
        <w:rPr>
          <w:lang w:val="fr-FR"/>
        </w:rPr>
        <w:t xml:space="preserve">u </w:t>
      </w:r>
      <w:r w:rsidR="00F80956" w:rsidRPr="003A411E">
        <w:rPr>
          <w:lang w:val="fr-FR"/>
        </w:rPr>
        <w:t>c</w:t>
      </w:r>
      <w:r w:rsidR="008F1465" w:rsidRPr="003A411E">
        <w:rPr>
          <w:lang w:val="fr-FR"/>
        </w:rPr>
        <w:t xml:space="preserve">ommissariat </w:t>
      </w:r>
      <w:r w:rsidR="00F80956" w:rsidRPr="003A411E">
        <w:rPr>
          <w:lang w:val="fr-FR"/>
        </w:rPr>
        <w:t>c</w:t>
      </w:r>
      <w:r w:rsidR="008F1465" w:rsidRPr="003A411E">
        <w:rPr>
          <w:lang w:val="fr-FR"/>
        </w:rPr>
        <w:t>entral</w:t>
      </w:r>
      <w:r w:rsidR="00F80956" w:rsidRPr="003A411E">
        <w:rPr>
          <w:lang w:val="fr-FR"/>
        </w:rPr>
        <w:t>, quatre détenus</w:t>
      </w:r>
      <w:r w:rsidR="008F1465" w:rsidRPr="003A411E">
        <w:rPr>
          <w:lang w:val="fr-FR"/>
        </w:rPr>
        <w:t xml:space="preserve"> étaient en garde à vue depuis </w:t>
      </w:r>
      <w:r w:rsidR="00F80956" w:rsidRPr="003A411E">
        <w:rPr>
          <w:lang w:val="fr-FR"/>
        </w:rPr>
        <w:t>douze</w:t>
      </w:r>
      <w:r w:rsidR="008F1465" w:rsidRPr="003A411E">
        <w:rPr>
          <w:lang w:val="fr-FR"/>
        </w:rPr>
        <w:t xml:space="preserve"> jours. La délégation a reçu </w:t>
      </w:r>
      <w:r w:rsidR="00F80956" w:rsidRPr="003A411E">
        <w:rPr>
          <w:lang w:val="fr-FR"/>
        </w:rPr>
        <w:t>de</w:t>
      </w:r>
      <w:r w:rsidR="008F1465" w:rsidRPr="003A411E">
        <w:rPr>
          <w:lang w:val="fr-FR"/>
        </w:rPr>
        <w:t xml:space="preserve"> nombreux </w:t>
      </w:r>
      <w:r w:rsidR="00F80956" w:rsidRPr="003A411E">
        <w:rPr>
          <w:lang w:val="fr-FR"/>
        </w:rPr>
        <w:t xml:space="preserve">autres </w:t>
      </w:r>
      <w:r w:rsidR="008F1465" w:rsidRPr="003A411E">
        <w:rPr>
          <w:lang w:val="fr-FR"/>
        </w:rPr>
        <w:t xml:space="preserve">témoignages de personnes </w:t>
      </w:r>
      <w:r w:rsidR="00F80956" w:rsidRPr="003A411E">
        <w:rPr>
          <w:lang w:val="fr-FR"/>
        </w:rPr>
        <w:t>dont la</w:t>
      </w:r>
      <w:r w:rsidR="008F1465" w:rsidRPr="003A411E">
        <w:rPr>
          <w:lang w:val="fr-FR"/>
        </w:rPr>
        <w:t xml:space="preserve"> garde à vue </w:t>
      </w:r>
      <w:r w:rsidR="00F80956" w:rsidRPr="003A411E">
        <w:rPr>
          <w:lang w:val="fr-FR"/>
        </w:rPr>
        <w:t xml:space="preserve">avait duré </w:t>
      </w:r>
      <w:r w:rsidR="008F1465" w:rsidRPr="003A411E">
        <w:rPr>
          <w:lang w:val="fr-FR"/>
        </w:rPr>
        <w:t xml:space="preserve">bien au-delà </w:t>
      </w:r>
      <w:r w:rsidR="00F80956" w:rsidRPr="003A411E">
        <w:rPr>
          <w:lang w:val="fr-FR"/>
        </w:rPr>
        <w:t>du délai</w:t>
      </w:r>
      <w:r w:rsidR="008F1465" w:rsidRPr="003A411E">
        <w:rPr>
          <w:lang w:val="fr-FR"/>
        </w:rPr>
        <w:t xml:space="preserve"> légal, </w:t>
      </w:r>
      <w:r w:rsidR="00F80956" w:rsidRPr="003A411E">
        <w:rPr>
          <w:lang w:val="fr-FR"/>
        </w:rPr>
        <w:t>soit</w:t>
      </w:r>
      <w:r w:rsidR="008F1465" w:rsidRPr="003A411E">
        <w:rPr>
          <w:lang w:val="fr-FR"/>
        </w:rPr>
        <w:t xml:space="preserve"> plus d’un mois</w:t>
      </w:r>
      <w:r w:rsidR="00F80956" w:rsidRPr="003A411E">
        <w:rPr>
          <w:lang w:val="fr-FR"/>
        </w:rPr>
        <w:t xml:space="preserve"> dans certains cas</w:t>
      </w:r>
      <w:r w:rsidR="008F1465" w:rsidRPr="003A411E">
        <w:rPr>
          <w:lang w:val="fr-FR"/>
        </w:rPr>
        <w:t xml:space="preserve">. </w:t>
      </w:r>
    </w:p>
    <w:p w14:paraId="7CA96ABB" w14:textId="1DF9E35C" w:rsidR="008F1465" w:rsidRPr="003A411E" w:rsidRDefault="001D4CDF">
      <w:pPr>
        <w:pStyle w:val="SingleTxtG"/>
        <w:rPr>
          <w:lang w:val="fr-FR"/>
        </w:rPr>
      </w:pPr>
      <w:r w:rsidRPr="003A411E">
        <w:rPr>
          <w:lang w:val="fr-FR"/>
        </w:rPr>
        <w:t>6</w:t>
      </w:r>
      <w:r w:rsidR="00534B76" w:rsidRPr="003A411E">
        <w:rPr>
          <w:lang w:val="fr-FR"/>
        </w:rPr>
        <w:t>3</w:t>
      </w:r>
      <w:r w:rsidRPr="003A411E">
        <w:rPr>
          <w:lang w:val="fr-FR"/>
        </w:rPr>
        <w:t>.</w:t>
      </w:r>
      <w:r w:rsidRPr="003A411E">
        <w:rPr>
          <w:lang w:val="fr-FR"/>
        </w:rPr>
        <w:tab/>
      </w:r>
      <w:r w:rsidR="008F1465" w:rsidRPr="003A411E">
        <w:rPr>
          <w:lang w:val="fr-FR"/>
        </w:rPr>
        <w:t xml:space="preserve">Le </w:t>
      </w:r>
      <w:r w:rsidR="00AF7450" w:rsidRPr="003A411E">
        <w:rPr>
          <w:lang w:val="fr-FR"/>
        </w:rPr>
        <w:t>Sous-Comité</w:t>
      </w:r>
      <w:r w:rsidR="008F1465" w:rsidRPr="003A411E">
        <w:rPr>
          <w:lang w:val="fr-FR"/>
        </w:rPr>
        <w:t xml:space="preserve"> est également préoccupé par le fait que la garde à vue peut durer jusqu’à </w:t>
      </w:r>
      <w:r w:rsidR="00F80956" w:rsidRPr="003A411E">
        <w:rPr>
          <w:lang w:val="fr-FR"/>
        </w:rPr>
        <w:t>quinze</w:t>
      </w:r>
      <w:r w:rsidR="00751F6F" w:rsidRPr="003A411E">
        <w:rPr>
          <w:lang w:val="fr-FR"/>
        </w:rPr>
        <w:t xml:space="preserve"> jours, </w:t>
      </w:r>
      <w:r w:rsidR="008F1465" w:rsidRPr="003A411E">
        <w:rPr>
          <w:lang w:val="fr-FR"/>
        </w:rPr>
        <w:t xml:space="preserve">comme le </w:t>
      </w:r>
      <w:r w:rsidR="004D0608" w:rsidRPr="003A411E">
        <w:rPr>
          <w:lang w:val="fr-FR"/>
        </w:rPr>
        <w:t>prévoit</w:t>
      </w:r>
      <w:r w:rsidR="008F1465" w:rsidRPr="003A411E">
        <w:rPr>
          <w:lang w:val="fr-FR"/>
        </w:rPr>
        <w:t xml:space="preserve"> la loi n</w:t>
      </w:r>
      <w:r w:rsidR="003E4D06" w:rsidRPr="00677254">
        <w:rPr>
          <w:vertAlign w:val="superscript"/>
          <w:lang w:val="fr-FR"/>
        </w:rPr>
        <w:t>o</w:t>
      </w:r>
      <w:r w:rsidR="003E4D06">
        <w:rPr>
          <w:lang w:val="fr-FR"/>
        </w:rPr>
        <w:t> </w:t>
      </w:r>
      <w:r w:rsidR="008F1465" w:rsidRPr="003A411E">
        <w:rPr>
          <w:lang w:val="fr-FR"/>
        </w:rPr>
        <w:t>017-2009</w:t>
      </w:r>
      <w:r w:rsidR="00F80956" w:rsidRPr="003A411E">
        <w:rPr>
          <w:lang w:val="fr-FR"/>
        </w:rPr>
        <w:t>/AN</w:t>
      </w:r>
      <w:r w:rsidR="00CC19A7">
        <w:rPr>
          <w:lang w:val="fr-FR"/>
        </w:rPr>
        <w:t xml:space="preserve"> du 5 </w:t>
      </w:r>
      <w:r w:rsidR="008F1465" w:rsidRPr="003A411E">
        <w:rPr>
          <w:lang w:val="fr-FR"/>
        </w:rPr>
        <w:t xml:space="preserve">mai 2009 portant répression du grand banditisme. </w:t>
      </w:r>
    </w:p>
    <w:p w14:paraId="16CB6266" w14:textId="1A56A1DC" w:rsidR="00F85058" w:rsidRPr="003A411E" w:rsidRDefault="001D4CDF" w:rsidP="00312B4F">
      <w:pPr>
        <w:pStyle w:val="SingleTxtG"/>
        <w:rPr>
          <w:b/>
          <w:lang w:val="fr-FR"/>
        </w:rPr>
      </w:pPr>
      <w:r w:rsidRPr="003A411E">
        <w:rPr>
          <w:lang w:val="fr-FR"/>
        </w:rPr>
        <w:t>6</w:t>
      </w:r>
      <w:r w:rsidR="00534B76" w:rsidRPr="003A411E">
        <w:rPr>
          <w:lang w:val="fr-FR"/>
        </w:rPr>
        <w:t>4</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à l’</w:t>
      </w:r>
      <w:r w:rsidR="006A2C77" w:rsidRPr="003A411E">
        <w:rPr>
          <w:b/>
          <w:lang w:val="fr-FR"/>
        </w:rPr>
        <w:t>État</w:t>
      </w:r>
      <w:r w:rsidR="008F1465" w:rsidRPr="003A411E">
        <w:rPr>
          <w:b/>
          <w:lang w:val="fr-FR"/>
        </w:rPr>
        <w:t xml:space="preserve"> partie de </w:t>
      </w:r>
      <w:r w:rsidR="006C21A4" w:rsidRPr="003A411E">
        <w:rPr>
          <w:b/>
          <w:lang w:val="fr-FR"/>
        </w:rPr>
        <w:t xml:space="preserve">veiller à ce que la </w:t>
      </w:r>
      <w:r w:rsidR="007E0A95" w:rsidRPr="003A411E">
        <w:rPr>
          <w:b/>
          <w:lang w:val="fr-FR"/>
        </w:rPr>
        <w:t xml:space="preserve">durée maximale de la </w:t>
      </w:r>
      <w:r w:rsidR="006C21A4" w:rsidRPr="003A411E">
        <w:rPr>
          <w:b/>
          <w:lang w:val="fr-FR"/>
        </w:rPr>
        <w:t xml:space="preserve">garde à vue </w:t>
      </w:r>
      <w:r w:rsidR="007E0A95" w:rsidRPr="003A411E">
        <w:rPr>
          <w:b/>
          <w:lang w:val="fr-FR"/>
        </w:rPr>
        <w:t xml:space="preserve">n’excède </w:t>
      </w:r>
      <w:r w:rsidR="006C21A4" w:rsidRPr="003A411E">
        <w:rPr>
          <w:b/>
          <w:lang w:val="fr-FR"/>
        </w:rPr>
        <w:t xml:space="preserve">pas </w:t>
      </w:r>
      <w:r w:rsidR="00F80956" w:rsidRPr="003A411E">
        <w:rPr>
          <w:b/>
          <w:lang w:val="fr-FR"/>
        </w:rPr>
        <w:t>soixante-douze</w:t>
      </w:r>
      <w:r w:rsidR="006C21A4" w:rsidRPr="003A411E">
        <w:rPr>
          <w:b/>
          <w:lang w:val="fr-FR"/>
        </w:rPr>
        <w:t xml:space="preserve"> heures</w:t>
      </w:r>
      <w:r w:rsidR="00CD2F4B" w:rsidRPr="003A411E">
        <w:rPr>
          <w:b/>
          <w:lang w:val="fr-FR"/>
        </w:rPr>
        <w:t>.</w:t>
      </w:r>
      <w:r w:rsidR="00B06D19" w:rsidRPr="003A411E">
        <w:rPr>
          <w:b/>
          <w:lang w:val="fr-FR"/>
        </w:rPr>
        <w:t xml:space="preserve"> </w:t>
      </w:r>
      <w:r w:rsidR="00CD2F4B" w:rsidRPr="003A411E">
        <w:rPr>
          <w:b/>
          <w:lang w:val="fr-FR"/>
        </w:rPr>
        <w:t>E</w:t>
      </w:r>
      <w:r w:rsidR="00B06D19" w:rsidRPr="003A411E">
        <w:rPr>
          <w:b/>
          <w:lang w:val="fr-FR"/>
        </w:rPr>
        <w:t xml:space="preserve">n cas de prolongation, celle-ci </w:t>
      </w:r>
      <w:r w:rsidR="006C21A4" w:rsidRPr="003A411E">
        <w:rPr>
          <w:b/>
          <w:lang w:val="fr-FR"/>
        </w:rPr>
        <w:t xml:space="preserve">ne </w:t>
      </w:r>
      <w:r w:rsidR="00B06D19" w:rsidRPr="003A411E">
        <w:rPr>
          <w:b/>
          <w:lang w:val="fr-FR"/>
        </w:rPr>
        <w:t xml:space="preserve">doit pas dépasser </w:t>
      </w:r>
      <w:r w:rsidR="00CD2F4B" w:rsidRPr="003A411E">
        <w:rPr>
          <w:b/>
          <w:lang w:val="fr-FR"/>
        </w:rPr>
        <w:t>quarante-huit</w:t>
      </w:r>
      <w:r w:rsidR="006C21A4" w:rsidRPr="003A411E">
        <w:rPr>
          <w:b/>
          <w:lang w:val="fr-FR"/>
        </w:rPr>
        <w:t xml:space="preserve"> heures</w:t>
      </w:r>
      <w:r w:rsidR="00CD2F4B" w:rsidRPr="003A411E">
        <w:rPr>
          <w:b/>
          <w:lang w:val="fr-FR"/>
        </w:rPr>
        <w:t>.</w:t>
      </w:r>
      <w:r w:rsidR="00B06D19" w:rsidRPr="003A411E">
        <w:rPr>
          <w:b/>
          <w:lang w:val="fr-FR"/>
        </w:rPr>
        <w:t xml:space="preserve"> </w:t>
      </w:r>
      <w:r w:rsidR="00CD2F4B" w:rsidRPr="003A411E">
        <w:rPr>
          <w:b/>
          <w:lang w:val="fr-FR"/>
        </w:rPr>
        <w:t>L</w:t>
      </w:r>
      <w:r w:rsidR="00B06D19" w:rsidRPr="003A411E">
        <w:rPr>
          <w:b/>
          <w:lang w:val="fr-FR"/>
        </w:rPr>
        <w:t xml:space="preserve">a durée totale de la garde à vue ne </w:t>
      </w:r>
      <w:r w:rsidR="00CD2F4B" w:rsidRPr="003A411E">
        <w:rPr>
          <w:b/>
          <w:lang w:val="fr-FR"/>
        </w:rPr>
        <w:t>d</w:t>
      </w:r>
      <w:r w:rsidR="00312B4F" w:rsidRPr="003A411E">
        <w:rPr>
          <w:b/>
          <w:lang w:val="fr-FR"/>
        </w:rPr>
        <w:t>o</w:t>
      </w:r>
      <w:r w:rsidR="00CD2F4B" w:rsidRPr="003A411E">
        <w:rPr>
          <w:b/>
          <w:lang w:val="fr-FR"/>
        </w:rPr>
        <w:t>it donc</w:t>
      </w:r>
      <w:r w:rsidR="00B06D19" w:rsidRPr="003A411E">
        <w:rPr>
          <w:b/>
          <w:lang w:val="fr-FR"/>
        </w:rPr>
        <w:t xml:space="preserve"> en aucun cas excéder </w:t>
      </w:r>
      <w:r w:rsidR="00CD2F4B" w:rsidRPr="003A411E">
        <w:rPr>
          <w:b/>
          <w:lang w:val="fr-FR"/>
        </w:rPr>
        <w:t>cent vingt</w:t>
      </w:r>
      <w:r w:rsidR="006C21A4" w:rsidRPr="003A411E">
        <w:rPr>
          <w:b/>
          <w:lang w:val="fr-FR"/>
        </w:rPr>
        <w:t xml:space="preserve"> heures, </w:t>
      </w:r>
      <w:r w:rsidR="007E0A95" w:rsidRPr="003A411E">
        <w:rPr>
          <w:b/>
          <w:lang w:val="fr-FR"/>
        </w:rPr>
        <w:t xml:space="preserve">et </w:t>
      </w:r>
      <w:r w:rsidR="00CD2F4B" w:rsidRPr="003A411E">
        <w:rPr>
          <w:b/>
          <w:lang w:val="fr-FR"/>
        </w:rPr>
        <w:t xml:space="preserve">cette durée maximale </w:t>
      </w:r>
      <w:r w:rsidR="00E83E93" w:rsidRPr="003A411E">
        <w:rPr>
          <w:b/>
          <w:lang w:val="fr-FR"/>
        </w:rPr>
        <w:t>d</w:t>
      </w:r>
      <w:r w:rsidR="007E0A95" w:rsidRPr="003A411E">
        <w:rPr>
          <w:b/>
          <w:lang w:val="fr-FR"/>
        </w:rPr>
        <w:t xml:space="preserve">oit </w:t>
      </w:r>
      <w:r w:rsidR="00E83E93" w:rsidRPr="003A411E">
        <w:rPr>
          <w:b/>
          <w:lang w:val="fr-FR"/>
        </w:rPr>
        <w:t xml:space="preserve">être </w:t>
      </w:r>
      <w:r w:rsidR="006C21A4" w:rsidRPr="003A411E">
        <w:rPr>
          <w:b/>
          <w:lang w:val="fr-FR"/>
        </w:rPr>
        <w:t>dûment justifié</w:t>
      </w:r>
      <w:r w:rsidR="00E83E93" w:rsidRPr="003A411E">
        <w:rPr>
          <w:b/>
          <w:lang w:val="fr-FR"/>
        </w:rPr>
        <w:t>e</w:t>
      </w:r>
      <w:r w:rsidR="006C21A4" w:rsidRPr="003A411E">
        <w:rPr>
          <w:b/>
          <w:lang w:val="fr-FR"/>
        </w:rPr>
        <w:t xml:space="preserve"> par des circonstances exceptionnelles</w:t>
      </w:r>
      <w:r w:rsidR="007E0A95" w:rsidRPr="003A411E">
        <w:rPr>
          <w:b/>
          <w:lang w:val="fr-FR"/>
        </w:rPr>
        <w:t xml:space="preserve">, </w:t>
      </w:r>
      <w:r w:rsidR="006C21A4" w:rsidRPr="003A411E">
        <w:rPr>
          <w:b/>
          <w:lang w:val="fr-FR"/>
        </w:rPr>
        <w:t>confirmé</w:t>
      </w:r>
      <w:r w:rsidR="00E83E93" w:rsidRPr="003A411E">
        <w:rPr>
          <w:b/>
          <w:lang w:val="fr-FR"/>
        </w:rPr>
        <w:t>e</w:t>
      </w:r>
      <w:r w:rsidR="006C21A4" w:rsidRPr="003A411E">
        <w:rPr>
          <w:b/>
          <w:lang w:val="fr-FR"/>
        </w:rPr>
        <w:t xml:space="preserve"> par écrit et inscrit</w:t>
      </w:r>
      <w:r w:rsidR="00E83E93" w:rsidRPr="003A411E">
        <w:rPr>
          <w:b/>
          <w:lang w:val="fr-FR"/>
        </w:rPr>
        <w:t>e</w:t>
      </w:r>
      <w:r w:rsidR="006C21A4" w:rsidRPr="003A411E">
        <w:rPr>
          <w:b/>
          <w:lang w:val="fr-FR"/>
        </w:rPr>
        <w:t xml:space="preserve"> </w:t>
      </w:r>
      <w:r w:rsidR="006C21A4" w:rsidRPr="003A411E">
        <w:rPr>
          <w:b/>
          <w:lang w:val="fr-FR"/>
        </w:rPr>
        <w:lastRenderedPageBreak/>
        <w:t>dans les registres</w:t>
      </w:r>
      <w:r w:rsidR="007E0A95" w:rsidRPr="003A411E">
        <w:rPr>
          <w:b/>
          <w:lang w:val="fr-FR"/>
        </w:rPr>
        <w:t xml:space="preserve">. Le </w:t>
      </w:r>
      <w:r w:rsidR="00AF7450" w:rsidRPr="003A411E">
        <w:rPr>
          <w:b/>
          <w:lang w:val="fr-FR"/>
        </w:rPr>
        <w:t>Sous-Comité</w:t>
      </w:r>
      <w:r w:rsidR="007E0A95" w:rsidRPr="003A411E">
        <w:rPr>
          <w:b/>
          <w:lang w:val="fr-FR"/>
        </w:rPr>
        <w:t xml:space="preserve"> encourage l’</w:t>
      </w:r>
      <w:r w:rsidR="006A2C77" w:rsidRPr="003A411E">
        <w:rPr>
          <w:b/>
          <w:lang w:val="fr-FR"/>
        </w:rPr>
        <w:t>État</w:t>
      </w:r>
      <w:r w:rsidR="007E0A95" w:rsidRPr="003A411E">
        <w:rPr>
          <w:b/>
          <w:lang w:val="fr-FR"/>
        </w:rPr>
        <w:t xml:space="preserve"> partie</w:t>
      </w:r>
      <w:r w:rsidR="00B06D19" w:rsidRPr="003A411E">
        <w:rPr>
          <w:b/>
          <w:lang w:val="fr-FR"/>
        </w:rPr>
        <w:t xml:space="preserve">, lors de ses travaux de réforme législative en cours, </w:t>
      </w:r>
      <w:r w:rsidR="00E83E93" w:rsidRPr="003A411E">
        <w:rPr>
          <w:b/>
          <w:lang w:val="fr-FR"/>
        </w:rPr>
        <w:t>à</w:t>
      </w:r>
      <w:r w:rsidR="00B06D19" w:rsidRPr="003A411E">
        <w:rPr>
          <w:b/>
          <w:lang w:val="fr-FR"/>
        </w:rPr>
        <w:t xml:space="preserve"> </w:t>
      </w:r>
      <w:r w:rsidR="007E0A95" w:rsidRPr="003A411E">
        <w:rPr>
          <w:b/>
          <w:lang w:val="fr-FR"/>
        </w:rPr>
        <w:t xml:space="preserve">considérer </w:t>
      </w:r>
      <w:r w:rsidR="00CD2F4B" w:rsidRPr="003A411E">
        <w:rPr>
          <w:b/>
          <w:lang w:val="fr-FR"/>
        </w:rPr>
        <w:t>d’établir</w:t>
      </w:r>
      <w:r w:rsidR="007E0A95" w:rsidRPr="003A411E">
        <w:rPr>
          <w:b/>
          <w:lang w:val="fr-FR"/>
        </w:rPr>
        <w:t xml:space="preserve"> la durée maximale de garde à vue à </w:t>
      </w:r>
      <w:r w:rsidR="00CD2F4B" w:rsidRPr="003A411E">
        <w:rPr>
          <w:b/>
          <w:lang w:val="fr-FR"/>
        </w:rPr>
        <w:t>quarante-huit</w:t>
      </w:r>
      <w:r w:rsidR="007E0A95" w:rsidRPr="003A411E">
        <w:rPr>
          <w:b/>
          <w:lang w:val="fr-FR"/>
        </w:rPr>
        <w:t xml:space="preserve"> heures</w:t>
      </w:r>
      <w:r w:rsidR="00B06D19" w:rsidRPr="003A411E">
        <w:rPr>
          <w:b/>
          <w:lang w:val="fr-FR"/>
        </w:rPr>
        <w:t xml:space="preserve">, en accord avec </w:t>
      </w:r>
      <w:r w:rsidR="00E83E93" w:rsidRPr="003A411E">
        <w:rPr>
          <w:b/>
          <w:lang w:val="fr-FR"/>
        </w:rPr>
        <w:t xml:space="preserve">les </w:t>
      </w:r>
      <w:r w:rsidR="00CD2F4B" w:rsidRPr="003A411E">
        <w:rPr>
          <w:b/>
          <w:lang w:val="fr-FR"/>
        </w:rPr>
        <w:t>instruments</w:t>
      </w:r>
      <w:r w:rsidR="00E83E93" w:rsidRPr="003A411E">
        <w:rPr>
          <w:b/>
          <w:lang w:val="fr-FR"/>
        </w:rPr>
        <w:t xml:space="preserve"> internationaux</w:t>
      </w:r>
      <w:r w:rsidR="0025338A" w:rsidRPr="003A411E">
        <w:rPr>
          <w:b/>
          <w:lang w:val="fr-FR"/>
        </w:rPr>
        <w:t xml:space="preserve">, notamment </w:t>
      </w:r>
      <w:r w:rsidR="00CD2F4B" w:rsidRPr="003A411E">
        <w:rPr>
          <w:b/>
          <w:lang w:val="fr-FR"/>
        </w:rPr>
        <w:t>les Lignes directrices sur les conditions d’arrestation, de garde à vue et de détention provisoire en Afrique (</w:t>
      </w:r>
      <w:r w:rsidR="0025338A" w:rsidRPr="003A411E">
        <w:rPr>
          <w:b/>
          <w:lang w:val="fr-FR"/>
        </w:rPr>
        <w:t>L</w:t>
      </w:r>
      <w:r w:rsidR="00B06D19" w:rsidRPr="003A411E">
        <w:rPr>
          <w:b/>
          <w:lang w:val="fr-FR"/>
        </w:rPr>
        <w:t xml:space="preserve">ignes directrices </w:t>
      </w:r>
      <w:r w:rsidR="00CD2F4B" w:rsidRPr="003A411E">
        <w:rPr>
          <w:b/>
          <w:lang w:val="fr-FR"/>
        </w:rPr>
        <w:t xml:space="preserve">de </w:t>
      </w:r>
      <w:r w:rsidR="00B06D19" w:rsidRPr="003A411E">
        <w:rPr>
          <w:b/>
          <w:lang w:val="fr-FR"/>
        </w:rPr>
        <w:t>Luanda</w:t>
      </w:r>
      <w:r w:rsidR="00CD2F4B" w:rsidRPr="003A411E">
        <w:rPr>
          <w:b/>
          <w:lang w:val="fr-FR"/>
        </w:rPr>
        <w:t>)</w:t>
      </w:r>
      <w:r w:rsidR="0061231B" w:rsidRPr="003A411E">
        <w:rPr>
          <w:b/>
          <w:lang w:val="fr-FR"/>
        </w:rPr>
        <w:t>.</w:t>
      </w:r>
      <w:r w:rsidR="00B06D19" w:rsidRPr="003A411E">
        <w:rPr>
          <w:b/>
          <w:lang w:val="fr-FR"/>
        </w:rPr>
        <w:t xml:space="preserve"> </w:t>
      </w:r>
    </w:p>
    <w:p w14:paraId="0FD08A24" w14:textId="1D79FCF8" w:rsidR="00F85058" w:rsidRPr="003A411E" w:rsidRDefault="00F85058" w:rsidP="00534B76">
      <w:pPr>
        <w:pStyle w:val="SingleTxtG"/>
        <w:rPr>
          <w:b/>
          <w:lang w:val="fr-FR"/>
        </w:rPr>
      </w:pPr>
      <w:r w:rsidRPr="003A411E">
        <w:rPr>
          <w:lang w:val="fr-FR"/>
        </w:rPr>
        <w:t>6</w:t>
      </w:r>
      <w:r w:rsidR="00534B76" w:rsidRPr="003A411E">
        <w:rPr>
          <w:lang w:val="fr-FR"/>
        </w:rPr>
        <w:t>5</w:t>
      </w:r>
      <w:r w:rsidRPr="003A411E">
        <w:rPr>
          <w:lang w:val="fr-FR"/>
        </w:rPr>
        <w:t>.</w:t>
      </w:r>
      <w:r w:rsidRPr="003A411E">
        <w:rPr>
          <w:b/>
          <w:lang w:val="fr-FR"/>
        </w:rPr>
        <w:tab/>
        <w:t xml:space="preserve">En outre, le </w:t>
      </w:r>
      <w:r w:rsidR="00AF7450" w:rsidRPr="003A411E">
        <w:rPr>
          <w:b/>
          <w:lang w:val="fr-FR"/>
        </w:rPr>
        <w:t>Sous-Comité</w:t>
      </w:r>
      <w:r w:rsidRPr="003A411E">
        <w:rPr>
          <w:b/>
          <w:lang w:val="fr-FR"/>
        </w:rPr>
        <w:t xml:space="preserve"> recommande à l’</w:t>
      </w:r>
      <w:r w:rsidR="006A2C77" w:rsidRPr="003A411E">
        <w:rPr>
          <w:b/>
          <w:lang w:val="fr-FR"/>
        </w:rPr>
        <w:t>État</w:t>
      </w:r>
      <w:r w:rsidRPr="003A411E">
        <w:rPr>
          <w:b/>
          <w:lang w:val="fr-FR"/>
        </w:rPr>
        <w:t xml:space="preserve"> partie de prendre toutes les mesures nécessaires pour faire en sorte que, dans la pratique, tou</w:t>
      </w:r>
      <w:r w:rsidR="00364920" w:rsidRPr="003A411E">
        <w:rPr>
          <w:b/>
          <w:lang w:val="fr-FR"/>
        </w:rPr>
        <w:t>te</w:t>
      </w:r>
      <w:r w:rsidRPr="003A411E">
        <w:rPr>
          <w:b/>
          <w:lang w:val="fr-FR"/>
        </w:rPr>
        <w:t xml:space="preserve">s les </w:t>
      </w:r>
      <w:r w:rsidR="00364920" w:rsidRPr="003A411E">
        <w:rPr>
          <w:b/>
          <w:lang w:val="fr-FR"/>
        </w:rPr>
        <w:t xml:space="preserve">personnes </w:t>
      </w:r>
      <w:r w:rsidRPr="003A411E">
        <w:rPr>
          <w:b/>
          <w:lang w:val="fr-FR"/>
        </w:rPr>
        <w:t>gardé</w:t>
      </w:r>
      <w:r w:rsidR="00364920" w:rsidRPr="003A411E">
        <w:rPr>
          <w:b/>
          <w:lang w:val="fr-FR"/>
        </w:rPr>
        <w:t>e</w:t>
      </w:r>
      <w:r w:rsidRPr="003A411E">
        <w:rPr>
          <w:b/>
          <w:lang w:val="fr-FR"/>
        </w:rPr>
        <w:t>s à vue jouissent de toutes les garanties juridiques fondamentales</w:t>
      </w:r>
      <w:r w:rsidR="007E0A95" w:rsidRPr="003A411E">
        <w:rPr>
          <w:b/>
          <w:lang w:val="fr-FR"/>
        </w:rPr>
        <w:t xml:space="preserve"> énoncées </w:t>
      </w:r>
      <w:r w:rsidR="007E0A95" w:rsidRPr="003A411E">
        <w:rPr>
          <w:b/>
          <w:i/>
          <w:lang w:val="fr-FR"/>
        </w:rPr>
        <w:t>supra</w:t>
      </w:r>
      <w:r w:rsidRPr="003A411E">
        <w:rPr>
          <w:b/>
          <w:lang w:val="fr-FR"/>
        </w:rPr>
        <w:t>, dès le début de la privation de liberté, notamment l’accès à un avocat et le droit d’être informé</w:t>
      </w:r>
      <w:r w:rsidR="009C39A7" w:rsidRPr="003A411E">
        <w:rPr>
          <w:b/>
          <w:lang w:val="fr-FR"/>
        </w:rPr>
        <w:t>es</w:t>
      </w:r>
      <w:r w:rsidRPr="003A411E">
        <w:rPr>
          <w:b/>
          <w:lang w:val="fr-FR"/>
        </w:rPr>
        <w:t xml:space="preserve"> de leurs garanties fondamentales. </w:t>
      </w:r>
    </w:p>
    <w:p w14:paraId="1B9367E9" w14:textId="1CB84281" w:rsidR="008F1465" w:rsidRPr="003A411E" w:rsidRDefault="001D4CDF" w:rsidP="00677254">
      <w:pPr>
        <w:pStyle w:val="H4G"/>
        <w:rPr>
          <w:lang w:val="fr-FR"/>
        </w:rPr>
      </w:pPr>
      <w:r w:rsidRPr="003A411E">
        <w:rPr>
          <w:lang w:val="fr-FR"/>
        </w:rPr>
        <w:tab/>
      </w:r>
      <w:r w:rsidR="009C7184" w:rsidRPr="003A411E">
        <w:rPr>
          <w:lang w:val="fr-FR"/>
        </w:rPr>
        <w:t>vi.</w:t>
      </w:r>
      <w:r w:rsidR="008F1465" w:rsidRPr="003A411E">
        <w:rPr>
          <w:lang w:val="fr-FR"/>
        </w:rPr>
        <w:t xml:space="preserve"> </w:t>
      </w:r>
      <w:r w:rsidRPr="003A411E">
        <w:rPr>
          <w:lang w:val="fr-FR"/>
        </w:rPr>
        <w:tab/>
      </w:r>
      <w:r w:rsidR="008F1465" w:rsidRPr="003A411E">
        <w:rPr>
          <w:lang w:val="fr-FR"/>
        </w:rPr>
        <w:t xml:space="preserve">Indépendance judiciaire </w:t>
      </w:r>
    </w:p>
    <w:p w14:paraId="0106193C" w14:textId="5C963195" w:rsidR="008F1465" w:rsidRPr="003A411E" w:rsidRDefault="001D4CDF">
      <w:pPr>
        <w:pStyle w:val="SingleTxtG"/>
        <w:rPr>
          <w:lang w:val="fr-FR"/>
        </w:rPr>
      </w:pPr>
      <w:r w:rsidRPr="003A411E">
        <w:rPr>
          <w:lang w:val="fr-FR"/>
        </w:rPr>
        <w:t>6</w:t>
      </w:r>
      <w:r w:rsidR="00534B76" w:rsidRPr="003A411E">
        <w:rPr>
          <w:lang w:val="fr-FR"/>
        </w:rPr>
        <w:t>6</w:t>
      </w:r>
      <w:r w:rsidR="008F1465" w:rsidRPr="003A411E">
        <w:rPr>
          <w:lang w:val="fr-FR"/>
        </w:rPr>
        <w:t xml:space="preserve">. </w:t>
      </w:r>
      <w:r w:rsidRPr="003A411E">
        <w:rPr>
          <w:lang w:val="fr-FR"/>
        </w:rPr>
        <w:tab/>
      </w:r>
      <w:r w:rsidR="008F1465" w:rsidRPr="003A411E">
        <w:rPr>
          <w:lang w:val="fr-FR"/>
        </w:rPr>
        <w:t xml:space="preserve">Le </w:t>
      </w:r>
      <w:r w:rsidR="006A2C77" w:rsidRPr="003A411E">
        <w:rPr>
          <w:lang w:val="fr-FR"/>
        </w:rPr>
        <w:t>S</w:t>
      </w:r>
      <w:r w:rsidR="008F1465" w:rsidRPr="003A411E">
        <w:rPr>
          <w:lang w:val="fr-FR"/>
        </w:rPr>
        <w:t>ous-</w:t>
      </w:r>
      <w:r w:rsidR="006A2C77" w:rsidRPr="003A411E">
        <w:rPr>
          <w:lang w:val="fr-FR"/>
        </w:rPr>
        <w:t>C</w:t>
      </w:r>
      <w:r w:rsidR="008F1465" w:rsidRPr="003A411E">
        <w:rPr>
          <w:lang w:val="fr-FR"/>
        </w:rPr>
        <w:t xml:space="preserve">omité est préoccupé par le fait que le contrôle juridictionnel de la garde à vue </w:t>
      </w:r>
      <w:r w:rsidR="009C39A7" w:rsidRPr="003A411E">
        <w:rPr>
          <w:lang w:val="fr-FR"/>
        </w:rPr>
        <w:t>est</w:t>
      </w:r>
      <w:r w:rsidR="008F1465" w:rsidRPr="003A411E">
        <w:rPr>
          <w:lang w:val="fr-FR"/>
        </w:rPr>
        <w:t xml:space="preserve"> exercé par le procureur, affilié au Ministère de la </w:t>
      </w:r>
      <w:r w:rsidR="009C39A7" w:rsidRPr="003A411E">
        <w:rPr>
          <w:lang w:val="fr-FR"/>
        </w:rPr>
        <w:t>j</w:t>
      </w:r>
      <w:r w:rsidR="008F1465" w:rsidRPr="003A411E">
        <w:rPr>
          <w:lang w:val="fr-FR"/>
        </w:rPr>
        <w:t>ustice, et non par une autorité judiciaire indépendante.</w:t>
      </w:r>
      <w:r w:rsidR="00C11E12">
        <w:rPr>
          <w:lang w:val="fr-FR"/>
        </w:rPr>
        <w:t xml:space="preserve"> </w:t>
      </w:r>
    </w:p>
    <w:p w14:paraId="44438F07" w14:textId="234396DA" w:rsidR="00F85058" w:rsidRPr="003A411E" w:rsidRDefault="00F85058" w:rsidP="00534B76">
      <w:pPr>
        <w:pStyle w:val="SingleTxtG"/>
        <w:rPr>
          <w:b/>
          <w:lang w:val="fr-FR"/>
        </w:rPr>
      </w:pPr>
      <w:r w:rsidRPr="003A411E">
        <w:rPr>
          <w:lang w:val="fr-FR"/>
        </w:rPr>
        <w:t>6</w:t>
      </w:r>
      <w:r w:rsidR="00534B76" w:rsidRPr="003A411E">
        <w:rPr>
          <w:lang w:val="fr-FR"/>
        </w:rPr>
        <w:t>7</w:t>
      </w:r>
      <w:r w:rsidR="001D4CDF" w:rsidRPr="003A411E">
        <w:rPr>
          <w:lang w:val="fr-FR"/>
        </w:rPr>
        <w:t>.</w:t>
      </w:r>
      <w:r w:rsidR="001D4CDF"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à l’</w:t>
      </w:r>
      <w:r w:rsidR="006A2C77" w:rsidRPr="003A411E">
        <w:rPr>
          <w:b/>
          <w:lang w:val="fr-FR"/>
        </w:rPr>
        <w:t>État</w:t>
      </w:r>
      <w:r w:rsidR="008F1465" w:rsidRPr="003A411E">
        <w:rPr>
          <w:b/>
          <w:lang w:val="fr-FR"/>
        </w:rPr>
        <w:t xml:space="preserve"> partie </w:t>
      </w:r>
      <w:r w:rsidR="00114320" w:rsidRPr="003A411E">
        <w:rPr>
          <w:b/>
          <w:lang w:val="fr-FR"/>
        </w:rPr>
        <w:t xml:space="preserve">de faire en sorte </w:t>
      </w:r>
      <w:r w:rsidR="008F1465" w:rsidRPr="003A411E">
        <w:rPr>
          <w:b/>
          <w:lang w:val="fr-FR"/>
        </w:rPr>
        <w:t xml:space="preserve">que l’autorité judiciaire </w:t>
      </w:r>
      <w:r w:rsidR="00114320" w:rsidRPr="003A411E">
        <w:rPr>
          <w:b/>
          <w:lang w:val="fr-FR"/>
        </w:rPr>
        <w:t>de</w:t>
      </w:r>
      <w:r w:rsidR="008F1465" w:rsidRPr="003A411E">
        <w:rPr>
          <w:b/>
          <w:lang w:val="fr-FR"/>
        </w:rPr>
        <w:t xml:space="preserve"> contrôle</w:t>
      </w:r>
      <w:r w:rsidR="00114320" w:rsidRPr="003A411E">
        <w:rPr>
          <w:b/>
          <w:lang w:val="fr-FR"/>
        </w:rPr>
        <w:t xml:space="preserve"> de</w:t>
      </w:r>
      <w:r w:rsidR="008F1465" w:rsidRPr="003A411E">
        <w:rPr>
          <w:b/>
          <w:lang w:val="fr-FR"/>
        </w:rPr>
        <w:t xml:space="preserve"> la garde à vue </w:t>
      </w:r>
      <w:r w:rsidR="00472C25" w:rsidRPr="003A411E">
        <w:rPr>
          <w:b/>
          <w:lang w:val="fr-FR"/>
        </w:rPr>
        <w:t>soi</w:t>
      </w:r>
      <w:r w:rsidR="00B5104C" w:rsidRPr="003A411E">
        <w:rPr>
          <w:b/>
          <w:lang w:val="fr-FR"/>
        </w:rPr>
        <w:t>t</w:t>
      </w:r>
      <w:r w:rsidR="00472C25" w:rsidRPr="003A411E">
        <w:rPr>
          <w:b/>
          <w:lang w:val="fr-FR"/>
        </w:rPr>
        <w:t xml:space="preserve"> indépendante du pouvoir politique</w:t>
      </w:r>
      <w:r w:rsidR="008F1465" w:rsidRPr="003A411E">
        <w:rPr>
          <w:b/>
          <w:lang w:val="fr-FR"/>
        </w:rPr>
        <w:t xml:space="preserve">, afin que son indépendance fonctionnelle soit pleinement garantie. </w:t>
      </w:r>
    </w:p>
    <w:p w14:paraId="1E9187B6" w14:textId="38A08A6C" w:rsidR="008F1465" w:rsidRPr="003A411E" w:rsidRDefault="001D4CDF" w:rsidP="00677254">
      <w:pPr>
        <w:pStyle w:val="H4G"/>
        <w:rPr>
          <w:lang w:val="fr-FR"/>
        </w:rPr>
      </w:pPr>
      <w:r w:rsidRPr="003A411E">
        <w:rPr>
          <w:lang w:val="fr-FR"/>
        </w:rPr>
        <w:tab/>
      </w:r>
      <w:r w:rsidR="009C7184" w:rsidRPr="003A411E">
        <w:rPr>
          <w:lang w:val="fr-FR"/>
        </w:rPr>
        <w:t>vii.</w:t>
      </w:r>
      <w:r w:rsidR="008F1465" w:rsidRPr="003A411E">
        <w:rPr>
          <w:lang w:val="fr-FR"/>
        </w:rPr>
        <w:t xml:space="preserve"> </w:t>
      </w:r>
      <w:r w:rsidRPr="003A411E">
        <w:rPr>
          <w:lang w:val="fr-FR"/>
        </w:rPr>
        <w:tab/>
      </w:r>
      <w:r w:rsidR="008F1465" w:rsidRPr="003A411E">
        <w:rPr>
          <w:lang w:val="fr-FR"/>
        </w:rPr>
        <w:t>Habeas corpus</w:t>
      </w:r>
    </w:p>
    <w:p w14:paraId="50100844" w14:textId="30F8068E" w:rsidR="008F1465" w:rsidRPr="003A411E" w:rsidRDefault="00114320">
      <w:pPr>
        <w:pStyle w:val="SingleTxtG"/>
        <w:rPr>
          <w:lang w:val="fr-FR"/>
        </w:rPr>
      </w:pPr>
      <w:r w:rsidRPr="003A411E">
        <w:rPr>
          <w:lang w:val="fr-FR"/>
        </w:rPr>
        <w:t>6</w:t>
      </w:r>
      <w:r w:rsidR="00534B76" w:rsidRPr="003A411E">
        <w:rPr>
          <w:lang w:val="fr-FR"/>
        </w:rPr>
        <w:t>8</w:t>
      </w:r>
      <w:r w:rsidR="001D4CDF" w:rsidRPr="003A411E">
        <w:rPr>
          <w:lang w:val="fr-FR"/>
        </w:rPr>
        <w:t>.</w:t>
      </w:r>
      <w:r w:rsidR="001D4CDF" w:rsidRPr="003A411E">
        <w:rPr>
          <w:lang w:val="fr-FR"/>
        </w:rPr>
        <w:tab/>
      </w:r>
      <w:r w:rsidR="008F1465" w:rsidRPr="003A411E">
        <w:rPr>
          <w:lang w:val="fr-FR"/>
        </w:rPr>
        <w:t xml:space="preserve">Le </w:t>
      </w:r>
      <w:r w:rsidR="006A2C77" w:rsidRPr="003A411E">
        <w:rPr>
          <w:lang w:val="fr-FR"/>
        </w:rPr>
        <w:t>S</w:t>
      </w:r>
      <w:r w:rsidR="008F1465" w:rsidRPr="003A411E">
        <w:rPr>
          <w:lang w:val="fr-FR"/>
        </w:rPr>
        <w:t>ous-</w:t>
      </w:r>
      <w:r w:rsidR="006A2C77" w:rsidRPr="003A411E">
        <w:rPr>
          <w:lang w:val="fr-FR"/>
        </w:rPr>
        <w:t>C</w:t>
      </w:r>
      <w:r w:rsidR="008F1465" w:rsidRPr="003A411E">
        <w:rPr>
          <w:lang w:val="fr-FR"/>
        </w:rPr>
        <w:t xml:space="preserve">omité est préoccupé par le fait que les </w:t>
      </w:r>
      <w:r w:rsidRPr="003A411E">
        <w:rPr>
          <w:lang w:val="fr-FR"/>
        </w:rPr>
        <w:t>personnes placées</w:t>
      </w:r>
      <w:r w:rsidR="008F1465" w:rsidRPr="003A411E">
        <w:rPr>
          <w:lang w:val="fr-FR"/>
        </w:rPr>
        <w:t xml:space="preserve"> en détention provisoire n’</w:t>
      </w:r>
      <w:r w:rsidRPr="003A411E">
        <w:rPr>
          <w:lang w:val="fr-FR"/>
        </w:rPr>
        <w:t>o</w:t>
      </w:r>
      <w:r w:rsidR="008F1465" w:rsidRPr="003A411E">
        <w:rPr>
          <w:lang w:val="fr-FR"/>
        </w:rPr>
        <w:t>nt pas le droit de contester la légalité de leur détention devant une autorité judiciaire indépendante (</w:t>
      </w:r>
      <w:r w:rsidR="008F1465" w:rsidRPr="00677254">
        <w:rPr>
          <w:i/>
          <w:iCs/>
          <w:lang w:val="fr-FR"/>
        </w:rPr>
        <w:t>habeas corpus</w:t>
      </w:r>
      <w:r w:rsidR="008F1465" w:rsidRPr="003A411E">
        <w:rPr>
          <w:lang w:val="fr-FR"/>
        </w:rPr>
        <w:t xml:space="preserve">). </w:t>
      </w:r>
    </w:p>
    <w:p w14:paraId="06AEA4DD" w14:textId="71387536" w:rsidR="008F1465" w:rsidRPr="003A411E" w:rsidRDefault="00114320">
      <w:pPr>
        <w:pStyle w:val="SingleTxtG"/>
        <w:rPr>
          <w:b/>
          <w:lang w:val="fr-FR"/>
        </w:rPr>
      </w:pPr>
      <w:r w:rsidRPr="003A411E">
        <w:rPr>
          <w:lang w:val="fr-FR"/>
        </w:rPr>
        <w:t>6</w:t>
      </w:r>
      <w:r w:rsidR="00534B76" w:rsidRPr="003A411E">
        <w:rPr>
          <w:lang w:val="fr-FR"/>
        </w:rPr>
        <w:t>9</w:t>
      </w:r>
      <w:r w:rsidR="001D4CDF" w:rsidRPr="003A411E">
        <w:rPr>
          <w:lang w:val="fr-FR"/>
        </w:rPr>
        <w:t>.</w:t>
      </w:r>
      <w:r w:rsidR="001D4CDF" w:rsidRPr="003A411E">
        <w:rPr>
          <w:b/>
          <w:lang w:val="fr-FR"/>
        </w:rPr>
        <w:tab/>
      </w:r>
      <w:r w:rsidRPr="003A411E">
        <w:rPr>
          <w:b/>
          <w:lang w:val="fr-FR"/>
        </w:rPr>
        <w:t>Rappelant</w:t>
      </w:r>
      <w:r w:rsidR="008F1465" w:rsidRPr="003A411E">
        <w:rPr>
          <w:b/>
          <w:lang w:val="fr-FR"/>
        </w:rPr>
        <w:t xml:space="preserve"> qu’il est impératif que tout détenu soit présenté devant un juge indépendant et impartial afin qu’il puisse exercer un recours </w:t>
      </w:r>
      <w:r w:rsidR="00B5104C" w:rsidRPr="003A411E">
        <w:rPr>
          <w:b/>
          <w:lang w:val="fr-FR"/>
        </w:rPr>
        <w:t>relatif à</w:t>
      </w:r>
      <w:r w:rsidR="008F1465" w:rsidRPr="003A411E">
        <w:rPr>
          <w:b/>
          <w:lang w:val="fr-FR"/>
        </w:rPr>
        <w:t xml:space="preserve"> la légalité de sa détention</w:t>
      </w:r>
      <w:r w:rsidRPr="003A411E">
        <w:rPr>
          <w:b/>
          <w:lang w:val="fr-FR"/>
        </w:rPr>
        <w:t>, le Sous-Comité</w:t>
      </w:r>
      <w:r w:rsidR="008F1465" w:rsidRPr="003A411E">
        <w:rPr>
          <w:b/>
          <w:lang w:val="fr-FR"/>
        </w:rPr>
        <w:t xml:space="preserve"> encourage les autorités à prendre les mesures effectives en vue de l’ét</w:t>
      </w:r>
      <w:r w:rsidR="001D4CDF" w:rsidRPr="003A411E">
        <w:rPr>
          <w:b/>
          <w:lang w:val="fr-FR"/>
        </w:rPr>
        <w:t>ablissement de l’</w:t>
      </w:r>
      <w:r w:rsidR="001D4CDF" w:rsidRPr="00677254">
        <w:rPr>
          <w:b/>
          <w:i/>
          <w:iCs/>
          <w:lang w:val="fr-FR"/>
        </w:rPr>
        <w:t>habeas corpus</w:t>
      </w:r>
      <w:r w:rsidR="001D4CDF" w:rsidRPr="003A411E">
        <w:rPr>
          <w:b/>
          <w:lang w:val="fr-FR"/>
        </w:rPr>
        <w:t>.</w:t>
      </w:r>
    </w:p>
    <w:p w14:paraId="74F76C80" w14:textId="41025575" w:rsidR="008F1465" w:rsidRPr="003A411E" w:rsidRDefault="001D4CDF" w:rsidP="00677254">
      <w:pPr>
        <w:pStyle w:val="H4G"/>
        <w:rPr>
          <w:lang w:val="fr-FR"/>
        </w:rPr>
      </w:pPr>
      <w:r w:rsidRPr="003A411E">
        <w:rPr>
          <w:lang w:val="fr-FR"/>
        </w:rPr>
        <w:tab/>
      </w:r>
      <w:r w:rsidR="009C7184" w:rsidRPr="003A411E">
        <w:rPr>
          <w:lang w:val="fr-FR"/>
        </w:rPr>
        <w:t>viii.</w:t>
      </w:r>
      <w:r w:rsidRPr="003A411E">
        <w:rPr>
          <w:lang w:val="fr-FR"/>
        </w:rPr>
        <w:tab/>
      </w:r>
      <w:r w:rsidR="00114320" w:rsidRPr="003A411E">
        <w:rPr>
          <w:lang w:val="fr-FR"/>
        </w:rPr>
        <w:t>D</w:t>
      </w:r>
      <w:r w:rsidR="008F1465" w:rsidRPr="003A411E">
        <w:rPr>
          <w:lang w:val="fr-FR"/>
        </w:rPr>
        <w:t>roit d’informer les autorités consulaires de sa détention</w:t>
      </w:r>
    </w:p>
    <w:p w14:paraId="530A6FDF" w14:textId="32FE4ECC" w:rsidR="008F1465" w:rsidRPr="003A411E" w:rsidRDefault="001D4CDF">
      <w:pPr>
        <w:pStyle w:val="SingleTxtG"/>
        <w:rPr>
          <w:lang w:val="fr-FR"/>
        </w:rPr>
      </w:pPr>
      <w:r w:rsidRPr="003A411E">
        <w:rPr>
          <w:lang w:val="fr-FR"/>
        </w:rPr>
        <w:t>7</w:t>
      </w:r>
      <w:r w:rsidR="00534B76" w:rsidRPr="003A411E">
        <w:rPr>
          <w:lang w:val="fr-FR"/>
        </w:rPr>
        <w:t>0</w:t>
      </w:r>
      <w:r w:rsidRPr="003A411E">
        <w:rPr>
          <w:lang w:val="fr-FR"/>
        </w:rPr>
        <w:t>.</w:t>
      </w:r>
      <w:r w:rsidRPr="003A411E">
        <w:rPr>
          <w:lang w:val="fr-FR"/>
        </w:rPr>
        <w:tab/>
      </w:r>
      <w:r w:rsidR="008F1465" w:rsidRPr="003A411E">
        <w:rPr>
          <w:lang w:val="fr-FR"/>
        </w:rPr>
        <w:t xml:space="preserve">La délégation a rencontré des détenus ressortissants d’autres États, principalement de pays voisins. Tous affirmaient n’avoir pas été informés de leur droit de contacter les autorités consulaires </w:t>
      </w:r>
      <w:r w:rsidR="00D36218" w:rsidRPr="003A411E">
        <w:rPr>
          <w:lang w:val="fr-FR"/>
        </w:rPr>
        <w:t xml:space="preserve">afin de les informer </w:t>
      </w:r>
      <w:r w:rsidR="008F1465" w:rsidRPr="003A411E">
        <w:rPr>
          <w:lang w:val="fr-FR"/>
        </w:rPr>
        <w:t xml:space="preserve">de leur détention. Le Code de </w:t>
      </w:r>
      <w:r w:rsidR="00114320" w:rsidRPr="003A411E">
        <w:rPr>
          <w:lang w:val="fr-FR"/>
        </w:rPr>
        <w:t>p</w:t>
      </w:r>
      <w:r w:rsidR="008F1465" w:rsidRPr="003A411E">
        <w:rPr>
          <w:lang w:val="fr-FR"/>
        </w:rPr>
        <w:t xml:space="preserve">rocédure </w:t>
      </w:r>
      <w:r w:rsidR="00114320" w:rsidRPr="003A411E">
        <w:rPr>
          <w:lang w:val="fr-FR"/>
        </w:rPr>
        <w:t>p</w:t>
      </w:r>
      <w:r w:rsidR="008F1465" w:rsidRPr="003A411E">
        <w:rPr>
          <w:lang w:val="fr-FR"/>
        </w:rPr>
        <w:t xml:space="preserve">énale ne garantissant pas ce droit, </w:t>
      </w:r>
      <w:r w:rsidR="00520F66" w:rsidRPr="003A411E">
        <w:rPr>
          <w:lang w:val="fr-FR"/>
        </w:rPr>
        <w:t>aucun des</w:t>
      </w:r>
      <w:r w:rsidR="008F1465" w:rsidRPr="003A411E">
        <w:rPr>
          <w:lang w:val="fr-FR"/>
        </w:rPr>
        <w:t xml:space="preserve"> détenus étrangers </w:t>
      </w:r>
      <w:r w:rsidR="00114320" w:rsidRPr="003A411E">
        <w:rPr>
          <w:lang w:val="fr-FR"/>
        </w:rPr>
        <w:t>interrogés</w:t>
      </w:r>
      <w:r w:rsidR="008F1465" w:rsidRPr="003A411E">
        <w:rPr>
          <w:lang w:val="fr-FR"/>
        </w:rPr>
        <w:t xml:space="preserve"> n’avait été autorisé à </w:t>
      </w:r>
      <w:r w:rsidR="00D36218" w:rsidRPr="003A411E">
        <w:rPr>
          <w:lang w:val="fr-FR"/>
        </w:rPr>
        <w:t>prendre contact</w:t>
      </w:r>
      <w:r w:rsidR="008F1465" w:rsidRPr="003A411E">
        <w:rPr>
          <w:lang w:val="fr-FR"/>
        </w:rPr>
        <w:t xml:space="preserve"> </w:t>
      </w:r>
      <w:r w:rsidR="00520F66" w:rsidRPr="003A411E">
        <w:rPr>
          <w:lang w:val="fr-FR"/>
        </w:rPr>
        <w:t>avec son</w:t>
      </w:r>
      <w:r w:rsidR="008F1465" w:rsidRPr="003A411E">
        <w:rPr>
          <w:lang w:val="fr-FR"/>
        </w:rPr>
        <w:t xml:space="preserve"> ambassade, </w:t>
      </w:r>
      <w:r w:rsidR="00520F66" w:rsidRPr="003A411E">
        <w:rPr>
          <w:lang w:val="fr-FR"/>
        </w:rPr>
        <w:t>que ce soit</w:t>
      </w:r>
      <w:r w:rsidR="008F1465" w:rsidRPr="003A411E">
        <w:rPr>
          <w:lang w:val="fr-FR"/>
        </w:rPr>
        <w:t xml:space="preserve"> pendant la garde à vue</w:t>
      </w:r>
      <w:r w:rsidR="00520F66" w:rsidRPr="003A411E">
        <w:rPr>
          <w:lang w:val="fr-FR"/>
        </w:rPr>
        <w:t xml:space="preserve"> ou après celle-ci</w:t>
      </w:r>
      <w:r w:rsidR="008F1465" w:rsidRPr="003A411E">
        <w:rPr>
          <w:lang w:val="fr-FR"/>
        </w:rPr>
        <w:t xml:space="preserve">. </w:t>
      </w:r>
    </w:p>
    <w:p w14:paraId="5272A423" w14:textId="7A5F8F8E" w:rsidR="008F1465" w:rsidRPr="003A411E" w:rsidRDefault="001D4CDF" w:rsidP="00534B76">
      <w:pPr>
        <w:pStyle w:val="SingleTxtG"/>
        <w:rPr>
          <w:b/>
          <w:bCs/>
          <w:lang w:val="fr-FR"/>
        </w:rPr>
      </w:pPr>
      <w:r w:rsidRPr="003A411E">
        <w:rPr>
          <w:bCs/>
          <w:lang w:val="fr-FR"/>
        </w:rPr>
        <w:t>7</w:t>
      </w:r>
      <w:r w:rsidR="00534B76" w:rsidRPr="003A411E">
        <w:rPr>
          <w:bCs/>
          <w:lang w:val="fr-FR"/>
        </w:rPr>
        <w:t>1</w:t>
      </w:r>
      <w:r w:rsidR="008F1465" w:rsidRPr="003A411E">
        <w:rPr>
          <w:bCs/>
          <w:lang w:val="fr-FR"/>
        </w:rPr>
        <w:t>.</w:t>
      </w:r>
      <w:r w:rsidRPr="003A411E">
        <w:rPr>
          <w:bCs/>
          <w:lang w:val="fr-FR"/>
        </w:rPr>
        <w:tab/>
      </w:r>
      <w:r w:rsidR="008F1465" w:rsidRPr="003A411E">
        <w:rPr>
          <w:b/>
          <w:bCs/>
          <w:lang w:val="fr-FR"/>
        </w:rPr>
        <w:t xml:space="preserve">Le </w:t>
      </w:r>
      <w:r w:rsidR="006A2C77" w:rsidRPr="003A411E">
        <w:rPr>
          <w:b/>
          <w:bCs/>
          <w:lang w:val="fr-FR"/>
        </w:rPr>
        <w:t>S</w:t>
      </w:r>
      <w:r w:rsidR="008F1465" w:rsidRPr="003A411E">
        <w:rPr>
          <w:b/>
          <w:bCs/>
          <w:lang w:val="fr-FR"/>
        </w:rPr>
        <w:t>ous-</w:t>
      </w:r>
      <w:r w:rsidR="006A2C77" w:rsidRPr="003A411E">
        <w:rPr>
          <w:b/>
          <w:bCs/>
          <w:lang w:val="fr-FR"/>
        </w:rPr>
        <w:t>C</w:t>
      </w:r>
      <w:r w:rsidR="008F1465" w:rsidRPr="003A411E">
        <w:rPr>
          <w:b/>
          <w:bCs/>
          <w:lang w:val="fr-FR"/>
        </w:rPr>
        <w:t>omité recommande à l’</w:t>
      </w:r>
      <w:r w:rsidR="008F1465" w:rsidRPr="003A411E">
        <w:rPr>
          <w:b/>
          <w:lang w:val="fr-FR"/>
        </w:rPr>
        <w:t>É</w:t>
      </w:r>
      <w:r w:rsidR="008F1465" w:rsidRPr="003A411E">
        <w:rPr>
          <w:b/>
          <w:bCs/>
          <w:lang w:val="fr-FR"/>
        </w:rPr>
        <w:t xml:space="preserve">tat partie de prendre les mesures nécessaires afin que les autorités consulaires </w:t>
      </w:r>
      <w:r w:rsidR="008F1465" w:rsidRPr="003A411E">
        <w:rPr>
          <w:b/>
          <w:lang w:val="fr-FR"/>
        </w:rPr>
        <w:t>soient</w:t>
      </w:r>
      <w:r w:rsidR="008F1465" w:rsidRPr="003A411E">
        <w:rPr>
          <w:b/>
          <w:bCs/>
          <w:lang w:val="fr-FR"/>
        </w:rPr>
        <w:t xml:space="preserve"> systématiquement informées de la mise en détention de leurs ressortissants et que cette information soit inscrite dans le registre de</w:t>
      </w:r>
      <w:r w:rsidR="00982BB5" w:rsidRPr="003A411E">
        <w:rPr>
          <w:b/>
          <w:bCs/>
          <w:lang w:val="fr-FR"/>
        </w:rPr>
        <w:t>s</w:t>
      </w:r>
      <w:r w:rsidR="008F1465" w:rsidRPr="003A411E">
        <w:rPr>
          <w:b/>
          <w:bCs/>
          <w:lang w:val="fr-FR"/>
        </w:rPr>
        <w:t xml:space="preserve"> garde</w:t>
      </w:r>
      <w:r w:rsidR="00982BB5" w:rsidRPr="003A411E">
        <w:rPr>
          <w:b/>
          <w:bCs/>
          <w:lang w:val="fr-FR"/>
        </w:rPr>
        <w:t>s</w:t>
      </w:r>
      <w:r w:rsidR="008F1465" w:rsidRPr="003A411E">
        <w:rPr>
          <w:b/>
          <w:bCs/>
          <w:lang w:val="fr-FR"/>
        </w:rPr>
        <w:t xml:space="preserve"> à vue.</w:t>
      </w:r>
    </w:p>
    <w:p w14:paraId="130FC2A9" w14:textId="3F1335FE" w:rsidR="008F1465" w:rsidRPr="003A411E" w:rsidRDefault="001D4CDF">
      <w:pPr>
        <w:pStyle w:val="H23G"/>
        <w:rPr>
          <w:lang w:val="fr-FR"/>
        </w:rPr>
      </w:pPr>
      <w:r w:rsidRPr="003A411E">
        <w:rPr>
          <w:lang w:val="fr-FR"/>
        </w:rPr>
        <w:tab/>
      </w:r>
      <w:r w:rsidR="008F1465" w:rsidRPr="003A411E">
        <w:rPr>
          <w:lang w:val="fr-FR"/>
        </w:rPr>
        <w:t>3.</w:t>
      </w:r>
      <w:r w:rsidR="008F1465" w:rsidRPr="003A411E">
        <w:rPr>
          <w:lang w:val="fr-FR"/>
        </w:rPr>
        <w:tab/>
      </w:r>
      <w:r w:rsidR="00520F66" w:rsidRPr="003A411E">
        <w:rPr>
          <w:lang w:val="fr-FR"/>
        </w:rPr>
        <w:t>R</w:t>
      </w:r>
      <w:r w:rsidR="008F1465" w:rsidRPr="003A411E">
        <w:rPr>
          <w:lang w:val="fr-FR"/>
        </w:rPr>
        <w:t>egistres</w:t>
      </w:r>
    </w:p>
    <w:p w14:paraId="32D283E9" w14:textId="6BD1DB0D" w:rsidR="00F85058" w:rsidRPr="003A411E" w:rsidRDefault="00F85058">
      <w:pPr>
        <w:pStyle w:val="SingleTxtG"/>
        <w:rPr>
          <w:bCs/>
        </w:rPr>
      </w:pPr>
      <w:r w:rsidRPr="003A411E">
        <w:rPr>
          <w:bCs/>
          <w:lang w:val="fr-FR"/>
        </w:rPr>
        <w:t>7</w:t>
      </w:r>
      <w:r w:rsidR="00534B76" w:rsidRPr="003A411E">
        <w:rPr>
          <w:bCs/>
          <w:lang w:val="fr-FR"/>
        </w:rPr>
        <w:t>2</w:t>
      </w:r>
      <w:r w:rsidRPr="003A411E">
        <w:rPr>
          <w:bCs/>
          <w:lang w:val="fr-FR"/>
        </w:rPr>
        <w:t>.</w:t>
      </w:r>
      <w:r w:rsidRPr="003A411E">
        <w:rPr>
          <w:bCs/>
          <w:lang w:val="fr-FR"/>
        </w:rPr>
        <w:tab/>
      </w:r>
      <w:r w:rsidR="00520F66" w:rsidRPr="003A411E">
        <w:rPr>
          <w:bCs/>
          <w:lang w:val="fr-FR"/>
        </w:rPr>
        <w:t>Le Sous-Comité</w:t>
      </w:r>
      <w:r w:rsidRPr="003A411E">
        <w:rPr>
          <w:bCs/>
          <w:lang w:val="fr-FR"/>
        </w:rPr>
        <w:t xml:space="preserve"> est préoccupé par les décalages existants entre le nombre de </w:t>
      </w:r>
      <w:r w:rsidR="00364920" w:rsidRPr="003A411E">
        <w:rPr>
          <w:bCs/>
          <w:lang w:val="fr-FR"/>
        </w:rPr>
        <w:t xml:space="preserve">personnes </w:t>
      </w:r>
      <w:r w:rsidRPr="003A411E">
        <w:rPr>
          <w:bCs/>
          <w:lang w:val="fr-FR"/>
        </w:rPr>
        <w:t>gardé</w:t>
      </w:r>
      <w:r w:rsidR="00364920" w:rsidRPr="003A411E">
        <w:rPr>
          <w:bCs/>
          <w:lang w:val="fr-FR"/>
        </w:rPr>
        <w:t>e</w:t>
      </w:r>
      <w:r w:rsidRPr="003A411E">
        <w:rPr>
          <w:bCs/>
          <w:lang w:val="fr-FR"/>
        </w:rPr>
        <w:t xml:space="preserve">s à vue et celui </w:t>
      </w:r>
      <w:r w:rsidR="00AE4862" w:rsidRPr="003A411E">
        <w:rPr>
          <w:bCs/>
          <w:lang w:val="fr-FR"/>
        </w:rPr>
        <w:t xml:space="preserve">qui est </w:t>
      </w:r>
      <w:r w:rsidRPr="003A411E">
        <w:rPr>
          <w:bCs/>
          <w:lang w:val="fr-FR"/>
        </w:rPr>
        <w:t>consigné dans le registre de</w:t>
      </w:r>
      <w:r w:rsidR="00982BB5" w:rsidRPr="003A411E">
        <w:rPr>
          <w:bCs/>
          <w:lang w:val="fr-FR"/>
        </w:rPr>
        <w:t>s</w:t>
      </w:r>
      <w:r w:rsidRPr="003A411E">
        <w:rPr>
          <w:bCs/>
          <w:lang w:val="fr-FR"/>
        </w:rPr>
        <w:t xml:space="preserve"> garde</w:t>
      </w:r>
      <w:r w:rsidR="00982BB5" w:rsidRPr="003A411E">
        <w:rPr>
          <w:bCs/>
          <w:lang w:val="fr-FR"/>
        </w:rPr>
        <w:t>s</w:t>
      </w:r>
      <w:r w:rsidRPr="003A411E">
        <w:rPr>
          <w:bCs/>
          <w:lang w:val="fr-FR"/>
        </w:rPr>
        <w:t xml:space="preserve"> à vue.</w:t>
      </w:r>
      <w:r w:rsidRPr="003A411E">
        <w:rPr>
          <w:bCs/>
        </w:rPr>
        <w:t xml:space="preserve"> </w:t>
      </w:r>
      <w:r w:rsidRPr="003A411E">
        <w:rPr>
          <w:bCs/>
          <w:lang w:val="fr-FR"/>
        </w:rPr>
        <w:t xml:space="preserve">En effet, la délégation a constaté que </w:t>
      </w:r>
      <w:r w:rsidRPr="003A411E">
        <w:rPr>
          <w:bCs/>
        </w:rPr>
        <w:t xml:space="preserve">deux personnes étaient gardées à vue dans les locaux de la </w:t>
      </w:r>
      <w:r w:rsidR="00AE4862" w:rsidRPr="003A411E">
        <w:rPr>
          <w:bCs/>
        </w:rPr>
        <w:t>B</w:t>
      </w:r>
      <w:r w:rsidRPr="003A411E">
        <w:rPr>
          <w:bCs/>
        </w:rPr>
        <w:t xml:space="preserve">rigade de recherche sans être </w:t>
      </w:r>
      <w:r w:rsidR="00AE4862" w:rsidRPr="003A411E">
        <w:rPr>
          <w:bCs/>
        </w:rPr>
        <w:t>inscrites</w:t>
      </w:r>
      <w:r w:rsidRPr="003A411E">
        <w:rPr>
          <w:bCs/>
        </w:rPr>
        <w:t xml:space="preserve"> dans le registre</w:t>
      </w:r>
      <w:r w:rsidR="00AE4862" w:rsidRPr="003A411E">
        <w:rPr>
          <w:bCs/>
        </w:rPr>
        <w:t>,</w:t>
      </w:r>
      <w:r w:rsidRPr="003A411E">
        <w:rPr>
          <w:bCs/>
        </w:rPr>
        <w:t xml:space="preserve"> </w:t>
      </w:r>
      <w:r w:rsidR="00AE4862" w:rsidRPr="003A411E">
        <w:rPr>
          <w:bCs/>
          <w:lang w:val="fr-FR"/>
        </w:rPr>
        <w:t>c</w:t>
      </w:r>
      <w:r w:rsidRPr="003A411E">
        <w:rPr>
          <w:bCs/>
          <w:lang w:val="fr-FR"/>
        </w:rPr>
        <w:t>e qui peut laisser supposer que les délais de garde à vue ne sont pas respectés.</w:t>
      </w:r>
    </w:p>
    <w:p w14:paraId="769DE41C" w14:textId="297D7A59" w:rsidR="008F1465" w:rsidRPr="003A411E" w:rsidRDefault="001D4CDF" w:rsidP="00534B76">
      <w:pPr>
        <w:pStyle w:val="SingleTxtG"/>
        <w:rPr>
          <w:lang w:val="fr-FR"/>
        </w:rPr>
      </w:pPr>
      <w:r w:rsidRPr="003A411E">
        <w:rPr>
          <w:lang w:val="fr-FR"/>
        </w:rPr>
        <w:t>7</w:t>
      </w:r>
      <w:r w:rsidR="00534B76" w:rsidRPr="003A411E">
        <w:rPr>
          <w:lang w:val="fr-FR"/>
        </w:rPr>
        <w:t>3</w:t>
      </w:r>
      <w:r w:rsidRPr="003A411E">
        <w:rPr>
          <w:lang w:val="fr-FR"/>
        </w:rPr>
        <w:t>.</w:t>
      </w:r>
      <w:r w:rsidRPr="003A411E">
        <w:rPr>
          <w:lang w:val="fr-FR"/>
        </w:rPr>
        <w:tab/>
      </w:r>
      <w:r w:rsidR="008F1465" w:rsidRPr="003A411E">
        <w:rPr>
          <w:lang w:val="fr-FR"/>
        </w:rPr>
        <w:t xml:space="preserve">La délégation a aussi constaté que les </w:t>
      </w:r>
      <w:r w:rsidR="00364920" w:rsidRPr="003A411E">
        <w:rPr>
          <w:lang w:val="fr-FR"/>
        </w:rPr>
        <w:t xml:space="preserve">personnes </w:t>
      </w:r>
      <w:r w:rsidR="008F1465" w:rsidRPr="003A411E">
        <w:rPr>
          <w:lang w:val="fr-FR"/>
        </w:rPr>
        <w:t>gardé</w:t>
      </w:r>
      <w:r w:rsidR="00364920" w:rsidRPr="003A411E">
        <w:rPr>
          <w:lang w:val="fr-FR"/>
        </w:rPr>
        <w:t>e</w:t>
      </w:r>
      <w:r w:rsidR="008F1465" w:rsidRPr="003A411E">
        <w:rPr>
          <w:lang w:val="fr-FR"/>
        </w:rPr>
        <w:t xml:space="preserve">s à vue ne signaient jamais la colonne du registre </w:t>
      </w:r>
      <w:r w:rsidR="00AE4862" w:rsidRPr="003A411E">
        <w:rPr>
          <w:lang w:val="fr-FR"/>
        </w:rPr>
        <w:t>relative à</w:t>
      </w:r>
      <w:r w:rsidR="008F1465" w:rsidRPr="003A411E">
        <w:rPr>
          <w:lang w:val="fr-FR"/>
        </w:rPr>
        <w:t xml:space="preserve"> la liste des effets personnels saisis par l’autorité ayant procédé à l’arrestation, et qu’il n’existait </w:t>
      </w:r>
      <w:r w:rsidR="00AE4862" w:rsidRPr="003A411E">
        <w:rPr>
          <w:lang w:val="fr-FR"/>
        </w:rPr>
        <w:t>aucun</w:t>
      </w:r>
      <w:r w:rsidR="008F1465" w:rsidRPr="003A411E">
        <w:rPr>
          <w:lang w:val="fr-FR"/>
        </w:rPr>
        <w:t xml:space="preserve"> registre </w:t>
      </w:r>
      <w:r w:rsidR="00AE4862" w:rsidRPr="003A411E">
        <w:rPr>
          <w:lang w:val="fr-FR"/>
        </w:rPr>
        <w:t>concernant l</w:t>
      </w:r>
      <w:r w:rsidR="008F1465" w:rsidRPr="003A411E">
        <w:rPr>
          <w:lang w:val="fr-FR"/>
        </w:rPr>
        <w:t xml:space="preserve">es plaintes, </w:t>
      </w:r>
      <w:r w:rsidR="00AE4862" w:rsidRPr="003A411E">
        <w:rPr>
          <w:lang w:val="fr-FR"/>
        </w:rPr>
        <w:t>l</w:t>
      </w:r>
      <w:r w:rsidR="008F1465" w:rsidRPr="003A411E">
        <w:rPr>
          <w:lang w:val="fr-FR"/>
        </w:rPr>
        <w:t xml:space="preserve">’utilisation de moyens de contrainte, </w:t>
      </w:r>
      <w:r w:rsidR="00AE4862" w:rsidRPr="003A411E">
        <w:rPr>
          <w:lang w:val="fr-FR"/>
        </w:rPr>
        <w:t>les</w:t>
      </w:r>
      <w:r w:rsidR="008F1465" w:rsidRPr="003A411E">
        <w:rPr>
          <w:lang w:val="fr-FR"/>
        </w:rPr>
        <w:t xml:space="preserve"> mesures disciplinaires, </w:t>
      </w:r>
      <w:r w:rsidR="00AE4862" w:rsidRPr="003A411E">
        <w:rPr>
          <w:lang w:val="fr-FR"/>
        </w:rPr>
        <w:t>les</w:t>
      </w:r>
      <w:r w:rsidR="008F1465" w:rsidRPr="003A411E">
        <w:rPr>
          <w:lang w:val="fr-FR"/>
        </w:rPr>
        <w:t xml:space="preserve"> visites de proches ou d’avocats, </w:t>
      </w:r>
      <w:r w:rsidR="00AE4862" w:rsidRPr="003A411E">
        <w:rPr>
          <w:lang w:val="fr-FR"/>
        </w:rPr>
        <w:t>les</w:t>
      </w:r>
      <w:r w:rsidR="008F1465" w:rsidRPr="003A411E">
        <w:rPr>
          <w:lang w:val="fr-FR"/>
        </w:rPr>
        <w:t xml:space="preserve"> décès et </w:t>
      </w:r>
      <w:r w:rsidR="00AE4862" w:rsidRPr="003A411E">
        <w:rPr>
          <w:lang w:val="fr-FR"/>
        </w:rPr>
        <w:t>les</w:t>
      </w:r>
      <w:r w:rsidR="008F1465" w:rsidRPr="003A411E">
        <w:rPr>
          <w:lang w:val="fr-FR"/>
        </w:rPr>
        <w:t xml:space="preserve"> transfert</w:t>
      </w:r>
      <w:r w:rsidR="00AE4862" w:rsidRPr="003A411E">
        <w:rPr>
          <w:lang w:val="fr-FR"/>
        </w:rPr>
        <w:t>s</w:t>
      </w:r>
      <w:r w:rsidR="008F1465" w:rsidRPr="003A411E">
        <w:rPr>
          <w:lang w:val="fr-FR"/>
        </w:rPr>
        <w:t xml:space="preserve"> </w:t>
      </w:r>
      <w:r w:rsidR="00AE4862" w:rsidRPr="003A411E">
        <w:rPr>
          <w:lang w:val="fr-FR"/>
        </w:rPr>
        <w:t>vers un hôpital ou un lieu de détention</w:t>
      </w:r>
      <w:r w:rsidR="008F1465" w:rsidRPr="003A411E">
        <w:rPr>
          <w:lang w:val="fr-FR"/>
        </w:rPr>
        <w:t>.</w:t>
      </w:r>
    </w:p>
    <w:p w14:paraId="2244F631" w14:textId="3D7F95AD" w:rsidR="008F1465" w:rsidRPr="003A411E" w:rsidRDefault="001D4CDF" w:rsidP="009D3F30">
      <w:pPr>
        <w:pStyle w:val="SingleTxtG"/>
        <w:rPr>
          <w:lang w:val="fr-FR"/>
        </w:rPr>
      </w:pPr>
      <w:r w:rsidRPr="003A411E">
        <w:rPr>
          <w:bCs/>
          <w:lang w:val="fr-FR"/>
        </w:rPr>
        <w:t>7</w:t>
      </w:r>
      <w:r w:rsidR="00534B76" w:rsidRPr="003A411E">
        <w:rPr>
          <w:bCs/>
          <w:lang w:val="fr-FR"/>
        </w:rPr>
        <w:t>4</w:t>
      </w:r>
      <w:r w:rsidR="008F1465" w:rsidRPr="003A411E">
        <w:rPr>
          <w:bCs/>
          <w:lang w:val="fr-FR"/>
        </w:rPr>
        <w:t>.</w:t>
      </w:r>
      <w:r w:rsidRPr="003A411E">
        <w:rPr>
          <w:bCs/>
          <w:lang w:val="fr-FR"/>
        </w:rPr>
        <w:tab/>
      </w:r>
      <w:r w:rsidR="00AE4862" w:rsidRPr="003A411E">
        <w:rPr>
          <w:bCs/>
          <w:lang w:val="fr-FR"/>
        </w:rPr>
        <w:t>Dans les locaux de</w:t>
      </w:r>
      <w:r w:rsidR="008F1465" w:rsidRPr="003A411E">
        <w:rPr>
          <w:bCs/>
          <w:lang w:val="fr-FR"/>
        </w:rPr>
        <w:t xml:space="preserve"> la Brigade de </w:t>
      </w:r>
      <w:r w:rsidR="00AE4862" w:rsidRPr="003A411E">
        <w:rPr>
          <w:bCs/>
          <w:lang w:val="fr-FR"/>
        </w:rPr>
        <w:t>r</w:t>
      </w:r>
      <w:r w:rsidR="008F1465" w:rsidRPr="003A411E">
        <w:rPr>
          <w:bCs/>
          <w:lang w:val="fr-FR"/>
        </w:rPr>
        <w:t xml:space="preserve">echerche et </w:t>
      </w:r>
      <w:r w:rsidR="00AE4862" w:rsidRPr="003A411E">
        <w:rPr>
          <w:bCs/>
          <w:lang w:val="fr-FR"/>
        </w:rPr>
        <w:t>d’i</w:t>
      </w:r>
      <w:r w:rsidR="008F1465" w:rsidRPr="003A411E">
        <w:rPr>
          <w:bCs/>
          <w:lang w:val="fr-FR"/>
        </w:rPr>
        <w:t xml:space="preserve">ntervention de la Gendarmerie </w:t>
      </w:r>
      <w:r w:rsidR="00AE4862" w:rsidRPr="003A411E">
        <w:rPr>
          <w:bCs/>
          <w:lang w:val="fr-FR"/>
        </w:rPr>
        <w:t>n</w:t>
      </w:r>
      <w:r w:rsidR="008F1465" w:rsidRPr="003A411E">
        <w:rPr>
          <w:bCs/>
          <w:lang w:val="fr-FR"/>
        </w:rPr>
        <w:t xml:space="preserve">ationale de Paspanga, </w:t>
      </w:r>
      <w:r w:rsidR="00AE4862" w:rsidRPr="003A411E">
        <w:rPr>
          <w:bCs/>
          <w:lang w:val="fr-FR"/>
        </w:rPr>
        <w:t xml:space="preserve">la délégation a constaté que </w:t>
      </w:r>
      <w:r w:rsidR="008F1465" w:rsidRPr="003A411E">
        <w:rPr>
          <w:bCs/>
          <w:lang w:val="fr-FR"/>
        </w:rPr>
        <w:t>le registre des gard</w:t>
      </w:r>
      <w:r w:rsidR="00364920" w:rsidRPr="003A411E">
        <w:rPr>
          <w:bCs/>
          <w:lang w:val="fr-FR"/>
        </w:rPr>
        <w:t>e</w:t>
      </w:r>
      <w:r w:rsidR="008F1465" w:rsidRPr="003A411E">
        <w:rPr>
          <w:bCs/>
          <w:lang w:val="fr-FR"/>
        </w:rPr>
        <w:t xml:space="preserve">s à vue </w:t>
      </w:r>
      <w:r w:rsidR="00F85058" w:rsidRPr="003A411E">
        <w:rPr>
          <w:bCs/>
          <w:lang w:val="fr-FR"/>
        </w:rPr>
        <w:t xml:space="preserve">et le </w:t>
      </w:r>
      <w:r w:rsidR="008F1465" w:rsidRPr="003A411E">
        <w:rPr>
          <w:bCs/>
          <w:lang w:val="fr-FR"/>
        </w:rPr>
        <w:t>registre des év</w:t>
      </w:r>
      <w:r w:rsidR="009D3F30" w:rsidRPr="003A411E">
        <w:rPr>
          <w:bCs/>
          <w:lang w:val="fr-FR"/>
        </w:rPr>
        <w:t>é</w:t>
      </w:r>
      <w:r w:rsidR="008F1465" w:rsidRPr="003A411E">
        <w:rPr>
          <w:bCs/>
          <w:lang w:val="fr-FR"/>
        </w:rPr>
        <w:t>nements</w:t>
      </w:r>
      <w:r w:rsidR="00F85058" w:rsidRPr="003A411E">
        <w:rPr>
          <w:bCs/>
          <w:lang w:val="fr-FR"/>
        </w:rPr>
        <w:t xml:space="preserve"> présent</w:t>
      </w:r>
      <w:r w:rsidR="00AE4862" w:rsidRPr="003A411E">
        <w:rPr>
          <w:bCs/>
          <w:lang w:val="fr-FR"/>
        </w:rPr>
        <w:t>ai</w:t>
      </w:r>
      <w:r w:rsidR="00F85058" w:rsidRPr="003A411E">
        <w:rPr>
          <w:bCs/>
          <w:lang w:val="fr-FR"/>
        </w:rPr>
        <w:t>ent des incohérences</w:t>
      </w:r>
      <w:r w:rsidR="008F1465" w:rsidRPr="003A411E">
        <w:rPr>
          <w:bCs/>
          <w:lang w:val="fr-FR"/>
        </w:rPr>
        <w:t>. L</w:t>
      </w:r>
      <w:r w:rsidR="008F1465" w:rsidRPr="003A411E">
        <w:rPr>
          <w:lang w:val="fr-FR"/>
        </w:rPr>
        <w:t>e registre des gard</w:t>
      </w:r>
      <w:r w:rsidR="00364920" w:rsidRPr="003A411E">
        <w:rPr>
          <w:lang w:val="fr-FR"/>
        </w:rPr>
        <w:t>e</w:t>
      </w:r>
      <w:r w:rsidR="008F1465" w:rsidRPr="003A411E">
        <w:rPr>
          <w:lang w:val="fr-FR"/>
        </w:rPr>
        <w:t xml:space="preserve">s à vue </w:t>
      </w:r>
      <w:r w:rsidR="00982BB5" w:rsidRPr="003A411E">
        <w:rPr>
          <w:lang w:val="fr-FR"/>
        </w:rPr>
        <w:t>–</w:t>
      </w:r>
      <w:r w:rsidR="008F1465" w:rsidRPr="003A411E">
        <w:rPr>
          <w:lang w:val="fr-FR"/>
        </w:rPr>
        <w:t xml:space="preserve"> consulté par le </w:t>
      </w:r>
      <w:r w:rsidR="00982BB5" w:rsidRPr="003A411E">
        <w:rPr>
          <w:lang w:val="fr-FR"/>
        </w:rPr>
        <w:t>P</w:t>
      </w:r>
      <w:r w:rsidR="008F1465" w:rsidRPr="003A411E">
        <w:rPr>
          <w:lang w:val="fr-FR"/>
        </w:rPr>
        <w:t xml:space="preserve">rocureur lorsqu’il visite l’établissement deux </w:t>
      </w:r>
      <w:r w:rsidR="00982BB5" w:rsidRPr="003A411E">
        <w:rPr>
          <w:lang w:val="fr-FR"/>
        </w:rPr>
        <w:t>ou</w:t>
      </w:r>
      <w:r w:rsidR="008F1465" w:rsidRPr="003A411E">
        <w:rPr>
          <w:lang w:val="fr-FR"/>
        </w:rPr>
        <w:t xml:space="preserve"> trois fois par an </w:t>
      </w:r>
      <w:r w:rsidR="00982BB5" w:rsidRPr="003A411E">
        <w:rPr>
          <w:lang w:val="fr-FR"/>
        </w:rPr>
        <w:t>–</w:t>
      </w:r>
      <w:r w:rsidR="008F1465" w:rsidRPr="003A411E">
        <w:rPr>
          <w:lang w:val="fr-FR"/>
        </w:rPr>
        <w:t xml:space="preserve"> comportait moins de </w:t>
      </w:r>
      <w:r w:rsidR="00364920" w:rsidRPr="003A411E">
        <w:rPr>
          <w:lang w:val="fr-FR"/>
        </w:rPr>
        <w:lastRenderedPageBreak/>
        <w:t xml:space="preserve">personnes </w:t>
      </w:r>
      <w:r w:rsidR="008F1465" w:rsidRPr="003A411E">
        <w:rPr>
          <w:lang w:val="fr-FR"/>
        </w:rPr>
        <w:t>gardé</w:t>
      </w:r>
      <w:r w:rsidR="00364920" w:rsidRPr="003A411E">
        <w:rPr>
          <w:lang w:val="fr-FR"/>
        </w:rPr>
        <w:t>e</w:t>
      </w:r>
      <w:r w:rsidR="008F1465" w:rsidRPr="003A411E">
        <w:rPr>
          <w:lang w:val="fr-FR"/>
        </w:rPr>
        <w:t>s à vue que le registre des év</w:t>
      </w:r>
      <w:r w:rsidR="009D3F30" w:rsidRPr="003A411E">
        <w:rPr>
          <w:lang w:val="fr-FR"/>
        </w:rPr>
        <w:t>é</w:t>
      </w:r>
      <w:r w:rsidR="008F1465" w:rsidRPr="003A411E">
        <w:rPr>
          <w:lang w:val="fr-FR"/>
        </w:rPr>
        <w:t xml:space="preserve">nements (visé par le commandant de brigade, mais jamais par le </w:t>
      </w:r>
      <w:r w:rsidR="00982BB5" w:rsidRPr="003A411E">
        <w:rPr>
          <w:lang w:val="fr-FR"/>
        </w:rPr>
        <w:t>P</w:t>
      </w:r>
      <w:r w:rsidR="008F1465" w:rsidRPr="003A411E">
        <w:rPr>
          <w:lang w:val="fr-FR"/>
        </w:rPr>
        <w:t>rocureur)</w:t>
      </w:r>
      <w:r w:rsidR="00982BB5" w:rsidRPr="003A411E">
        <w:rPr>
          <w:lang w:val="fr-FR"/>
        </w:rPr>
        <w:t>, dans lequel elles étaient scrupuleusement inscrites</w:t>
      </w:r>
      <w:r w:rsidR="008F1465" w:rsidRPr="003A411E">
        <w:rPr>
          <w:lang w:val="fr-FR"/>
        </w:rPr>
        <w:t xml:space="preserve">. Au </w:t>
      </w:r>
      <w:r w:rsidR="00982BB5" w:rsidRPr="003A411E">
        <w:rPr>
          <w:lang w:val="fr-FR"/>
        </w:rPr>
        <w:t>c</w:t>
      </w:r>
      <w:r w:rsidR="008F1465" w:rsidRPr="003A411E">
        <w:rPr>
          <w:lang w:val="fr-FR"/>
        </w:rPr>
        <w:t xml:space="preserve">ommissariat </w:t>
      </w:r>
      <w:r w:rsidR="00982BB5" w:rsidRPr="003A411E">
        <w:rPr>
          <w:lang w:val="fr-FR"/>
        </w:rPr>
        <w:t>c</w:t>
      </w:r>
      <w:r w:rsidR="008F1465" w:rsidRPr="003A411E">
        <w:rPr>
          <w:lang w:val="fr-FR"/>
        </w:rPr>
        <w:t xml:space="preserve">entral, un système de garde et de contrôle visuel des personnes gardées à vue </w:t>
      </w:r>
      <w:r w:rsidR="00982BB5" w:rsidRPr="003A411E">
        <w:rPr>
          <w:lang w:val="fr-FR"/>
        </w:rPr>
        <w:t xml:space="preserve">était </w:t>
      </w:r>
      <w:r w:rsidR="008F1465" w:rsidRPr="003A411E">
        <w:rPr>
          <w:lang w:val="fr-FR"/>
        </w:rPr>
        <w:t>assuré par deux policiers armés installés dans la cour</w:t>
      </w:r>
      <w:r w:rsidR="00982BB5" w:rsidRPr="003A411E">
        <w:rPr>
          <w:lang w:val="fr-FR"/>
        </w:rPr>
        <w:t>,</w:t>
      </w:r>
      <w:r w:rsidR="008F1465" w:rsidRPr="003A411E">
        <w:rPr>
          <w:lang w:val="fr-FR"/>
        </w:rPr>
        <w:t xml:space="preserve"> face aux cellules. Les policiers </w:t>
      </w:r>
      <w:r w:rsidR="00982BB5" w:rsidRPr="003A411E">
        <w:rPr>
          <w:lang w:val="fr-FR"/>
        </w:rPr>
        <w:t>géraient</w:t>
      </w:r>
      <w:r w:rsidR="008F1465" w:rsidRPr="003A411E">
        <w:rPr>
          <w:lang w:val="fr-FR"/>
        </w:rPr>
        <w:t xml:space="preserve"> le déplacement des personnes arrêtées des cellules vers le lieu de l’interrogatoire. Les registres tenus par le</w:t>
      </w:r>
      <w:r w:rsidR="000010F2" w:rsidRPr="003A411E">
        <w:rPr>
          <w:lang w:val="fr-FR"/>
        </w:rPr>
        <w:t xml:space="preserve"> « violon</w:t>
      </w:r>
      <w:r w:rsidR="00982BB5" w:rsidRPr="003A411E">
        <w:rPr>
          <w:lang w:val="fr-FR"/>
        </w:rPr>
        <w:t> </w:t>
      </w:r>
      <w:r w:rsidR="008F1465" w:rsidRPr="003A411E">
        <w:rPr>
          <w:lang w:val="fr-FR"/>
        </w:rPr>
        <w:t xml:space="preserve">» ne </w:t>
      </w:r>
      <w:r w:rsidR="009C2C36" w:rsidRPr="003A411E">
        <w:rPr>
          <w:lang w:val="fr-FR"/>
        </w:rPr>
        <w:t>com</w:t>
      </w:r>
      <w:r w:rsidR="008F1465" w:rsidRPr="003A411E">
        <w:rPr>
          <w:lang w:val="fr-FR"/>
        </w:rPr>
        <w:t>portaient que le nom des personnes gardées</w:t>
      </w:r>
      <w:r w:rsidR="00982BB5" w:rsidRPr="003A411E">
        <w:rPr>
          <w:lang w:val="fr-FR"/>
        </w:rPr>
        <w:t xml:space="preserve"> à vue,</w:t>
      </w:r>
      <w:r w:rsidR="008F1465" w:rsidRPr="003A411E">
        <w:rPr>
          <w:lang w:val="fr-FR"/>
        </w:rPr>
        <w:t xml:space="preserve"> aucune mention </w:t>
      </w:r>
      <w:r w:rsidR="00982BB5" w:rsidRPr="003A411E">
        <w:rPr>
          <w:lang w:val="fr-FR"/>
        </w:rPr>
        <w:t xml:space="preserve">n’apparaissait </w:t>
      </w:r>
      <w:r w:rsidR="008F1465" w:rsidRPr="003A411E">
        <w:rPr>
          <w:lang w:val="fr-FR"/>
        </w:rPr>
        <w:t xml:space="preserve">quant à </w:t>
      </w:r>
      <w:r w:rsidR="009C2C36" w:rsidRPr="003A411E">
        <w:rPr>
          <w:lang w:val="fr-FR"/>
        </w:rPr>
        <w:t>la</w:t>
      </w:r>
      <w:r w:rsidR="008F1465" w:rsidRPr="003A411E">
        <w:rPr>
          <w:lang w:val="fr-FR"/>
        </w:rPr>
        <w:t xml:space="preserve"> finalité</w:t>
      </w:r>
      <w:r w:rsidR="009C2C36" w:rsidRPr="003A411E">
        <w:rPr>
          <w:lang w:val="fr-FR"/>
        </w:rPr>
        <w:t xml:space="preserve"> ou</w:t>
      </w:r>
      <w:r w:rsidR="008F1465" w:rsidRPr="003A411E">
        <w:rPr>
          <w:lang w:val="fr-FR"/>
        </w:rPr>
        <w:t xml:space="preserve"> </w:t>
      </w:r>
      <w:r w:rsidR="009C2C36" w:rsidRPr="003A411E">
        <w:rPr>
          <w:lang w:val="fr-FR"/>
        </w:rPr>
        <w:t>aux</w:t>
      </w:r>
      <w:r w:rsidR="008F1465" w:rsidRPr="003A411E">
        <w:rPr>
          <w:lang w:val="fr-FR"/>
        </w:rPr>
        <w:t xml:space="preserve"> date</w:t>
      </w:r>
      <w:r w:rsidR="009C2C36" w:rsidRPr="003A411E">
        <w:rPr>
          <w:lang w:val="fr-FR"/>
        </w:rPr>
        <w:t>s et</w:t>
      </w:r>
      <w:r w:rsidR="008F1465" w:rsidRPr="003A411E">
        <w:rPr>
          <w:lang w:val="fr-FR"/>
        </w:rPr>
        <w:t xml:space="preserve"> heure</w:t>
      </w:r>
      <w:r w:rsidR="009C2C36" w:rsidRPr="003A411E">
        <w:rPr>
          <w:lang w:val="fr-FR"/>
        </w:rPr>
        <w:t>s</w:t>
      </w:r>
      <w:r w:rsidR="008F1465" w:rsidRPr="003A411E">
        <w:rPr>
          <w:lang w:val="fr-FR"/>
        </w:rPr>
        <w:t xml:space="preserve"> d</w:t>
      </w:r>
      <w:r w:rsidR="009C2C36" w:rsidRPr="003A411E">
        <w:rPr>
          <w:lang w:val="fr-FR"/>
        </w:rPr>
        <w:t>e</w:t>
      </w:r>
      <w:r w:rsidR="008F1465" w:rsidRPr="003A411E">
        <w:rPr>
          <w:lang w:val="fr-FR"/>
        </w:rPr>
        <w:t xml:space="preserve"> début </w:t>
      </w:r>
      <w:r w:rsidR="009C2C36" w:rsidRPr="003A411E">
        <w:rPr>
          <w:lang w:val="fr-FR"/>
        </w:rPr>
        <w:t>et</w:t>
      </w:r>
      <w:r w:rsidR="008F1465" w:rsidRPr="003A411E">
        <w:rPr>
          <w:lang w:val="fr-FR"/>
        </w:rPr>
        <w:t xml:space="preserve"> de fin de la garde à vue. </w:t>
      </w:r>
    </w:p>
    <w:p w14:paraId="4AA57E8E" w14:textId="2E81541D" w:rsidR="008F1465" w:rsidRPr="003A411E" w:rsidRDefault="00242A26" w:rsidP="00534B76">
      <w:pPr>
        <w:pStyle w:val="SingleTxtG"/>
        <w:rPr>
          <w:bCs/>
          <w:lang w:val="fr-FR"/>
        </w:rPr>
      </w:pPr>
      <w:r w:rsidRPr="003A411E">
        <w:rPr>
          <w:lang w:val="fr-FR"/>
        </w:rPr>
        <w:t>7</w:t>
      </w:r>
      <w:r w:rsidR="00534B76" w:rsidRPr="003A411E">
        <w:rPr>
          <w:lang w:val="fr-FR"/>
        </w:rPr>
        <w:t>5</w:t>
      </w:r>
      <w:r w:rsidRPr="003A411E">
        <w:rPr>
          <w:lang w:val="fr-FR"/>
        </w:rPr>
        <w:t>.</w:t>
      </w:r>
      <w:r w:rsidRPr="003A411E">
        <w:rPr>
          <w:b/>
          <w:lang w:val="fr-FR"/>
        </w:rPr>
        <w:tab/>
      </w:r>
      <w:r w:rsidR="008F1465" w:rsidRPr="003A411E">
        <w:rPr>
          <w:b/>
          <w:lang w:val="fr-FR"/>
        </w:rPr>
        <w:t>Le Sous-</w:t>
      </w:r>
      <w:r w:rsidR="006A2C77" w:rsidRPr="003A411E">
        <w:rPr>
          <w:b/>
          <w:lang w:val="fr-FR"/>
        </w:rPr>
        <w:t>C</w:t>
      </w:r>
      <w:r w:rsidR="008F1465" w:rsidRPr="003A411E">
        <w:rPr>
          <w:b/>
          <w:lang w:val="fr-FR"/>
        </w:rPr>
        <w:t>omité recommande à l’</w:t>
      </w:r>
      <w:r w:rsidR="006A2C77" w:rsidRPr="003A411E">
        <w:rPr>
          <w:b/>
          <w:lang w:val="fr-FR"/>
        </w:rPr>
        <w:t>État</w:t>
      </w:r>
      <w:r w:rsidR="008F1465" w:rsidRPr="003A411E">
        <w:rPr>
          <w:b/>
          <w:lang w:val="fr-FR"/>
        </w:rPr>
        <w:t xml:space="preserve"> partie </w:t>
      </w:r>
      <w:r w:rsidR="009C2C36" w:rsidRPr="003A411E">
        <w:rPr>
          <w:b/>
          <w:lang w:val="fr-FR"/>
        </w:rPr>
        <w:t>de faire en sorte</w:t>
      </w:r>
      <w:r w:rsidR="008F1465" w:rsidRPr="003A411E">
        <w:rPr>
          <w:b/>
          <w:lang w:val="fr-FR"/>
        </w:rPr>
        <w:t xml:space="preserve"> que les postes de police et gendarmeries soient dotés de registres plus détaillés </w:t>
      </w:r>
      <w:r w:rsidR="009C2C36" w:rsidRPr="003A411E">
        <w:rPr>
          <w:b/>
          <w:lang w:val="fr-FR"/>
        </w:rPr>
        <w:t>sur les</w:t>
      </w:r>
      <w:r w:rsidR="008F1465" w:rsidRPr="003A411E">
        <w:rPr>
          <w:b/>
          <w:lang w:val="fr-FR"/>
        </w:rPr>
        <w:t xml:space="preserve"> visites médicales des arrivants, </w:t>
      </w:r>
      <w:r w:rsidR="009C2C36" w:rsidRPr="003A411E">
        <w:rPr>
          <w:b/>
          <w:lang w:val="fr-FR"/>
        </w:rPr>
        <w:t xml:space="preserve">les </w:t>
      </w:r>
      <w:r w:rsidR="008F1465" w:rsidRPr="003A411E">
        <w:rPr>
          <w:b/>
          <w:lang w:val="fr-FR"/>
        </w:rPr>
        <w:t xml:space="preserve">consultations, </w:t>
      </w:r>
      <w:r w:rsidR="009C2C36" w:rsidRPr="003A411E">
        <w:rPr>
          <w:b/>
          <w:lang w:val="fr-FR"/>
        </w:rPr>
        <w:t xml:space="preserve">les </w:t>
      </w:r>
      <w:r w:rsidR="008F1465" w:rsidRPr="003A411E">
        <w:rPr>
          <w:b/>
          <w:lang w:val="fr-FR"/>
        </w:rPr>
        <w:t xml:space="preserve">extractions médicales et </w:t>
      </w:r>
      <w:r w:rsidR="009C2C36" w:rsidRPr="003A411E">
        <w:rPr>
          <w:b/>
          <w:lang w:val="fr-FR"/>
        </w:rPr>
        <w:t xml:space="preserve">les </w:t>
      </w:r>
      <w:r w:rsidR="008F1465" w:rsidRPr="003A411E">
        <w:rPr>
          <w:b/>
          <w:lang w:val="fr-FR"/>
        </w:rPr>
        <w:t>décès</w:t>
      </w:r>
      <w:r w:rsidR="009C2C36" w:rsidRPr="003A411E">
        <w:rPr>
          <w:b/>
          <w:lang w:val="fr-FR"/>
        </w:rPr>
        <w:t>,</w:t>
      </w:r>
      <w:r w:rsidR="008F1465" w:rsidRPr="003A411E">
        <w:rPr>
          <w:b/>
          <w:lang w:val="fr-FR"/>
        </w:rPr>
        <w:t xml:space="preserve"> et </w:t>
      </w:r>
      <w:r w:rsidR="009C2C36" w:rsidRPr="003A411E">
        <w:rPr>
          <w:b/>
          <w:lang w:val="fr-FR"/>
        </w:rPr>
        <w:t xml:space="preserve">que ces registres </w:t>
      </w:r>
      <w:r w:rsidR="008F1465" w:rsidRPr="003A411E">
        <w:rPr>
          <w:b/>
          <w:lang w:val="fr-FR"/>
        </w:rPr>
        <w:t>soient scrupuleusement</w:t>
      </w:r>
      <w:r w:rsidR="009C2C36" w:rsidRPr="003A411E">
        <w:rPr>
          <w:b/>
          <w:lang w:val="fr-FR"/>
        </w:rPr>
        <w:t xml:space="preserve"> tenus</w:t>
      </w:r>
      <w:r w:rsidR="008F1465" w:rsidRPr="003A411E">
        <w:rPr>
          <w:b/>
          <w:lang w:val="fr-FR"/>
        </w:rPr>
        <w:t xml:space="preserve"> et harmonisés afin d’être conformes aux norme</w:t>
      </w:r>
      <w:r w:rsidR="0061231B" w:rsidRPr="003A411E">
        <w:rPr>
          <w:b/>
          <w:lang w:val="fr-FR"/>
        </w:rPr>
        <w:t>s nationales et internationales</w:t>
      </w:r>
      <w:r w:rsidR="008F1465" w:rsidRPr="00E375EF">
        <w:rPr>
          <w:rStyle w:val="Appelnotedebasdep"/>
        </w:rPr>
        <w:footnoteReference w:id="13"/>
      </w:r>
      <w:r w:rsidR="0061231B" w:rsidRPr="003A411E">
        <w:rPr>
          <w:b/>
          <w:lang w:val="fr-FR"/>
        </w:rPr>
        <w:t>.</w:t>
      </w:r>
    </w:p>
    <w:p w14:paraId="49F4F5BC" w14:textId="77777777" w:rsidR="008F1465" w:rsidRPr="003A411E" w:rsidRDefault="008F1465" w:rsidP="00242A26">
      <w:pPr>
        <w:pStyle w:val="H23G"/>
        <w:rPr>
          <w:lang w:val="fr-FR"/>
        </w:rPr>
      </w:pPr>
      <w:r w:rsidRPr="003A411E">
        <w:rPr>
          <w:lang w:val="fr-FR"/>
        </w:rPr>
        <w:tab/>
        <w:t xml:space="preserve">4. </w:t>
      </w:r>
      <w:r w:rsidR="00242A26" w:rsidRPr="003A411E">
        <w:rPr>
          <w:lang w:val="fr-FR"/>
        </w:rPr>
        <w:tab/>
      </w:r>
      <w:r w:rsidRPr="003A411E">
        <w:rPr>
          <w:lang w:val="fr-FR"/>
        </w:rPr>
        <w:t>Allégations de torture et de mauvais traitements</w:t>
      </w:r>
    </w:p>
    <w:p w14:paraId="55841991" w14:textId="13E52FA7" w:rsidR="008F1465" w:rsidRPr="003A411E" w:rsidRDefault="00242A26" w:rsidP="003932A4">
      <w:pPr>
        <w:pStyle w:val="SingleTxtG"/>
        <w:rPr>
          <w:lang w:val="fr-FR"/>
        </w:rPr>
      </w:pPr>
      <w:r w:rsidRPr="003A411E">
        <w:rPr>
          <w:lang w:val="fr-FR"/>
        </w:rPr>
        <w:t>7</w:t>
      </w:r>
      <w:r w:rsidR="00534B76" w:rsidRPr="003A411E">
        <w:rPr>
          <w:lang w:val="fr-FR"/>
        </w:rPr>
        <w:t>6</w:t>
      </w:r>
      <w:r w:rsidR="008F1465" w:rsidRPr="003A411E">
        <w:rPr>
          <w:lang w:val="fr-FR"/>
        </w:rPr>
        <w:t>.</w:t>
      </w:r>
      <w:r w:rsidRPr="003A411E">
        <w:rPr>
          <w:lang w:val="fr-FR"/>
        </w:rPr>
        <w:tab/>
      </w:r>
      <w:r w:rsidR="00520F66" w:rsidRPr="003A411E">
        <w:rPr>
          <w:lang w:val="fr-FR"/>
        </w:rPr>
        <w:t>Le</w:t>
      </w:r>
      <w:r w:rsidR="008F1465" w:rsidRPr="003A411E">
        <w:rPr>
          <w:lang w:val="fr-FR"/>
        </w:rPr>
        <w:t xml:space="preserve"> Sous-</w:t>
      </w:r>
      <w:r w:rsidR="006A2C77" w:rsidRPr="003A411E">
        <w:rPr>
          <w:lang w:val="fr-FR"/>
        </w:rPr>
        <w:t>C</w:t>
      </w:r>
      <w:r w:rsidR="008F1465" w:rsidRPr="003A411E">
        <w:rPr>
          <w:lang w:val="fr-FR"/>
        </w:rPr>
        <w:t xml:space="preserve">omité est préoccupé par les allégations de détenus qui auraient subi des actes de torture et de mauvais traitements commis surtout par </w:t>
      </w:r>
      <w:r w:rsidR="00DE1D41" w:rsidRPr="003A411E">
        <w:rPr>
          <w:lang w:val="fr-FR"/>
        </w:rPr>
        <w:t>des</w:t>
      </w:r>
      <w:r w:rsidR="008F1465" w:rsidRPr="003A411E">
        <w:rPr>
          <w:lang w:val="fr-FR"/>
        </w:rPr>
        <w:t xml:space="preserve"> agents de la police au moment de </w:t>
      </w:r>
      <w:r w:rsidR="00DE1D41" w:rsidRPr="003A411E">
        <w:rPr>
          <w:lang w:val="fr-FR"/>
        </w:rPr>
        <w:t xml:space="preserve">leur </w:t>
      </w:r>
      <w:r w:rsidR="008F1465" w:rsidRPr="003A411E">
        <w:rPr>
          <w:lang w:val="fr-FR"/>
        </w:rPr>
        <w:t>arrestation, pendant le</w:t>
      </w:r>
      <w:r w:rsidR="00DE1D41" w:rsidRPr="003A411E">
        <w:rPr>
          <w:lang w:val="fr-FR"/>
        </w:rPr>
        <w:t>ur</w:t>
      </w:r>
      <w:r w:rsidR="008F1465" w:rsidRPr="003A411E">
        <w:rPr>
          <w:lang w:val="fr-FR"/>
        </w:rPr>
        <w:t xml:space="preserve"> transport vers le poste pour la garde à vue, et pendant </w:t>
      </w:r>
      <w:r w:rsidR="00DE1D41" w:rsidRPr="003A411E">
        <w:rPr>
          <w:lang w:val="fr-FR"/>
        </w:rPr>
        <w:t>leur</w:t>
      </w:r>
      <w:r w:rsidR="008F1465" w:rsidRPr="003A411E">
        <w:rPr>
          <w:lang w:val="fr-FR"/>
        </w:rPr>
        <w:t xml:space="preserve"> garde à vue, notamment des coups de poing ainsi que des coups ass</w:t>
      </w:r>
      <w:r w:rsidR="003932A4" w:rsidRPr="003A411E">
        <w:rPr>
          <w:lang w:val="fr-FR"/>
        </w:rPr>
        <w:t>é</w:t>
      </w:r>
      <w:r w:rsidR="008F1465" w:rsidRPr="003A411E">
        <w:rPr>
          <w:lang w:val="fr-FR"/>
        </w:rPr>
        <w:t xml:space="preserve">nés avec des câbles électriques. Certains détenus se sont plaints aussi d’avoir fait l’objet d’un menottage très serré, y compris des mineurs, pour des cas de vol simple. </w:t>
      </w:r>
    </w:p>
    <w:p w14:paraId="47D5BB93" w14:textId="39A67D18" w:rsidR="008F1465" w:rsidRPr="003A411E" w:rsidRDefault="00242A26" w:rsidP="000C4CAA">
      <w:pPr>
        <w:pStyle w:val="SingleTxtG"/>
        <w:rPr>
          <w:lang w:val="fr-FR"/>
        </w:rPr>
      </w:pPr>
      <w:r w:rsidRPr="003A411E">
        <w:rPr>
          <w:lang w:val="fr-FR"/>
        </w:rPr>
        <w:t>7</w:t>
      </w:r>
      <w:r w:rsidR="00534B76" w:rsidRPr="003A411E">
        <w:rPr>
          <w:lang w:val="fr-FR"/>
        </w:rPr>
        <w:t>7</w:t>
      </w:r>
      <w:r w:rsidRPr="003A411E">
        <w:rPr>
          <w:lang w:val="fr-FR"/>
        </w:rPr>
        <w:t>.</w:t>
      </w:r>
      <w:r w:rsidRPr="003A411E">
        <w:rPr>
          <w:lang w:val="fr-FR"/>
        </w:rPr>
        <w:tab/>
      </w:r>
      <w:r w:rsidR="00534B76" w:rsidRPr="003A411E">
        <w:rPr>
          <w:lang w:val="fr-FR"/>
        </w:rPr>
        <w:t>À</w:t>
      </w:r>
      <w:r w:rsidR="008F1465" w:rsidRPr="003A411E">
        <w:rPr>
          <w:lang w:val="fr-FR"/>
        </w:rPr>
        <w:t xml:space="preserve"> Ouagadougou, un </w:t>
      </w:r>
      <w:r w:rsidR="00A34309" w:rsidRPr="003A411E">
        <w:rPr>
          <w:lang w:val="fr-FR"/>
        </w:rPr>
        <w:t>individu</w:t>
      </w:r>
      <w:r w:rsidR="008F1465" w:rsidRPr="003A411E">
        <w:rPr>
          <w:lang w:val="fr-FR"/>
        </w:rPr>
        <w:t xml:space="preserve"> aurait été arrêté par des policiers en civil, sans identification préalable</w:t>
      </w:r>
      <w:r w:rsidR="00DE1D41" w:rsidRPr="003A411E">
        <w:rPr>
          <w:lang w:val="fr-FR"/>
        </w:rPr>
        <w:t>,</w:t>
      </w:r>
      <w:r w:rsidR="008F1465" w:rsidRPr="003A411E">
        <w:rPr>
          <w:lang w:val="fr-FR"/>
        </w:rPr>
        <w:t xml:space="preserve"> </w:t>
      </w:r>
      <w:r w:rsidR="00DE1D41" w:rsidRPr="003A411E">
        <w:rPr>
          <w:lang w:val="fr-FR"/>
        </w:rPr>
        <w:t>qui auraient recouru à un</w:t>
      </w:r>
      <w:r w:rsidR="008F1465" w:rsidRPr="003A411E">
        <w:rPr>
          <w:lang w:val="fr-FR"/>
        </w:rPr>
        <w:t xml:space="preserve"> usage excessif de la force et </w:t>
      </w:r>
      <w:r w:rsidR="00DE1D41" w:rsidRPr="003A411E">
        <w:rPr>
          <w:lang w:val="fr-FR"/>
        </w:rPr>
        <w:t xml:space="preserve">à des </w:t>
      </w:r>
      <w:r w:rsidR="008F1465" w:rsidRPr="003A411E">
        <w:rPr>
          <w:lang w:val="fr-FR"/>
        </w:rPr>
        <w:t xml:space="preserve">violences. </w:t>
      </w:r>
      <w:r w:rsidR="00A34309" w:rsidRPr="003A411E">
        <w:rPr>
          <w:lang w:val="fr-FR"/>
        </w:rPr>
        <w:t>Ceux-ci l’auraient de suite</w:t>
      </w:r>
      <w:r w:rsidR="008F1465" w:rsidRPr="003A411E">
        <w:rPr>
          <w:lang w:val="fr-FR"/>
        </w:rPr>
        <w:t xml:space="preserve"> menotté</w:t>
      </w:r>
      <w:r w:rsidR="00A34309" w:rsidRPr="003A411E">
        <w:rPr>
          <w:lang w:val="fr-FR"/>
        </w:rPr>
        <w:t>,</w:t>
      </w:r>
      <w:r w:rsidR="008F1465" w:rsidRPr="003A411E">
        <w:rPr>
          <w:lang w:val="fr-FR"/>
        </w:rPr>
        <w:t xml:space="preserve"> </w:t>
      </w:r>
      <w:r w:rsidR="00A34309" w:rsidRPr="003A411E">
        <w:rPr>
          <w:lang w:val="fr-FR"/>
        </w:rPr>
        <w:t>les mains dans</w:t>
      </w:r>
      <w:r w:rsidR="008F1465" w:rsidRPr="003A411E">
        <w:rPr>
          <w:lang w:val="fr-FR"/>
        </w:rPr>
        <w:t xml:space="preserve"> le dos</w:t>
      </w:r>
      <w:r w:rsidR="00A34309" w:rsidRPr="003A411E">
        <w:rPr>
          <w:lang w:val="fr-FR"/>
        </w:rPr>
        <w:t>,</w:t>
      </w:r>
      <w:r w:rsidR="008F1465" w:rsidRPr="003A411E">
        <w:rPr>
          <w:lang w:val="fr-FR"/>
        </w:rPr>
        <w:t xml:space="preserve"> et placé à l’intérieur de la voiture de police, où il aurait été frappé durant le trajet jusqu’à son arrivée au </w:t>
      </w:r>
      <w:r w:rsidR="00A34309" w:rsidRPr="003A411E">
        <w:rPr>
          <w:lang w:val="fr-FR"/>
        </w:rPr>
        <w:t>c</w:t>
      </w:r>
      <w:r w:rsidR="008F1465" w:rsidRPr="003A411E">
        <w:rPr>
          <w:lang w:val="fr-FR"/>
        </w:rPr>
        <w:t>ommissariat de Wemtenga</w:t>
      </w:r>
      <w:r w:rsidR="00A34309" w:rsidRPr="003A411E">
        <w:rPr>
          <w:lang w:val="fr-FR"/>
        </w:rPr>
        <w:t>.</w:t>
      </w:r>
      <w:r w:rsidR="008F1465" w:rsidRPr="003A411E">
        <w:rPr>
          <w:lang w:val="fr-FR"/>
        </w:rPr>
        <w:t xml:space="preserve"> </w:t>
      </w:r>
      <w:r w:rsidR="00A34309" w:rsidRPr="003A411E">
        <w:rPr>
          <w:lang w:val="fr-FR"/>
        </w:rPr>
        <w:t>Il</w:t>
      </w:r>
      <w:r w:rsidR="008F1465" w:rsidRPr="003A411E">
        <w:rPr>
          <w:lang w:val="fr-FR"/>
        </w:rPr>
        <w:t xml:space="preserve"> aurait </w:t>
      </w:r>
      <w:r w:rsidR="00A34309" w:rsidRPr="003A411E">
        <w:rPr>
          <w:lang w:val="fr-FR"/>
        </w:rPr>
        <w:t xml:space="preserve">ensuite </w:t>
      </w:r>
      <w:r w:rsidR="008F1465" w:rsidRPr="003A411E">
        <w:rPr>
          <w:lang w:val="fr-FR"/>
        </w:rPr>
        <w:t>été interrogé pendant deux jours</w:t>
      </w:r>
      <w:r w:rsidR="00A34309" w:rsidRPr="003A411E">
        <w:rPr>
          <w:lang w:val="fr-FR"/>
        </w:rPr>
        <w:t>,</w:t>
      </w:r>
      <w:r w:rsidR="008F1465" w:rsidRPr="003A411E">
        <w:rPr>
          <w:lang w:val="fr-FR"/>
        </w:rPr>
        <w:t xml:space="preserve"> menotté</w:t>
      </w:r>
      <w:r w:rsidR="00A34309" w:rsidRPr="003A411E">
        <w:rPr>
          <w:lang w:val="fr-FR"/>
        </w:rPr>
        <w:t xml:space="preserve"> et</w:t>
      </w:r>
      <w:r w:rsidR="008F1465" w:rsidRPr="003A411E">
        <w:rPr>
          <w:lang w:val="fr-FR"/>
        </w:rPr>
        <w:t xml:space="preserve"> à genoux</w:t>
      </w:r>
      <w:r w:rsidR="00A34309" w:rsidRPr="003A411E">
        <w:rPr>
          <w:lang w:val="fr-FR"/>
        </w:rPr>
        <w:t>,</w:t>
      </w:r>
      <w:r w:rsidR="008F1465" w:rsidRPr="003A411E">
        <w:rPr>
          <w:lang w:val="fr-FR"/>
        </w:rPr>
        <w:t xml:space="preserve"> et continuellement frappé sur tout le corps. Le détenu en question </w:t>
      </w:r>
      <w:r w:rsidR="00A34309" w:rsidRPr="003A411E">
        <w:rPr>
          <w:lang w:val="fr-FR"/>
        </w:rPr>
        <w:t xml:space="preserve">a </w:t>
      </w:r>
      <w:r w:rsidR="008F1465" w:rsidRPr="003A411E">
        <w:rPr>
          <w:lang w:val="fr-FR"/>
        </w:rPr>
        <w:t>rapport</w:t>
      </w:r>
      <w:r w:rsidR="00A34309" w:rsidRPr="003A411E">
        <w:rPr>
          <w:lang w:val="fr-FR"/>
        </w:rPr>
        <w:t>é</w:t>
      </w:r>
      <w:r w:rsidR="008F1465" w:rsidRPr="003A411E">
        <w:rPr>
          <w:lang w:val="fr-FR"/>
        </w:rPr>
        <w:t xml:space="preserve"> qu’à l’entrée du </w:t>
      </w:r>
      <w:r w:rsidR="00A34309" w:rsidRPr="003A411E">
        <w:rPr>
          <w:lang w:val="fr-FR"/>
        </w:rPr>
        <w:t>c</w:t>
      </w:r>
      <w:r w:rsidR="008F1465" w:rsidRPr="003A411E">
        <w:rPr>
          <w:lang w:val="fr-FR"/>
        </w:rPr>
        <w:t xml:space="preserve">ommissariat, il </w:t>
      </w:r>
      <w:r w:rsidR="00A34309" w:rsidRPr="003A411E">
        <w:rPr>
          <w:lang w:val="fr-FR"/>
        </w:rPr>
        <w:t>exist</w:t>
      </w:r>
      <w:r w:rsidR="000C4CAA" w:rsidRPr="003A411E">
        <w:rPr>
          <w:lang w:val="fr-FR"/>
        </w:rPr>
        <w:t>ait</w:t>
      </w:r>
      <w:r w:rsidR="008F1465" w:rsidRPr="003A411E">
        <w:rPr>
          <w:lang w:val="fr-FR"/>
        </w:rPr>
        <w:t xml:space="preserve"> une cellule (</w:t>
      </w:r>
      <w:r w:rsidR="000C4CAA" w:rsidRPr="003A411E">
        <w:rPr>
          <w:lang w:val="fr-FR"/>
        </w:rPr>
        <w:t xml:space="preserve">deuxième </w:t>
      </w:r>
      <w:r w:rsidR="008F1465" w:rsidRPr="003A411E">
        <w:rPr>
          <w:lang w:val="fr-FR"/>
        </w:rPr>
        <w:t xml:space="preserve">porte à gauche) où les détenus </w:t>
      </w:r>
      <w:r w:rsidR="000C4CAA" w:rsidRPr="003A411E">
        <w:rPr>
          <w:lang w:val="fr-FR"/>
        </w:rPr>
        <w:t>seraient</w:t>
      </w:r>
      <w:r w:rsidR="008F1465" w:rsidRPr="003A411E">
        <w:rPr>
          <w:lang w:val="fr-FR"/>
        </w:rPr>
        <w:t xml:space="preserve"> enfermés pour y être frappés notamment avec des bâtons</w:t>
      </w:r>
      <w:r w:rsidR="00A34309" w:rsidRPr="003A411E">
        <w:rPr>
          <w:lang w:val="fr-FR"/>
        </w:rPr>
        <w:t xml:space="preserve"> et des</w:t>
      </w:r>
      <w:r w:rsidR="008F1465" w:rsidRPr="003A411E">
        <w:rPr>
          <w:lang w:val="fr-FR"/>
        </w:rPr>
        <w:t xml:space="preserve"> câbles électriques. Plusieurs détenus d’autres lieux de détention ont fait les mêmes descriptions.</w:t>
      </w:r>
    </w:p>
    <w:p w14:paraId="6D89BF74" w14:textId="78ACA097" w:rsidR="008F1465" w:rsidRPr="003A411E" w:rsidRDefault="00A34309" w:rsidP="009233D9">
      <w:pPr>
        <w:pStyle w:val="SingleTxtG"/>
        <w:rPr>
          <w:lang w:val="fr-FR"/>
        </w:rPr>
      </w:pPr>
      <w:r w:rsidRPr="003A411E">
        <w:rPr>
          <w:lang w:val="fr-FR"/>
        </w:rPr>
        <w:t>7</w:t>
      </w:r>
      <w:r w:rsidR="00242A26" w:rsidRPr="003A411E">
        <w:rPr>
          <w:lang w:val="fr-FR"/>
        </w:rPr>
        <w:t>8.</w:t>
      </w:r>
      <w:r w:rsidR="00242A26" w:rsidRPr="003A411E">
        <w:rPr>
          <w:lang w:val="fr-FR"/>
        </w:rPr>
        <w:tab/>
      </w:r>
      <w:r w:rsidR="008F1465" w:rsidRPr="003A411E">
        <w:rPr>
          <w:lang w:val="fr-FR"/>
        </w:rPr>
        <w:t xml:space="preserve">Selon les témoignages, dans ce même commissariat de Wemtenga, il serait fait </w:t>
      </w:r>
      <w:r w:rsidR="009233D9">
        <w:rPr>
          <w:lang w:val="fr-FR"/>
        </w:rPr>
        <w:t>usage de</w:t>
      </w:r>
      <w:r w:rsidR="008F1465" w:rsidRPr="003A411E">
        <w:rPr>
          <w:lang w:val="fr-FR"/>
        </w:rPr>
        <w:t xml:space="preserve"> musique </w:t>
      </w:r>
      <w:r w:rsidRPr="003A411E">
        <w:rPr>
          <w:lang w:val="fr-FR"/>
        </w:rPr>
        <w:t>à très haut</w:t>
      </w:r>
      <w:r w:rsidR="008F1465" w:rsidRPr="003A411E">
        <w:rPr>
          <w:lang w:val="fr-FR"/>
        </w:rPr>
        <w:t xml:space="preserve"> volume pour couvrir les cris des détenus. Le but de ces actes de torture serait d’obtenir des aveux. </w:t>
      </w:r>
      <w:r w:rsidRPr="003A411E">
        <w:rPr>
          <w:lang w:val="fr-FR"/>
        </w:rPr>
        <w:t>L</w:t>
      </w:r>
      <w:r w:rsidR="008F1465" w:rsidRPr="003A411E">
        <w:rPr>
          <w:lang w:val="fr-FR"/>
        </w:rPr>
        <w:t xml:space="preserve">es détenus </w:t>
      </w:r>
      <w:r w:rsidRPr="003A411E">
        <w:rPr>
          <w:lang w:val="fr-FR"/>
        </w:rPr>
        <w:t xml:space="preserve">concernés </w:t>
      </w:r>
      <w:r w:rsidR="008F1465" w:rsidRPr="003A411E">
        <w:rPr>
          <w:lang w:val="fr-FR"/>
        </w:rPr>
        <w:t xml:space="preserve">n’auraient été </w:t>
      </w:r>
      <w:r w:rsidRPr="003A411E">
        <w:rPr>
          <w:lang w:val="fr-FR"/>
        </w:rPr>
        <w:t xml:space="preserve">ni </w:t>
      </w:r>
      <w:r w:rsidR="008F1465" w:rsidRPr="003A411E">
        <w:rPr>
          <w:lang w:val="fr-FR"/>
        </w:rPr>
        <w:t>examinés ni soignés par un médecin</w:t>
      </w:r>
      <w:r w:rsidRPr="003A411E">
        <w:rPr>
          <w:lang w:val="fr-FR"/>
        </w:rPr>
        <w:t>,</w:t>
      </w:r>
      <w:r w:rsidR="008F1465" w:rsidRPr="003A411E">
        <w:rPr>
          <w:lang w:val="fr-FR"/>
        </w:rPr>
        <w:t xml:space="preserve"> malgré leurs blessures. </w:t>
      </w:r>
    </w:p>
    <w:p w14:paraId="5882C92A" w14:textId="4F03D710" w:rsidR="008F1465" w:rsidRPr="003A411E" w:rsidRDefault="00A34309" w:rsidP="00534B76">
      <w:pPr>
        <w:pStyle w:val="SingleTxtG"/>
        <w:rPr>
          <w:b/>
          <w:bCs/>
          <w:lang w:val="fr-FR"/>
        </w:rPr>
      </w:pPr>
      <w:r w:rsidRPr="003A411E">
        <w:rPr>
          <w:bCs/>
          <w:lang w:val="fr-FR"/>
        </w:rPr>
        <w:t>7</w:t>
      </w:r>
      <w:r w:rsidR="00534B76" w:rsidRPr="003A411E">
        <w:rPr>
          <w:bCs/>
          <w:lang w:val="fr-FR"/>
        </w:rPr>
        <w:t>9</w:t>
      </w:r>
      <w:r w:rsidR="008F1465" w:rsidRPr="003A411E">
        <w:rPr>
          <w:bCs/>
          <w:lang w:val="fr-FR"/>
        </w:rPr>
        <w:t>.</w:t>
      </w:r>
      <w:r w:rsidR="008F1465" w:rsidRPr="003A411E">
        <w:rPr>
          <w:b/>
          <w:bCs/>
          <w:lang w:val="fr-FR"/>
        </w:rPr>
        <w:tab/>
        <w:t>Le Sous-</w:t>
      </w:r>
      <w:r w:rsidR="006A2C77" w:rsidRPr="003A411E">
        <w:rPr>
          <w:b/>
          <w:bCs/>
          <w:lang w:val="fr-FR"/>
        </w:rPr>
        <w:t>C</w:t>
      </w:r>
      <w:r w:rsidR="008F1465" w:rsidRPr="003A411E">
        <w:rPr>
          <w:b/>
          <w:bCs/>
          <w:lang w:val="fr-FR"/>
        </w:rPr>
        <w:t xml:space="preserve">omité </w:t>
      </w:r>
      <w:r w:rsidR="008F1465" w:rsidRPr="003A411E">
        <w:rPr>
          <w:b/>
          <w:lang w:val="fr-FR"/>
        </w:rPr>
        <w:t>recommande</w:t>
      </w:r>
      <w:r w:rsidRPr="003A411E">
        <w:rPr>
          <w:b/>
          <w:lang w:val="fr-FR"/>
        </w:rPr>
        <w:t xml:space="preserve"> à l’État partie</w:t>
      </w:r>
      <w:r w:rsidR="008F1465" w:rsidRPr="003A411E">
        <w:rPr>
          <w:b/>
          <w:bCs/>
          <w:lang w:val="fr-FR"/>
        </w:rPr>
        <w:t> :</w:t>
      </w:r>
    </w:p>
    <w:p w14:paraId="2C6C2C32" w14:textId="7C7222B5" w:rsidR="008F1465" w:rsidRPr="003A411E" w:rsidRDefault="00434A08" w:rsidP="00A34309">
      <w:pPr>
        <w:pStyle w:val="SingleTxtG"/>
        <w:ind w:firstLine="567"/>
        <w:rPr>
          <w:b/>
          <w:lang w:val="fr-FR"/>
        </w:rPr>
      </w:pPr>
      <w:r w:rsidRPr="003A411E">
        <w:rPr>
          <w:b/>
          <w:lang w:val="fr-FR"/>
        </w:rPr>
        <w:t>a)</w:t>
      </w:r>
      <w:r w:rsidRPr="003A411E">
        <w:rPr>
          <w:b/>
          <w:lang w:val="fr-FR"/>
        </w:rPr>
        <w:tab/>
      </w:r>
      <w:r w:rsidR="00A34309" w:rsidRPr="003A411E">
        <w:rPr>
          <w:b/>
          <w:lang w:val="fr-FR"/>
        </w:rPr>
        <w:t>D’organiser</w:t>
      </w:r>
      <w:r w:rsidR="008F1465" w:rsidRPr="003A411E">
        <w:rPr>
          <w:b/>
          <w:lang w:val="fr-FR"/>
        </w:rPr>
        <w:t xml:space="preserve"> de</w:t>
      </w:r>
      <w:r w:rsidR="00A34309" w:rsidRPr="003A411E">
        <w:rPr>
          <w:b/>
          <w:lang w:val="fr-FR"/>
        </w:rPr>
        <w:t>s</w:t>
      </w:r>
      <w:r w:rsidR="008F1465" w:rsidRPr="003A411E">
        <w:rPr>
          <w:b/>
          <w:lang w:val="fr-FR"/>
        </w:rPr>
        <w:t xml:space="preserve"> formations régulières au profit des agents de l’État autorisés à procéder à des arrestations</w:t>
      </w:r>
      <w:r w:rsidR="00A34309" w:rsidRPr="003A411E">
        <w:rPr>
          <w:b/>
          <w:lang w:val="fr-FR"/>
        </w:rPr>
        <w:t>,</w:t>
      </w:r>
      <w:r w:rsidR="008F1465" w:rsidRPr="003A411E">
        <w:rPr>
          <w:b/>
          <w:lang w:val="fr-FR"/>
        </w:rPr>
        <w:t xml:space="preserve"> afin de les sensibiliser au non-recours à la torture et </w:t>
      </w:r>
      <w:r w:rsidR="00A34309" w:rsidRPr="003A411E">
        <w:rPr>
          <w:b/>
          <w:lang w:val="fr-FR"/>
        </w:rPr>
        <w:t xml:space="preserve">de </w:t>
      </w:r>
      <w:r w:rsidR="008F1465" w:rsidRPr="003A411E">
        <w:rPr>
          <w:b/>
          <w:lang w:val="fr-FR"/>
        </w:rPr>
        <w:t xml:space="preserve">leur rappeler avec vigueur le caractère absolu de l’interdiction des pratiques de torture et des traitements cruels, inhumains </w:t>
      </w:r>
      <w:r w:rsidR="00A34309" w:rsidRPr="003A411E">
        <w:rPr>
          <w:b/>
          <w:lang w:val="fr-FR"/>
        </w:rPr>
        <w:t>ou</w:t>
      </w:r>
      <w:r w:rsidR="008F1465" w:rsidRPr="003A411E">
        <w:rPr>
          <w:b/>
          <w:lang w:val="fr-FR"/>
        </w:rPr>
        <w:t xml:space="preserve"> dégradants ;</w:t>
      </w:r>
    </w:p>
    <w:p w14:paraId="4CE84F22" w14:textId="623CDBBE" w:rsidR="008F1465" w:rsidRPr="003A411E" w:rsidRDefault="00434A08" w:rsidP="00A34309">
      <w:pPr>
        <w:pStyle w:val="SingleTxtG"/>
        <w:ind w:firstLine="567"/>
        <w:rPr>
          <w:b/>
          <w:lang w:val="fr-FR"/>
        </w:rPr>
      </w:pPr>
      <w:r w:rsidRPr="003A411E">
        <w:rPr>
          <w:b/>
          <w:lang w:val="fr-FR"/>
        </w:rPr>
        <w:t>b)</w:t>
      </w:r>
      <w:r w:rsidRPr="003A411E">
        <w:rPr>
          <w:b/>
          <w:lang w:val="fr-FR"/>
        </w:rPr>
        <w:tab/>
      </w:r>
      <w:r w:rsidR="00A34309" w:rsidRPr="003A411E">
        <w:rPr>
          <w:b/>
          <w:lang w:val="fr-FR"/>
        </w:rPr>
        <w:t xml:space="preserve">De diligenter des </w:t>
      </w:r>
      <w:r w:rsidR="008F1465" w:rsidRPr="003A411E">
        <w:rPr>
          <w:b/>
          <w:lang w:val="fr-FR"/>
        </w:rPr>
        <w:t xml:space="preserve">enquêtes impartiales chaque fois qu’il existe des indices concordants laissant </w:t>
      </w:r>
      <w:r w:rsidR="00A34309" w:rsidRPr="003A411E">
        <w:rPr>
          <w:b/>
          <w:lang w:val="fr-FR"/>
        </w:rPr>
        <w:t>supposer</w:t>
      </w:r>
      <w:r w:rsidR="008F1465" w:rsidRPr="003A411E">
        <w:rPr>
          <w:b/>
          <w:lang w:val="fr-FR"/>
        </w:rPr>
        <w:t xml:space="preserve"> que des actes de torture ou de mauvais traitements </w:t>
      </w:r>
      <w:r w:rsidR="00A34309" w:rsidRPr="003A411E">
        <w:rPr>
          <w:b/>
          <w:lang w:val="fr-FR"/>
        </w:rPr>
        <w:t>ont</w:t>
      </w:r>
      <w:r w:rsidR="008F1465" w:rsidRPr="003A411E">
        <w:rPr>
          <w:b/>
          <w:lang w:val="fr-FR"/>
        </w:rPr>
        <w:t xml:space="preserve"> été commis ;</w:t>
      </w:r>
    </w:p>
    <w:p w14:paraId="0730A472" w14:textId="0F9D1DCE" w:rsidR="008F1465" w:rsidRPr="003A411E" w:rsidRDefault="00434A08" w:rsidP="00A34309">
      <w:pPr>
        <w:pStyle w:val="SingleTxtG"/>
        <w:ind w:firstLine="567"/>
        <w:rPr>
          <w:b/>
          <w:lang w:val="fr-FR"/>
        </w:rPr>
      </w:pPr>
      <w:r w:rsidRPr="003A411E">
        <w:rPr>
          <w:b/>
          <w:lang w:val="fr-FR"/>
        </w:rPr>
        <w:t>c)</w:t>
      </w:r>
      <w:r w:rsidRPr="003A411E">
        <w:rPr>
          <w:b/>
          <w:lang w:val="fr-FR"/>
        </w:rPr>
        <w:tab/>
      </w:r>
      <w:r w:rsidR="00A34309" w:rsidRPr="003A411E">
        <w:rPr>
          <w:b/>
          <w:lang w:val="fr-FR"/>
        </w:rPr>
        <w:t>D’interdire le</w:t>
      </w:r>
      <w:r w:rsidR="008F1465" w:rsidRPr="003A411E">
        <w:rPr>
          <w:b/>
          <w:lang w:val="fr-FR"/>
        </w:rPr>
        <w:t xml:space="preserve"> recours au menottage comme outil de violence policière et l’usage non approprié et prolongé des menottes ;</w:t>
      </w:r>
    </w:p>
    <w:p w14:paraId="70215BC3" w14:textId="3499EA3A" w:rsidR="008F1465" w:rsidRPr="003A411E" w:rsidRDefault="00434A08" w:rsidP="00A34309">
      <w:pPr>
        <w:pStyle w:val="SingleTxtG"/>
        <w:ind w:firstLine="567"/>
        <w:rPr>
          <w:b/>
          <w:lang w:val="fr-FR"/>
        </w:rPr>
      </w:pPr>
      <w:r w:rsidRPr="003A411E">
        <w:rPr>
          <w:b/>
          <w:lang w:val="fr-FR"/>
        </w:rPr>
        <w:t>d)</w:t>
      </w:r>
      <w:r w:rsidRPr="003A411E">
        <w:rPr>
          <w:b/>
          <w:lang w:val="fr-FR"/>
        </w:rPr>
        <w:tab/>
      </w:r>
      <w:r w:rsidR="00A34309" w:rsidRPr="003A411E">
        <w:rPr>
          <w:b/>
          <w:lang w:val="fr-FR"/>
        </w:rPr>
        <w:t>D’inspecter d’urgence le</w:t>
      </w:r>
      <w:r w:rsidR="008F1465" w:rsidRPr="003A411E">
        <w:rPr>
          <w:b/>
          <w:lang w:val="fr-FR"/>
        </w:rPr>
        <w:t xml:space="preserve"> commissariat de Wemtenga et </w:t>
      </w:r>
      <w:r w:rsidR="00A34309" w:rsidRPr="003A411E">
        <w:rPr>
          <w:b/>
          <w:lang w:val="fr-FR"/>
        </w:rPr>
        <w:t>de transmettre le</w:t>
      </w:r>
      <w:r w:rsidR="008F1465" w:rsidRPr="003A411E">
        <w:rPr>
          <w:b/>
          <w:lang w:val="fr-FR"/>
        </w:rPr>
        <w:t xml:space="preserve"> rapport </w:t>
      </w:r>
      <w:r w:rsidR="00A34309" w:rsidRPr="003A411E">
        <w:rPr>
          <w:b/>
          <w:lang w:val="fr-FR"/>
        </w:rPr>
        <w:t>de cette inspection</w:t>
      </w:r>
      <w:r w:rsidR="008F1465" w:rsidRPr="003A411E">
        <w:rPr>
          <w:b/>
          <w:lang w:val="fr-FR"/>
        </w:rPr>
        <w:t xml:space="preserve"> au </w:t>
      </w:r>
      <w:r w:rsidR="00AF7450" w:rsidRPr="003A411E">
        <w:rPr>
          <w:b/>
          <w:lang w:val="fr-FR"/>
        </w:rPr>
        <w:t>Sous-Comité</w:t>
      </w:r>
      <w:r w:rsidR="008F1465" w:rsidRPr="003A411E">
        <w:rPr>
          <w:b/>
          <w:lang w:val="fr-FR"/>
        </w:rPr>
        <w:t>.</w:t>
      </w:r>
    </w:p>
    <w:p w14:paraId="4ACA4A71" w14:textId="77777777" w:rsidR="008F1465" w:rsidRPr="003A411E" w:rsidRDefault="008F1465" w:rsidP="00242A26">
      <w:pPr>
        <w:pStyle w:val="H23G"/>
        <w:rPr>
          <w:bCs/>
          <w:lang w:val="fr-FR"/>
        </w:rPr>
      </w:pPr>
      <w:r w:rsidRPr="003A411E">
        <w:rPr>
          <w:lang w:val="fr-FR"/>
        </w:rPr>
        <w:tab/>
        <w:t xml:space="preserve">5. </w:t>
      </w:r>
      <w:r w:rsidR="00242A26" w:rsidRPr="003A411E">
        <w:rPr>
          <w:lang w:val="fr-FR"/>
        </w:rPr>
        <w:tab/>
      </w:r>
      <w:r w:rsidRPr="003A411E">
        <w:rPr>
          <w:lang w:val="fr-FR"/>
        </w:rPr>
        <w:t>Personnel</w:t>
      </w:r>
    </w:p>
    <w:p w14:paraId="4D969B9B" w14:textId="6F68E55D" w:rsidR="008F1465" w:rsidRPr="003A411E" w:rsidRDefault="00242A26" w:rsidP="00A34309">
      <w:pPr>
        <w:pStyle w:val="SingleTxtG"/>
        <w:rPr>
          <w:lang w:val="fr-FR"/>
        </w:rPr>
      </w:pPr>
      <w:r w:rsidRPr="003A411E">
        <w:rPr>
          <w:lang w:val="fr-FR"/>
        </w:rPr>
        <w:t>8</w:t>
      </w:r>
      <w:r w:rsidR="00534B76" w:rsidRPr="003A411E">
        <w:rPr>
          <w:lang w:val="fr-FR"/>
        </w:rPr>
        <w:t>0</w:t>
      </w:r>
      <w:r w:rsidRPr="003A411E">
        <w:rPr>
          <w:lang w:val="fr-FR"/>
        </w:rPr>
        <w:t>.</w:t>
      </w:r>
      <w:r w:rsidRPr="003A411E">
        <w:rPr>
          <w:lang w:val="fr-FR"/>
        </w:rPr>
        <w:tab/>
      </w:r>
      <w:r w:rsidR="008F1465" w:rsidRPr="003A411E">
        <w:rPr>
          <w:lang w:val="fr-FR"/>
        </w:rPr>
        <w:t xml:space="preserve">La délégation a noté le manque de formations périodiques visant à sensibiliser les agents de police et de sécurité à la question des droits de l’homme. </w:t>
      </w:r>
      <w:r w:rsidR="00A34309" w:rsidRPr="003A411E">
        <w:rPr>
          <w:lang w:val="fr-FR"/>
        </w:rPr>
        <w:t>Elle</w:t>
      </w:r>
      <w:r w:rsidR="008F1465" w:rsidRPr="003A411E">
        <w:rPr>
          <w:lang w:val="fr-FR"/>
        </w:rPr>
        <w:t xml:space="preserve"> a </w:t>
      </w:r>
      <w:r w:rsidR="00A34309" w:rsidRPr="003A411E">
        <w:rPr>
          <w:lang w:val="fr-FR"/>
        </w:rPr>
        <w:t xml:space="preserve">toutefois </w:t>
      </w:r>
      <w:r w:rsidR="008F1465" w:rsidRPr="003A411E">
        <w:rPr>
          <w:lang w:val="fr-FR"/>
        </w:rPr>
        <w:t xml:space="preserve">remarqué </w:t>
      </w:r>
      <w:r w:rsidR="008F1465" w:rsidRPr="003A411E">
        <w:rPr>
          <w:lang w:val="fr-FR"/>
        </w:rPr>
        <w:lastRenderedPageBreak/>
        <w:t xml:space="preserve">que, généralement, les directeurs des lieux de détention visités avaient une bonne connaissance des </w:t>
      </w:r>
      <w:r w:rsidR="00A34309" w:rsidRPr="003A411E">
        <w:rPr>
          <w:lang w:val="fr-FR"/>
        </w:rPr>
        <w:t>R</w:t>
      </w:r>
      <w:r w:rsidR="008F1465" w:rsidRPr="003A411E">
        <w:rPr>
          <w:lang w:val="fr-FR"/>
        </w:rPr>
        <w:t xml:space="preserve">ègles </w:t>
      </w:r>
      <w:r w:rsidR="00A34309" w:rsidRPr="003A411E">
        <w:rPr>
          <w:lang w:val="fr-FR"/>
        </w:rPr>
        <w:t xml:space="preserve">Nelson </w:t>
      </w:r>
      <w:r w:rsidR="008F1465" w:rsidRPr="003A411E">
        <w:rPr>
          <w:lang w:val="fr-FR"/>
        </w:rPr>
        <w:t xml:space="preserve">Mandela. </w:t>
      </w:r>
    </w:p>
    <w:p w14:paraId="25DC58E2" w14:textId="49AC7CEE" w:rsidR="008F1465" w:rsidRPr="003A411E" w:rsidRDefault="00242A26" w:rsidP="00A34309">
      <w:pPr>
        <w:pStyle w:val="SingleTxtG"/>
        <w:rPr>
          <w:lang w:val="fr-FR"/>
        </w:rPr>
      </w:pPr>
      <w:r w:rsidRPr="003A411E">
        <w:rPr>
          <w:lang w:val="fr-FR"/>
        </w:rPr>
        <w:t>8</w:t>
      </w:r>
      <w:r w:rsidR="00534B76" w:rsidRPr="003A411E">
        <w:rPr>
          <w:lang w:val="fr-FR"/>
        </w:rPr>
        <w:t>1</w:t>
      </w:r>
      <w:r w:rsidR="008F1465" w:rsidRPr="003A411E">
        <w:rPr>
          <w:lang w:val="fr-FR"/>
        </w:rPr>
        <w:t>.</w:t>
      </w:r>
      <w:r w:rsidRPr="003A411E">
        <w:rPr>
          <w:lang w:val="fr-FR"/>
        </w:rPr>
        <w:tab/>
      </w:r>
      <w:r w:rsidR="008F1465" w:rsidRPr="003A411E">
        <w:rPr>
          <w:lang w:val="fr-FR"/>
        </w:rPr>
        <w:t xml:space="preserve">La délégation a noté que la </w:t>
      </w:r>
      <w:r w:rsidR="00A34309" w:rsidRPr="003A411E">
        <w:rPr>
          <w:lang w:val="fr-FR"/>
        </w:rPr>
        <w:t>l</w:t>
      </w:r>
      <w:r w:rsidR="008F1465" w:rsidRPr="003A411E">
        <w:rPr>
          <w:lang w:val="fr-FR"/>
        </w:rPr>
        <w:t xml:space="preserve">oi </w:t>
      </w:r>
      <w:r w:rsidR="00A34309" w:rsidRPr="003A411E">
        <w:rPr>
          <w:lang w:val="fr-FR"/>
        </w:rPr>
        <w:t>n</w:t>
      </w:r>
      <w:r w:rsidR="008F1465" w:rsidRPr="00677254">
        <w:rPr>
          <w:vertAlign w:val="superscript"/>
          <w:lang w:val="fr-FR"/>
        </w:rPr>
        <w:t>o</w:t>
      </w:r>
      <w:r w:rsidR="003E4D06">
        <w:rPr>
          <w:lang w:val="fr-FR"/>
        </w:rPr>
        <w:t> </w:t>
      </w:r>
      <w:r w:rsidR="008F1465" w:rsidRPr="003A411E">
        <w:rPr>
          <w:lang w:val="fr-FR"/>
        </w:rPr>
        <w:t>022-2014/AN n’était pas connue</w:t>
      </w:r>
      <w:r w:rsidR="002F16F6" w:rsidRPr="003A411E">
        <w:rPr>
          <w:lang w:val="fr-FR"/>
        </w:rPr>
        <w:t>,</w:t>
      </w:r>
      <w:r w:rsidR="008F1465" w:rsidRPr="003A411E">
        <w:rPr>
          <w:lang w:val="fr-FR"/>
        </w:rPr>
        <w:t xml:space="preserve"> notamment par de hauts responsables de la police. </w:t>
      </w:r>
    </w:p>
    <w:p w14:paraId="114AAC33" w14:textId="221E7BB5" w:rsidR="008F1465" w:rsidRPr="003A411E" w:rsidRDefault="00242A26" w:rsidP="002F16F6">
      <w:pPr>
        <w:pStyle w:val="SingleTxtG"/>
        <w:rPr>
          <w:lang w:val="fr-FR"/>
        </w:rPr>
      </w:pPr>
      <w:r w:rsidRPr="003A411E">
        <w:rPr>
          <w:lang w:val="fr-FR"/>
        </w:rPr>
        <w:t>8</w:t>
      </w:r>
      <w:r w:rsidR="00534B76" w:rsidRPr="003A411E">
        <w:rPr>
          <w:lang w:val="fr-FR"/>
        </w:rPr>
        <w:t>2</w:t>
      </w:r>
      <w:r w:rsidRPr="003A411E">
        <w:rPr>
          <w:lang w:val="fr-FR"/>
        </w:rPr>
        <w:t>.</w:t>
      </w:r>
      <w:r w:rsidRPr="003A411E">
        <w:rPr>
          <w:lang w:val="fr-FR"/>
        </w:rPr>
        <w:tab/>
      </w:r>
      <w:r w:rsidR="008F1465" w:rsidRPr="003A411E">
        <w:rPr>
          <w:lang w:val="fr-FR"/>
        </w:rPr>
        <w:t>La délégation déplore les conditions de travail des agents de police, obligés de travailler à plusieurs dans des bureaux trop exigus</w:t>
      </w:r>
      <w:r w:rsidR="002F16F6" w:rsidRPr="003A411E">
        <w:rPr>
          <w:lang w:val="fr-FR"/>
        </w:rPr>
        <w:t>. Elle déplore par ailleurs</w:t>
      </w:r>
      <w:r w:rsidR="008F1465" w:rsidRPr="003A411E">
        <w:rPr>
          <w:lang w:val="fr-FR"/>
        </w:rPr>
        <w:t xml:space="preserve"> que les responsables des postes de police soient obligés d’</w:t>
      </w:r>
      <w:r w:rsidR="002F16F6" w:rsidRPr="003A411E">
        <w:rPr>
          <w:lang w:val="fr-FR"/>
        </w:rPr>
        <w:t>utiliser</w:t>
      </w:r>
      <w:r w:rsidR="008F1465" w:rsidRPr="003A411E">
        <w:rPr>
          <w:lang w:val="fr-FR"/>
        </w:rPr>
        <w:t xml:space="preserve"> leurs propres subsides </w:t>
      </w:r>
      <w:r w:rsidR="002F16F6" w:rsidRPr="003A411E">
        <w:rPr>
          <w:lang w:val="fr-FR"/>
        </w:rPr>
        <w:t xml:space="preserve">afin d’acheter </w:t>
      </w:r>
      <w:r w:rsidR="008F1465" w:rsidRPr="003A411E">
        <w:rPr>
          <w:lang w:val="fr-FR"/>
        </w:rPr>
        <w:t>des médicaments et de la nourriture pour les personnes gardées à vue</w:t>
      </w:r>
      <w:r w:rsidR="002F16F6" w:rsidRPr="003A411E">
        <w:rPr>
          <w:lang w:val="fr-FR"/>
        </w:rPr>
        <w:t>,</w:t>
      </w:r>
      <w:r w:rsidR="008F1465" w:rsidRPr="003A411E">
        <w:rPr>
          <w:lang w:val="fr-FR"/>
        </w:rPr>
        <w:t xml:space="preserve"> en raison de l’absence de toute allocation budgétaire à cet effet. </w:t>
      </w:r>
    </w:p>
    <w:p w14:paraId="78BCC8B0" w14:textId="12D6A579" w:rsidR="008F1465" w:rsidRPr="003A411E" w:rsidRDefault="00242A26" w:rsidP="00534B76">
      <w:pPr>
        <w:pStyle w:val="SingleTxtG"/>
        <w:rPr>
          <w:b/>
          <w:lang w:val="fr-FR"/>
        </w:rPr>
      </w:pPr>
      <w:r w:rsidRPr="003A411E">
        <w:rPr>
          <w:lang w:val="fr-FR"/>
        </w:rPr>
        <w:t>8</w:t>
      </w:r>
      <w:r w:rsidR="00534B76" w:rsidRPr="003A411E">
        <w:rPr>
          <w:lang w:val="fr-FR"/>
        </w:rPr>
        <w:t>3</w:t>
      </w:r>
      <w:r w:rsidR="008F1465" w:rsidRPr="003A411E">
        <w:rPr>
          <w:lang w:val="fr-FR"/>
        </w:rPr>
        <w:t>.</w:t>
      </w:r>
      <w:r w:rsidR="008F1465" w:rsidRPr="003A411E">
        <w:rPr>
          <w:b/>
          <w:lang w:val="fr-FR"/>
        </w:rPr>
        <w:t xml:space="preserve"> </w:t>
      </w:r>
      <w:r w:rsidR="008F1465" w:rsidRPr="003A411E">
        <w:rPr>
          <w:b/>
          <w:lang w:val="fr-FR"/>
        </w:rPr>
        <w:tab/>
        <w:t>Le Sous-</w:t>
      </w:r>
      <w:r w:rsidR="006A2C77" w:rsidRPr="003A411E">
        <w:rPr>
          <w:b/>
          <w:lang w:val="fr-FR"/>
        </w:rPr>
        <w:t>C</w:t>
      </w:r>
      <w:r w:rsidR="008F1465" w:rsidRPr="003A411E">
        <w:rPr>
          <w:b/>
          <w:lang w:val="fr-FR"/>
        </w:rPr>
        <w:t xml:space="preserve">omité recommande </w:t>
      </w:r>
      <w:r w:rsidR="002F16F6" w:rsidRPr="003A411E">
        <w:rPr>
          <w:b/>
          <w:lang w:val="fr-FR"/>
        </w:rPr>
        <w:t>à l’État partie</w:t>
      </w:r>
      <w:r w:rsidR="008F1465" w:rsidRPr="003A411E">
        <w:rPr>
          <w:b/>
          <w:lang w:val="fr-FR"/>
        </w:rPr>
        <w:t> :</w:t>
      </w:r>
    </w:p>
    <w:p w14:paraId="7D6BEF8F" w14:textId="48771938" w:rsidR="008F1465" w:rsidRPr="003A411E" w:rsidRDefault="00434A08" w:rsidP="002F16F6">
      <w:pPr>
        <w:pStyle w:val="SingleTxtG"/>
        <w:ind w:firstLine="567"/>
        <w:rPr>
          <w:b/>
          <w:bCs/>
          <w:lang w:val="fr-FR"/>
        </w:rPr>
      </w:pPr>
      <w:r w:rsidRPr="003A411E">
        <w:rPr>
          <w:b/>
          <w:lang w:val="fr-FR"/>
        </w:rPr>
        <w:t>a)</w:t>
      </w:r>
      <w:r w:rsidRPr="003A411E">
        <w:rPr>
          <w:b/>
          <w:lang w:val="fr-FR"/>
        </w:rPr>
        <w:tab/>
      </w:r>
      <w:r w:rsidR="002F16F6" w:rsidRPr="003A411E">
        <w:rPr>
          <w:b/>
          <w:lang w:val="fr-FR"/>
        </w:rPr>
        <w:t>D’</w:t>
      </w:r>
      <w:r w:rsidR="008F1465" w:rsidRPr="003A411E">
        <w:rPr>
          <w:b/>
          <w:lang w:val="fr-FR"/>
        </w:rPr>
        <w:t>organise</w:t>
      </w:r>
      <w:r w:rsidR="002F16F6" w:rsidRPr="003A411E">
        <w:rPr>
          <w:b/>
          <w:lang w:val="fr-FR"/>
        </w:rPr>
        <w:t>r</w:t>
      </w:r>
      <w:r w:rsidR="008F1465" w:rsidRPr="003A411E">
        <w:rPr>
          <w:b/>
          <w:lang w:val="fr-FR"/>
        </w:rPr>
        <w:t xml:space="preserve">, en application des articles 10 et 11 de la </w:t>
      </w:r>
      <w:r w:rsidR="002F16F6" w:rsidRPr="003A411E">
        <w:rPr>
          <w:b/>
          <w:lang w:val="fr-FR"/>
        </w:rPr>
        <w:t>C</w:t>
      </w:r>
      <w:r w:rsidR="008F1465" w:rsidRPr="003A411E">
        <w:rPr>
          <w:b/>
          <w:lang w:val="fr-FR"/>
        </w:rPr>
        <w:t>onvention</w:t>
      </w:r>
      <w:r w:rsidR="002F16F6" w:rsidRPr="003A411E">
        <w:rPr>
          <w:b/>
          <w:lang w:val="fr-FR"/>
        </w:rPr>
        <w:t xml:space="preserve"> contre la torture</w:t>
      </w:r>
      <w:r w:rsidR="008F1465" w:rsidRPr="003A411E">
        <w:rPr>
          <w:b/>
          <w:lang w:val="fr-FR"/>
        </w:rPr>
        <w:t>, des formations périodiques pour les officiers chargés de l’exécution de la loi</w:t>
      </w:r>
      <w:r w:rsidR="002F16F6" w:rsidRPr="003A411E">
        <w:rPr>
          <w:b/>
          <w:lang w:val="fr-FR"/>
        </w:rPr>
        <w:t>,</w:t>
      </w:r>
      <w:r w:rsidR="008F1465" w:rsidRPr="003A411E">
        <w:rPr>
          <w:b/>
          <w:lang w:val="fr-FR"/>
        </w:rPr>
        <w:t xml:space="preserve"> afin qu’ils assimilent correctement et appliquent efficacement les </w:t>
      </w:r>
      <w:r w:rsidR="002F16F6" w:rsidRPr="003A411E">
        <w:rPr>
          <w:b/>
          <w:lang w:val="fr-FR"/>
        </w:rPr>
        <w:t xml:space="preserve">dispositions </w:t>
      </w:r>
      <w:r w:rsidR="008F1465" w:rsidRPr="003A411E">
        <w:rPr>
          <w:b/>
          <w:lang w:val="fr-FR"/>
        </w:rPr>
        <w:t>juridiques national</w:t>
      </w:r>
      <w:r w:rsidR="002F16F6" w:rsidRPr="003A411E">
        <w:rPr>
          <w:b/>
          <w:lang w:val="fr-FR"/>
        </w:rPr>
        <w:t>es</w:t>
      </w:r>
      <w:r w:rsidR="008F1465" w:rsidRPr="003A411E">
        <w:rPr>
          <w:b/>
          <w:lang w:val="fr-FR"/>
        </w:rPr>
        <w:t xml:space="preserve"> et international</w:t>
      </w:r>
      <w:r w:rsidR="002F16F6" w:rsidRPr="003A411E">
        <w:rPr>
          <w:b/>
          <w:lang w:val="fr-FR"/>
        </w:rPr>
        <w:t>es,</w:t>
      </w:r>
      <w:r w:rsidR="008F1465" w:rsidRPr="003A411E">
        <w:rPr>
          <w:b/>
          <w:lang w:val="fr-FR"/>
        </w:rPr>
        <w:t xml:space="preserve"> notamment les Règles </w:t>
      </w:r>
      <w:r w:rsidR="002F16F6" w:rsidRPr="003A411E">
        <w:rPr>
          <w:b/>
          <w:lang w:val="fr-FR"/>
        </w:rPr>
        <w:t xml:space="preserve">Nelson </w:t>
      </w:r>
      <w:r w:rsidR="008F1465" w:rsidRPr="003A411E">
        <w:rPr>
          <w:b/>
          <w:lang w:val="fr-FR"/>
        </w:rPr>
        <w:t xml:space="preserve">Mandela, la Convention et le </w:t>
      </w:r>
      <w:r w:rsidR="008F1465" w:rsidRPr="003A411E">
        <w:rPr>
          <w:b/>
          <w:bCs/>
          <w:lang w:val="fr-FR"/>
        </w:rPr>
        <w:t xml:space="preserve">Protocole facultatif ; </w:t>
      </w:r>
    </w:p>
    <w:p w14:paraId="30D2493F" w14:textId="1ACCCFFB" w:rsidR="008F1465" w:rsidRPr="003A411E" w:rsidRDefault="00434A08" w:rsidP="002F16F6">
      <w:pPr>
        <w:pStyle w:val="SingleTxtG"/>
        <w:ind w:firstLine="567"/>
        <w:rPr>
          <w:b/>
          <w:lang w:val="fr-FR"/>
        </w:rPr>
      </w:pPr>
      <w:r w:rsidRPr="003A411E">
        <w:rPr>
          <w:b/>
          <w:lang w:val="fr-FR"/>
        </w:rPr>
        <w:t>b)</w:t>
      </w:r>
      <w:r w:rsidRPr="003A411E">
        <w:rPr>
          <w:b/>
          <w:lang w:val="fr-FR"/>
        </w:rPr>
        <w:tab/>
      </w:r>
      <w:r w:rsidR="002F16F6" w:rsidRPr="003A411E">
        <w:rPr>
          <w:b/>
          <w:lang w:val="fr-FR"/>
        </w:rPr>
        <w:t>D’</w:t>
      </w:r>
      <w:r w:rsidR="008F1465" w:rsidRPr="003A411E">
        <w:rPr>
          <w:b/>
          <w:lang w:val="fr-FR"/>
        </w:rPr>
        <w:t>alloue</w:t>
      </w:r>
      <w:r w:rsidR="002F16F6" w:rsidRPr="003A411E">
        <w:rPr>
          <w:b/>
          <w:lang w:val="fr-FR"/>
        </w:rPr>
        <w:t>r</w:t>
      </w:r>
      <w:r w:rsidR="008F1465" w:rsidRPr="003A411E">
        <w:rPr>
          <w:b/>
          <w:lang w:val="fr-FR"/>
        </w:rPr>
        <w:t xml:space="preserve"> aux postes de police les ressources financières suffisantes pour disposer de locaux appropriés pour </w:t>
      </w:r>
      <w:r w:rsidR="002F16F6" w:rsidRPr="003A411E">
        <w:rPr>
          <w:b/>
          <w:lang w:val="fr-FR"/>
        </w:rPr>
        <w:t>leur</w:t>
      </w:r>
      <w:r w:rsidR="008F1465" w:rsidRPr="003A411E">
        <w:rPr>
          <w:b/>
          <w:lang w:val="fr-FR"/>
        </w:rPr>
        <w:t xml:space="preserve"> personnel</w:t>
      </w:r>
      <w:r w:rsidR="002F16F6" w:rsidRPr="003A411E">
        <w:rPr>
          <w:b/>
          <w:lang w:val="fr-FR"/>
        </w:rPr>
        <w:t>,</w:t>
      </w:r>
      <w:r w:rsidR="008F1465" w:rsidRPr="003A411E">
        <w:rPr>
          <w:b/>
          <w:lang w:val="fr-FR"/>
        </w:rPr>
        <w:t xml:space="preserve"> en vue du bon fonctionnement des services, </w:t>
      </w:r>
      <w:r w:rsidR="002F16F6" w:rsidRPr="003A411E">
        <w:rPr>
          <w:b/>
          <w:lang w:val="fr-FR"/>
        </w:rPr>
        <w:t xml:space="preserve">ainsi que </w:t>
      </w:r>
      <w:r w:rsidR="008F1465" w:rsidRPr="003A411E">
        <w:rPr>
          <w:b/>
          <w:lang w:val="fr-FR"/>
        </w:rPr>
        <w:t xml:space="preserve">pour </w:t>
      </w:r>
      <w:r w:rsidR="002F16F6" w:rsidRPr="003A411E">
        <w:rPr>
          <w:b/>
          <w:lang w:val="fr-FR"/>
        </w:rPr>
        <w:t xml:space="preserve">fournir </w:t>
      </w:r>
      <w:r w:rsidR="008F1465" w:rsidRPr="003A411E">
        <w:rPr>
          <w:b/>
          <w:lang w:val="fr-FR"/>
        </w:rPr>
        <w:t xml:space="preserve">la nourriture et </w:t>
      </w:r>
      <w:r w:rsidR="002F16F6" w:rsidRPr="003A411E">
        <w:rPr>
          <w:b/>
          <w:lang w:val="fr-FR"/>
        </w:rPr>
        <w:t>l</w:t>
      </w:r>
      <w:r w:rsidR="008F1465" w:rsidRPr="003A411E">
        <w:rPr>
          <w:b/>
          <w:lang w:val="fr-FR"/>
        </w:rPr>
        <w:t xml:space="preserve">es soins </w:t>
      </w:r>
      <w:r w:rsidR="002F16F6" w:rsidRPr="003A411E">
        <w:rPr>
          <w:b/>
          <w:lang w:val="fr-FR"/>
        </w:rPr>
        <w:t xml:space="preserve">nécessaires </w:t>
      </w:r>
      <w:r w:rsidR="008F1465" w:rsidRPr="003A411E">
        <w:rPr>
          <w:b/>
          <w:lang w:val="fr-FR"/>
        </w:rPr>
        <w:t xml:space="preserve">aux détenus. </w:t>
      </w:r>
    </w:p>
    <w:p w14:paraId="0E50B8F3" w14:textId="3E53921F" w:rsidR="008F1465" w:rsidRPr="003A411E" w:rsidRDefault="00242A26" w:rsidP="00D66AEE">
      <w:pPr>
        <w:pStyle w:val="H1G"/>
        <w:rPr>
          <w:lang w:val="fr-FR"/>
        </w:rPr>
      </w:pPr>
      <w:r w:rsidRPr="003A411E">
        <w:rPr>
          <w:lang w:val="fr-FR"/>
        </w:rPr>
        <w:tab/>
      </w:r>
      <w:r w:rsidR="008F1465" w:rsidRPr="003A411E">
        <w:rPr>
          <w:lang w:val="fr-FR"/>
        </w:rPr>
        <w:t xml:space="preserve">B. </w:t>
      </w:r>
      <w:r w:rsidR="008F1465" w:rsidRPr="003A411E">
        <w:rPr>
          <w:lang w:val="fr-FR"/>
        </w:rPr>
        <w:tab/>
      </w:r>
      <w:r w:rsidR="00D66AEE" w:rsidRPr="003A411E">
        <w:rPr>
          <w:lang w:val="fr-FR"/>
        </w:rPr>
        <w:t>É</w:t>
      </w:r>
      <w:r w:rsidR="008F1465" w:rsidRPr="003A411E">
        <w:rPr>
          <w:lang w:val="fr-FR"/>
        </w:rPr>
        <w:t>tablissements pénitentiaires</w:t>
      </w:r>
    </w:p>
    <w:p w14:paraId="49D40B8F" w14:textId="2719831C" w:rsidR="008F1465" w:rsidRPr="003A411E" w:rsidRDefault="00242A26" w:rsidP="00242A26">
      <w:pPr>
        <w:pStyle w:val="H23G"/>
        <w:rPr>
          <w:lang w:val="fr-FR"/>
        </w:rPr>
      </w:pPr>
      <w:r w:rsidRPr="003A411E">
        <w:rPr>
          <w:lang w:val="fr-FR"/>
        </w:rPr>
        <w:tab/>
      </w:r>
      <w:r w:rsidR="008F1465" w:rsidRPr="003A411E">
        <w:rPr>
          <w:lang w:val="fr-FR"/>
        </w:rPr>
        <w:t>1.</w:t>
      </w:r>
      <w:r w:rsidR="008F1465" w:rsidRPr="003A411E">
        <w:rPr>
          <w:lang w:val="fr-FR"/>
        </w:rPr>
        <w:tab/>
        <w:t xml:space="preserve">Conditions matérielles de détention </w:t>
      </w:r>
    </w:p>
    <w:p w14:paraId="66CC3926" w14:textId="3D5E28E3" w:rsidR="00242A26" w:rsidRPr="003A411E" w:rsidRDefault="009C7184" w:rsidP="00677254">
      <w:pPr>
        <w:pStyle w:val="H4G"/>
      </w:pPr>
      <w:r w:rsidRPr="003A411E">
        <w:tab/>
        <w:t>i.</w:t>
      </w:r>
      <w:r w:rsidRPr="003A411E">
        <w:tab/>
      </w:r>
      <w:r w:rsidR="008F1465" w:rsidRPr="003A411E">
        <w:t xml:space="preserve">Prison de </w:t>
      </w:r>
      <w:r w:rsidR="002F16F6" w:rsidRPr="003A411E">
        <w:t>h</w:t>
      </w:r>
      <w:r w:rsidR="008F1465" w:rsidRPr="003A411E">
        <w:t xml:space="preserve">aute </w:t>
      </w:r>
      <w:r w:rsidR="002F16F6" w:rsidRPr="003A411E">
        <w:t>s</w:t>
      </w:r>
      <w:r w:rsidR="008F1465" w:rsidRPr="003A411E">
        <w:t>écurité de Ouagadougou</w:t>
      </w:r>
    </w:p>
    <w:p w14:paraId="43B95C98" w14:textId="38BC7F6E" w:rsidR="008F1465" w:rsidRPr="003A411E" w:rsidRDefault="00242A26" w:rsidP="00534B76">
      <w:pPr>
        <w:pStyle w:val="SingleTxtG"/>
        <w:rPr>
          <w:lang w:val="fr-FR"/>
        </w:rPr>
      </w:pPr>
      <w:r w:rsidRPr="003A411E">
        <w:rPr>
          <w:lang w:val="fr-FR"/>
        </w:rPr>
        <w:t>8</w:t>
      </w:r>
      <w:r w:rsidR="00534B76" w:rsidRPr="003A411E">
        <w:rPr>
          <w:lang w:val="fr-FR"/>
        </w:rPr>
        <w:t>4</w:t>
      </w:r>
      <w:r w:rsidRPr="003A411E">
        <w:rPr>
          <w:lang w:val="fr-FR"/>
        </w:rPr>
        <w:t>.</w:t>
      </w:r>
      <w:r w:rsidRPr="003A411E">
        <w:rPr>
          <w:lang w:val="fr-FR"/>
        </w:rPr>
        <w:tab/>
      </w:r>
      <w:r w:rsidR="008F1465" w:rsidRPr="003A411E">
        <w:rPr>
          <w:lang w:val="fr-FR"/>
        </w:rPr>
        <w:t xml:space="preserve">La </w:t>
      </w:r>
      <w:r w:rsidR="002F16F6" w:rsidRPr="003A411E">
        <w:rPr>
          <w:lang w:val="fr-FR"/>
        </w:rPr>
        <w:t>prison de haute sécurité</w:t>
      </w:r>
      <w:r w:rsidR="008F1465" w:rsidRPr="003A411E">
        <w:rPr>
          <w:lang w:val="fr-FR"/>
        </w:rPr>
        <w:t xml:space="preserve"> de Ouagadougou accueille des condamnés pour terrorisme, des condamnés à mort et des mineurs. </w:t>
      </w:r>
    </w:p>
    <w:p w14:paraId="3921FB60" w14:textId="243E6019" w:rsidR="008F1465" w:rsidRPr="003A411E" w:rsidRDefault="00242A26" w:rsidP="009D3F30">
      <w:pPr>
        <w:pStyle w:val="SingleTxtG"/>
        <w:rPr>
          <w:lang w:val="fr-FR"/>
        </w:rPr>
      </w:pPr>
      <w:r w:rsidRPr="003A411E">
        <w:rPr>
          <w:lang w:val="fr-FR"/>
        </w:rPr>
        <w:t>8</w:t>
      </w:r>
      <w:r w:rsidR="00534B76" w:rsidRPr="003A411E">
        <w:rPr>
          <w:lang w:val="fr-FR"/>
        </w:rPr>
        <w:t>5</w:t>
      </w:r>
      <w:r w:rsidRPr="003A411E">
        <w:rPr>
          <w:lang w:val="fr-FR"/>
        </w:rPr>
        <w:t>.</w:t>
      </w:r>
      <w:r w:rsidRPr="003A411E">
        <w:rPr>
          <w:lang w:val="fr-FR"/>
        </w:rPr>
        <w:tab/>
      </w:r>
      <w:r w:rsidR="008F1465" w:rsidRPr="003A411E">
        <w:rPr>
          <w:lang w:val="fr-FR"/>
        </w:rPr>
        <w:t>Bien que cet établissement ne souffre pas de surpopulation carcérale, le Sous-</w:t>
      </w:r>
      <w:r w:rsidR="006A2C77" w:rsidRPr="003A411E">
        <w:rPr>
          <w:lang w:val="fr-FR"/>
        </w:rPr>
        <w:t>C</w:t>
      </w:r>
      <w:r w:rsidR="008F1465" w:rsidRPr="003A411E">
        <w:rPr>
          <w:lang w:val="fr-FR"/>
        </w:rPr>
        <w:t xml:space="preserve">omité est préoccupé par le fait que les mineurs y </w:t>
      </w:r>
      <w:r w:rsidR="008F0F3F" w:rsidRPr="003A411E">
        <w:rPr>
          <w:lang w:val="fr-FR"/>
        </w:rPr>
        <w:t>étaient</w:t>
      </w:r>
      <w:r w:rsidR="008F1465" w:rsidRPr="003A411E">
        <w:rPr>
          <w:lang w:val="fr-FR"/>
        </w:rPr>
        <w:t xml:space="preserve"> détenus sans </w:t>
      </w:r>
      <w:r w:rsidR="009D3F30" w:rsidRPr="003A411E">
        <w:rPr>
          <w:lang w:val="fr-FR"/>
        </w:rPr>
        <w:t>être séparés</w:t>
      </w:r>
      <w:r w:rsidR="008F1465" w:rsidRPr="003A411E">
        <w:rPr>
          <w:lang w:val="fr-FR"/>
        </w:rPr>
        <w:t xml:space="preserve"> des adultes.</w:t>
      </w:r>
      <w:r w:rsidR="00C11E12">
        <w:rPr>
          <w:lang w:val="fr-FR"/>
        </w:rPr>
        <w:t xml:space="preserve"> </w:t>
      </w:r>
    </w:p>
    <w:p w14:paraId="67B568A4" w14:textId="21395C58" w:rsidR="008F1465" w:rsidRPr="003A411E" w:rsidRDefault="00242A26" w:rsidP="007023ED">
      <w:pPr>
        <w:pStyle w:val="SingleTxtG"/>
        <w:rPr>
          <w:lang w:val="fr-FR"/>
        </w:rPr>
      </w:pPr>
      <w:r w:rsidRPr="003A411E">
        <w:rPr>
          <w:lang w:val="fr-FR"/>
        </w:rPr>
        <w:t>8</w:t>
      </w:r>
      <w:r w:rsidR="00534B76" w:rsidRPr="003A411E">
        <w:rPr>
          <w:lang w:val="fr-FR"/>
        </w:rPr>
        <w:t>6</w:t>
      </w:r>
      <w:r w:rsidRPr="003A411E">
        <w:rPr>
          <w:lang w:val="fr-FR"/>
        </w:rPr>
        <w:t>.</w:t>
      </w:r>
      <w:r w:rsidRPr="003A411E">
        <w:rPr>
          <w:lang w:val="fr-FR"/>
        </w:rPr>
        <w:tab/>
      </w:r>
      <w:r w:rsidR="008F1465" w:rsidRPr="003A411E">
        <w:rPr>
          <w:lang w:val="fr-FR"/>
        </w:rPr>
        <w:t xml:space="preserve">Les visites </w:t>
      </w:r>
      <w:r w:rsidR="00444208" w:rsidRPr="003A411E">
        <w:rPr>
          <w:lang w:val="fr-FR"/>
        </w:rPr>
        <w:t xml:space="preserve">y </w:t>
      </w:r>
      <w:r w:rsidR="008F0F3F" w:rsidRPr="003A411E">
        <w:rPr>
          <w:lang w:val="fr-FR"/>
        </w:rPr>
        <w:t>avaient</w:t>
      </w:r>
      <w:r w:rsidR="008F1465" w:rsidRPr="003A411E">
        <w:rPr>
          <w:lang w:val="fr-FR"/>
        </w:rPr>
        <w:t xml:space="preserve"> souvent </w:t>
      </w:r>
      <w:r w:rsidR="002F16F6" w:rsidRPr="003A411E">
        <w:rPr>
          <w:lang w:val="fr-FR"/>
        </w:rPr>
        <w:t xml:space="preserve">lieu </w:t>
      </w:r>
      <w:r w:rsidR="008F1465" w:rsidRPr="003A411E">
        <w:rPr>
          <w:lang w:val="fr-FR"/>
        </w:rPr>
        <w:t>en fin de semaine (</w:t>
      </w:r>
      <w:r w:rsidR="00444208" w:rsidRPr="003A411E">
        <w:rPr>
          <w:lang w:val="fr-FR"/>
        </w:rPr>
        <w:t>quinze</w:t>
      </w:r>
      <w:r w:rsidR="008F1465" w:rsidRPr="003A411E">
        <w:rPr>
          <w:lang w:val="fr-FR"/>
        </w:rPr>
        <w:t xml:space="preserve"> minutes en contact direct et en présence d’un gardien). Cependant, </w:t>
      </w:r>
      <w:r w:rsidR="00444208" w:rsidRPr="003A411E">
        <w:rPr>
          <w:lang w:val="fr-FR"/>
        </w:rPr>
        <w:t>c</w:t>
      </w:r>
      <w:r w:rsidR="008F1465" w:rsidRPr="003A411E">
        <w:rPr>
          <w:lang w:val="fr-FR"/>
        </w:rPr>
        <w:t xml:space="preserve">es visites </w:t>
      </w:r>
      <w:r w:rsidR="008F0F3F" w:rsidRPr="003A411E">
        <w:rPr>
          <w:lang w:val="fr-FR"/>
        </w:rPr>
        <w:t>étaient</w:t>
      </w:r>
      <w:r w:rsidR="008F1465" w:rsidRPr="003A411E">
        <w:rPr>
          <w:lang w:val="fr-FR"/>
        </w:rPr>
        <w:t xml:space="preserve"> rares</w:t>
      </w:r>
      <w:r w:rsidR="007023ED" w:rsidRPr="003A411E">
        <w:rPr>
          <w:lang w:val="fr-FR"/>
        </w:rPr>
        <w:t> :</w:t>
      </w:r>
      <w:r w:rsidR="008F1465" w:rsidRPr="003A411E">
        <w:rPr>
          <w:lang w:val="fr-FR"/>
        </w:rPr>
        <w:t xml:space="preserve"> 30 détenus </w:t>
      </w:r>
      <w:r w:rsidR="00444208" w:rsidRPr="003A411E">
        <w:rPr>
          <w:lang w:val="fr-FR"/>
        </w:rPr>
        <w:t xml:space="preserve">tout au plus </w:t>
      </w:r>
      <w:r w:rsidR="008F0F3F" w:rsidRPr="003A411E">
        <w:rPr>
          <w:lang w:val="fr-FR"/>
        </w:rPr>
        <w:t>recevaient</w:t>
      </w:r>
      <w:r w:rsidR="008F1465" w:rsidRPr="003A411E">
        <w:rPr>
          <w:lang w:val="fr-FR"/>
        </w:rPr>
        <w:t xml:space="preserve"> des visites régulières de</w:t>
      </w:r>
      <w:r w:rsidR="00444208" w:rsidRPr="003A411E">
        <w:rPr>
          <w:lang w:val="fr-FR"/>
        </w:rPr>
        <w:t xml:space="preserve"> leur</w:t>
      </w:r>
      <w:r w:rsidR="008F1465" w:rsidRPr="003A411E">
        <w:rPr>
          <w:lang w:val="fr-FR"/>
        </w:rPr>
        <w:t xml:space="preserve"> famille et moins </w:t>
      </w:r>
      <w:r w:rsidR="00444208" w:rsidRPr="003A411E">
        <w:rPr>
          <w:lang w:val="fr-FR"/>
        </w:rPr>
        <w:t>encore</w:t>
      </w:r>
      <w:r w:rsidR="008F1465" w:rsidRPr="003A411E">
        <w:rPr>
          <w:lang w:val="fr-FR"/>
        </w:rPr>
        <w:t xml:space="preserve"> </w:t>
      </w:r>
      <w:r w:rsidR="008F0F3F" w:rsidRPr="003A411E">
        <w:rPr>
          <w:lang w:val="fr-FR"/>
        </w:rPr>
        <w:t>recevaient</w:t>
      </w:r>
      <w:r w:rsidR="008F1465" w:rsidRPr="003A411E">
        <w:rPr>
          <w:lang w:val="fr-FR"/>
        </w:rPr>
        <w:t xml:space="preserve"> la visite d’avocats. En raison des risques d’évasion, la cour de promenade n’</w:t>
      </w:r>
      <w:r w:rsidR="008F0F3F" w:rsidRPr="003A411E">
        <w:rPr>
          <w:lang w:val="fr-FR"/>
        </w:rPr>
        <w:t>était</w:t>
      </w:r>
      <w:r w:rsidR="008F1465" w:rsidRPr="003A411E">
        <w:rPr>
          <w:lang w:val="fr-FR"/>
        </w:rPr>
        <w:t xml:space="preserve"> pas utilisée</w:t>
      </w:r>
      <w:r w:rsidR="00444208" w:rsidRPr="003A411E">
        <w:rPr>
          <w:lang w:val="fr-FR"/>
        </w:rPr>
        <w:t> ;</w:t>
      </w:r>
      <w:r w:rsidR="008F1465" w:rsidRPr="003A411E">
        <w:rPr>
          <w:lang w:val="fr-FR"/>
        </w:rPr>
        <w:t xml:space="preserve"> les détenus ne bénéfici</w:t>
      </w:r>
      <w:r w:rsidR="008F0F3F" w:rsidRPr="003A411E">
        <w:rPr>
          <w:lang w:val="fr-FR"/>
        </w:rPr>
        <w:t>ai</w:t>
      </w:r>
      <w:r w:rsidR="008F1465" w:rsidRPr="003A411E">
        <w:rPr>
          <w:lang w:val="fr-FR"/>
        </w:rPr>
        <w:t xml:space="preserve">ent </w:t>
      </w:r>
      <w:r w:rsidR="00444208" w:rsidRPr="003A411E">
        <w:rPr>
          <w:lang w:val="fr-FR"/>
        </w:rPr>
        <w:t xml:space="preserve">donc </w:t>
      </w:r>
      <w:r w:rsidR="008F1465" w:rsidRPr="003A411E">
        <w:rPr>
          <w:lang w:val="fr-FR"/>
        </w:rPr>
        <w:t xml:space="preserve">pas d’exercice en plein air. Ils se </w:t>
      </w:r>
      <w:r w:rsidR="008F0F3F" w:rsidRPr="003A411E">
        <w:rPr>
          <w:lang w:val="fr-FR"/>
        </w:rPr>
        <w:t>promenaient</w:t>
      </w:r>
      <w:r w:rsidR="008F1465" w:rsidRPr="003A411E">
        <w:rPr>
          <w:lang w:val="fr-FR"/>
        </w:rPr>
        <w:t xml:space="preserve"> dans les couloirs des blocs. </w:t>
      </w:r>
    </w:p>
    <w:p w14:paraId="357C4275" w14:textId="4CF3CCEE" w:rsidR="008F1465" w:rsidRPr="003A411E" w:rsidRDefault="00242A26" w:rsidP="00534B76">
      <w:pPr>
        <w:pStyle w:val="SingleTxtG"/>
        <w:rPr>
          <w:lang w:val="fr-FR"/>
        </w:rPr>
      </w:pPr>
      <w:r w:rsidRPr="003A411E">
        <w:rPr>
          <w:lang w:val="fr-FR"/>
        </w:rPr>
        <w:t>8</w:t>
      </w:r>
      <w:r w:rsidR="00534B76" w:rsidRPr="003A411E">
        <w:rPr>
          <w:lang w:val="fr-FR"/>
        </w:rPr>
        <w:t>7</w:t>
      </w:r>
      <w:r w:rsidRPr="003A411E">
        <w:rPr>
          <w:lang w:val="fr-FR"/>
        </w:rPr>
        <w:t>.</w:t>
      </w:r>
      <w:r w:rsidRPr="003A411E">
        <w:rPr>
          <w:lang w:val="fr-FR"/>
        </w:rPr>
        <w:tab/>
      </w:r>
      <w:r w:rsidR="00444208" w:rsidRPr="003A411E">
        <w:rPr>
          <w:lang w:val="fr-FR"/>
        </w:rPr>
        <w:t>L’alimentation des détenus</w:t>
      </w:r>
      <w:r w:rsidR="008F1465" w:rsidRPr="003A411E">
        <w:rPr>
          <w:lang w:val="fr-FR"/>
        </w:rPr>
        <w:t xml:space="preserve"> </w:t>
      </w:r>
      <w:r w:rsidR="00444208" w:rsidRPr="003A411E">
        <w:rPr>
          <w:lang w:val="fr-FR"/>
        </w:rPr>
        <w:t xml:space="preserve">y </w:t>
      </w:r>
      <w:r w:rsidR="008F0F3F" w:rsidRPr="003A411E">
        <w:rPr>
          <w:lang w:val="fr-FR"/>
        </w:rPr>
        <w:t>était</w:t>
      </w:r>
      <w:r w:rsidR="008F1465" w:rsidRPr="003A411E">
        <w:rPr>
          <w:lang w:val="fr-FR"/>
        </w:rPr>
        <w:t xml:space="preserve"> insuffisante (un repas par jour, principalement du riz et des haricots), non équilibrée (jamais de légume</w:t>
      </w:r>
      <w:r w:rsidR="00444208" w:rsidRPr="003A411E">
        <w:rPr>
          <w:lang w:val="fr-FR"/>
        </w:rPr>
        <w:t>s</w:t>
      </w:r>
      <w:r w:rsidR="008F1465" w:rsidRPr="003A411E">
        <w:rPr>
          <w:lang w:val="fr-FR"/>
        </w:rPr>
        <w:t xml:space="preserve"> </w:t>
      </w:r>
      <w:r w:rsidR="00444208" w:rsidRPr="003A411E">
        <w:rPr>
          <w:lang w:val="fr-FR"/>
        </w:rPr>
        <w:t>ou</w:t>
      </w:r>
      <w:r w:rsidR="008F1465" w:rsidRPr="003A411E">
        <w:rPr>
          <w:lang w:val="fr-FR"/>
        </w:rPr>
        <w:t xml:space="preserve"> de fruits) et de mauvaise qualité.</w:t>
      </w:r>
    </w:p>
    <w:p w14:paraId="7B0E4509" w14:textId="626662D7" w:rsidR="008F1465" w:rsidRPr="003A411E" w:rsidRDefault="002F16F6" w:rsidP="00677254">
      <w:pPr>
        <w:pStyle w:val="H4G"/>
        <w:rPr>
          <w:lang w:val="fr-FR"/>
        </w:rPr>
      </w:pPr>
      <w:r w:rsidRPr="003A411E">
        <w:rPr>
          <w:lang w:val="fr-FR"/>
        </w:rPr>
        <w:tab/>
      </w:r>
      <w:r w:rsidR="009C7184" w:rsidRPr="003A411E">
        <w:rPr>
          <w:lang w:val="fr-FR"/>
        </w:rPr>
        <w:t>ii.</w:t>
      </w:r>
      <w:r w:rsidR="009C7184" w:rsidRPr="003A411E">
        <w:rPr>
          <w:lang w:val="fr-FR"/>
        </w:rPr>
        <w:tab/>
      </w:r>
      <w:r w:rsidR="008F1465" w:rsidRPr="003A411E">
        <w:rPr>
          <w:lang w:val="fr-FR"/>
        </w:rPr>
        <w:t>Maison d’</w:t>
      </w:r>
      <w:r w:rsidR="00444208" w:rsidRPr="003A411E">
        <w:rPr>
          <w:lang w:val="fr-FR"/>
        </w:rPr>
        <w:t>a</w:t>
      </w:r>
      <w:r w:rsidR="008F1465" w:rsidRPr="003A411E">
        <w:rPr>
          <w:lang w:val="fr-FR"/>
        </w:rPr>
        <w:t xml:space="preserve">rrêt et de </w:t>
      </w:r>
      <w:r w:rsidR="00444208" w:rsidRPr="003A411E">
        <w:rPr>
          <w:lang w:val="fr-FR"/>
        </w:rPr>
        <w:t>c</w:t>
      </w:r>
      <w:r w:rsidR="008F1465" w:rsidRPr="003A411E">
        <w:rPr>
          <w:lang w:val="fr-FR"/>
        </w:rPr>
        <w:t>orrection de Ouagadougou</w:t>
      </w:r>
    </w:p>
    <w:p w14:paraId="6D7B75DC" w14:textId="163B5194" w:rsidR="008F1465" w:rsidRPr="003A411E" w:rsidRDefault="00444208" w:rsidP="007023ED">
      <w:pPr>
        <w:pStyle w:val="SingleTxtG"/>
        <w:rPr>
          <w:lang w:val="fr-FR"/>
        </w:rPr>
      </w:pPr>
      <w:r w:rsidRPr="003A411E">
        <w:rPr>
          <w:lang w:val="fr-FR"/>
        </w:rPr>
        <w:t>8</w:t>
      </w:r>
      <w:r w:rsidR="00534B76" w:rsidRPr="003A411E">
        <w:rPr>
          <w:lang w:val="fr-FR"/>
        </w:rPr>
        <w:t>8</w:t>
      </w:r>
      <w:r w:rsidR="00242A26" w:rsidRPr="003A411E">
        <w:rPr>
          <w:lang w:val="fr-FR"/>
        </w:rPr>
        <w:t>.</w:t>
      </w:r>
      <w:r w:rsidR="00242A26" w:rsidRPr="003A411E">
        <w:rPr>
          <w:lang w:val="fr-FR"/>
        </w:rPr>
        <w:tab/>
      </w:r>
      <w:r w:rsidR="008F1465" w:rsidRPr="003A411E">
        <w:rPr>
          <w:lang w:val="fr-FR"/>
        </w:rPr>
        <w:t xml:space="preserve">En novembre 2017, la </w:t>
      </w:r>
      <w:r w:rsidRPr="003A411E">
        <w:rPr>
          <w:lang w:val="fr-FR"/>
        </w:rPr>
        <w:t>maison d’arrêt et de correction de Ouagadougou</w:t>
      </w:r>
      <w:r w:rsidR="008F1465" w:rsidRPr="003A411E">
        <w:rPr>
          <w:lang w:val="fr-FR"/>
        </w:rPr>
        <w:t xml:space="preserve"> abritait 2</w:t>
      </w:r>
      <w:r w:rsidRPr="003A411E">
        <w:rPr>
          <w:lang w:val="fr-FR"/>
        </w:rPr>
        <w:t> </w:t>
      </w:r>
      <w:r w:rsidR="008F1465" w:rsidRPr="003A411E">
        <w:rPr>
          <w:lang w:val="fr-FR"/>
        </w:rPr>
        <w:t>369</w:t>
      </w:r>
      <w:r w:rsidR="007023ED" w:rsidRPr="003A411E">
        <w:rPr>
          <w:lang w:val="fr-FR"/>
        </w:rPr>
        <w:t> </w:t>
      </w:r>
      <w:r w:rsidR="008F1465" w:rsidRPr="003A411E">
        <w:rPr>
          <w:lang w:val="fr-FR"/>
        </w:rPr>
        <w:t>détenus</w:t>
      </w:r>
      <w:r w:rsidRPr="003A411E">
        <w:rPr>
          <w:lang w:val="fr-FR"/>
        </w:rPr>
        <w:t>,</w:t>
      </w:r>
      <w:r w:rsidR="008F1465" w:rsidRPr="003A411E">
        <w:rPr>
          <w:lang w:val="fr-FR"/>
        </w:rPr>
        <w:t xml:space="preserve"> avec un</w:t>
      </w:r>
      <w:r w:rsidRPr="003A411E">
        <w:rPr>
          <w:lang w:val="fr-FR"/>
        </w:rPr>
        <w:t xml:space="preserve"> taux d</w:t>
      </w:r>
      <w:r w:rsidR="008F1465" w:rsidRPr="003A411E">
        <w:rPr>
          <w:lang w:val="fr-FR"/>
        </w:rPr>
        <w:t>e surpopulation carcérale d’environ 316</w:t>
      </w:r>
      <w:r w:rsidRPr="003A411E">
        <w:rPr>
          <w:lang w:val="fr-FR"/>
        </w:rPr>
        <w:t> </w:t>
      </w:r>
      <w:r w:rsidR="008F1465" w:rsidRPr="003A411E">
        <w:rPr>
          <w:lang w:val="fr-FR"/>
        </w:rPr>
        <w:t xml:space="preserve">%. </w:t>
      </w:r>
      <w:r w:rsidRPr="003A411E">
        <w:rPr>
          <w:lang w:val="fr-FR"/>
        </w:rPr>
        <w:t>Q</w:t>
      </w:r>
      <w:r w:rsidR="008F1465" w:rsidRPr="003A411E">
        <w:rPr>
          <w:lang w:val="fr-FR"/>
        </w:rPr>
        <w:t xml:space="preserve">uatre condamnés à mort </w:t>
      </w:r>
      <w:r w:rsidRPr="003A411E">
        <w:rPr>
          <w:lang w:val="fr-FR"/>
        </w:rPr>
        <w:t xml:space="preserve">y étaient </w:t>
      </w:r>
      <w:r w:rsidR="008F1465" w:rsidRPr="003A411E">
        <w:rPr>
          <w:lang w:val="fr-FR"/>
        </w:rPr>
        <w:t xml:space="preserve">détenus en cellule individuelle. Les condamnés </w:t>
      </w:r>
      <w:r w:rsidRPr="003A411E">
        <w:rPr>
          <w:lang w:val="fr-FR"/>
        </w:rPr>
        <w:t>n’y</w:t>
      </w:r>
      <w:r w:rsidR="008F1465" w:rsidRPr="003A411E">
        <w:rPr>
          <w:lang w:val="fr-FR"/>
        </w:rPr>
        <w:t xml:space="preserve"> </w:t>
      </w:r>
      <w:r w:rsidR="008F0F3F" w:rsidRPr="003A411E">
        <w:rPr>
          <w:lang w:val="fr-FR"/>
        </w:rPr>
        <w:t>étaient</w:t>
      </w:r>
      <w:r w:rsidR="008F1465" w:rsidRPr="003A411E">
        <w:rPr>
          <w:lang w:val="fr-FR"/>
        </w:rPr>
        <w:t xml:space="preserve"> pas séparés des prévenus.</w:t>
      </w:r>
    </w:p>
    <w:p w14:paraId="3465620C" w14:textId="32C36AA2" w:rsidR="008F1465" w:rsidRPr="003A411E" w:rsidRDefault="00444208" w:rsidP="008F0F3F">
      <w:pPr>
        <w:pStyle w:val="SingleTxtG"/>
        <w:rPr>
          <w:lang w:val="fr-FR"/>
        </w:rPr>
      </w:pPr>
      <w:r w:rsidRPr="003A411E">
        <w:rPr>
          <w:lang w:val="fr-FR"/>
        </w:rPr>
        <w:t>8</w:t>
      </w:r>
      <w:r w:rsidR="00242A26" w:rsidRPr="003A411E">
        <w:rPr>
          <w:lang w:val="fr-FR"/>
        </w:rPr>
        <w:t>9.</w:t>
      </w:r>
      <w:r w:rsidR="00242A26" w:rsidRPr="003A411E">
        <w:rPr>
          <w:lang w:val="fr-FR"/>
        </w:rPr>
        <w:tab/>
      </w:r>
      <w:r w:rsidR="008F1465" w:rsidRPr="003A411E">
        <w:rPr>
          <w:lang w:val="fr-FR"/>
        </w:rPr>
        <w:t xml:space="preserve">Une partie de l’ancien bâtiment </w:t>
      </w:r>
      <w:r w:rsidR="008F0F3F" w:rsidRPr="003A411E">
        <w:rPr>
          <w:lang w:val="fr-FR"/>
        </w:rPr>
        <w:t>était</w:t>
      </w:r>
      <w:r w:rsidR="008F1465" w:rsidRPr="003A411E">
        <w:rPr>
          <w:lang w:val="fr-FR"/>
        </w:rPr>
        <w:t xml:space="preserve"> fermée en raison de son délabrement, tandis que le nouveau bâtiment </w:t>
      </w:r>
      <w:r w:rsidR="008F0F3F" w:rsidRPr="003A411E">
        <w:rPr>
          <w:lang w:val="fr-FR"/>
        </w:rPr>
        <w:t>était</w:t>
      </w:r>
      <w:r w:rsidR="008F1465" w:rsidRPr="003A411E">
        <w:rPr>
          <w:lang w:val="fr-FR"/>
        </w:rPr>
        <w:t xml:space="preserve"> mal conçu en termes d’espace et d’aération. L’autre partie de l’ancien bâtiment, bien qu’inadaptée à </w:t>
      </w:r>
      <w:r w:rsidR="008F0F3F" w:rsidRPr="003A411E">
        <w:rPr>
          <w:lang w:val="fr-FR"/>
        </w:rPr>
        <w:t>l’accueil</w:t>
      </w:r>
      <w:r w:rsidR="008F1465" w:rsidRPr="003A411E">
        <w:rPr>
          <w:lang w:val="fr-FR"/>
        </w:rPr>
        <w:t xml:space="preserve"> des détenus, demeur</w:t>
      </w:r>
      <w:r w:rsidR="008F0F3F" w:rsidRPr="003A411E">
        <w:rPr>
          <w:lang w:val="fr-FR"/>
        </w:rPr>
        <w:t>ait</w:t>
      </w:r>
      <w:r w:rsidR="008F1465" w:rsidRPr="003A411E">
        <w:rPr>
          <w:lang w:val="fr-FR"/>
        </w:rPr>
        <w:t xml:space="preserve"> ouverte en raison de la surpopulation qui touch</w:t>
      </w:r>
      <w:r w:rsidR="008F0F3F" w:rsidRPr="003A411E">
        <w:rPr>
          <w:lang w:val="fr-FR"/>
        </w:rPr>
        <w:t>ait</w:t>
      </w:r>
      <w:r w:rsidR="008F1465" w:rsidRPr="003A411E">
        <w:rPr>
          <w:lang w:val="fr-FR"/>
        </w:rPr>
        <w:t xml:space="preserve"> les autres bâtiments. Le Sous-</w:t>
      </w:r>
      <w:r w:rsidR="006A2C77" w:rsidRPr="003A411E">
        <w:rPr>
          <w:lang w:val="fr-FR"/>
        </w:rPr>
        <w:t>C</w:t>
      </w:r>
      <w:r w:rsidR="008F1465" w:rsidRPr="003A411E">
        <w:rPr>
          <w:lang w:val="fr-FR"/>
        </w:rPr>
        <w:t xml:space="preserve">omité est préoccupé par cette surpopulation. </w:t>
      </w:r>
    </w:p>
    <w:p w14:paraId="306F3A35" w14:textId="12A96C76" w:rsidR="008F1465" w:rsidRPr="003A411E" w:rsidRDefault="00242A26" w:rsidP="008F0F3F">
      <w:pPr>
        <w:pStyle w:val="SingleTxtG"/>
        <w:rPr>
          <w:lang w:val="fr-FR"/>
        </w:rPr>
      </w:pPr>
      <w:r w:rsidRPr="003A411E">
        <w:rPr>
          <w:lang w:val="fr-FR"/>
        </w:rPr>
        <w:t>9</w:t>
      </w:r>
      <w:r w:rsidR="00534B76" w:rsidRPr="003A411E">
        <w:rPr>
          <w:lang w:val="fr-FR"/>
        </w:rPr>
        <w:t>0</w:t>
      </w:r>
      <w:r w:rsidRPr="003A411E">
        <w:rPr>
          <w:lang w:val="fr-FR"/>
        </w:rPr>
        <w:t>.</w:t>
      </w:r>
      <w:r w:rsidRPr="003A411E">
        <w:rPr>
          <w:lang w:val="fr-FR"/>
        </w:rPr>
        <w:tab/>
      </w:r>
      <w:r w:rsidR="008F1465" w:rsidRPr="003A411E">
        <w:rPr>
          <w:lang w:val="fr-FR"/>
        </w:rPr>
        <w:t xml:space="preserve">L’ancien bâtiment consacré à l’internement collectif </w:t>
      </w:r>
      <w:r w:rsidR="008F0F3F" w:rsidRPr="003A411E">
        <w:rPr>
          <w:lang w:val="fr-FR"/>
        </w:rPr>
        <w:t>était</w:t>
      </w:r>
      <w:r w:rsidR="008F1465" w:rsidRPr="003A411E">
        <w:rPr>
          <w:lang w:val="fr-FR"/>
        </w:rPr>
        <w:t xml:space="preserve"> marqué par l’insuffisance de l’espace </w:t>
      </w:r>
      <w:r w:rsidR="008F0F3F" w:rsidRPr="003A411E">
        <w:rPr>
          <w:lang w:val="fr-FR"/>
        </w:rPr>
        <w:t>accordé</w:t>
      </w:r>
      <w:r w:rsidR="008F1465" w:rsidRPr="003A411E">
        <w:rPr>
          <w:lang w:val="fr-FR"/>
        </w:rPr>
        <w:t xml:space="preserve"> à chaque détenu (entre</w:t>
      </w:r>
      <w:r w:rsidR="008F0F3F" w:rsidRPr="003A411E">
        <w:rPr>
          <w:lang w:val="fr-FR"/>
        </w:rPr>
        <w:t xml:space="preserve"> </w:t>
      </w:r>
      <w:r w:rsidR="008F1465" w:rsidRPr="003A411E">
        <w:rPr>
          <w:lang w:val="fr-FR"/>
        </w:rPr>
        <w:t>1</w:t>
      </w:r>
      <w:r w:rsidR="008F0F3F" w:rsidRPr="003A411E">
        <w:rPr>
          <w:lang w:val="fr-FR"/>
        </w:rPr>
        <w:t>,</w:t>
      </w:r>
      <w:r w:rsidR="008F1465" w:rsidRPr="003A411E">
        <w:rPr>
          <w:lang w:val="fr-FR"/>
        </w:rPr>
        <w:t xml:space="preserve">4 </w:t>
      </w:r>
      <w:r w:rsidR="008F0F3F" w:rsidRPr="003A411E">
        <w:rPr>
          <w:lang w:val="fr-FR"/>
        </w:rPr>
        <w:t xml:space="preserve">et </w:t>
      </w:r>
      <w:r w:rsidR="008F1465" w:rsidRPr="003A411E">
        <w:rPr>
          <w:lang w:val="fr-FR"/>
        </w:rPr>
        <w:t>2</w:t>
      </w:r>
      <w:r w:rsidR="008F0F3F" w:rsidRPr="003A411E">
        <w:rPr>
          <w:lang w:val="fr-FR"/>
        </w:rPr>
        <w:t> </w:t>
      </w:r>
      <w:r w:rsidR="008F1465" w:rsidRPr="003A411E">
        <w:rPr>
          <w:lang w:val="fr-FR"/>
        </w:rPr>
        <w:t>m</w:t>
      </w:r>
      <w:r w:rsidR="008F0F3F" w:rsidRPr="003A411E">
        <w:rPr>
          <w:lang w:val="fr-FR"/>
        </w:rPr>
        <w:t>ètres carrés</w:t>
      </w:r>
      <w:r w:rsidR="008F1465" w:rsidRPr="003A411E">
        <w:rPr>
          <w:vertAlign w:val="superscript"/>
          <w:lang w:val="fr-FR"/>
        </w:rPr>
        <w:t xml:space="preserve"> </w:t>
      </w:r>
      <w:r w:rsidR="008F0F3F" w:rsidRPr="003A411E">
        <w:rPr>
          <w:lang w:val="fr-FR"/>
        </w:rPr>
        <w:t>par</w:t>
      </w:r>
      <w:r w:rsidR="008F1465" w:rsidRPr="003A411E">
        <w:rPr>
          <w:lang w:val="fr-FR"/>
        </w:rPr>
        <w:t xml:space="preserve"> détenu) et des toilettes collectives auxquelles les détenus n’</w:t>
      </w:r>
      <w:r w:rsidR="008F0F3F" w:rsidRPr="003A411E">
        <w:rPr>
          <w:lang w:val="fr-FR"/>
        </w:rPr>
        <w:t>avaient</w:t>
      </w:r>
      <w:r w:rsidR="008F1465" w:rsidRPr="003A411E">
        <w:rPr>
          <w:lang w:val="fr-FR"/>
        </w:rPr>
        <w:t xml:space="preserve"> pas accès durant la nuit. Les cellules du dernier étage ne disposaient que de trous minuscules en guise de fenêtre.</w:t>
      </w:r>
    </w:p>
    <w:p w14:paraId="3618C08C" w14:textId="1B795513" w:rsidR="008F1465" w:rsidRPr="003A411E" w:rsidRDefault="00242A26" w:rsidP="008F0F3F">
      <w:pPr>
        <w:pStyle w:val="SingleTxtG"/>
        <w:rPr>
          <w:lang w:val="fr-FR"/>
        </w:rPr>
      </w:pPr>
      <w:r w:rsidRPr="003A411E">
        <w:rPr>
          <w:lang w:val="fr-FR"/>
        </w:rPr>
        <w:lastRenderedPageBreak/>
        <w:t>9</w:t>
      </w:r>
      <w:r w:rsidR="00534B76" w:rsidRPr="003A411E">
        <w:rPr>
          <w:lang w:val="fr-FR"/>
        </w:rPr>
        <w:t>1</w:t>
      </w:r>
      <w:r w:rsidRPr="003A411E">
        <w:rPr>
          <w:lang w:val="fr-FR"/>
        </w:rPr>
        <w:t>.</w:t>
      </w:r>
      <w:r w:rsidRPr="003A411E">
        <w:rPr>
          <w:lang w:val="fr-FR"/>
        </w:rPr>
        <w:tab/>
      </w:r>
      <w:r w:rsidR="008F1465" w:rsidRPr="003A411E">
        <w:rPr>
          <w:lang w:val="fr-FR"/>
        </w:rPr>
        <w:t xml:space="preserve">Les détenus dormaient sur </w:t>
      </w:r>
      <w:r w:rsidR="008F0F3F" w:rsidRPr="003A411E">
        <w:rPr>
          <w:lang w:val="fr-FR"/>
        </w:rPr>
        <w:t>un mince tapis posé au</w:t>
      </w:r>
      <w:r w:rsidR="008F1465" w:rsidRPr="003A411E">
        <w:rPr>
          <w:lang w:val="fr-FR"/>
        </w:rPr>
        <w:t xml:space="preserve"> sol, dans des conditions d’hygiène déplorables (toilettes non fonctionnelles pour certaines et sales, ordures diverses sur le sol, eau stagnante, odeurs pestilentielles). </w:t>
      </w:r>
    </w:p>
    <w:p w14:paraId="6E9F84A9" w14:textId="34E497E6" w:rsidR="008F1465" w:rsidRPr="003A411E" w:rsidRDefault="00242A26" w:rsidP="00534B76">
      <w:pPr>
        <w:pStyle w:val="SingleTxtG"/>
        <w:rPr>
          <w:lang w:val="fr-FR"/>
        </w:rPr>
      </w:pPr>
      <w:r w:rsidRPr="003A411E">
        <w:rPr>
          <w:lang w:val="fr-FR"/>
        </w:rPr>
        <w:t>9</w:t>
      </w:r>
      <w:r w:rsidR="00534B76" w:rsidRPr="003A411E">
        <w:rPr>
          <w:lang w:val="fr-FR"/>
        </w:rPr>
        <w:t>2</w:t>
      </w:r>
      <w:r w:rsidRPr="003A411E">
        <w:rPr>
          <w:lang w:val="fr-FR"/>
        </w:rPr>
        <w:t>.</w:t>
      </w:r>
      <w:r w:rsidRPr="003A411E">
        <w:rPr>
          <w:lang w:val="fr-FR"/>
        </w:rPr>
        <w:tab/>
      </w:r>
      <w:r w:rsidR="008F1465" w:rsidRPr="003A411E">
        <w:rPr>
          <w:lang w:val="fr-FR"/>
        </w:rPr>
        <w:t xml:space="preserve">Le quartier des femmes connaissait les mêmes problèmes (eau et nourriture insuffisantes et de mauvaise qualité). Les femmes </w:t>
      </w:r>
      <w:r w:rsidR="008F0F3F" w:rsidRPr="003A411E">
        <w:rPr>
          <w:lang w:val="fr-FR"/>
        </w:rPr>
        <w:t>interrogées</w:t>
      </w:r>
      <w:r w:rsidR="008F1465" w:rsidRPr="003A411E">
        <w:rPr>
          <w:lang w:val="fr-FR"/>
        </w:rPr>
        <w:t xml:space="preserve"> </w:t>
      </w:r>
      <w:r w:rsidR="008F0F3F" w:rsidRPr="003A411E">
        <w:rPr>
          <w:lang w:val="fr-FR"/>
        </w:rPr>
        <w:t>ont fait</w:t>
      </w:r>
      <w:r w:rsidR="008F1465" w:rsidRPr="003A411E">
        <w:rPr>
          <w:lang w:val="fr-FR"/>
        </w:rPr>
        <w:t xml:space="preserve"> état de mauvaises conditions d’hygiène, </w:t>
      </w:r>
      <w:r w:rsidR="008F0F3F" w:rsidRPr="003A411E">
        <w:rPr>
          <w:lang w:val="fr-FR"/>
        </w:rPr>
        <w:t>du</w:t>
      </w:r>
      <w:r w:rsidR="008F1465" w:rsidRPr="003A411E">
        <w:rPr>
          <w:lang w:val="fr-FR"/>
        </w:rPr>
        <w:t xml:space="preserve"> manque de médicaments et de services sociaux pour leurs enfants</w:t>
      </w:r>
      <w:r w:rsidR="008F0F3F" w:rsidRPr="003A411E">
        <w:rPr>
          <w:lang w:val="fr-FR"/>
        </w:rPr>
        <w:t>,</w:t>
      </w:r>
      <w:r w:rsidR="008F1465" w:rsidRPr="003A411E">
        <w:rPr>
          <w:lang w:val="fr-FR"/>
        </w:rPr>
        <w:t xml:space="preserve"> et </w:t>
      </w:r>
      <w:r w:rsidR="008F0F3F" w:rsidRPr="003A411E">
        <w:rPr>
          <w:lang w:val="fr-FR"/>
        </w:rPr>
        <w:t xml:space="preserve">du fait qu’elles </w:t>
      </w:r>
      <w:r w:rsidR="008F1465" w:rsidRPr="003A411E">
        <w:rPr>
          <w:lang w:val="fr-FR"/>
        </w:rPr>
        <w:t>dépendaient grandement de l’aide d’associations</w:t>
      </w:r>
      <w:r w:rsidR="008F0F3F" w:rsidRPr="003A411E">
        <w:rPr>
          <w:lang w:val="fr-FR"/>
        </w:rPr>
        <w:t>,</w:t>
      </w:r>
      <w:r w:rsidR="008F1465" w:rsidRPr="003A411E">
        <w:rPr>
          <w:lang w:val="fr-FR"/>
        </w:rPr>
        <w:t xml:space="preserve"> à la fois pour la nourriture et l’assistance juridique.</w:t>
      </w:r>
    </w:p>
    <w:p w14:paraId="78B1445F" w14:textId="40A40F52" w:rsidR="008F1465" w:rsidRPr="003A411E" w:rsidRDefault="00242A26" w:rsidP="00534B76">
      <w:pPr>
        <w:pStyle w:val="SingleTxtG"/>
        <w:rPr>
          <w:lang w:val="fr-FR"/>
        </w:rPr>
      </w:pPr>
      <w:r w:rsidRPr="003A411E">
        <w:rPr>
          <w:lang w:val="fr-FR"/>
        </w:rPr>
        <w:t>9</w:t>
      </w:r>
      <w:r w:rsidR="00534B76" w:rsidRPr="003A411E">
        <w:rPr>
          <w:lang w:val="fr-FR"/>
        </w:rPr>
        <w:t>3</w:t>
      </w:r>
      <w:r w:rsidRPr="003A411E">
        <w:rPr>
          <w:lang w:val="fr-FR"/>
        </w:rPr>
        <w:t>.</w:t>
      </w:r>
      <w:r w:rsidRPr="003A411E">
        <w:rPr>
          <w:lang w:val="fr-FR"/>
        </w:rPr>
        <w:tab/>
      </w:r>
      <w:r w:rsidR="008F1465" w:rsidRPr="003A411E">
        <w:rPr>
          <w:lang w:val="fr-FR"/>
        </w:rPr>
        <w:t>Le quartier de</w:t>
      </w:r>
      <w:r w:rsidR="008F0F3F" w:rsidRPr="003A411E">
        <w:rPr>
          <w:lang w:val="fr-FR"/>
        </w:rPr>
        <w:t>s</w:t>
      </w:r>
      <w:r w:rsidR="008F1465" w:rsidRPr="003A411E">
        <w:rPr>
          <w:lang w:val="fr-FR"/>
        </w:rPr>
        <w:t xml:space="preserve"> mineurs, séparé des autres, disposait d’une petite cour et </w:t>
      </w:r>
      <w:r w:rsidR="008F0F3F" w:rsidRPr="003A411E">
        <w:rPr>
          <w:lang w:val="fr-FR"/>
        </w:rPr>
        <w:t>d’</w:t>
      </w:r>
      <w:r w:rsidR="008F1465" w:rsidRPr="003A411E">
        <w:rPr>
          <w:lang w:val="fr-FR"/>
        </w:rPr>
        <w:t>une salle de classe délabrée et sale.</w:t>
      </w:r>
    </w:p>
    <w:p w14:paraId="4398EFD1" w14:textId="388113A6" w:rsidR="008F1465" w:rsidRPr="003A411E" w:rsidRDefault="00242A26" w:rsidP="00534B76">
      <w:pPr>
        <w:pStyle w:val="SingleTxtG"/>
        <w:rPr>
          <w:lang w:val="fr-FR"/>
        </w:rPr>
      </w:pPr>
      <w:r w:rsidRPr="003A411E">
        <w:rPr>
          <w:lang w:val="fr-FR"/>
        </w:rPr>
        <w:t>9</w:t>
      </w:r>
      <w:r w:rsidR="00534B76" w:rsidRPr="003A411E">
        <w:rPr>
          <w:lang w:val="fr-FR"/>
        </w:rPr>
        <w:t>4</w:t>
      </w:r>
      <w:r w:rsidRPr="003A411E">
        <w:rPr>
          <w:lang w:val="fr-FR"/>
        </w:rPr>
        <w:t>.</w:t>
      </w:r>
      <w:r w:rsidRPr="003A411E">
        <w:rPr>
          <w:lang w:val="fr-FR"/>
        </w:rPr>
        <w:tab/>
      </w:r>
      <w:r w:rsidR="008F1465" w:rsidRPr="003A411E">
        <w:rPr>
          <w:lang w:val="fr-FR"/>
        </w:rPr>
        <w:t>Le Sous-</w:t>
      </w:r>
      <w:r w:rsidR="006A2C77" w:rsidRPr="003A411E">
        <w:rPr>
          <w:lang w:val="fr-FR"/>
        </w:rPr>
        <w:t>C</w:t>
      </w:r>
      <w:r w:rsidR="008F1465" w:rsidRPr="003A411E">
        <w:rPr>
          <w:lang w:val="fr-FR"/>
        </w:rPr>
        <w:t xml:space="preserve">omité a remarqué que la </w:t>
      </w:r>
      <w:r w:rsidR="008F0F3F" w:rsidRPr="003A411E">
        <w:rPr>
          <w:lang w:val="fr-FR"/>
        </w:rPr>
        <w:t>maison d’arrêt et de correction de Ouagadougou</w:t>
      </w:r>
      <w:r w:rsidR="008F1465" w:rsidRPr="003A411E">
        <w:rPr>
          <w:lang w:val="fr-FR"/>
        </w:rPr>
        <w:t xml:space="preserve"> </w:t>
      </w:r>
      <w:r w:rsidR="008F0F3F" w:rsidRPr="003A411E">
        <w:rPr>
          <w:lang w:val="fr-FR"/>
        </w:rPr>
        <w:t>disposait de</w:t>
      </w:r>
      <w:r w:rsidR="008F1465" w:rsidRPr="003A411E">
        <w:rPr>
          <w:lang w:val="fr-FR"/>
        </w:rPr>
        <w:t xml:space="preserve"> divers espaces </w:t>
      </w:r>
      <w:r w:rsidR="008F0F3F" w:rsidRPr="003A411E">
        <w:rPr>
          <w:lang w:val="fr-FR"/>
        </w:rPr>
        <w:t>où</w:t>
      </w:r>
      <w:r w:rsidR="008F1465" w:rsidRPr="003A411E">
        <w:rPr>
          <w:lang w:val="fr-FR"/>
        </w:rPr>
        <w:t xml:space="preserve"> les détenus </w:t>
      </w:r>
      <w:r w:rsidR="008F0F3F" w:rsidRPr="003A411E">
        <w:rPr>
          <w:lang w:val="fr-FR"/>
        </w:rPr>
        <w:t>auraient pu</w:t>
      </w:r>
      <w:r w:rsidR="008F1465" w:rsidRPr="003A411E">
        <w:rPr>
          <w:lang w:val="fr-FR"/>
        </w:rPr>
        <w:t xml:space="preserve"> réaliser des activités </w:t>
      </w:r>
      <w:r w:rsidR="009E5AFF" w:rsidRPr="003A411E">
        <w:rPr>
          <w:lang w:val="fr-FR"/>
        </w:rPr>
        <w:t>–</w:t>
      </w:r>
      <w:r w:rsidR="001F5F95" w:rsidRPr="003A411E">
        <w:rPr>
          <w:lang w:val="fr-FR"/>
        </w:rPr>
        <w:t xml:space="preserve"> salle de</w:t>
      </w:r>
      <w:r w:rsidR="008F1465" w:rsidRPr="003A411E">
        <w:rPr>
          <w:lang w:val="fr-FR"/>
        </w:rPr>
        <w:t xml:space="preserve"> sport, classes et ateliers</w:t>
      </w:r>
      <w:r w:rsidR="001F5F95" w:rsidRPr="003A411E">
        <w:rPr>
          <w:lang w:val="fr-FR"/>
        </w:rPr>
        <w:t xml:space="preserve"> –,</w:t>
      </w:r>
      <w:r w:rsidR="008F1465" w:rsidRPr="003A411E">
        <w:rPr>
          <w:lang w:val="fr-FR"/>
        </w:rPr>
        <w:t xml:space="preserve"> mais </w:t>
      </w:r>
      <w:r w:rsidR="001F5F95" w:rsidRPr="003A411E">
        <w:rPr>
          <w:lang w:val="fr-FR"/>
        </w:rPr>
        <w:t>que ces espaces</w:t>
      </w:r>
      <w:r w:rsidR="008F1465" w:rsidRPr="003A411E">
        <w:rPr>
          <w:lang w:val="fr-FR"/>
        </w:rPr>
        <w:t xml:space="preserve"> n’étaient pas exploités faute de moyens.</w:t>
      </w:r>
    </w:p>
    <w:p w14:paraId="5D34EFC7" w14:textId="0535185F" w:rsidR="008F1465" w:rsidRPr="003A411E" w:rsidRDefault="00242A26" w:rsidP="00534B76">
      <w:pPr>
        <w:pStyle w:val="SingleTxtG"/>
        <w:rPr>
          <w:lang w:val="fr-FR"/>
        </w:rPr>
      </w:pPr>
      <w:r w:rsidRPr="003A411E">
        <w:rPr>
          <w:lang w:val="fr-FR"/>
        </w:rPr>
        <w:t>9</w:t>
      </w:r>
      <w:r w:rsidR="00534B76" w:rsidRPr="003A411E">
        <w:rPr>
          <w:lang w:val="fr-FR"/>
        </w:rPr>
        <w:t>5</w:t>
      </w:r>
      <w:r w:rsidRPr="003A411E">
        <w:rPr>
          <w:lang w:val="fr-FR"/>
        </w:rPr>
        <w:t>.</w:t>
      </w:r>
      <w:r w:rsidRPr="003A411E">
        <w:rPr>
          <w:lang w:val="fr-FR"/>
        </w:rPr>
        <w:tab/>
      </w:r>
      <w:r w:rsidR="008F1465" w:rsidRPr="003A411E">
        <w:rPr>
          <w:lang w:val="fr-FR"/>
        </w:rPr>
        <w:t>La délégation a pu constater que la nourriture fournie par l’établissement était insuffisante en quantité et en qualité</w:t>
      </w:r>
      <w:r w:rsidR="00425999" w:rsidRPr="003A411E">
        <w:rPr>
          <w:lang w:val="fr-FR"/>
        </w:rPr>
        <w:t> ; c’étai</w:t>
      </w:r>
      <w:r w:rsidR="001F5F95" w:rsidRPr="003A411E">
        <w:rPr>
          <w:lang w:val="fr-FR"/>
        </w:rPr>
        <w:t>en</w:t>
      </w:r>
      <w:r w:rsidR="00425999" w:rsidRPr="003A411E">
        <w:rPr>
          <w:lang w:val="fr-FR"/>
        </w:rPr>
        <w:t xml:space="preserve">t </w:t>
      </w:r>
      <w:r w:rsidR="008F1465" w:rsidRPr="003A411E">
        <w:rPr>
          <w:lang w:val="fr-FR"/>
        </w:rPr>
        <w:t xml:space="preserve">les familles des détenus qui pourvoyaient </w:t>
      </w:r>
      <w:r w:rsidR="001F5F95" w:rsidRPr="003A411E">
        <w:rPr>
          <w:lang w:val="fr-FR"/>
        </w:rPr>
        <w:t xml:space="preserve">donc </w:t>
      </w:r>
      <w:r w:rsidR="008F1465" w:rsidRPr="003A411E">
        <w:rPr>
          <w:lang w:val="fr-FR"/>
        </w:rPr>
        <w:t xml:space="preserve">à </w:t>
      </w:r>
      <w:r w:rsidR="001F5F95" w:rsidRPr="003A411E">
        <w:rPr>
          <w:lang w:val="fr-FR"/>
        </w:rPr>
        <w:t>l’alimentation</w:t>
      </w:r>
      <w:r w:rsidR="008F1465" w:rsidRPr="003A411E">
        <w:rPr>
          <w:lang w:val="fr-FR"/>
        </w:rPr>
        <w:t xml:space="preserve"> de ces derniers. De même, les détenus ne disposaient pas toujours de produits d’hygiène de base</w:t>
      </w:r>
      <w:r w:rsidR="001F5F95" w:rsidRPr="003A411E">
        <w:rPr>
          <w:lang w:val="fr-FR"/>
        </w:rPr>
        <w:t>,</w:t>
      </w:r>
      <w:r w:rsidR="008F1465" w:rsidRPr="003A411E">
        <w:rPr>
          <w:lang w:val="fr-FR"/>
        </w:rPr>
        <w:t xml:space="preserve"> notamment de savon. Les femmes n’avaient pas accès à des produits d’hygiène intime.</w:t>
      </w:r>
    </w:p>
    <w:p w14:paraId="52DF90BD" w14:textId="67E509A9" w:rsidR="008F1465" w:rsidRPr="003A411E" w:rsidRDefault="00242A26" w:rsidP="00534B76">
      <w:pPr>
        <w:pStyle w:val="SingleTxtG"/>
        <w:rPr>
          <w:b/>
          <w:bCs/>
          <w:lang w:val="fr-FR"/>
        </w:rPr>
      </w:pPr>
      <w:r w:rsidRPr="003A411E">
        <w:rPr>
          <w:bCs/>
          <w:lang w:val="fr-FR"/>
        </w:rPr>
        <w:t>9</w:t>
      </w:r>
      <w:r w:rsidR="00534B76" w:rsidRPr="003A411E">
        <w:rPr>
          <w:bCs/>
          <w:lang w:val="fr-FR"/>
        </w:rPr>
        <w:t>6</w:t>
      </w:r>
      <w:r w:rsidR="008F1465" w:rsidRPr="003A411E">
        <w:rPr>
          <w:bCs/>
          <w:lang w:val="fr-FR"/>
        </w:rPr>
        <w:t>.</w:t>
      </w:r>
      <w:r w:rsidR="008F1465" w:rsidRPr="003A411E">
        <w:rPr>
          <w:b/>
          <w:bCs/>
          <w:lang w:val="fr-FR"/>
        </w:rPr>
        <w:tab/>
        <w:t>Le Sous-</w:t>
      </w:r>
      <w:r w:rsidR="006A2C77" w:rsidRPr="003A411E">
        <w:rPr>
          <w:b/>
          <w:bCs/>
          <w:lang w:val="fr-FR"/>
        </w:rPr>
        <w:t>C</w:t>
      </w:r>
      <w:r w:rsidR="008F1465" w:rsidRPr="003A411E">
        <w:rPr>
          <w:b/>
          <w:bCs/>
          <w:lang w:val="fr-FR"/>
        </w:rPr>
        <w:t xml:space="preserve">omité </w:t>
      </w:r>
      <w:r w:rsidR="008F1465" w:rsidRPr="003A411E">
        <w:rPr>
          <w:b/>
          <w:lang w:val="fr-FR"/>
        </w:rPr>
        <w:t>recommande</w:t>
      </w:r>
      <w:r w:rsidR="008F1465" w:rsidRPr="003A411E">
        <w:rPr>
          <w:b/>
          <w:bCs/>
          <w:lang w:val="fr-FR"/>
        </w:rPr>
        <w:t xml:space="preserve"> </w:t>
      </w:r>
      <w:r w:rsidR="001F5F95" w:rsidRPr="003A411E">
        <w:rPr>
          <w:b/>
          <w:bCs/>
          <w:lang w:val="fr-FR"/>
        </w:rPr>
        <w:t>à</w:t>
      </w:r>
      <w:r w:rsidR="008F1465" w:rsidRPr="003A411E">
        <w:rPr>
          <w:b/>
          <w:bCs/>
          <w:lang w:val="fr-FR"/>
        </w:rPr>
        <w:t xml:space="preserve"> l’État partie </w:t>
      </w:r>
      <w:r w:rsidR="001F5F95" w:rsidRPr="003A411E">
        <w:rPr>
          <w:b/>
          <w:bCs/>
          <w:lang w:val="fr-FR"/>
        </w:rPr>
        <w:t>d’</w:t>
      </w:r>
      <w:r w:rsidR="008F1465" w:rsidRPr="003A411E">
        <w:rPr>
          <w:b/>
          <w:bCs/>
          <w:lang w:val="fr-FR"/>
        </w:rPr>
        <w:t>améliore</w:t>
      </w:r>
      <w:r w:rsidR="001F5F95" w:rsidRPr="003A411E">
        <w:rPr>
          <w:b/>
          <w:bCs/>
          <w:lang w:val="fr-FR"/>
        </w:rPr>
        <w:t>r</w:t>
      </w:r>
      <w:r w:rsidR="008F1465" w:rsidRPr="003A411E">
        <w:rPr>
          <w:b/>
          <w:bCs/>
          <w:lang w:val="fr-FR"/>
        </w:rPr>
        <w:t xml:space="preserve"> les conditions de détention dans la </w:t>
      </w:r>
      <w:r w:rsidR="00472B88">
        <w:rPr>
          <w:b/>
          <w:bCs/>
          <w:lang w:val="fr-FR"/>
        </w:rPr>
        <w:t xml:space="preserve">prison de haute sécurité et la </w:t>
      </w:r>
      <w:r w:rsidR="001F5F95" w:rsidRPr="003A411E">
        <w:rPr>
          <w:b/>
          <w:bCs/>
          <w:lang w:val="fr-FR"/>
        </w:rPr>
        <w:t>maison d’arrêt et de correction de Ouagadougou</w:t>
      </w:r>
      <w:r w:rsidR="008F1465" w:rsidRPr="003A411E">
        <w:rPr>
          <w:b/>
          <w:bCs/>
          <w:lang w:val="fr-FR"/>
        </w:rPr>
        <w:t xml:space="preserve">, </w:t>
      </w:r>
      <w:r w:rsidR="001F5F95" w:rsidRPr="003A411E">
        <w:rPr>
          <w:b/>
          <w:bCs/>
          <w:lang w:val="fr-FR"/>
        </w:rPr>
        <w:t>notamment</w:t>
      </w:r>
      <w:r w:rsidR="008F1465" w:rsidRPr="003A411E">
        <w:rPr>
          <w:b/>
          <w:bCs/>
          <w:lang w:val="fr-FR"/>
        </w:rPr>
        <w:t xml:space="preserve"> :</w:t>
      </w:r>
    </w:p>
    <w:p w14:paraId="65C08EA1" w14:textId="58B09260" w:rsidR="008F1465" w:rsidRPr="003A411E" w:rsidRDefault="008F1465" w:rsidP="001F5F95">
      <w:pPr>
        <w:pStyle w:val="SingleTxtG"/>
        <w:ind w:firstLine="567"/>
        <w:rPr>
          <w:b/>
          <w:lang w:val="fr-FR"/>
        </w:rPr>
      </w:pPr>
      <w:r w:rsidRPr="003A411E">
        <w:rPr>
          <w:b/>
          <w:lang w:val="fr-FR"/>
        </w:rPr>
        <w:t>a)</w:t>
      </w:r>
      <w:r w:rsidRPr="003A411E">
        <w:rPr>
          <w:b/>
          <w:lang w:val="fr-FR"/>
        </w:rPr>
        <w:tab/>
      </w:r>
      <w:r w:rsidR="001F5F95" w:rsidRPr="003A411E">
        <w:rPr>
          <w:b/>
          <w:lang w:val="fr-FR"/>
        </w:rPr>
        <w:t>En faisant en sorte</w:t>
      </w:r>
      <w:r w:rsidRPr="003A411E">
        <w:rPr>
          <w:b/>
          <w:lang w:val="fr-FR"/>
        </w:rPr>
        <w:t xml:space="preserve"> que les détenus aient un espace suffisant dans les cellules et qu’ils soient séparés par catégorie ;</w:t>
      </w:r>
    </w:p>
    <w:p w14:paraId="272CACE0" w14:textId="6DA081E9" w:rsidR="008F1465" w:rsidRPr="003A411E" w:rsidRDefault="008F1465" w:rsidP="00434A08">
      <w:pPr>
        <w:pStyle w:val="SingleTxtG"/>
        <w:ind w:firstLine="567"/>
        <w:rPr>
          <w:b/>
          <w:lang w:val="fr-FR"/>
        </w:rPr>
      </w:pPr>
      <w:r w:rsidRPr="003A411E">
        <w:rPr>
          <w:b/>
          <w:lang w:val="fr-FR"/>
        </w:rPr>
        <w:t>b)</w:t>
      </w:r>
      <w:r w:rsidRPr="003A411E">
        <w:rPr>
          <w:b/>
          <w:lang w:val="fr-FR"/>
        </w:rPr>
        <w:tab/>
      </w:r>
      <w:r w:rsidR="001F5F95" w:rsidRPr="003A411E">
        <w:rPr>
          <w:b/>
          <w:lang w:val="fr-FR"/>
        </w:rPr>
        <w:t xml:space="preserve">En </w:t>
      </w:r>
      <w:r w:rsidRPr="003A411E">
        <w:rPr>
          <w:b/>
          <w:lang w:val="fr-FR"/>
        </w:rPr>
        <w:t>fournissant des matelas, des couchages</w:t>
      </w:r>
      <w:r w:rsidRPr="00E375EF">
        <w:rPr>
          <w:rStyle w:val="Appelnotedebasdep"/>
        </w:rPr>
        <w:footnoteReference w:id="14"/>
      </w:r>
      <w:r w:rsidRPr="003A411E">
        <w:rPr>
          <w:b/>
          <w:lang w:val="fr-FR"/>
        </w:rPr>
        <w:t xml:space="preserve"> et des moustiquaires ;</w:t>
      </w:r>
    </w:p>
    <w:p w14:paraId="77F0E6E9" w14:textId="6F77FD13" w:rsidR="008F1465" w:rsidRPr="003A411E" w:rsidRDefault="008F1465" w:rsidP="001F5F95">
      <w:pPr>
        <w:pStyle w:val="SingleTxtG"/>
        <w:ind w:firstLine="567"/>
        <w:rPr>
          <w:b/>
          <w:lang w:val="fr-FR"/>
        </w:rPr>
      </w:pPr>
      <w:r w:rsidRPr="003A411E">
        <w:rPr>
          <w:b/>
          <w:lang w:val="fr-FR"/>
        </w:rPr>
        <w:t>c)</w:t>
      </w:r>
      <w:r w:rsidRPr="003A411E">
        <w:rPr>
          <w:b/>
          <w:lang w:val="fr-FR"/>
        </w:rPr>
        <w:tab/>
      </w:r>
      <w:r w:rsidR="001F5F95" w:rsidRPr="003A411E">
        <w:rPr>
          <w:b/>
          <w:lang w:val="fr-FR"/>
        </w:rPr>
        <w:t xml:space="preserve">En </w:t>
      </w:r>
      <w:r w:rsidRPr="003A411E">
        <w:rPr>
          <w:b/>
          <w:lang w:val="fr-FR"/>
        </w:rPr>
        <w:t xml:space="preserve">veillant à ce que les cellules soient aérées et suffisamment </w:t>
      </w:r>
      <w:r w:rsidR="001F5F95" w:rsidRPr="003A411E">
        <w:rPr>
          <w:b/>
          <w:lang w:val="fr-FR"/>
        </w:rPr>
        <w:t>éclairées par</w:t>
      </w:r>
      <w:r w:rsidRPr="003A411E">
        <w:rPr>
          <w:b/>
          <w:lang w:val="fr-FR"/>
        </w:rPr>
        <w:t xml:space="preserve"> la lumière naturelle et artificielle ;</w:t>
      </w:r>
    </w:p>
    <w:p w14:paraId="6FD77B2B" w14:textId="66B1466E" w:rsidR="008F1465" w:rsidRPr="003A411E" w:rsidRDefault="008F1465" w:rsidP="00434A08">
      <w:pPr>
        <w:pStyle w:val="SingleTxtG"/>
        <w:ind w:firstLine="567"/>
        <w:rPr>
          <w:b/>
          <w:lang w:val="fr-FR"/>
        </w:rPr>
      </w:pPr>
      <w:r w:rsidRPr="003A411E">
        <w:rPr>
          <w:b/>
          <w:lang w:val="fr-FR"/>
        </w:rPr>
        <w:t>d)</w:t>
      </w:r>
      <w:r w:rsidRPr="003A411E">
        <w:rPr>
          <w:b/>
          <w:lang w:val="fr-FR"/>
        </w:rPr>
        <w:tab/>
      </w:r>
      <w:r w:rsidR="001F5F95" w:rsidRPr="003A411E">
        <w:rPr>
          <w:b/>
          <w:lang w:val="fr-FR"/>
        </w:rPr>
        <w:t>En</w:t>
      </w:r>
      <w:r w:rsidRPr="003A411E">
        <w:rPr>
          <w:b/>
          <w:lang w:val="fr-FR"/>
        </w:rPr>
        <w:t xml:space="preserve"> améliorant les conditions d’hygiène et de salubrité des cellules et </w:t>
      </w:r>
      <w:r w:rsidR="001F5F95" w:rsidRPr="003A411E">
        <w:rPr>
          <w:b/>
          <w:lang w:val="fr-FR"/>
        </w:rPr>
        <w:t xml:space="preserve">des </w:t>
      </w:r>
      <w:r w:rsidRPr="003A411E">
        <w:rPr>
          <w:b/>
          <w:lang w:val="fr-FR"/>
        </w:rPr>
        <w:t>cours ;</w:t>
      </w:r>
    </w:p>
    <w:p w14:paraId="7BAE36AD" w14:textId="51F0C003" w:rsidR="008F1465" w:rsidRPr="003A411E" w:rsidRDefault="008F1465" w:rsidP="00434A08">
      <w:pPr>
        <w:pStyle w:val="SingleTxtG"/>
        <w:ind w:firstLine="567"/>
        <w:rPr>
          <w:b/>
          <w:lang w:val="fr-FR"/>
        </w:rPr>
      </w:pPr>
      <w:r w:rsidRPr="003A411E">
        <w:rPr>
          <w:b/>
          <w:lang w:val="fr-FR"/>
        </w:rPr>
        <w:t>e)</w:t>
      </w:r>
      <w:r w:rsidRPr="003A411E">
        <w:rPr>
          <w:b/>
          <w:lang w:val="fr-FR"/>
        </w:rPr>
        <w:tab/>
      </w:r>
      <w:r w:rsidR="001F5F95" w:rsidRPr="003A411E">
        <w:rPr>
          <w:b/>
          <w:lang w:val="fr-FR"/>
        </w:rPr>
        <w:t xml:space="preserve">En </w:t>
      </w:r>
      <w:r w:rsidRPr="003A411E">
        <w:rPr>
          <w:b/>
          <w:lang w:val="fr-FR"/>
        </w:rPr>
        <w:t xml:space="preserve">permettant l’accès des détenus aux </w:t>
      </w:r>
      <w:r w:rsidR="0061231B" w:rsidRPr="003A411E">
        <w:rPr>
          <w:b/>
          <w:lang w:val="fr-FR"/>
        </w:rPr>
        <w:t>toilettes le jour comme la nuit</w:t>
      </w:r>
      <w:r w:rsidRPr="00E375EF">
        <w:rPr>
          <w:rStyle w:val="Appelnotedebasdep"/>
        </w:rPr>
        <w:footnoteReference w:id="15"/>
      </w:r>
      <w:r w:rsidR="0061231B" w:rsidRPr="003A411E">
        <w:rPr>
          <w:b/>
          <w:lang w:val="fr-FR"/>
        </w:rPr>
        <w:t>.</w:t>
      </w:r>
    </w:p>
    <w:p w14:paraId="657489C6" w14:textId="1A3B288B" w:rsidR="008F1465" w:rsidRPr="003A411E" w:rsidRDefault="00A61B9C" w:rsidP="00312B4F">
      <w:pPr>
        <w:pStyle w:val="SingleTxtG"/>
        <w:rPr>
          <w:b/>
          <w:bCs/>
          <w:lang w:val="fr-FR"/>
        </w:rPr>
      </w:pPr>
      <w:r w:rsidRPr="003A411E">
        <w:rPr>
          <w:bCs/>
          <w:lang w:val="fr-FR"/>
        </w:rPr>
        <w:t>9</w:t>
      </w:r>
      <w:r w:rsidR="00534B76" w:rsidRPr="003A411E">
        <w:rPr>
          <w:bCs/>
          <w:lang w:val="fr-FR"/>
        </w:rPr>
        <w:t>7</w:t>
      </w:r>
      <w:r w:rsidR="008F1465" w:rsidRPr="003A411E">
        <w:rPr>
          <w:bCs/>
          <w:lang w:val="fr-FR"/>
        </w:rPr>
        <w:t>.</w:t>
      </w:r>
      <w:r w:rsidRPr="003A411E">
        <w:rPr>
          <w:b/>
          <w:bCs/>
          <w:lang w:val="fr-FR"/>
        </w:rPr>
        <w:tab/>
      </w:r>
      <w:r w:rsidR="008F1465" w:rsidRPr="003A411E">
        <w:rPr>
          <w:b/>
          <w:bCs/>
          <w:lang w:val="fr-FR"/>
        </w:rPr>
        <w:t xml:space="preserve">L’État partie </w:t>
      </w:r>
      <w:r w:rsidR="00312B4F" w:rsidRPr="003A411E">
        <w:rPr>
          <w:b/>
          <w:bCs/>
          <w:lang w:val="fr-FR"/>
        </w:rPr>
        <w:t>doit</w:t>
      </w:r>
      <w:r w:rsidR="008F1465" w:rsidRPr="003A411E">
        <w:rPr>
          <w:b/>
          <w:bCs/>
          <w:lang w:val="fr-FR"/>
        </w:rPr>
        <w:t xml:space="preserve"> assurer l’accès à une no</w:t>
      </w:r>
      <w:r w:rsidR="0061231B" w:rsidRPr="003A411E">
        <w:rPr>
          <w:b/>
          <w:bCs/>
          <w:lang w:val="fr-FR"/>
        </w:rPr>
        <w:t>urriture adéquate et suffisante</w:t>
      </w:r>
      <w:r w:rsidR="008F1465" w:rsidRPr="00E375EF">
        <w:rPr>
          <w:rStyle w:val="Appelnotedebasdep"/>
        </w:rPr>
        <w:footnoteReference w:id="16"/>
      </w:r>
      <w:r w:rsidR="0061231B" w:rsidRPr="003A411E">
        <w:rPr>
          <w:b/>
          <w:bCs/>
          <w:lang w:val="fr-FR"/>
        </w:rPr>
        <w:t>,</w:t>
      </w:r>
      <w:r w:rsidR="008F1465" w:rsidRPr="003A411E">
        <w:rPr>
          <w:b/>
          <w:bCs/>
          <w:lang w:val="fr-FR"/>
        </w:rPr>
        <w:t xml:space="preserve"> à l’eau potable et aux articles d’hygiène nécessaires, </w:t>
      </w:r>
      <w:r w:rsidR="001F5F95" w:rsidRPr="003A411E">
        <w:rPr>
          <w:b/>
          <w:bCs/>
          <w:lang w:val="fr-FR"/>
        </w:rPr>
        <w:t>en</w:t>
      </w:r>
      <w:r w:rsidR="008F1465" w:rsidRPr="003A411E">
        <w:rPr>
          <w:b/>
          <w:bCs/>
          <w:lang w:val="fr-FR"/>
        </w:rPr>
        <w:t xml:space="preserve"> répondant, notamment, aux besoins des femmes et des enfants qui son</w:t>
      </w:r>
      <w:r w:rsidR="0061231B" w:rsidRPr="003A411E">
        <w:rPr>
          <w:b/>
          <w:bCs/>
          <w:lang w:val="fr-FR"/>
        </w:rPr>
        <w:t>t en détention avec leur mère</w:t>
      </w:r>
      <w:r w:rsidR="008F1465" w:rsidRPr="00E375EF">
        <w:rPr>
          <w:rStyle w:val="Appelnotedebasdep"/>
        </w:rPr>
        <w:footnoteReference w:id="17"/>
      </w:r>
      <w:r w:rsidR="0061231B" w:rsidRPr="003A411E">
        <w:rPr>
          <w:b/>
          <w:bCs/>
          <w:lang w:val="fr-FR"/>
        </w:rPr>
        <w:t>.</w:t>
      </w:r>
    </w:p>
    <w:p w14:paraId="42D665BE" w14:textId="22663C0E" w:rsidR="008F1465" w:rsidRPr="003A411E" w:rsidRDefault="001F5F95" w:rsidP="00534B76">
      <w:pPr>
        <w:pStyle w:val="SingleTxtG"/>
        <w:rPr>
          <w:b/>
          <w:bCs/>
          <w:lang w:val="fr-FR"/>
        </w:rPr>
      </w:pPr>
      <w:r w:rsidRPr="003A411E">
        <w:rPr>
          <w:bCs/>
          <w:lang w:val="fr-FR"/>
        </w:rPr>
        <w:t>9</w:t>
      </w:r>
      <w:r w:rsidR="00534B76" w:rsidRPr="003A411E">
        <w:rPr>
          <w:bCs/>
          <w:lang w:val="fr-FR"/>
        </w:rPr>
        <w:t>8</w:t>
      </w:r>
      <w:r w:rsidR="008F1465" w:rsidRPr="003A411E">
        <w:rPr>
          <w:bCs/>
          <w:lang w:val="fr-FR"/>
        </w:rPr>
        <w:t>.</w:t>
      </w:r>
      <w:r w:rsidR="00A61B9C" w:rsidRPr="003A411E">
        <w:rPr>
          <w:b/>
          <w:bCs/>
          <w:lang w:val="fr-FR"/>
        </w:rPr>
        <w:tab/>
      </w:r>
      <w:r w:rsidR="008F1465" w:rsidRPr="003A411E">
        <w:rPr>
          <w:b/>
          <w:bCs/>
          <w:lang w:val="fr-FR"/>
        </w:rPr>
        <w:t xml:space="preserve">L’État partie doit </w:t>
      </w:r>
      <w:r w:rsidR="002629EC" w:rsidRPr="003A411E">
        <w:rPr>
          <w:b/>
          <w:lang w:val="fr-FR"/>
        </w:rPr>
        <w:t>procéder</w:t>
      </w:r>
      <w:r w:rsidR="008F1465" w:rsidRPr="003A411E">
        <w:rPr>
          <w:b/>
          <w:bCs/>
          <w:lang w:val="fr-FR"/>
        </w:rPr>
        <w:t xml:space="preserve"> à la rénovation de la partie délabrée de l’ancien bâtiment </w:t>
      </w:r>
      <w:r w:rsidR="002629EC" w:rsidRPr="003A411E">
        <w:rPr>
          <w:b/>
          <w:bCs/>
          <w:lang w:val="fr-FR"/>
        </w:rPr>
        <w:t>de</w:t>
      </w:r>
      <w:r w:rsidR="008F1465" w:rsidRPr="003A411E">
        <w:rPr>
          <w:b/>
          <w:bCs/>
          <w:lang w:val="fr-FR"/>
        </w:rPr>
        <w:t xml:space="preserve"> la </w:t>
      </w:r>
      <w:r w:rsidR="002629EC" w:rsidRPr="003A411E">
        <w:rPr>
          <w:b/>
          <w:bCs/>
          <w:lang w:val="fr-FR"/>
        </w:rPr>
        <w:t>maison d’arrêt et de correction de Ouagadougou</w:t>
      </w:r>
      <w:r w:rsidR="008F1465" w:rsidRPr="003A411E">
        <w:rPr>
          <w:b/>
          <w:bCs/>
          <w:lang w:val="fr-FR"/>
        </w:rPr>
        <w:t>.</w:t>
      </w:r>
    </w:p>
    <w:p w14:paraId="360A0AAF" w14:textId="6B29064C" w:rsidR="008F1465" w:rsidRPr="003A411E" w:rsidRDefault="002629EC" w:rsidP="00534B76">
      <w:pPr>
        <w:pStyle w:val="SingleTxtG"/>
        <w:rPr>
          <w:b/>
          <w:lang w:val="fr-FR"/>
        </w:rPr>
      </w:pPr>
      <w:r w:rsidRPr="003A411E">
        <w:rPr>
          <w:lang w:val="fr-FR"/>
        </w:rPr>
        <w:t>9</w:t>
      </w:r>
      <w:r w:rsidR="00534B76" w:rsidRPr="003A411E">
        <w:rPr>
          <w:lang w:val="fr-FR"/>
        </w:rPr>
        <w:t>9</w:t>
      </w:r>
      <w:r w:rsidR="00A61B9C" w:rsidRPr="003A411E">
        <w:rPr>
          <w:lang w:val="fr-FR"/>
        </w:rPr>
        <w:t>.</w:t>
      </w:r>
      <w:r w:rsidR="00A61B9C" w:rsidRPr="003A411E">
        <w:rPr>
          <w:b/>
          <w:lang w:val="fr-FR"/>
        </w:rPr>
        <w:tab/>
      </w:r>
      <w:r w:rsidRPr="003A411E">
        <w:rPr>
          <w:b/>
          <w:lang w:val="fr-FR"/>
        </w:rPr>
        <w:t>Le Sous-Comité</w:t>
      </w:r>
      <w:r w:rsidR="008F1465" w:rsidRPr="003A411E">
        <w:rPr>
          <w:b/>
          <w:lang w:val="fr-FR"/>
        </w:rPr>
        <w:t xml:space="preserve"> encourage l’État partie à adopter une politique </w:t>
      </w:r>
      <w:r w:rsidRPr="003A411E">
        <w:rPr>
          <w:b/>
          <w:lang w:val="fr-FR"/>
        </w:rPr>
        <w:t>de mesures de substitution</w:t>
      </w:r>
      <w:r w:rsidR="008F1465" w:rsidRPr="003A411E">
        <w:rPr>
          <w:b/>
          <w:lang w:val="fr-FR"/>
        </w:rPr>
        <w:t xml:space="preserve"> à l’incarcération et d’aménagement des peines</w:t>
      </w:r>
      <w:r w:rsidRPr="003A411E">
        <w:rPr>
          <w:b/>
          <w:lang w:val="fr-FR"/>
        </w:rPr>
        <w:t>,</w:t>
      </w:r>
      <w:r w:rsidR="008F1465" w:rsidRPr="003A411E">
        <w:rPr>
          <w:b/>
          <w:lang w:val="fr-FR"/>
        </w:rPr>
        <w:t xml:space="preserve"> afin de réduire la surpopulation carcérale. </w:t>
      </w:r>
      <w:r w:rsidRPr="003A411E">
        <w:rPr>
          <w:b/>
          <w:lang w:val="fr-FR"/>
        </w:rPr>
        <w:t>À cet égard, il</w:t>
      </w:r>
      <w:r w:rsidR="008F1465" w:rsidRPr="003A411E">
        <w:rPr>
          <w:b/>
          <w:lang w:val="fr-FR"/>
        </w:rPr>
        <w:t xml:space="preserve"> souhaite attirer </w:t>
      </w:r>
      <w:r w:rsidRPr="003A411E">
        <w:rPr>
          <w:b/>
          <w:lang w:val="fr-FR"/>
        </w:rPr>
        <w:t xml:space="preserve">son </w:t>
      </w:r>
      <w:r w:rsidR="008F1465" w:rsidRPr="003A411E">
        <w:rPr>
          <w:b/>
          <w:lang w:val="fr-FR"/>
        </w:rPr>
        <w:t>attention sur la prise en considération des Règles minima des Nations Unies pour l</w:t>
      </w:r>
      <w:r w:rsidR="00C11E12">
        <w:rPr>
          <w:b/>
          <w:lang w:val="fr-FR"/>
        </w:rPr>
        <w:t>’</w:t>
      </w:r>
      <w:r w:rsidR="008F1465" w:rsidRPr="003A411E">
        <w:rPr>
          <w:b/>
          <w:lang w:val="fr-FR"/>
        </w:rPr>
        <w:t xml:space="preserve">élaboration de mesures non privatives de liberté (Règles de Tokyo). </w:t>
      </w:r>
    </w:p>
    <w:p w14:paraId="3A489B30" w14:textId="4746F88E" w:rsidR="008F1465" w:rsidRPr="003A411E" w:rsidRDefault="00A61B9C" w:rsidP="002629EC">
      <w:pPr>
        <w:pStyle w:val="SingleTxtG"/>
        <w:rPr>
          <w:b/>
          <w:bCs/>
          <w:lang w:val="fr-FR"/>
        </w:rPr>
      </w:pPr>
      <w:r w:rsidRPr="003A411E">
        <w:rPr>
          <w:bCs/>
          <w:lang w:val="fr-FR"/>
        </w:rPr>
        <w:t>10</w:t>
      </w:r>
      <w:r w:rsidR="00534B76" w:rsidRPr="003A411E">
        <w:rPr>
          <w:bCs/>
          <w:lang w:val="fr-FR"/>
        </w:rPr>
        <w:t>0</w:t>
      </w:r>
      <w:r w:rsidR="008F1465" w:rsidRPr="003A411E">
        <w:rPr>
          <w:bCs/>
          <w:lang w:val="fr-FR"/>
        </w:rPr>
        <w:t>.</w:t>
      </w:r>
      <w:r w:rsidRPr="003A411E">
        <w:rPr>
          <w:bCs/>
          <w:lang w:val="fr-FR"/>
        </w:rPr>
        <w:tab/>
      </w:r>
      <w:r w:rsidR="008F1465" w:rsidRPr="003A411E">
        <w:rPr>
          <w:b/>
          <w:bCs/>
          <w:lang w:val="fr-FR"/>
        </w:rPr>
        <w:t>L’État</w:t>
      </w:r>
      <w:r w:rsidR="002629EC" w:rsidRPr="003A411E">
        <w:rPr>
          <w:b/>
          <w:bCs/>
          <w:lang w:val="fr-FR"/>
        </w:rPr>
        <w:t xml:space="preserve"> partie</w:t>
      </w:r>
      <w:r w:rsidR="008F1465" w:rsidRPr="003A411E">
        <w:rPr>
          <w:b/>
          <w:bCs/>
          <w:lang w:val="fr-FR"/>
        </w:rPr>
        <w:t xml:space="preserve"> doit s’assurer de la bonne application de la </w:t>
      </w:r>
      <w:r w:rsidR="002629EC" w:rsidRPr="003A411E">
        <w:rPr>
          <w:b/>
          <w:bCs/>
          <w:lang w:val="fr-FR"/>
        </w:rPr>
        <w:t>l</w:t>
      </w:r>
      <w:r w:rsidR="008F1465" w:rsidRPr="003A411E">
        <w:rPr>
          <w:b/>
          <w:bCs/>
          <w:lang w:val="fr-FR"/>
        </w:rPr>
        <w:t xml:space="preserve">oi </w:t>
      </w:r>
      <w:r w:rsidR="002629EC" w:rsidRPr="003A411E">
        <w:rPr>
          <w:b/>
          <w:bCs/>
          <w:lang w:val="fr-FR"/>
        </w:rPr>
        <w:t>n</w:t>
      </w:r>
      <w:r w:rsidR="008F1465" w:rsidRPr="00677254">
        <w:rPr>
          <w:b/>
          <w:bCs/>
          <w:vertAlign w:val="superscript"/>
          <w:lang w:val="fr-FR"/>
        </w:rPr>
        <w:t>o</w:t>
      </w:r>
      <w:r w:rsidR="003E4D06">
        <w:rPr>
          <w:b/>
          <w:bCs/>
          <w:lang w:val="fr-FR"/>
        </w:rPr>
        <w:t> </w:t>
      </w:r>
      <w:r w:rsidR="008F1465" w:rsidRPr="003A411E">
        <w:rPr>
          <w:b/>
          <w:bCs/>
          <w:lang w:val="fr-FR"/>
        </w:rPr>
        <w:t>010-2017/AN</w:t>
      </w:r>
      <w:r w:rsidR="002629EC" w:rsidRPr="003A411E">
        <w:rPr>
          <w:b/>
          <w:bCs/>
          <w:lang w:val="fr-FR"/>
        </w:rPr>
        <w:t xml:space="preserve"> du 10 avril 2017 portant régime pénitentiaire au Burkina Faso</w:t>
      </w:r>
      <w:r w:rsidR="008F1465" w:rsidRPr="003A411E">
        <w:rPr>
          <w:b/>
          <w:bCs/>
          <w:lang w:val="fr-FR"/>
        </w:rPr>
        <w:t xml:space="preserve"> quant à l’enseignement, </w:t>
      </w:r>
      <w:r w:rsidR="002629EC" w:rsidRPr="003A411E">
        <w:rPr>
          <w:b/>
          <w:bCs/>
          <w:lang w:val="fr-FR"/>
        </w:rPr>
        <w:t xml:space="preserve">à </w:t>
      </w:r>
      <w:r w:rsidR="008F1465" w:rsidRPr="003A411E">
        <w:rPr>
          <w:b/>
          <w:bCs/>
          <w:lang w:val="fr-FR"/>
        </w:rPr>
        <w:t xml:space="preserve">la formation professionnelle et </w:t>
      </w:r>
      <w:r w:rsidR="002629EC" w:rsidRPr="003A411E">
        <w:rPr>
          <w:b/>
          <w:bCs/>
          <w:lang w:val="fr-FR"/>
        </w:rPr>
        <w:t xml:space="preserve">à </w:t>
      </w:r>
      <w:r w:rsidR="008F1465" w:rsidRPr="003A411E">
        <w:rPr>
          <w:b/>
          <w:bCs/>
          <w:lang w:val="fr-FR"/>
        </w:rPr>
        <w:t xml:space="preserve">la réinsertion sociale des détenus. Il doit garantir la mise en place effective d’un programme éducatif continu en prison, </w:t>
      </w:r>
      <w:r w:rsidR="002629EC" w:rsidRPr="003A411E">
        <w:rPr>
          <w:b/>
          <w:bCs/>
          <w:lang w:val="fr-FR"/>
        </w:rPr>
        <w:t xml:space="preserve">et </w:t>
      </w:r>
      <w:r w:rsidR="008F1465" w:rsidRPr="003A411E">
        <w:rPr>
          <w:b/>
          <w:bCs/>
          <w:lang w:val="fr-FR"/>
        </w:rPr>
        <w:t>faciliter l’accès à la formation profes</w:t>
      </w:r>
      <w:r w:rsidR="0061231B" w:rsidRPr="003A411E">
        <w:rPr>
          <w:b/>
          <w:bCs/>
          <w:lang w:val="fr-FR"/>
        </w:rPr>
        <w:t>sionnelle et à une bibliothèque</w:t>
      </w:r>
      <w:r w:rsidR="008F1465" w:rsidRPr="00E375EF">
        <w:rPr>
          <w:rStyle w:val="Appelnotedebasdep"/>
        </w:rPr>
        <w:footnoteReference w:id="18"/>
      </w:r>
      <w:r w:rsidR="0061231B" w:rsidRPr="003A411E">
        <w:rPr>
          <w:b/>
          <w:bCs/>
          <w:lang w:val="fr-FR"/>
        </w:rPr>
        <w:t>.</w:t>
      </w:r>
      <w:r w:rsidR="008F1465" w:rsidRPr="003A411E">
        <w:rPr>
          <w:b/>
          <w:bCs/>
          <w:lang w:val="fr-FR"/>
        </w:rPr>
        <w:t xml:space="preserve"> </w:t>
      </w:r>
    </w:p>
    <w:p w14:paraId="0E766272" w14:textId="38136744" w:rsidR="008F1465" w:rsidRPr="003A411E" w:rsidRDefault="00A61B9C" w:rsidP="00312B4F">
      <w:pPr>
        <w:pStyle w:val="SingleTxtG"/>
        <w:rPr>
          <w:b/>
          <w:bCs/>
          <w:lang w:val="fr-FR"/>
        </w:rPr>
      </w:pPr>
      <w:r w:rsidRPr="003A411E">
        <w:rPr>
          <w:bCs/>
          <w:lang w:val="fr-FR"/>
        </w:rPr>
        <w:lastRenderedPageBreak/>
        <w:t>10</w:t>
      </w:r>
      <w:r w:rsidR="00534B76" w:rsidRPr="003A411E">
        <w:rPr>
          <w:bCs/>
          <w:lang w:val="fr-FR"/>
        </w:rPr>
        <w:t>1</w:t>
      </w:r>
      <w:r w:rsidRPr="003A411E">
        <w:rPr>
          <w:bCs/>
          <w:lang w:val="fr-FR"/>
        </w:rPr>
        <w:t>.</w:t>
      </w:r>
      <w:r w:rsidRPr="003A411E">
        <w:rPr>
          <w:b/>
          <w:bCs/>
          <w:lang w:val="fr-FR"/>
        </w:rPr>
        <w:tab/>
      </w:r>
      <w:r w:rsidR="008F1465" w:rsidRPr="003A411E">
        <w:rPr>
          <w:b/>
          <w:bCs/>
          <w:lang w:val="fr-FR"/>
        </w:rPr>
        <w:t xml:space="preserve">Des activités récréatives, sportives et culturelles </w:t>
      </w:r>
      <w:r w:rsidR="00312B4F" w:rsidRPr="003A411E">
        <w:rPr>
          <w:b/>
          <w:bCs/>
          <w:lang w:val="fr-FR"/>
        </w:rPr>
        <w:t>doivent</w:t>
      </w:r>
      <w:r w:rsidR="008F1465" w:rsidRPr="003A411E">
        <w:rPr>
          <w:b/>
          <w:bCs/>
          <w:lang w:val="fr-FR"/>
        </w:rPr>
        <w:t xml:space="preserve"> ê</w:t>
      </w:r>
      <w:r w:rsidR="0061231B" w:rsidRPr="003A411E">
        <w:rPr>
          <w:b/>
          <w:bCs/>
          <w:lang w:val="fr-FR"/>
        </w:rPr>
        <w:t>tre organisées plus fréquemment</w:t>
      </w:r>
      <w:r w:rsidR="008F1465" w:rsidRPr="00E375EF">
        <w:rPr>
          <w:rStyle w:val="Appelnotedebasdep"/>
        </w:rPr>
        <w:footnoteReference w:id="19"/>
      </w:r>
      <w:r w:rsidR="0061231B" w:rsidRPr="003A411E">
        <w:rPr>
          <w:b/>
          <w:bCs/>
          <w:lang w:val="fr-FR"/>
        </w:rPr>
        <w:t>,</w:t>
      </w:r>
      <w:r w:rsidR="008F1465" w:rsidRPr="003A411E">
        <w:rPr>
          <w:b/>
          <w:bCs/>
          <w:lang w:val="fr-FR"/>
        </w:rPr>
        <w:t xml:space="preserve"> et le travail des détenus </w:t>
      </w:r>
      <w:r w:rsidR="00312B4F" w:rsidRPr="003A411E">
        <w:rPr>
          <w:b/>
          <w:bCs/>
          <w:lang w:val="fr-FR"/>
        </w:rPr>
        <w:t>doit</w:t>
      </w:r>
      <w:r w:rsidR="008F1465" w:rsidRPr="003A411E">
        <w:rPr>
          <w:b/>
          <w:bCs/>
          <w:lang w:val="fr-FR"/>
        </w:rPr>
        <w:t xml:space="preserve"> ê</w:t>
      </w:r>
      <w:r w:rsidR="0061231B" w:rsidRPr="003A411E">
        <w:rPr>
          <w:b/>
          <w:bCs/>
          <w:lang w:val="fr-FR"/>
        </w:rPr>
        <w:t>tre rémunéré de façon équitable</w:t>
      </w:r>
      <w:r w:rsidR="008F1465" w:rsidRPr="00E375EF">
        <w:rPr>
          <w:rStyle w:val="Appelnotedebasdep"/>
        </w:rPr>
        <w:footnoteReference w:id="20"/>
      </w:r>
      <w:r w:rsidR="0061231B" w:rsidRPr="003A411E">
        <w:rPr>
          <w:b/>
          <w:bCs/>
          <w:lang w:val="fr-FR"/>
        </w:rPr>
        <w:t>.</w:t>
      </w:r>
    </w:p>
    <w:p w14:paraId="6EAB795E" w14:textId="1B665240" w:rsidR="008F1465" w:rsidRPr="003A411E" w:rsidRDefault="008F1465" w:rsidP="00A61B9C">
      <w:pPr>
        <w:pStyle w:val="H23G"/>
        <w:rPr>
          <w:lang w:val="fr-FR"/>
        </w:rPr>
      </w:pPr>
      <w:r w:rsidRPr="003A411E">
        <w:rPr>
          <w:lang w:val="fr-FR"/>
        </w:rPr>
        <w:tab/>
        <w:t>2.</w:t>
      </w:r>
      <w:r w:rsidRPr="003A411E">
        <w:rPr>
          <w:lang w:val="fr-FR"/>
        </w:rPr>
        <w:tab/>
        <w:t>Torture et mauvais traitements</w:t>
      </w:r>
      <w:r w:rsidR="002629EC" w:rsidRPr="003A411E">
        <w:rPr>
          <w:lang w:val="fr-FR"/>
        </w:rPr>
        <w:t>,</w:t>
      </w:r>
      <w:r w:rsidR="004C1363" w:rsidRPr="003A411E">
        <w:rPr>
          <w:lang w:val="fr-FR"/>
        </w:rPr>
        <w:t xml:space="preserve"> et système de plaintes</w:t>
      </w:r>
    </w:p>
    <w:p w14:paraId="435BEFB4" w14:textId="6042C9E1" w:rsidR="008F1465" w:rsidRPr="003A411E" w:rsidRDefault="00A61B9C" w:rsidP="00534B76">
      <w:pPr>
        <w:pStyle w:val="SingleTxtG"/>
        <w:rPr>
          <w:lang w:val="fr-FR"/>
        </w:rPr>
      </w:pPr>
      <w:r w:rsidRPr="003A411E">
        <w:rPr>
          <w:lang w:val="fr-FR"/>
        </w:rPr>
        <w:t>10</w:t>
      </w:r>
      <w:r w:rsidR="00534B76" w:rsidRPr="003A411E">
        <w:rPr>
          <w:lang w:val="fr-FR"/>
        </w:rPr>
        <w:t>2</w:t>
      </w:r>
      <w:r w:rsidRPr="003A411E">
        <w:rPr>
          <w:lang w:val="fr-FR"/>
        </w:rPr>
        <w:t>.</w:t>
      </w:r>
      <w:r w:rsidRPr="003A411E">
        <w:rPr>
          <w:lang w:val="fr-FR"/>
        </w:rPr>
        <w:tab/>
      </w:r>
      <w:r w:rsidR="008F1465" w:rsidRPr="003A411E">
        <w:rPr>
          <w:lang w:val="fr-FR"/>
        </w:rPr>
        <w:t>Le Sous-</w:t>
      </w:r>
      <w:r w:rsidR="006A2C77" w:rsidRPr="003A411E">
        <w:rPr>
          <w:lang w:val="fr-FR"/>
        </w:rPr>
        <w:t>C</w:t>
      </w:r>
      <w:r w:rsidR="008F1465" w:rsidRPr="003A411E">
        <w:rPr>
          <w:lang w:val="fr-FR"/>
        </w:rPr>
        <w:t xml:space="preserve">omité note que la </w:t>
      </w:r>
      <w:r w:rsidR="002629EC" w:rsidRPr="003A411E">
        <w:rPr>
          <w:lang w:val="fr-FR"/>
        </w:rPr>
        <w:t>l</w:t>
      </w:r>
      <w:r w:rsidR="008F1465" w:rsidRPr="003A411E">
        <w:rPr>
          <w:lang w:val="fr-FR"/>
        </w:rPr>
        <w:t xml:space="preserve">oi </w:t>
      </w:r>
      <w:r w:rsidR="002629EC" w:rsidRPr="003A411E">
        <w:rPr>
          <w:lang w:val="fr-FR"/>
        </w:rPr>
        <w:t>n</w:t>
      </w:r>
      <w:r w:rsidR="008F1465" w:rsidRPr="00677254">
        <w:rPr>
          <w:vertAlign w:val="superscript"/>
          <w:lang w:val="fr-FR"/>
        </w:rPr>
        <w:t>o</w:t>
      </w:r>
      <w:r w:rsidR="003E4D06">
        <w:rPr>
          <w:lang w:val="fr-FR"/>
        </w:rPr>
        <w:t> </w:t>
      </w:r>
      <w:r w:rsidR="008F1465" w:rsidRPr="003A411E">
        <w:rPr>
          <w:lang w:val="fr-FR"/>
        </w:rPr>
        <w:t xml:space="preserve">010-2017/AN interdit </w:t>
      </w:r>
      <w:r w:rsidR="002629EC" w:rsidRPr="003A411E">
        <w:rPr>
          <w:lang w:val="fr-FR"/>
        </w:rPr>
        <w:t xml:space="preserve">en son article 24 </w:t>
      </w:r>
      <w:r w:rsidR="008F1465" w:rsidRPr="003A411E">
        <w:rPr>
          <w:lang w:val="fr-FR"/>
        </w:rPr>
        <w:t>la torture et autres peines ou traitements cruels, inhumains ou dégradants contre le</w:t>
      </w:r>
      <w:r w:rsidR="00B26A22" w:rsidRPr="003A411E">
        <w:rPr>
          <w:lang w:val="fr-FR"/>
        </w:rPr>
        <w:t>s</w:t>
      </w:r>
      <w:r w:rsidR="008F1465" w:rsidRPr="003A411E">
        <w:rPr>
          <w:lang w:val="fr-FR"/>
        </w:rPr>
        <w:t xml:space="preserve"> détenu</w:t>
      </w:r>
      <w:r w:rsidR="00B26A22" w:rsidRPr="003A411E">
        <w:rPr>
          <w:lang w:val="fr-FR"/>
        </w:rPr>
        <w:t>s</w:t>
      </w:r>
      <w:r w:rsidR="008F1465" w:rsidRPr="003A411E">
        <w:rPr>
          <w:lang w:val="fr-FR"/>
        </w:rPr>
        <w:t xml:space="preserve">. </w:t>
      </w:r>
    </w:p>
    <w:p w14:paraId="2C40E5AA" w14:textId="2CE9591D" w:rsidR="00B26A22" w:rsidRPr="003A411E" w:rsidRDefault="00A61B9C" w:rsidP="00534B76">
      <w:pPr>
        <w:pStyle w:val="SingleTxtG"/>
        <w:rPr>
          <w:lang w:val="fr-FR"/>
        </w:rPr>
      </w:pPr>
      <w:r w:rsidRPr="003A411E">
        <w:rPr>
          <w:lang w:val="fr-FR"/>
        </w:rPr>
        <w:t>10</w:t>
      </w:r>
      <w:r w:rsidR="00534B76" w:rsidRPr="003A411E">
        <w:rPr>
          <w:lang w:val="fr-FR"/>
        </w:rPr>
        <w:t>3</w:t>
      </w:r>
      <w:r w:rsidRPr="003A411E">
        <w:rPr>
          <w:lang w:val="fr-FR"/>
        </w:rPr>
        <w:t>.</w:t>
      </w:r>
      <w:r w:rsidRPr="003A411E">
        <w:rPr>
          <w:lang w:val="fr-FR"/>
        </w:rPr>
        <w:tab/>
      </w:r>
      <w:r w:rsidR="008F1465" w:rsidRPr="003A411E">
        <w:rPr>
          <w:lang w:val="fr-FR"/>
        </w:rPr>
        <w:t>La délégation a reçu des témoignages de tortures et de mauvais traitements de détenus</w:t>
      </w:r>
      <w:r w:rsidR="00B26A22" w:rsidRPr="003A411E">
        <w:rPr>
          <w:lang w:val="fr-FR"/>
        </w:rPr>
        <w:t>,</w:t>
      </w:r>
      <w:r w:rsidR="008F1465" w:rsidRPr="003A411E">
        <w:rPr>
          <w:lang w:val="fr-FR"/>
        </w:rPr>
        <w:t xml:space="preserve"> qui auraient été frappés ou fouettés par des gardiens à l’aide de bâtons ou </w:t>
      </w:r>
      <w:r w:rsidR="00B26A22" w:rsidRPr="003A411E">
        <w:rPr>
          <w:lang w:val="fr-FR"/>
        </w:rPr>
        <w:t xml:space="preserve">de </w:t>
      </w:r>
      <w:r w:rsidR="008F1465" w:rsidRPr="003A411E">
        <w:rPr>
          <w:lang w:val="fr-FR"/>
        </w:rPr>
        <w:t xml:space="preserve">cordelettes. De même, il </w:t>
      </w:r>
      <w:r w:rsidR="00B26A22" w:rsidRPr="003A411E">
        <w:rPr>
          <w:lang w:val="fr-FR"/>
        </w:rPr>
        <w:t>a été</w:t>
      </w:r>
      <w:r w:rsidR="008F1465" w:rsidRPr="003A411E">
        <w:rPr>
          <w:lang w:val="fr-FR"/>
        </w:rPr>
        <w:t xml:space="preserve"> fait état d’un climat de violence verbale entre les détenus et le personnel. Selon plusieurs détenus, certaines punitions </w:t>
      </w:r>
      <w:r w:rsidR="00B26A22" w:rsidRPr="003A411E">
        <w:rPr>
          <w:lang w:val="fr-FR"/>
        </w:rPr>
        <w:t xml:space="preserve">infligées </w:t>
      </w:r>
      <w:r w:rsidR="008F1465" w:rsidRPr="003A411E">
        <w:rPr>
          <w:lang w:val="fr-FR"/>
        </w:rPr>
        <w:t xml:space="preserve">sous </w:t>
      </w:r>
      <w:r w:rsidR="00B26A22" w:rsidRPr="003A411E">
        <w:rPr>
          <w:lang w:val="fr-FR"/>
        </w:rPr>
        <w:t xml:space="preserve">la </w:t>
      </w:r>
      <w:r w:rsidR="008F1465" w:rsidRPr="003A411E">
        <w:rPr>
          <w:lang w:val="fr-FR"/>
        </w:rPr>
        <w:t>forme de châtiments physiques seraient administrées en présence de tous les détenus</w:t>
      </w:r>
      <w:r w:rsidR="00B26A22" w:rsidRPr="003A411E">
        <w:rPr>
          <w:lang w:val="fr-FR"/>
        </w:rPr>
        <w:t>,</w:t>
      </w:r>
      <w:r w:rsidR="008F1465" w:rsidRPr="003A411E">
        <w:rPr>
          <w:lang w:val="fr-FR"/>
        </w:rPr>
        <w:t xml:space="preserve"> pour servir d’exemple. </w:t>
      </w:r>
    </w:p>
    <w:p w14:paraId="39079D3D" w14:textId="71D3D915" w:rsidR="008F1465" w:rsidRPr="003A411E" w:rsidRDefault="00A61B9C" w:rsidP="00534B76">
      <w:pPr>
        <w:pStyle w:val="SingleTxtG"/>
        <w:rPr>
          <w:lang w:val="fr-FR"/>
        </w:rPr>
      </w:pPr>
      <w:r w:rsidRPr="003A411E">
        <w:rPr>
          <w:lang w:val="fr-FR"/>
        </w:rPr>
        <w:t>10</w:t>
      </w:r>
      <w:r w:rsidR="00534B76" w:rsidRPr="003A411E">
        <w:rPr>
          <w:lang w:val="fr-FR"/>
        </w:rPr>
        <w:t>4</w:t>
      </w:r>
      <w:r w:rsidRPr="003A411E">
        <w:rPr>
          <w:lang w:val="fr-FR"/>
        </w:rPr>
        <w:t>.</w:t>
      </w:r>
      <w:r w:rsidRPr="003A411E">
        <w:rPr>
          <w:lang w:val="fr-FR"/>
        </w:rPr>
        <w:tab/>
      </w:r>
      <w:r w:rsidR="008F1465" w:rsidRPr="003A411E">
        <w:rPr>
          <w:lang w:val="fr-FR"/>
        </w:rPr>
        <w:t>Des détenus ont également mentionné que les mauvais traitements et actes de torture se produisaient le plus souvent durant l’arrestation, le transport, la garde à vue et l’interrogatoire.</w:t>
      </w:r>
    </w:p>
    <w:p w14:paraId="7428069F" w14:textId="63B321DC" w:rsidR="008F1465" w:rsidRPr="003A411E" w:rsidRDefault="00A61B9C" w:rsidP="00B26A22">
      <w:pPr>
        <w:pStyle w:val="SingleTxtG"/>
        <w:rPr>
          <w:lang w:val="fr-FR"/>
        </w:rPr>
      </w:pPr>
      <w:r w:rsidRPr="003A411E">
        <w:rPr>
          <w:lang w:val="fr-FR"/>
        </w:rPr>
        <w:t>10</w:t>
      </w:r>
      <w:r w:rsidR="00534B76" w:rsidRPr="003A411E">
        <w:rPr>
          <w:lang w:val="fr-FR"/>
        </w:rPr>
        <w:t>5</w:t>
      </w:r>
      <w:r w:rsidRPr="003A411E">
        <w:rPr>
          <w:lang w:val="fr-FR"/>
        </w:rPr>
        <w:t>.</w:t>
      </w:r>
      <w:r w:rsidRPr="003A411E">
        <w:rPr>
          <w:lang w:val="fr-FR"/>
        </w:rPr>
        <w:tab/>
      </w:r>
      <w:r w:rsidR="008F1465" w:rsidRPr="003A411E">
        <w:rPr>
          <w:lang w:val="fr-FR"/>
        </w:rPr>
        <w:t xml:space="preserve">La délégation a, en outre, </w:t>
      </w:r>
      <w:r w:rsidR="00B26A22" w:rsidRPr="003A411E">
        <w:rPr>
          <w:lang w:val="fr-FR"/>
        </w:rPr>
        <w:t xml:space="preserve">été </w:t>
      </w:r>
      <w:r w:rsidR="008F1465" w:rsidRPr="003A411E">
        <w:rPr>
          <w:lang w:val="fr-FR"/>
        </w:rPr>
        <w:t xml:space="preserve">informée que les magistrats du parquet refuseraient de prendre en considération les plaintes pour torture qui leur sont adressées par les détenus et les personnes interpellées. Par ailleurs, des avocats du </w:t>
      </w:r>
      <w:r w:rsidR="00B26A22" w:rsidRPr="003A411E">
        <w:rPr>
          <w:lang w:val="fr-FR"/>
        </w:rPr>
        <w:t>b</w:t>
      </w:r>
      <w:r w:rsidR="008F1465" w:rsidRPr="003A411E">
        <w:rPr>
          <w:lang w:val="fr-FR"/>
        </w:rPr>
        <w:t xml:space="preserve">arreau ont </w:t>
      </w:r>
      <w:r w:rsidR="00B26A22" w:rsidRPr="003A411E">
        <w:rPr>
          <w:lang w:val="fr-FR"/>
        </w:rPr>
        <w:t>fait part</w:t>
      </w:r>
      <w:r w:rsidR="008F1465" w:rsidRPr="003A411E">
        <w:rPr>
          <w:lang w:val="fr-FR"/>
        </w:rPr>
        <w:t xml:space="preserve"> au Sous-</w:t>
      </w:r>
      <w:r w:rsidR="006A2C77" w:rsidRPr="003A411E">
        <w:rPr>
          <w:lang w:val="fr-FR"/>
        </w:rPr>
        <w:t>C</w:t>
      </w:r>
      <w:r w:rsidR="008F1465" w:rsidRPr="003A411E">
        <w:rPr>
          <w:lang w:val="fr-FR"/>
        </w:rPr>
        <w:t xml:space="preserve">omité </w:t>
      </w:r>
      <w:r w:rsidR="00B26A22" w:rsidRPr="003A411E">
        <w:rPr>
          <w:lang w:val="fr-FR"/>
        </w:rPr>
        <w:t xml:space="preserve">de </w:t>
      </w:r>
      <w:r w:rsidR="008F1465" w:rsidRPr="003A411E">
        <w:rPr>
          <w:lang w:val="fr-FR"/>
        </w:rPr>
        <w:t>leur extrême difficulté à rendre visite, même en qualité d’avocat, aux personnes interpe</w:t>
      </w:r>
      <w:r w:rsidR="00B26A22" w:rsidRPr="003A411E">
        <w:rPr>
          <w:lang w:val="fr-FR"/>
        </w:rPr>
        <w:t>l</w:t>
      </w:r>
      <w:r w:rsidR="008F1465" w:rsidRPr="003A411E">
        <w:rPr>
          <w:lang w:val="fr-FR"/>
        </w:rPr>
        <w:t>lées dans le cadre des infractions relatives au terrorisme</w:t>
      </w:r>
      <w:r w:rsidR="00B26A22" w:rsidRPr="003A411E">
        <w:rPr>
          <w:lang w:val="fr-FR"/>
        </w:rPr>
        <w:t>,</w:t>
      </w:r>
      <w:r w:rsidR="008F1465" w:rsidRPr="003A411E">
        <w:rPr>
          <w:lang w:val="fr-FR"/>
        </w:rPr>
        <w:t xml:space="preserve"> à la </w:t>
      </w:r>
      <w:r w:rsidR="00B26A22" w:rsidRPr="003A411E">
        <w:rPr>
          <w:lang w:val="fr-FR"/>
        </w:rPr>
        <w:t>prison de haute sécurité de Ouagadougou</w:t>
      </w:r>
      <w:r w:rsidR="008F1465" w:rsidRPr="003A411E">
        <w:rPr>
          <w:lang w:val="fr-FR"/>
        </w:rPr>
        <w:t>.</w:t>
      </w:r>
    </w:p>
    <w:p w14:paraId="3E92FD52" w14:textId="76918FD3" w:rsidR="008F1465" w:rsidRPr="003A411E" w:rsidRDefault="00A61B9C" w:rsidP="00B26A22">
      <w:pPr>
        <w:pStyle w:val="SingleTxtG"/>
        <w:rPr>
          <w:b/>
          <w:lang w:val="fr-FR"/>
        </w:rPr>
      </w:pPr>
      <w:r w:rsidRPr="003A411E">
        <w:rPr>
          <w:lang w:val="fr-FR"/>
        </w:rPr>
        <w:t>10</w:t>
      </w:r>
      <w:r w:rsidR="00534B76" w:rsidRPr="003A411E">
        <w:rPr>
          <w:lang w:val="fr-FR"/>
        </w:rPr>
        <w:t>6</w:t>
      </w:r>
      <w:r w:rsidRPr="003A411E">
        <w:rPr>
          <w:lang w:val="fr-FR"/>
        </w:rPr>
        <w:t>.</w:t>
      </w:r>
      <w:r w:rsidRPr="003A411E">
        <w:rPr>
          <w:lang w:val="fr-FR"/>
        </w:rPr>
        <w:tab/>
      </w:r>
      <w:r w:rsidR="008F1465" w:rsidRPr="003A411E">
        <w:rPr>
          <w:b/>
          <w:lang w:val="fr-FR"/>
        </w:rPr>
        <w:t>Le Sous-</w:t>
      </w:r>
      <w:r w:rsidR="006A2C77" w:rsidRPr="003A411E">
        <w:rPr>
          <w:b/>
          <w:lang w:val="fr-FR"/>
        </w:rPr>
        <w:t>C</w:t>
      </w:r>
      <w:r w:rsidR="008F1465" w:rsidRPr="003A411E">
        <w:rPr>
          <w:b/>
          <w:lang w:val="fr-FR"/>
        </w:rPr>
        <w:t>omité recommande à l’</w:t>
      </w:r>
      <w:r w:rsidR="006A2C77" w:rsidRPr="003A411E">
        <w:rPr>
          <w:b/>
          <w:lang w:val="fr-FR"/>
        </w:rPr>
        <w:t>État</w:t>
      </w:r>
      <w:r w:rsidR="008F1465" w:rsidRPr="003A411E">
        <w:rPr>
          <w:b/>
          <w:lang w:val="fr-FR"/>
        </w:rPr>
        <w:t xml:space="preserve"> partie :</w:t>
      </w:r>
    </w:p>
    <w:p w14:paraId="280CFA7F" w14:textId="3641390F" w:rsidR="008F1465" w:rsidRPr="003A411E" w:rsidRDefault="00434A08" w:rsidP="00E42D3D">
      <w:pPr>
        <w:pStyle w:val="SingleTxtG"/>
        <w:ind w:firstLine="567"/>
        <w:rPr>
          <w:b/>
          <w:lang w:val="fr-FR"/>
        </w:rPr>
      </w:pPr>
      <w:r w:rsidRPr="003A411E">
        <w:rPr>
          <w:b/>
          <w:lang w:val="fr-FR"/>
        </w:rPr>
        <w:t>a)</w:t>
      </w:r>
      <w:r w:rsidRPr="003A411E">
        <w:rPr>
          <w:b/>
          <w:lang w:val="fr-FR"/>
        </w:rPr>
        <w:tab/>
      </w:r>
      <w:r w:rsidR="00B26A22" w:rsidRPr="003A411E">
        <w:rPr>
          <w:b/>
          <w:lang w:val="fr-FR"/>
        </w:rPr>
        <w:t>De faire en sorte que l</w:t>
      </w:r>
      <w:r w:rsidR="008F1465" w:rsidRPr="003A411E">
        <w:rPr>
          <w:b/>
          <w:lang w:val="fr-FR"/>
        </w:rPr>
        <w:t xml:space="preserve">es autorités judiciaires (juges d’instruction, </w:t>
      </w:r>
      <w:r w:rsidR="00B26A22" w:rsidRPr="003A411E">
        <w:rPr>
          <w:b/>
          <w:lang w:val="fr-FR"/>
        </w:rPr>
        <w:t xml:space="preserve">juges </w:t>
      </w:r>
      <w:r w:rsidR="008F1465" w:rsidRPr="003A411E">
        <w:rPr>
          <w:b/>
          <w:lang w:val="fr-FR"/>
        </w:rPr>
        <w:t>d’</w:t>
      </w:r>
      <w:r w:rsidR="00B26A22" w:rsidRPr="003A411E">
        <w:rPr>
          <w:b/>
          <w:lang w:val="fr-FR"/>
        </w:rPr>
        <w:t>application</w:t>
      </w:r>
      <w:r w:rsidR="008F1465" w:rsidRPr="003A411E">
        <w:rPr>
          <w:b/>
          <w:lang w:val="fr-FR"/>
        </w:rPr>
        <w:t xml:space="preserve"> des peines et procureurs) visitent régulièrement les lieux de détention</w:t>
      </w:r>
      <w:r w:rsidR="00E42D3D" w:rsidRPr="003A411E">
        <w:rPr>
          <w:b/>
          <w:lang w:val="fr-FR"/>
        </w:rPr>
        <w:t>,</w:t>
      </w:r>
      <w:r w:rsidR="008F1465" w:rsidRPr="003A411E">
        <w:rPr>
          <w:b/>
          <w:lang w:val="fr-FR"/>
        </w:rPr>
        <w:t xml:space="preserve"> </w:t>
      </w:r>
      <w:r w:rsidR="00E42D3D" w:rsidRPr="003A411E">
        <w:rPr>
          <w:b/>
          <w:lang w:val="fr-FR"/>
        </w:rPr>
        <w:t>à</w:t>
      </w:r>
      <w:r w:rsidR="008F1465" w:rsidRPr="003A411E">
        <w:rPr>
          <w:b/>
          <w:lang w:val="fr-FR"/>
        </w:rPr>
        <w:t xml:space="preserve"> la fréquence exigée par la </w:t>
      </w:r>
      <w:r w:rsidR="00E42D3D" w:rsidRPr="003A411E">
        <w:rPr>
          <w:b/>
          <w:lang w:val="fr-FR"/>
        </w:rPr>
        <w:t>l</w:t>
      </w:r>
      <w:r w:rsidR="008F1465" w:rsidRPr="003A411E">
        <w:rPr>
          <w:b/>
          <w:lang w:val="fr-FR"/>
        </w:rPr>
        <w:t xml:space="preserve">oi </w:t>
      </w:r>
      <w:r w:rsidR="00E42D3D" w:rsidRPr="003A411E">
        <w:rPr>
          <w:b/>
          <w:lang w:val="fr-FR"/>
        </w:rPr>
        <w:t>n</w:t>
      </w:r>
      <w:r w:rsidR="008F1465" w:rsidRPr="00677254">
        <w:rPr>
          <w:b/>
          <w:vertAlign w:val="superscript"/>
          <w:lang w:val="fr-FR"/>
        </w:rPr>
        <w:t>o</w:t>
      </w:r>
      <w:r w:rsidR="003E4D06">
        <w:rPr>
          <w:b/>
          <w:lang w:val="fr-FR"/>
        </w:rPr>
        <w:t> </w:t>
      </w:r>
      <w:r w:rsidR="008F1465" w:rsidRPr="003A411E">
        <w:rPr>
          <w:b/>
          <w:lang w:val="fr-FR"/>
        </w:rPr>
        <w:t>010-2017/AN</w:t>
      </w:r>
      <w:r w:rsidR="00E42D3D" w:rsidRPr="003A411E">
        <w:rPr>
          <w:b/>
          <w:lang w:val="fr-FR"/>
        </w:rPr>
        <w:t>,</w:t>
      </w:r>
      <w:r w:rsidR="008F1465" w:rsidRPr="003A411E">
        <w:rPr>
          <w:b/>
          <w:lang w:val="fr-FR"/>
        </w:rPr>
        <w:t xml:space="preserve"> afin de pouvoir répondre aux requêtes des détenus ;</w:t>
      </w:r>
    </w:p>
    <w:p w14:paraId="14F2AD76" w14:textId="234FDEE0" w:rsidR="008F1465" w:rsidRPr="003A411E" w:rsidRDefault="00434A08" w:rsidP="00E42D3D">
      <w:pPr>
        <w:pStyle w:val="SingleTxtG"/>
        <w:ind w:firstLine="567"/>
        <w:rPr>
          <w:b/>
          <w:bCs/>
          <w:lang w:val="fr-FR"/>
        </w:rPr>
      </w:pPr>
      <w:r w:rsidRPr="003A411E">
        <w:rPr>
          <w:b/>
          <w:bCs/>
          <w:lang w:val="fr-FR"/>
        </w:rPr>
        <w:t>b)</w:t>
      </w:r>
      <w:r w:rsidRPr="003A411E">
        <w:rPr>
          <w:b/>
          <w:bCs/>
          <w:lang w:val="fr-FR"/>
        </w:rPr>
        <w:tab/>
      </w:r>
      <w:r w:rsidR="00E42D3D" w:rsidRPr="003A411E">
        <w:rPr>
          <w:b/>
          <w:bCs/>
          <w:lang w:val="fr-FR"/>
        </w:rPr>
        <w:t>De dispenser périodiquement au</w:t>
      </w:r>
      <w:r w:rsidR="008F1465" w:rsidRPr="003A411E">
        <w:rPr>
          <w:b/>
          <w:bCs/>
          <w:lang w:val="fr-FR"/>
        </w:rPr>
        <w:t xml:space="preserve"> personnel pénitentiaire des formations </w:t>
      </w:r>
      <w:r w:rsidR="00E42D3D" w:rsidRPr="003A411E">
        <w:rPr>
          <w:b/>
          <w:bCs/>
          <w:lang w:val="fr-FR"/>
        </w:rPr>
        <w:t>ainsi que</w:t>
      </w:r>
      <w:r w:rsidR="008F1465" w:rsidRPr="003A411E">
        <w:rPr>
          <w:b/>
          <w:bCs/>
          <w:lang w:val="fr-FR"/>
        </w:rPr>
        <w:t xml:space="preserve"> des instructions claires et précises rappelant l’interdiction absolue de toute forme de torture et de mauvais traitements ;</w:t>
      </w:r>
    </w:p>
    <w:p w14:paraId="3CF53ABE" w14:textId="61DC6070" w:rsidR="008F1465" w:rsidRPr="003A411E" w:rsidRDefault="00434A08" w:rsidP="009D3F30">
      <w:pPr>
        <w:pStyle w:val="SingleTxtG"/>
        <w:ind w:firstLine="567"/>
        <w:rPr>
          <w:b/>
          <w:bCs/>
          <w:lang w:val="fr-FR"/>
        </w:rPr>
      </w:pPr>
      <w:r w:rsidRPr="003A411E">
        <w:rPr>
          <w:b/>
          <w:bCs/>
          <w:lang w:val="fr-FR"/>
        </w:rPr>
        <w:t>c)</w:t>
      </w:r>
      <w:r w:rsidRPr="003A411E">
        <w:rPr>
          <w:b/>
          <w:bCs/>
          <w:lang w:val="fr-FR"/>
        </w:rPr>
        <w:tab/>
      </w:r>
      <w:r w:rsidR="00E42D3D" w:rsidRPr="003A411E">
        <w:rPr>
          <w:b/>
          <w:bCs/>
          <w:lang w:val="fr-FR"/>
        </w:rPr>
        <w:t>De</w:t>
      </w:r>
      <w:r w:rsidR="008F1465" w:rsidRPr="003A411E">
        <w:rPr>
          <w:b/>
          <w:bCs/>
          <w:lang w:val="fr-FR"/>
        </w:rPr>
        <w:t xml:space="preserve"> veille</w:t>
      </w:r>
      <w:r w:rsidR="00E42D3D" w:rsidRPr="003A411E">
        <w:rPr>
          <w:b/>
          <w:bCs/>
          <w:lang w:val="fr-FR"/>
        </w:rPr>
        <w:t>r</w:t>
      </w:r>
      <w:r w:rsidR="008F1465" w:rsidRPr="003A411E">
        <w:rPr>
          <w:b/>
          <w:bCs/>
          <w:lang w:val="fr-FR"/>
        </w:rPr>
        <w:t xml:space="preserve"> au bon fonctionnement d’un mécanisme permettant à toute personne détenue de porter plainte de manière confidentielle auprès d’organes de contrôle indépendants, comme </w:t>
      </w:r>
      <w:r w:rsidR="00E42D3D" w:rsidRPr="003A411E">
        <w:rPr>
          <w:b/>
          <w:bCs/>
          <w:lang w:val="fr-FR"/>
        </w:rPr>
        <w:t>le prévoit</w:t>
      </w:r>
      <w:r w:rsidR="008F1465" w:rsidRPr="003A411E">
        <w:rPr>
          <w:b/>
          <w:bCs/>
          <w:lang w:val="fr-FR"/>
        </w:rPr>
        <w:t xml:space="preserve"> la </w:t>
      </w:r>
      <w:r w:rsidR="009D3F30" w:rsidRPr="003A411E">
        <w:rPr>
          <w:b/>
          <w:bCs/>
          <w:lang w:val="fr-FR"/>
        </w:rPr>
        <w:t>l</w:t>
      </w:r>
      <w:r w:rsidR="008F1465" w:rsidRPr="003A411E">
        <w:rPr>
          <w:b/>
          <w:bCs/>
          <w:lang w:val="fr-FR"/>
        </w:rPr>
        <w:t xml:space="preserve">oi </w:t>
      </w:r>
      <w:r w:rsidR="00E42D3D" w:rsidRPr="003A411E">
        <w:rPr>
          <w:b/>
          <w:bCs/>
          <w:lang w:val="fr-FR"/>
        </w:rPr>
        <w:t>n</w:t>
      </w:r>
      <w:r w:rsidR="008F1465" w:rsidRPr="00677254">
        <w:rPr>
          <w:b/>
          <w:bCs/>
          <w:vertAlign w:val="superscript"/>
          <w:lang w:val="fr-FR"/>
        </w:rPr>
        <w:t>o</w:t>
      </w:r>
      <w:r w:rsidR="003E4D06">
        <w:rPr>
          <w:b/>
          <w:bCs/>
          <w:lang w:val="fr-FR"/>
        </w:rPr>
        <w:t> </w:t>
      </w:r>
      <w:r w:rsidR="008F1465" w:rsidRPr="003A411E">
        <w:rPr>
          <w:b/>
          <w:bCs/>
          <w:lang w:val="fr-FR"/>
        </w:rPr>
        <w:t>010-2017/AN</w:t>
      </w:r>
      <w:r w:rsidR="00E42D3D" w:rsidRPr="003A411E">
        <w:rPr>
          <w:b/>
          <w:bCs/>
          <w:lang w:val="fr-FR"/>
        </w:rPr>
        <w:t> ;</w:t>
      </w:r>
      <w:r w:rsidR="008F1465" w:rsidRPr="003A411E">
        <w:rPr>
          <w:b/>
          <w:bCs/>
          <w:lang w:val="fr-FR"/>
        </w:rPr>
        <w:t xml:space="preserve"> </w:t>
      </w:r>
    </w:p>
    <w:p w14:paraId="26DB71AD" w14:textId="051D181B" w:rsidR="008F1465" w:rsidRPr="003A411E" w:rsidRDefault="00434A08" w:rsidP="00E42D3D">
      <w:pPr>
        <w:pStyle w:val="SingleTxtG"/>
        <w:ind w:firstLine="567"/>
        <w:rPr>
          <w:b/>
          <w:bCs/>
          <w:lang w:val="fr-FR"/>
        </w:rPr>
      </w:pPr>
      <w:r w:rsidRPr="003A411E">
        <w:rPr>
          <w:b/>
          <w:bCs/>
          <w:lang w:val="fr-FR"/>
        </w:rPr>
        <w:t>d)</w:t>
      </w:r>
      <w:r w:rsidRPr="003A411E">
        <w:rPr>
          <w:b/>
          <w:bCs/>
          <w:lang w:val="fr-FR"/>
        </w:rPr>
        <w:tab/>
      </w:r>
      <w:r w:rsidR="00E42D3D" w:rsidRPr="003A411E">
        <w:rPr>
          <w:b/>
          <w:bCs/>
          <w:lang w:val="fr-FR"/>
        </w:rPr>
        <w:t>D’intégrer l</w:t>
      </w:r>
      <w:r w:rsidR="008F1465" w:rsidRPr="003A411E">
        <w:rPr>
          <w:b/>
          <w:bCs/>
          <w:lang w:val="fr-FR"/>
        </w:rPr>
        <w:t xml:space="preserve">’examen de ces plaintes dans le cadre des mécanismes de </w:t>
      </w:r>
      <w:r w:rsidR="0061231B" w:rsidRPr="003A411E">
        <w:rPr>
          <w:b/>
          <w:bCs/>
          <w:lang w:val="fr-FR"/>
        </w:rPr>
        <w:t>visite instaurés</w:t>
      </w:r>
      <w:r w:rsidR="008F1465" w:rsidRPr="00E375EF">
        <w:rPr>
          <w:rStyle w:val="Appelnotedebasdep"/>
        </w:rPr>
        <w:footnoteReference w:id="21"/>
      </w:r>
      <w:r w:rsidR="0061231B" w:rsidRPr="003A411E">
        <w:rPr>
          <w:b/>
          <w:bCs/>
          <w:lang w:val="fr-FR"/>
        </w:rPr>
        <w:t> ;</w:t>
      </w:r>
    </w:p>
    <w:p w14:paraId="4BA4CDD8" w14:textId="5239A726" w:rsidR="008F1465" w:rsidRPr="003A411E" w:rsidRDefault="00434A08" w:rsidP="00F561AD">
      <w:pPr>
        <w:pStyle w:val="SingleTxtG"/>
        <w:ind w:firstLine="567"/>
        <w:rPr>
          <w:b/>
          <w:bCs/>
          <w:lang w:val="fr-FR"/>
        </w:rPr>
      </w:pPr>
      <w:r w:rsidRPr="003A411E">
        <w:rPr>
          <w:b/>
          <w:bCs/>
          <w:lang w:val="fr-FR"/>
        </w:rPr>
        <w:t>e)</w:t>
      </w:r>
      <w:r w:rsidRPr="003A411E">
        <w:rPr>
          <w:b/>
          <w:bCs/>
          <w:lang w:val="fr-FR"/>
        </w:rPr>
        <w:tab/>
      </w:r>
      <w:r w:rsidR="00F561AD" w:rsidRPr="003A411E">
        <w:rPr>
          <w:b/>
          <w:bCs/>
          <w:lang w:val="fr-FR"/>
        </w:rPr>
        <w:t>D’instituer des</w:t>
      </w:r>
      <w:r w:rsidR="008F1465" w:rsidRPr="003A411E">
        <w:rPr>
          <w:b/>
          <w:bCs/>
          <w:lang w:val="fr-FR"/>
        </w:rPr>
        <w:t xml:space="preserve"> procédures de protection contre les représailles des auteurs de plaintes</w:t>
      </w:r>
      <w:r w:rsidR="008F1465" w:rsidRPr="00E375EF">
        <w:rPr>
          <w:rStyle w:val="Appelnotedebasdep"/>
        </w:rPr>
        <w:footnoteReference w:id="22"/>
      </w:r>
      <w:r w:rsidR="008F1465" w:rsidRPr="003A411E">
        <w:rPr>
          <w:b/>
          <w:bCs/>
          <w:lang w:val="fr-FR"/>
        </w:rPr>
        <w:t> ;</w:t>
      </w:r>
    </w:p>
    <w:p w14:paraId="0C79A2B3" w14:textId="1989DFF1" w:rsidR="008F1465" w:rsidRPr="003A411E" w:rsidRDefault="00434A08" w:rsidP="00F561AD">
      <w:pPr>
        <w:pStyle w:val="SingleTxtG"/>
        <w:ind w:firstLine="567"/>
        <w:rPr>
          <w:b/>
          <w:bCs/>
          <w:lang w:val="fr-FR"/>
        </w:rPr>
      </w:pPr>
      <w:r w:rsidRPr="003A411E">
        <w:rPr>
          <w:b/>
          <w:bCs/>
          <w:lang w:val="fr-FR"/>
        </w:rPr>
        <w:t>f)</w:t>
      </w:r>
      <w:r w:rsidRPr="003A411E">
        <w:rPr>
          <w:b/>
          <w:bCs/>
          <w:lang w:val="fr-FR"/>
        </w:rPr>
        <w:tab/>
      </w:r>
      <w:r w:rsidR="008F1465" w:rsidRPr="003A411E">
        <w:rPr>
          <w:b/>
          <w:bCs/>
          <w:lang w:val="fr-FR"/>
        </w:rPr>
        <w:t>D</w:t>
      </w:r>
      <w:r w:rsidR="00F561AD" w:rsidRPr="003A411E">
        <w:rPr>
          <w:b/>
          <w:bCs/>
          <w:lang w:val="fr-FR"/>
        </w:rPr>
        <w:t>’assurer que le mécanisme en place diligente d</w:t>
      </w:r>
      <w:r w:rsidR="008F1465" w:rsidRPr="003A411E">
        <w:rPr>
          <w:b/>
          <w:bCs/>
          <w:lang w:val="fr-FR"/>
        </w:rPr>
        <w:t xml:space="preserve">es enquêtes indépendantes et impartiales de toutes ces plaintes dans un délai raisonnable, conformément </w:t>
      </w:r>
      <w:r w:rsidR="00F561AD" w:rsidRPr="003A411E">
        <w:rPr>
          <w:b/>
          <w:bCs/>
          <w:lang w:val="fr-FR"/>
        </w:rPr>
        <w:t>aux articles 12 et 13 de</w:t>
      </w:r>
      <w:r w:rsidR="008F1465" w:rsidRPr="003A411E">
        <w:rPr>
          <w:b/>
          <w:bCs/>
          <w:lang w:val="fr-FR"/>
        </w:rPr>
        <w:t xml:space="preserve"> la Convention contre la torture</w:t>
      </w:r>
      <w:r w:rsidR="008F1465" w:rsidRPr="00E375EF">
        <w:rPr>
          <w:rStyle w:val="Appelnotedebasdep"/>
        </w:rPr>
        <w:footnoteReference w:id="23"/>
      </w:r>
      <w:r w:rsidR="008F1465" w:rsidRPr="003A411E">
        <w:rPr>
          <w:b/>
          <w:bCs/>
          <w:lang w:val="fr-FR"/>
        </w:rPr>
        <w:t> ;</w:t>
      </w:r>
    </w:p>
    <w:p w14:paraId="31636E97" w14:textId="6C75E34E" w:rsidR="008F1465" w:rsidRPr="003A411E" w:rsidRDefault="00434A08" w:rsidP="00F561AD">
      <w:pPr>
        <w:pStyle w:val="SingleTxtG"/>
        <w:ind w:firstLine="567"/>
        <w:rPr>
          <w:b/>
          <w:lang w:val="fr-FR"/>
        </w:rPr>
      </w:pPr>
      <w:r w:rsidRPr="003A411E">
        <w:rPr>
          <w:b/>
          <w:lang w:val="fr-FR"/>
        </w:rPr>
        <w:t>g)</w:t>
      </w:r>
      <w:r w:rsidRPr="003A411E">
        <w:rPr>
          <w:b/>
          <w:lang w:val="fr-FR"/>
        </w:rPr>
        <w:tab/>
      </w:r>
      <w:r w:rsidR="00F561AD" w:rsidRPr="003A411E">
        <w:rPr>
          <w:b/>
          <w:lang w:val="fr-FR"/>
        </w:rPr>
        <w:t>De renforcer l</w:t>
      </w:r>
      <w:r w:rsidR="008F1465" w:rsidRPr="003A411E">
        <w:rPr>
          <w:b/>
          <w:lang w:val="fr-FR"/>
        </w:rPr>
        <w:t xml:space="preserve">’accès à </w:t>
      </w:r>
      <w:r w:rsidR="00F561AD" w:rsidRPr="003A411E">
        <w:rPr>
          <w:b/>
          <w:lang w:val="fr-FR"/>
        </w:rPr>
        <w:t xml:space="preserve">un </w:t>
      </w:r>
      <w:r w:rsidR="008F1465" w:rsidRPr="003A411E">
        <w:rPr>
          <w:b/>
          <w:lang w:val="fr-FR"/>
        </w:rPr>
        <w:t>avocat et à l’aide juridique.</w:t>
      </w:r>
    </w:p>
    <w:p w14:paraId="4E966E39" w14:textId="019E1975" w:rsidR="008F1465" w:rsidRPr="003A411E" w:rsidRDefault="00A61B9C" w:rsidP="00F561AD">
      <w:pPr>
        <w:pStyle w:val="H23G"/>
        <w:rPr>
          <w:lang w:val="fr-FR"/>
        </w:rPr>
      </w:pPr>
      <w:r w:rsidRPr="003A411E">
        <w:rPr>
          <w:lang w:val="fr-FR"/>
        </w:rPr>
        <w:tab/>
      </w:r>
      <w:r w:rsidR="008F1465" w:rsidRPr="003A411E">
        <w:rPr>
          <w:lang w:val="fr-FR"/>
        </w:rPr>
        <w:t>3.</w:t>
      </w:r>
      <w:r w:rsidR="008F1465" w:rsidRPr="003A411E">
        <w:rPr>
          <w:lang w:val="fr-FR"/>
        </w:rPr>
        <w:tab/>
      </w:r>
      <w:r w:rsidR="00F561AD" w:rsidRPr="003A411E">
        <w:rPr>
          <w:lang w:val="fr-FR"/>
        </w:rPr>
        <w:t>R</w:t>
      </w:r>
      <w:r w:rsidR="008F1465" w:rsidRPr="003A411E">
        <w:rPr>
          <w:lang w:val="fr-FR"/>
        </w:rPr>
        <w:t xml:space="preserve">egistres </w:t>
      </w:r>
    </w:p>
    <w:p w14:paraId="7C0F529A" w14:textId="6B3C888B" w:rsidR="008F1465" w:rsidRPr="003A411E" w:rsidRDefault="00A61B9C" w:rsidP="00BE49EE">
      <w:pPr>
        <w:pStyle w:val="SingleTxtG"/>
        <w:rPr>
          <w:lang w:val="fr-FR"/>
        </w:rPr>
      </w:pPr>
      <w:r w:rsidRPr="003A411E">
        <w:rPr>
          <w:lang w:val="fr-FR"/>
        </w:rPr>
        <w:t>10</w:t>
      </w:r>
      <w:r w:rsidR="00534B76" w:rsidRPr="003A411E">
        <w:rPr>
          <w:lang w:val="fr-FR"/>
        </w:rPr>
        <w:t>7</w:t>
      </w:r>
      <w:r w:rsidRPr="003A411E">
        <w:rPr>
          <w:lang w:val="fr-FR"/>
        </w:rPr>
        <w:t>.</w:t>
      </w:r>
      <w:r w:rsidRPr="003A411E">
        <w:rPr>
          <w:lang w:val="fr-FR"/>
        </w:rPr>
        <w:tab/>
      </w:r>
      <w:r w:rsidR="008F1465" w:rsidRPr="003A411E">
        <w:rPr>
          <w:lang w:val="fr-FR"/>
        </w:rPr>
        <w:t xml:space="preserve">Le Burkina Faso entreprend </w:t>
      </w:r>
      <w:r w:rsidR="00F561AD" w:rsidRPr="003A411E">
        <w:rPr>
          <w:lang w:val="fr-FR"/>
        </w:rPr>
        <w:t xml:space="preserve">actuellement </w:t>
      </w:r>
      <w:r w:rsidR="008F1465" w:rsidRPr="003A411E">
        <w:rPr>
          <w:lang w:val="fr-FR"/>
        </w:rPr>
        <w:t xml:space="preserve">la mise en place du système d’informatisation des données en matière pénitentiaire </w:t>
      </w:r>
      <w:r w:rsidR="00F561AD" w:rsidRPr="003A411E">
        <w:rPr>
          <w:lang w:val="fr-FR"/>
        </w:rPr>
        <w:t>(</w:t>
      </w:r>
      <w:r w:rsidR="008F1465" w:rsidRPr="003A411E">
        <w:rPr>
          <w:lang w:val="fr-FR"/>
        </w:rPr>
        <w:t>projet I</w:t>
      </w:r>
      <w:r w:rsidR="00F561AD" w:rsidRPr="003A411E">
        <w:rPr>
          <w:lang w:val="fr-FR"/>
        </w:rPr>
        <w:t>RAPOL)</w:t>
      </w:r>
      <w:r w:rsidR="008F1465" w:rsidRPr="003A411E">
        <w:rPr>
          <w:lang w:val="fr-FR"/>
        </w:rPr>
        <w:t xml:space="preserve"> à la </w:t>
      </w:r>
      <w:r w:rsidR="00F561AD" w:rsidRPr="003A411E">
        <w:rPr>
          <w:lang w:val="fr-FR"/>
        </w:rPr>
        <w:t>maison d’arrêt et de correction de Ouagadougou</w:t>
      </w:r>
      <w:r w:rsidR="008F1465" w:rsidRPr="003A411E">
        <w:rPr>
          <w:lang w:val="fr-FR"/>
        </w:rPr>
        <w:t xml:space="preserve">. Cette expérience </w:t>
      </w:r>
      <w:r w:rsidR="00F561AD" w:rsidRPr="003A411E">
        <w:rPr>
          <w:lang w:val="fr-FR"/>
        </w:rPr>
        <w:t>n’en est</w:t>
      </w:r>
      <w:r w:rsidR="008F1465" w:rsidRPr="003A411E">
        <w:rPr>
          <w:lang w:val="fr-FR"/>
        </w:rPr>
        <w:t xml:space="preserve"> qu’à </w:t>
      </w:r>
      <w:r w:rsidR="00F561AD" w:rsidRPr="003A411E">
        <w:rPr>
          <w:lang w:val="fr-FR"/>
        </w:rPr>
        <w:t>ses</w:t>
      </w:r>
      <w:r w:rsidR="008F1465" w:rsidRPr="003A411E">
        <w:rPr>
          <w:lang w:val="fr-FR"/>
        </w:rPr>
        <w:t xml:space="preserve"> début</w:t>
      </w:r>
      <w:r w:rsidR="00F561AD" w:rsidRPr="003A411E">
        <w:rPr>
          <w:lang w:val="fr-FR"/>
        </w:rPr>
        <w:t>s</w:t>
      </w:r>
      <w:r w:rsidR="008F1465" w:rsidRPr="003A411E">
        <w:rPr>
          <w:lang w:val="fr-FR"/>
        </w:rPr>
        <w:t xml:space="preserve">, la </w:t>
      </w:r>
      <w:r w:rsidR="00F561AD" w:rsidRPr="003A411E">
        <w:rPr>
          <w:lang w:val="fr-FR"/>
        </w:rPr>
        <w:t>maison d’arrêt et de correction</w:t>
      </w:r>
      <w:r w:rsidR="008F1465" w:rsidRPr="003A411E">
        <w:rPr>
          <w:lang w:val="fr-FR"/>
        </w:rPr>
        <w:t xml:space="preserve"> et la </w:t>
      </w:r>
      <w:r w:rsidR="00B26A22" w:rsidRPr="003A411E">
        <w:rPr>
          <w:lang w:val="fr-FR"/>
        </w:rPr>
        <w:t>prison de haute sécurité de Ouagadougou</w:t>
      </w:r>
      <w:r w:rsidR="008F1465" w:rsidRPr="003A411E">
        <w:rPr>
          <w:lang w:val="fr-FR"/>
        </w:rPr>
        <w:t xml:space="preserve"> disposent </w:t>
      </w:r>
      <w:r w:rsidR="00F561AD" w:rsidRPr="003A411E">
        <w:rPr>
          <w:lang w:val="fr-FR"/>
        </w:rPr>
        <w:t xml:space="preserve">donc </w:t>
      </w:r>
      <w:r w:rsidR="008F1465" w:rsidRPr="003A411E">
        <w:rPr>
          <w:lang w:val="fr-FR"/>
        </w:rPr>
        <w:t xml:space="preserve">de registres journaliers (« main courante ») relatifs </w:t>
      </w:r>
      <w:r w:rsidR="00F561AD" w:rsidRPr="003A411E">
        <w:rPr>
          <w:lang w:val="fr-FR"/>
        </w:rPr>
        <w:t>à leur</w:t>
      </w:r>
      <w:r w:rsidR="008F1465" w:rsidRPr="003A411E">
        <w:rPr>
          <w:lang w:val="fr-FR"/>
        </w:rPr>
        <w:t xml:space="preserve"> fonctionnement quotidien. La délégation a </w:t>
      </w:r>
      <w:r w:rsidR="008F1465" w:rsidRPr="003A411E">
        <w:rPr>
          <w:lang w:val="fr-FR"/>
        </w:rPr>
        <w:lastRenderedPageBreak/>
        <w:t xml:space="preserve">constaté avec préoccupation des défaillances dans la tenue de </w:t>
      </w:r>
      <w:r w:rsidR="00F561AD" w:rsidRPr="003A411E">
        <w:rPr>
          <w:lang w:val="fr-FR"/>
        </w:rPr>
        <w:t xml:space="preserve">ces </w:t>
      </w:r>
      <w:r w:rsidR="008F1465" w:rsidRPr="003A411E">
        <w:rPr>
          <w:lang w:val="fr-FR"/>
        </w:rPr>
        <w:t xml:space="preserve">registres. </w:t>
      </w:r>
      <w:r w:rsidR="00BE49EE" w:rsidRPr="003A411E">
        <w:rPr>
          <w:lang w:val="fr-FR"/>
        </w:rPr>
        <w:t>Les deux établissements</w:t>
      </w:r>
      <w:r w:rsidR="008F1465" w:rsidRPr="003A411E">
        <w:rPr>
          <w:lang w:val="fr-FR"/>
        </w:rPr>
        <w:t xml:space="preserve"> disposent de registres de</w:t>
      </w:r>
      <w:r w:rsidR="00F561AD" w:rsidRPr="003A411E">
        <w:rPr>
          <w:lang w:val="fr-FR"/>
        </w:rPr>
        <w:t>s</w:t>
      </w:r>
      <w:r w:rsidR="008F1465" w:rsidRPr="003A411E">
        <w:rPr>
          <w:lang w:val="fr-FR"/>
        </w:rPr>
        <w:t xml:space="preserve"> décès</w:t>
      </w:r>
      <w:r w:rsidR="00F561AD" w:rsidRPr="003A411E">
        <w:rPr>
          <w:lang w:val="fr-FR"/>
        </w:rPr>
        <w:t>,</w:t>
      </w:r>
      <w:r w:rsidR="008F1465" w:rsidRPr="003A411E">
        <w:rPr>
          <w:lang w:val="fr-FR"/>
        </w:rPr>
        <w:t xml:space="preserve"> mais </w:t>
      </w:r>
      <w:r w:rsidR="00F561AD" w:rsidRPr="003A411E">
        <w:rPr>
          <w:lang w:val="fr-FR"/>
        </w:rPr>
        <w:t xml:space="preserve">ceux-ci ne sont que </w:t>
      </w:r>
      <w:r w:rsidR="008F1465" w:rsidRPr="003A411E">
        <w:rPr>
          <w:lang w:val="fr-FR"/>
        </w:rPr>
        <w:t xml:space="preserve">très sommairement remplis, </w:t>
      </w:r>
      <w:r w:rsidR="00F561AD" w:rsidRPr="003A411E">
        <w:rPr>
          <w:lang w:val="fr-FR"/>
        </w:rPr>
        <w:t>puisqu’ils ne</w:t>
      </w:r>
      <w:r w:rsidR="008F1465" w:rsidRPr="003A411E">
        <w:rPr>
          <w:lang w:val="fr-FR"/>
        </w:rPr>
        <w:t xml:space="preserve"> mention</w:t>
      </w:r>
      <w:r w:rsidR="00F561AD" w:rsidRPr="003A411E">
        <w:rPr>
          <w:lang w:val="fr-FR"/>
        </w:rPr>
        <w:t>nent notamment</w:t>
      </w:r>
      <w:r w:rsidR="008F1465" w:rsidRPr="003A411E">
        <w:rPr>
          <w:lang w:val="fr-FR"/>
        </w:rPr>
        <w:t xml:space="preserve"> </w:t>
      </w:r>
      <w:r w:rsidR="00F561AD" w:rsidRPr="003A411E">
        <w:rPr>
          <w:lang w:val="fr-FR"/>
        </w:rPr>
        <w:t>ni</w:t>
      </w:r>
      <w:r w:rsidR="008F1465" w:rsidRPr="003A411E">
        <w:rPr>
          <w:lang w:val="fr-FR"/>
        </w:rPr>
        <w:t xml:space="preserve"> la cause </w:t>
      </w:r>
      <w:r w:rsidR="00F561AD" w:rsidRPr="003A411E">
        <w:rPr>
          <w:lang w:val="fr-FR"/>
        </w:rPr>
        <w:t>ni les</w:t>
      </w:r>
      <w:r w:rsidR="008F1465" w:rsidRPr="003A411E">
        <w:rPr>
          <w:lang w:val="fr-FR"/>
        </w:rPr>
        <w:t xml:space="preserve"> circonstances de la mort.</w:t>
      </w:r>
    </w:p>
    <w:p w14:paraId="72E0CC3D" w14:textId="038DC4E5" w:rsidR="008F1465" w:rsidRPr="003A411E" w:rsidRDefault="00A61B9C" w:rsidP="00534B76">
      <w:pPr>
        <w:pStyle w:val="SingleTxtG"/>
        <w:rPr>
          <w:b/>
          <w:lang w:val="fr-FR"/>
        </w:rPr>
      </w:pPr>
      <w:r w:rsidRPr="003A411E">
        <w:rPr>
          <w:lang w:val="fr-FR"/>
        </w:rPr>
        <w:t>1</w:t>
      </w:r>
      <w:r w:rsidR="00F561AD" w:rsidRPr="003A411E">
        <w:rPr>
          <w:lang w:val="fr-FR"/>
        </w:rPr>
        <w:t>0</w:t>
      </w:r>
      <w:r w:rsidR="00534B76" w:rsidRPr="003A411E">
        <w:rPr>
          <w:lang w:val="fr-FR"/>
        </w:rPr>
        <w:t>8</w:t>
      </w:r>
      <w:r w:rsidR="008F1465" w:rsidRPr="003A411E">
        <w:rPr>
          <w:lang w:val="fr-FR"/>
        </w:rPr>
        <w:t>.</w:t>
      </w:r>
      <w:r w:rsidR="008F1465" w:rsidRPr="003A411E">
        <w:rPr>
          <w:b/>
          <w:lang w:val="fr-FR"/>
        </w:rPr>
        <w:tab/>
        <w:t>Le Sous-</w:t>
      </w:r>
      <w:r w:rsidR="006A2C77" w:rsidRPr="003A411E">
        <w:rPr>
          <w:b/>
          <w:lang w:val="fr-FR"/>
        </w:rPr>
        <w:t>C</w:t>
      </w:r>
      <w:r w:rsidR="008F1465" w:rsidRPr="003A411E">
        <w:rPr>
          <w:b/>
          <w:lang w:val="fr-FR"/>
        </w:rPr>
        <w:t>omité recommande à l’</w:t>
      </w:r>
      <w:r w:rsidR="006A2C77" w:rsidRPr="003A411E">
        <w:rPr>
          <w:b/>
          <w:lang w:val="fr-FR"/>
        </w:rPr>
        <w:t>État</w:t>
      </w:r>
      <w:r w:rsidR="008F1465" w:rsidRPr="003A411E">
        <w:rPr>
          <w:b/>
          <w:lang w:val="fr-FR"/>
        </w:rPr>
        <w:t xml:space="preserve"> partie :</w:t>
      </w:r>
    </w:p>
    <w:p w14:paraId="35082863" w14:textId="2339C0CC" w:rsidR="008F1465" w:rsidRPr="003A411E" w:rsidRDefault="006549D2" w:rsidP="0024002F">
      <w:pPr>
        <w:pStyle w:val="SingleTxtG"/>
        <w:ind w:firstLine="567"/>
        <w:rPr>
          <w:b/>
          <w:lang w:val="fr-FR"/>
        </w:rPr>
      </w:pPr>
      <w:r w:rsidRPr="003A411E">
        <w:rPr>
          <w:b/>
          <w:lang w:val="fr-FR"/>
        </w:rPr>
        <w:t>a)</w:t>
      </w:r>
      <w:r w:rsidRPr="003A411E">
        <w:rPr>
          <w:b/>
          <w:lang w:val="fr-FR"/>
        </w:rPr>
        <w:tab/>
      </w:r>
      <w:r w:rsidR="00F561AD" w:rsidRPr="003A411E">
        <w:rPr>
          <w:b/>
          <w:lang w:val="fr-FR"/>
        </w:rPr>
        <w:t>D</w:t>
      </w:r>
      <w:r w:rsidR="008F1465" w:rsidRPr="003A411E">
        <w:rPr>
          <w:b/>
          <w:lang w:val="fr-FR"/>
        </w:rPr>
        <w:t xml:space="preserve">e doter les établissements pénitentiaires de registres </w:t>
      </w:r>
      <w:r w:rsidR="0024002F" w:rsidRPr="003A411E">
        <w:rPr>
          <w:b/>
          <w:lang w:val="fr-FR"/>
        </w:rPr>
        <w:t>relatifs</w:t>
      </w:r>
      <w:r w:rsidR="008F1465" w:rsidRPr="003A411E">
        <w:rPr>
          <w:b/>
          <w:lang w:val="fr-FR"/>
        </w:rPr>
        <w:t xml:space="preserve"> aux visites médicales des arrivants, aux consultations, aux extractions médicales et aux décès</w:t>
      </w:r>
      <w:r w:rsidR="0024002F" w:rsidRPr="003A411E">
        <w:rPr>
          <w:b/>
          <w:lang w:val="fr-FR"/>
        </w:rPr>
        <w:t> ;</w:t>
      </w:r>
      <w:r w:rsidR="008F1465" w:rsidRPr="003A411E">
        <w:rPr>
          <w:b/>
          <w:lang w:val="fr-FR"/>
        </w:rPr>
        <w:t xml:space="preserve"> </w:t>
      </w:r>
    </w:p>
    <w:p w14:paraId="15022AEB" w14:textId="6A0FF3BB" w:rsidR="008F1465" w:rsidRPr="003A411E" w:rsidRDefault="006549D2" w:rsidP="0024002F">
      <w:pPr>
        <w:pStyle w:val="SingleTxtG"/>
        <w:ind w:firstLine="567"/>
        <w:rPr>
          <w:b/>
          <w:lang w:val="fr-FR"/>
        </w:rPr>
      </w:pPr>
      <w:r w:rsidRPr="003A411E">
        <w:rPr>
          <w:b/>
          <w:lang w:val="fr-FR"/>
        </w:rPr>
        <w:t>b)</w:t>
      </w:r>
      <w:r w:rsidRPr="003A411E">
        <w:rPr>
          <w:b/>
          <w:lang w:val="fr-FR"/>
        </w:rPr>
        <w:tab/>
      </w:r>
      <w:r w:rsidR="0024002F" w:rsidRPr="003A411E">
        <w:rPr>
          <w:b/>
          <w:lang w:val="fr-FR"/>
        </w:rPr>
        <w:t>D</w:t>
      </w:r>
      <w:r w:rsidR="008F1465" w:rsidRPr="003A411E">
        <w:rPr>
          <w:b/>
          <w:lang w:val="fr-FR"/>
        </w:rPr>
        <w:t xml:space="preserve">’harmoniser tous les registres de manière à </w:t>
      </w:r>
      <w:r w:rsidR="0024002F" w:rsidRPr="003A411E">
        <w:rPr>
          <w:b/>
          <w:lang w:val="fr-FR"/>
        </w:rPr>
        <w:t>se conformer aux</w:t>
      </w:r>
      <w:r w:rsidR="008F1465" w:rsidRPr="003A411E">
        <w:rPr>
          <w:b/>
          <w:lang w:val="fr-FR"/>
        </w:rPr>
        <w:t xml:space="preserve"> normes nationales et internationales</w:t>
      </w:r>
      <w:r w:rsidR="0024002F" w:rsidRPr="00E375EF">
        <w:rPr>
          <w:rStyle w:val="Appelnotedebasdep"/>
        </w:rPr>
        <w:footnoteReference w:id="24"/>
      </w:r>
      <w:r w:rsidR="008F1465" w:rsidRPr="003A411E">
        <w:rPr>
          <w:b/>
          <w:lang w:val="fr-FR"/>
        </w:rPr>
        <w:t>.</w:t>
      </w:r>
    </w:p>
    <w:p w14:paraId="0F3541C1" w14:textId="77777777" w:rsidR="008F1465" w:rsidRPr="003A411E" w:rsidRDefault="008F1465" w:rsidP="00A61B9C">
      <w:pPr>
        <w:pStyle w:val="H23G"/>
        <w:rPr>
          <w:lang w:val="fr-FR"/>
        </w:rPr>
      </w:pPr>
      <w:r w:rsidRPr="003A411E">
        <w:rPr>
          <w:lang w:val="fr-FR"/>
        </w:rPr>
        <w:tab/>
        <w:t>4.</w:t>
      </w:r>
      <w:r w:rsidRPr="003A411E">
        <w:rPr>
          <w:lang w:val="fr-FR"/>
        </w:rPr>
        <w:tab/>
        <w:t xml:space="preserve">Procédure et sanctions disciplinaires en prison </w:t>
      </w:r>
    </w:p>
    <w:p w14:paraId="09284E6D" w14:textId="198E9B7B" w:rsidR="008F1465" w:rsidRPr="003A411E" w:rsidRDefault="00A61B9C" w:rsidP="00BE49EE">
      <w:pPr>
        <w:pStyle w:val="SingleTxtG"/>
        <w:rPr>
          <w:lang w:val="fr-FR"/>
        </w:rPr>
      </w:pPr>
      <w:r w:rsidRPr="003A411E">
        <w:rPr>
          <w:lang w:val="fr-FR"/>
        </w:rPr>
        <w:t>1</w:t>
      </w:r>
      <w:r w:rsidR="0024002F" w:rsidRPr="003A411E">
        <w:rPr>
          <w:lang w:val="fr-FR"/>
        </w:rPr>
        <w:t>0</w:t>
      </w:r>
      <w:r w:rsidR="00534B76" w:rsidRPr="003A411E">
        <w:rPr>
          <w:lang w:val="fr-FR"/>
        </w:rPr>
        <w:t>9</w:t>
      </w:r>
      <w:r w:rsidRPr="003A411E">
        <w:rPr>
          <w:lang w:val="fr-FR"/>
        </w:rPr>
        <w:t>.</w:t>
      </w:r>
      <w:r w:rsidRPr="003A411E">
        <w:rPr>
          <w:lang w:val="fr-FR"/>
        </w:rPr>
        <w:tab/>
      </w:r>
      <w:r w:rsidR="00520F66" w:rsidRPr="003A411E">
        <w:rPr>
          <w:lang w:val="fr-FR"/>
        </w:rPr>
        <w:t>Le Sous-Comité</w:t>
      </w:r>
      <w:r w:rsidR="008F1465" w:rsidRPr="003A411E">
        <w:rPr>
          <w:lang w:val="fr-FR"/>
        </w:rPr>
        <w:t xml:space="preserve"> est préoccupé par le fait que des détenus de la </w:t>
      </w:r>
      <w:r w:rsidR="0024002F" w:rsidRPr="003A411E">
        <w:rPr>
          <w:lang w:val="fr-FR"/>
        </w:rPr>
        <w:t>maison d’arrêt et de correction de Ouagadougou</w:t>
      </w:r>
      <w:r w:rsidR="008F1465" w:rsidRPr="003A411E">
        <w:rPr>
          <w:lang w:val="fr-FR"/>
        </w:rPr>
        <w:t xml:space="preserve"> </w:t>
      </w:r>
      <w:r w:rsidR="0024002F" w:rsidRPr="003A411E">
        <w:rPr>
          <w:lang w:val="fr-FR"/>
        </w:rPr>
        <w:t>seraient</w:t>
      </w:r>
      <w:r w:rsidR="008F1465" w:rsidRPr="003A411E">
        <w:rPr>
          <w:lang w:val="fr-FR"/>
        </w:rPr>
        <w:t xml:space="preserve"> placés dans des cellules disciplinaires exiguës (5</w:t>
      </w:r>
      <w:r w:rsidR="00BE49EE" w:rsidRPr="003A411E">
        <w:rPr>
          <w:lang w:val="fr-FR"/>
        </w:rPr>
        <w:t> </w:t>
      </w:r>
      <w:r w:rsidR="008F1465" w:rsidRPr="003A411E">
        <w:rPr>
          <w:lang w:val="fr-FR"/>
        </w:rPr>
        <w:t>m</w:t>
      </w:r>
      <w:r w:rsidR="0024002F" w:rsidRPr="003A411E">
        <w:rPr>
          <w:lang w:val="fr-FR"/>
        </w:rPr>
        <w:t>ètres carrés</w:t>
      </w:r>
      <w:r w:rsidR="008F1465" w:rsidRPr="003A411E">
        <w:rPr>
          <w:lang w:val="fr-FR"/>
        </w:rPr>
        <w:t xml:space="preserve">) </w:t>
      </w:r>
      <w:r w:rsidR="0024002F" w:rsidRPr="003A411E">
        <w:rPr>
          <w:lang w:val="fr-FR"/>
        </w:rPr>
        <w:t xml:space="preserve">et </w:t>
      </w:r>
      <w:r w:rsidR="008F1465" w:rsidRPr="003A411E">
        <w:rPr>
          <w:lang w:val="fr-FR"/>
        </w:rPr>
        <w:t xml:space="preserve">sans ventilation </w:t>
      </w:r>
      <w:r w:rsidR="0024002F" w:rsidRPr="003A411E">
        <w:rPr>
          <w:lang w:val="fr-FR"/>
        </w:rPr>
        <w:t>autre que</w:t>
      </w:r>
      <w:r w:rsidR="008F1465" w:rsidRPr="003A411E">
        <w:rPr>
          <w:lang w:val="fr-FR"/>
        </w:rPr>
        <w:t xml:space="preserve"> des trous percés dans les portes.</w:t>
      </w:r>
    </w:p>
    <w:p w14:paraId="6A555FBF" w14:textId="260F9DD8" w:rsidR="008F1465" w:rsidRPr="003A411E" w:rsidRDefault="00A61B9C" w:rsidP="00534B76">
      <w:pPr>
        <w:pStyle w:val="SingleTxtG"/>
        <w:rPr>
          <w:bCs/>
          <w:lang w:val="fr-FR"/>
        </w:rPr>
      </w:pPr>
      <w:r w:rsidRPr="003A411E">
        <w:rPr>
          <w:bCs/>
          <w:lang w:val="fr-FR"/>
        </w:rPr>
        <w:t>11</w:t>
      </w:r>
      <w:r w:rsidR="00534B76" w:rsidRPr="003A411E">
        <w:rPr>
          <w:bCs/>
          <w:lang w:val="fr-FR"/>
        </w:rPr>
        <w:t>0</w:t>
      </w:r>
      <w:r w:rsidRPr="003A411E">
        <w:rPr>
          <w:bCs/>
          <w:lang w:val="fr-FR"/>
        </w:rPr>
        <w:t>.</w:t>
      </w:r>
      <w:r w:rsidRPr="003A411E">
        <w:rPr>
          <w:bCs/>
          <w:lang w:val="fr-FR"/>
        </w:rPr>
        <w:tab/>
      </w:r>
      <w:r w:rsidR="008F1465" w:rsidRPr="003A411E">
        <w:rPr>
          <w:bCs/>
          <w:lang w:val="fr-FR"/>
        </w:rPr>
        <w:t xml:space="preserve">Selon les </w:t>
      </w:r>
      <w:r w:rsidR="008F1465" w:rsidRPr="003A411E">
        <w:rPr>
          <w:lang w:val="fr-FR"/>
        </w:rPr>
        <w:t>détenus</w:t>
      </w:r>
      <w:r w:rsidR="008F1465" w:rsidRPr="003A411E">
        <w:rPr>
          <w:bCs/>
          <w:lang w:val="fr-FR"/>
        </w:rPr>
        <w:t>, la durée des séjours dans la cellule disciplinaire pouvait atteindre un</w:t>
      </w:r>
      <w:r w:rsidR="00D638DF" w:rsidRPr="003A411E">
        <w:rPr>
          <w:bCs/>
          <w:lang w:val="fr-FR"/>
        </w:rPr>
        <w:t xml:space="preserve"> </w:t>
      </w:r>
      <w:r w:rsidR="008F1465" w:rsidRPr="003A411E">
        <w:rPr>
          <w:bCs/>
          <w:lang w:val="fr-FR"/>
        </w:rPr>
        <w:t>mois</w:t>
      </w:r>
      <w:r w:rsidR="0024002F" w:rsidRPr="003A411E">
        <w:rPr>
          <w:bCs/>
          <w:lang w:val="fr-FR"/>
        </w:rPr>
        <w:t>,</w:t>
      </w:r>
      <w:r w:rsidR="008F1465" w:rsidRPr="003A411E">
        <w:rPr>
          <w:bCs/>
          <w:lang w:val="fr-FR"/>
        </w:rPr>
        <w:t xml:space="preserve"> alors que la direction affirmait que la durée maxim</w:t>
      </w:r>
      <w:r w:rsidR="0024002F" w:rsidRPr="003A411E">
        <w:rPr>
          <w:bCs/>
          <w:lang w:val="fr-FR"/>
        </w:rPr>
        <w:t>ale</w:t>
      </w:r>
      <w:r w:rsidR="008F1465" w:rsidRPr="003A411E">
        <w:rPr>
          <w:bCs/>
          <w:lang w:val="fr-FR"/>
        </w:rPr>
        <w:t xml:space="preserve"> ne dépassait pas </w:t>
      </w:r>
      <w:r w:rsidR="0024002F" w:rsidRPr="003A411E">
        <w:rPr>
          <w:bCs/>
          <w:lang w:val="fr-FR"/>
        </w:rPr>
        <w:t>dix</w:t>
      </w:r>
      <w:r w:rsidR="008F1465" w:rsidRPr="003A411E">
        <w:rPr>
          <w:bCs/>
          <w:lang w:val="fr-FR"/>
        </w:rPr>
        <w:t xml:space="preserve"> jours.</w:t>
      </w:r>
      <w:r w:rsidR="008F1465" w:rsidRPr="003A411E">
        <w:rPr>
          <w:lang w:val="fr-FR"/>
        </w:rPr>
        <w:t xml:space="preserve"> D’autres </w:t>
      </w:r>
      <w:r w:rsidR="008F1465" w:rsidRPr="003A411E">
        <w:rPr>
          <w:bCs/>
          <w:lang w:val="fr-FR"/>
        </w:rPr>
        <w:t>mesures disciplinaires comme la réduction de dotation en vivres et de visites étaient également appliquées.</w:t>
      </w:r>
    </w:p>
    <w:p w14:paraId="68470C68" w14:textId="3C3B054C" w:rsidR="008F1465" w:rsidRPr="003A411E" w:rsidRDefault="00A61B9C" w:rsidP="00534B76">
      <w:pPr>
        <w:pStyle w:val="SingleTxtG"/>
        <w:rPr>
          <w:bCs/>
          <w:lang w:val="fr-FR"/>
        </w:rPr>
      </w:pPr>
      <w:r w:rsidRPr="003A411E">
        <w:rPr>
          <w:bCs/>
          <w:lang w:val="fr-FR"/>
        </w:rPr>
        <w:t>11</w:t>
      </w:r>
      <w:r w:rsidR="00534B76" w:rsidRPr="003A411E">
        <w:rPr>
          <w:bCs/>
          <w:lang w:val="fr-FR"/>
        </w:rPr>
        <w:t>1</w:t>
      </w:r>
      <w:r w:rsidRPr="003A411E">
        <w:rPr>
          <w:bCs/>
          <w:lang w:val="fr-FR"/>
        </w:rPr>
        <w:t>.</w:t>
      </w:r>
      <w:r w:rsidRPr="003A411E">
        <w:rPr>
          <w:bCs/>
          <w:lang w:val="fr-FR"/>
        </w:rPr>
        <w:tab/>
      </w:r>
      <w:r w:rsidR="008F1465" w:rsidRPr="003A411E">
        <w:rPr>
          <w:bCs/>
          <w:lang w:val="fr-FR"/>
        </w:rPr>
        <w:t xml:space="preserve">Des </w:t>
      </w:r>
      <w:r w:rsidR="008F1465" w:rsidRPr="003A411E">
        <w:rPr>
          <w:lang w:val="fr-FR"/>
        </w:rPr>
        <w:t>personnes</w:t>
      </w:r>
      <w:r w:rsidR="008F1465" w:rsidRPr="003A411E">
        <w:rPr>
          <w:bCs/>
          <w:lang w:val="fr-FR"/>
        </w:rPr>
        <w:t xml:space="preserve"> </w:t>
      </w:r>
      <w:r w:rsidR="00751F6F" w:rsidRPr="003A411E">
        <w:rPr>
          <w:bCs/>
          <w:lang w:val="fr-FR"/>
        </w:rPr>
        <w:t>souffrant de troubles mentaux </w:t>
      </w:r>
      <w:r w:rsidR="008F1465" w:rsidRPr="003A411E">
        <w:rPr>
          <w:bCs/>
          <w:lang w:val="fr-FR"/>
        </w:rPr>
        <w:t>étaient soumises à l’isolement, ce qui était de nature à aggraver leur pathologie.</w:t>
      </w:r>
    </w:p>
    <w:p w14:paraId="08B3F2D0" w14:textId="3F4714BE" w:rsidR="008F1465" w:rsidRPr="003A411E" w:rsidRDefault="00A61B9C" w:rsidP="00534B76">
      <w:pPr>
        <w:pStyle w:val="SingleTxtG"/>
        <w:rPr>
          <w:bCs/>
          <w:lang w:val="fr-FR"/>
        </w:rPr>
      </w:pPr>
      <w:r w:rsidRPr="003A411E">
        <w:rPr>
          <w:bCs/>
          <w:lang w:val="fr-FR"/>
        </w:rPr>
        <w:t>11</w:t>
      </w:r>
      <w:r w:rsidR="00534B76" w:rsidRPr="003A411E">
        <w:rPr>
          <w:bCs/>
          <w:lang w:val="fr-FR"/>
        </w:rPr>
        <w:t>2</w:t>
      </w:r>
      <w:r w:rsidRPr="003A411E">
        <w:rPr>
          <w:bCs/>
          <w:lang w:val="fr-FR"/>
        </w:rPr>
        <w:t>.</w:t>
      </w:r>
      <w:r w:rsidRPr="003A411E">
        <w:rPr>
          <w:bCs/>
          <w:lang w:val="fr-FR"/>
        </w:rPr>
        <w:tab/>
      </w:r>
      <w:r w:rsidR="008F1465" w:rsidRPr="003A411E">
        <w:rPr>
          <w:bCs/>
          <w:lang w:val="fr-FR"/>
        </w:rPr>
        <w:t xml:space="preserve">Aucun texte ne réglementait la procédure </w:t>
      </w:r>
      <w:r w:rsidR="008F1465" w:rsidRPr="003A411E">
        <w:rPr>
          <w:lang w:val="fr-FR"/>
        </w:rPr>
        <w:t>disciplinaire</w:t>
      </w:r>
      <w:r w:rsidR="008F1465" w:rsidRPr="003A411E">
        <w:rPr>
          <w:bCs/>
          <w:lang w:val="fr-FR"/>
        </w:rPr>
        <w:t>.</w:t>
      </w:r>
    </w:p>
    <w:p w14:paraId="7A76C0CB" w14:textId="5CCE0A94" w:rsidR="008F1465" w:rsidRPr="003A411E" w:rsidRDefault="00A61B9C" w:rsidP="00534B76">
      <w:pPr>
        <w:pStyle w:val="SingleTxtG"/>
        <w:rPr>
          <w:b/>
          <w:bCs/>
          <w:lang w:val="fr-FR"/>
        </w:rPr>
      </w:pPr>
      <w:r w:rsidRPr="003A411E">
        <w:rPr>
          <w:bCs/>
          <w:lang w:val="fr-FR"/>
        </w:rPr>
        <w:t>11</w:t>
      </w:r>
      <w:r w:rsidR="00534B76" w:rsidRPr="003A411E">
        <w:rPr>
          <w:bCs/>
          <w:lang w:val="fr-FR"/>
        </w:rPr>
        <w:t>3</w:t>
      </w:r>
      <w:r w:rsidR="008F1465" w:rsidRPr="003A411E">
        <w:rPr>
          <w:bCs/>
          <w:lang w:val="fr-FR"/>
        </w:rPr>
        <w:t>.</w:t>
      </w:r>
      <w:r w:rsidR="008F1465" w:rsidRPr="003A411E">
        <w:rPr>
          <w:b/>
          <w:bCs/>
          <w:lang w:val="fr-FR"/>
        </w:rPr>
        <w:tab/>
        <w:t>Le Sous-</w:t>
      </w:r>
      <w:r w:rsidR="006A2C77" w:rsidRPr="003A411E">
        <w:rPr>
          <w:b/>
          <w:bCs/>
          <w:lang w:val="fr-FR"/>
        </w:rPr>
        <w:t>C</w:t>
      </w:r>
      <w:r w:rsidR="008F1465" w:rsidRPr="003A411E">
        <w:rPr>
          <w:b/>
          <w:bCs/>
          <w:lang w:val="fr-FR"/>
        </w:rPr>
        <w:t xml:space="preserve">omité </w:t>
      </w:r>
      <w:r w:rsidR="008B5FBD" w:rsidRPr="003A411E">
        <w:rPr>
          <w:b/>
          <w:bCs/>
          <w:lang w:val="fr-FR"/>
        </w:rPr>
        <w:t xml:space="preserve">émet les </w:t>
      </w:r>
      <w:r w:rsidR="008F1465" w:rsidRPr="003A411E">
        <w:rPr>
          <w:b/>
          <w:lang w:val="fr-FR"/>
        </w:rPr>
        <w:t>recommand</w:t>
      </w:r>
      <w:r w:rsidR="008B5FBD" w:rsidRPr="003A411E">
        <w:rPr>
          <w:b/>
          <w:lang w:val="fr-FR"/>
        </w:rPr>
        <w:t>ations suivantes</w:t>
      </w:r>
      <w:r w:rsidR="008F1465" w:rsidRPr="003A411E">
        <w:rPr>
          <w:b/>
          <w:bCs/>
          <w:lang w:val="fr-FR"/>
        </w:rPr>
        <w:t> :</w:t>
      </w:r>
    </w:p>
    <w:p w14:paraId="38CF2488" w14:textId="6778BDAF" w:rsidR="008F1465" w:rsidRPr="003A411E" w:rsidRDefault="006549D2" w:rsidP="00312B4F">
      <w:pPr>
        <w:pStyle w:val="SingleTxtG"/>
        <w:ind w:firstLine="567"/>
        <w:rPr>
          <w:b/>
          <w:lang w:val="fr-FR"/>
        </w:rPr>
      </w:pPr>
      <w:r w:rsidRPr="003A411E">
        <w:rPr>
          <w:b/>
          <w:lang w:val="fr-FR"/>
        </w:rPr>
        <w:t>a)</w:t>
      </w:r>
      <w:r w:rsidRPr="003A411E">
        <w:rPr>
          <w:b/>
          <w:lang w:val="fr-FR"/>
        </w:rPr>
        <w:tab/>
      </w:r>
      <w:r w:rsidR="0061231B" w:rsidRPr="003A411E">
        <w:rPr>
          <w:b/>
          <w:lang w:val="fr-FR"/>
        </w:rPr>
        <w:t>L</w:t>
      </w:r>
      <w:r w:rsidR="008F1465" w:rsidRPr="003A411E">
        <w:rPr>
          <w:b/>
          <w:lang w:val="fr-FR"/>
        </w:rPr>
        <w:t xml:space="preserve">es autorités pénitentiaires ne </w:t>
      </w:r>
      <w:r w:rsidR="008B5FBD" w:rsidRPr="003A411E">
        <w:rPr>
          <w:b/>
          <w:lang w:val="fr-FR"/>
        </w:rPr>
        <w:t>d</w:t>
      </w:r>
      <w:r w:rsidR="00312B4F" w:rsidRPr="003A411E">
        <w:rPr>
          <w:b/>
          <w:lang w:val="fr-FR"/>
        </w:rPr>
        <w:t>oiv</w:t>
      </w:r>
      <w:r w:rsidR="008B5FBD" w:rsidRPr="003A411E">
        <w:rPr>
          <w:b/>
          <w:lang w:val="fr-FR"/>
        </w:rPr>
        <w:t>ent recourir</w:t>
      </w:r>
      <w:r w:rsidR="008F1465" w:rsidRPr="003A411E">
        <w:rPr>
          <w:b/>
          <w:lang w:val="fr-FR"/>
        </w:rPr>
        <w:t xml:space="preserve"> à l’isolement que dans les cas strictement nécessaires</w:t>
      </w:r>
      <w:r w:rsidR="008B5FBD" w:rsidRPr="003A411E">
        <w:rPr>
          <w:b/>
          <w:lang w:val="fr-FR"/>
        </w:rPr>
        <w:t>,</w:t>
      </w:r>
      <w:r w:rsidR="008F1465" w:rsidRPr="003A411E">
        <w:rPr>
          <w:b/>
          <w:lang w:val="fr-FR"/>
        </w:rPr>
        <w:t xml:space="preserve"> en conformité avec les Règles </w:t>
      </w:r>
      <w:r w:rsidR="008B5FBD" w:rsidRPr="003A411E">
        <w:rPr>
          <w:b/>
          <w:lang w:val="fr-FR"/>
        </w:rPr>
        <w:t xml:space="preserve">Nelson </w:t>
      </w:r>
      <w:r w:rsidR="008F1465" w:rsidRPr="003A411E">
        <w:rPr>
          <w:b/>
          <w:lang w:val="fr-FR"/>
        </w:rPr>
        <w:t>Mandela ;</w:t>
      </w:r>
    </w:p>
    <w:p w14:paraId="7DB947C0" w14:textId="2C250146" w:rsidR="008F1465" w:rsidRPr="003A411E" w:rsidRDefault="006549D2" w:rsidP="00312B4F">
      <w:pPr>
        <w:pStyle w:val="SingleTxtG"/>
        <w:ind w:firstLine="567"/>
        <w:rPr>
          <w:b/>
          <w:lang w:val="fr-FR"/>
        </w:rPr>
      </w:pPr>
      <w:r w:rsidRPr="003A411E">
        <w:rPr>
          <w:b/>
          <w:lang w:val="fr-FR"/>
        </w:rPr>
        <w:t>b)</w:t>
      </w:r>
      <w:r w:rsidRPr="003A411E">
        <w:rPr>
          <w:b/>
          <w:lang w:val="fr-FR"/>
        </w:rPr>
        <w:tab/>
      </w:r>
      <w:r w:rsidR="0061231B" w:rsidRPr="003A411E">
        <w:rPr>
          <w:b/>
          <w:lang w:val="fr-FR"/>
        </w:rPr>
        <w:t>L</w:t>
      </w:r>
      <w:r w:rsidR="008F1465" w:rsidRPr="003A411E">
        <w:rPr>
          <w:b/>
          <w:lang w:val="fr-FR"/>
        </w:rPr>
        <w:t xml:space="preserve">a personne visée par la mesure </w:t>
      </w:r>
      <w:r w:rsidR="008B5FBD" w:rsidRPr="003A411E">
        <w:rPr>
          <w:b/>
          <w:lang w:val="fr-FR"/>
        </w:rPr>
        <w:t>d</w:t>
      </w:r>
      <w:r w:rsidR="00312B4F" w:rsidRPr="003A411E">
        <w:rPr>
          <w:b/>
          <w:lang w:val="fr-FR"/>
        </w:rPr>
        <w:t>oit</w:t>
      </w:r>
      <w:r w:rsidR="008B5FBD" w:rsidRPr="003A411E">
        <w:rPr>
          <w:b/>
          <w:lang w:val="fr-FR"/>
        </w:rPr>
        <w:t xml:space="preserve"> être</w:t>
      </w:r>
      <w:r w:rsidR="008F1465" w:rsidRPr="003A411E">
        <w:rPr>
          <w:b/>
          <w:lang w:val="fr-FR"/>
        </w:rPr>
        <w:t xml:space="preserve"> immédiatement informée et </w:t>
      </w:r>
      <w:r w:rsidR="008B5FBD" w:rsidRPr="003A411E">
        <w:rPr>
          <w:b/>
          <w:lang w:val="fr-FR"/>
        </w:rPr>
        <w:t>pouvoir</w:t>
      </w:r>
      <w:r w:rsidR="008F1465" w:rsidRPr="003A411E">
        <w:rPr>
          <w:b/>
          <w:lang w:val="fr-FR"/>
        </w:rPr>
        <w:t xml:space="preserve"> contester cette décision par voie interne et/ou judiciaire ;</w:t>
      </w:r>
    </w:p>
    <w:p w14:paraId="4802827E" w14:textId="1F559A22" w:rsidR="008F1465" w:rsidRPr="003A411E" w:rsidRDefault="006549D2" w:rsidP="00312B4F">
      <w:pPr>
        <w:pStyle w:val="SingleTxtG"/>
        <w:ind w:firstLine="567"/>
        <w:rPr>
          <w:b/>
          <w:lang w:val="fr-FR"/>
        </w:rPr>
      </w:pPr>
      <w:r w:rsidRPr="003A411E">
        <w:rPr>
          <w:b/>
          <w:lang w:val="fr-FR"/>
        </w:rPr>
        <w:t>c)</w:t>
      </w:r>
      <w:r w:rsidRPr="003A411E">
        <w:rPr>
          <w:b/>
          <w:lang w:val="fr-FR"/>
        </w:rPr>
        <w:tab/>
      </w:r>
      <w:r w:rsidR="008F1465" w:rsidRPr="003A411E">
        <w:rPr>
          <w:b/>
          <w:lang w:val="fr-FR"/>
        </w:rPr>
        <w:t xml:space="preserve">Les personnes souffrant de troubles mentaux ne </w:t>
      </w:r>
      <w:r w:rsidR="008B5FBD" w:rsidRPr="003A411E">
        <w:rPr>
          <w:b/>
          <w:lang w:val="fr-FR"/>
        </w:rPr>
        <w:t>d</w:t>
      </w:r>
      <w:r w:rsidR="00312B4F" w:rsidRPr="003A411E">
        <w:rPr>
          <w:b/>
          <w:lang w:val="fr-FR"/>
        </w:rPr>
        <w:t>oiv</w:t>
      </w:r>
      <w:r w:rsidR="008B5FBD" w:rsidRPr="003A411E">
        <w:rPr>
          <w:b/>
          <w:lang w:val="fr-FR"/>
        </w:rPr>
        <w:t>ent</w:t>
      </w:r>
      <w:r w:rsidR="008F1465" w:rsidRPr="003A411E">
        <w:rPr>
          <w:b/>
          <w:lang w:val="fr-FR"/>
        </w:rPr>
        <w:t xml:space="preserve"> jamais être soumises à l’isolement </w:t>
      </w:r>
      <w:r w:rsidR="0061231B" w:rsidRPr="003A411E">
        <w:rPr>
          <w:b/>
          <w:lang w:val="fr-FR"/>
        </w:rPr>
        <w:t>disciplinaire</w:t>
      </w:r>
      <w:r w:rsidR="008F1465" w:rsidRPr="00E375EF">
        <w:rPr>
          <w:rStyle w:val="Appelnotedebasdep"/>
        </w:rPr>
        <w:footnoteReference w:id="25"/>
      </w:r>
      <w:r w:rsidR="0061231B" w:rsidRPr="003A411E">
        <w:rPr>
          <w:b/>
          <w:lang w:val="fr-FR"/>
        </w:rPr>
        <w:t> ;</w:t>
      </w:r>
    </w:p>
    <w:p w14:paraId="2354EB6D" w14:textId="4BA9B1C7" w:rsidR="008F1465" w:rsidRPr="003A411E" w:rsidRDefault="006549D2" w:rsidP="00312B4F">
      <w:pPr>
        <w:pStyle w:val="SingleTxtG"/>
        <w:ind w:firstLine="567"/>
        <w:rPr>
          <w:b/>
          <w:lang w:val="fr-FR"/>
        </w:rPr>
      </w:pPr>
      <w:r w:rsidRPr="003A411E">
        <w:rPr>
          <w:b/>
          <w:lang w:val="fr-FR"/>
        </w:rPr>
        <w:t>d)</w:t>
      </w:r>
      <w:r w:rsidRPr="003A411E">
        <w:rPr>
          <w:b/>
          <w:lang w:val="fr-FR"/>
        </w:rPr>
        <w:tab/>
      </w:r>
      <w:r w:rsidR="008F1465" w:rsidRPr="003A411E">
        <w:rPr>
          <w:b/>
          <w:lang w:val="fr-FR"/>
        </w:rPr>
        <w:t xml:space="preserve">Les cellules d’isolement de la </w:t>
      </w:r>
      <w:r w:rsidR="008B5FBD" w:rsidRPr="003A411E">
        <w:rPr>
          <w:b/>
          <w:lang w:val="fr-FR"/>
        </w:rPr>
        <w:t>maison d’arrêt et de correction de Ouagadougou</w:t>
      </w:r>
      <w:r w:rsidR="008F1465" w:rsidRPr="003A411E">
        <w:rPr>
          <w:b/>
          <w:lang w:val="fr-FR"/>
        </w:rPr>
        <w:t xml:space="preserve"> </w:t>
      </w:r>
      <w:r w:rsidR="008B5FBD" w:rsidRPr="003A411E">
        <w:rPr>
          <w:b/>
          <w:lang w:val="fr-FR"/>
        </w:rPr>
        <w:t>d</w:t>
      </w:r>
      <w:r w:rsidR="00312B4F" w:rsidRPr="003A411E">
        <w:rPr>
          <w:b/>
          <w:lang w:val="fr-FR"/>
        </w:rPr>
        <w:t>oiv</w:t>
      </w:r>
      <w:r w:rsidR="008B5FBD" w:rsidRPr="003A411E">
        <w:rPr>
          <w:b/>
          <w:lang w:val="fr-FR"/>
        </w:rPr>
        <w:t>ent être</w:t>
      </w:r>
      <w:r w:rsidR="008F1465" w:rsidRPr="003A411E">
        <w:rPr>
          <w:b/>
          <w:lang w:val="fr-FR"/>
        </w:rPr>
        <w:t xml:space="preserve"> réaménagées conformément aux normes internationales, ventilées et exposées à la lumière, avec un accès aux toilettes et à l’eau potable.</w:t>
      </w:r>
    </w:p>
    <w:p w14:paraId="0BD86B4C" w14:textId="4815F383" w:rsidR="008F1465" w:rsidRPr="003A411E" w:rsidRDefault="008F1465" w:rsidP="008B5FBD">
      <w:pPr>
        <w:pStyle w:val="H23G"/>
        <w:rPr>
          <w:lang w:val="fr-FR"/>
        </w:rPr>
      </w:pPr>
      <w:r w:rsidRPr="003A411E">
        <w:rPr>
          <w:lang w:val="fr-FR"/>
        </w:rPr>
        <w:tab/>
        <w:t>5.</w:t>
      </w:r>
      <w:r w:rsidRPr="003A411E">
        <w:rPr>
          <w:lang w:val="fr-FR"/>
        </w:rPr>
        <w:tab/>
        <w:t xml:space="preserve">Personnel de la </w:t>
      </w:r>
      <w:r w:rsidR="008B5FBD" w:rsidRPr="003A411E">
        <w:rPr>
          <w:lang w:val="fr-FR"/>
        </w:rPr>
        <w:t>prison de haute sécurité de Ouagadougou</w:t>
      </w:r>
    </w:p>
    <w:p w14:paraId="08990D04" w14:textId="65B18FB6" w:rsidR="008F1465" w:rsidRPr="003A411E" w:rsidRDefault="00A61B9C" w:rsidP="00BE49EE">
      <w:pPr>
        <w:pStyle w:val="SingleTxtG"/>
        <w:rPr>
          <w:lang w:val="fr-FR"/>
        </w:rPr>
      </w:pPr>
      <w:r w:rsidRPr="003A411E">
        <w:rPr>
          <w:lang w:val="fr-FR"/>
        </w:rPr>
        <w:t>11</w:t>
      </w:r>
      <w:r w:rsidR="00534B76" w:rsidRPr="003A411E">
        <w:rPr>
          <w:lang w:val="fr-FR"/>
        </w:rPr>
        <w:t>4</w:t>
      </w:r>
      <w:r w:rsidR="008F1465" w:rsidRPr="003A411E">
        <w:rPr>
          <w:lang w:val="fr-FR"/>
        </w:rPr>
        <w:t>.</w:t>
      </w:r>
      <w:r w:rsidRPr="003A411E">
        <w:rPr>
          <w:lang w:val="fr-FR"/>
        </w:rPr>
        <w:tab/>
      </w:r>
      <w:r w:rsidR="008F1465" w:rsidRPr="003A411E">
        <w:rPr>
          <w:lang w:val="fr-FR"/>
        </w:rPr>
        <w:t xml:space="preserve">Selon </w:t>
      </w:r>
      <w:r w:rsidR="008B5FBD" w:rsidRPr="003A411E">
        <w:rPr>
          <w:lang w:val="fr-FR"/>
        </w:rPr>
        <w:t>sa</w:t>
      </w:r>
      <w:r w:rsidR="008F1465" w:rsidRPr="003A411E">
        <w:rPr>
          <w:lang w:val="fr-FR"/>
        </w:rPr>
        <w:t xml:space="preserve"> direction, </w:t>
      </w:r>
      <w:r w:rsidR="008B5FBD" w:rsidRPr="003A411E">
        <w:rPr>
          <w:lang w:val="fr-FR"/>
        </w:rPr>
        <w:t>la</w:t>
      </w:r>
      <w:r w:rsidR="008F1465" w:rsidRPr="003A411E">
        <w:rPr>
          <w:lang w:val="fr-FR"/>
        </w:rPr>
        <w:t xml:space="preserve"> prison</w:t>
      </w:r>
      <w:r w:rsidR="008B5FBD" w:rsidRPr="003A411E">
        <w:rPr>
          <w:lang w:val="fr-FR"/>
        </w:rPr>
        <w:t xml:space="preserve"> de haute sécurité de Ouagadougou</w:t>
      </w:r>
      <w:r w:rsidR="008F1465" w:rsidRPr="003A411E">
        <w:rPr>
          <w:lang w:val="fr-FR"/>
        </w:rPr>
        <w:t xml:space="preserve"> ne </w:t>
      </w:r>
      <w:r w:rsidR="008B5FBD" w:rsidRPr="003A411E">
        <w:rPr>
          <w:lang w:val="fr-FR"/>
        </w:rPr>
        <w:t>pouvait</w:t>
      </w:r>
      <w:r w:rsidR="008F1465" w:rsidRPr="003A411E">
        <w:rPr>
          <w:lang w:val="fr-FR"/>
        </w:rPr>
        <w:t xml:space="preserve"> </w:t>
      </w:r>
      <w:r w:rsidR="008B5FBD" w:rsidRPr="003A411E">
        <w:rPr>
          <w:lang w:val="fr-FR"/>
        </w:rPr>
        <w:t xml:space="preserve">pas </w:t>
      </w:r>
      <w:r w:rsidR="008F1465" w:rsidRPr="003A411E">
        <w:rPr>
          <w:lang w:val="fr-FR"/>
        </w:rPr>
        <w:t xml:space="preserve">correctement fonctionner avec le personnel qui y </w:t>
      </w:r>
      <w:r w:rsidR="008B5FBD" w:rsidRPr="003A411E">
        <w:rPr>
          <w:lang w:val="fr-FR"/>
        </w:rPr>
        <w:t>était</w:t>
      </w:r>
      <w:r w:rsidR="008F1465" w:rsidRPr="003A411E">
        <w:rPr>
          <w:lang w:val="fr-FR"/>
        </w:rPr>
        <w:t xml:space="preserve"> affecté </w:t>
      </w:r>
      <w:r w:rsidR="004D3FFC" w:rsidRPr="003A411E">
        <w:rPr>
          <w:lang w:val="fr-FR"/>
        </w:rPr>
        <w:t xml:space="preserve">au moment de la visite </w:t>
      </w:r>
      <w:r w:rsidR="008F1465" w:rsidRPr="003A411E">
        <w:rPr>
          <w:lang w:val="fr-FR"/>
        </w:rPr>
        <w:t>(250</w:t>
      </w:r>
      <w:r w:rsidR="00BE49EE" w:rsidRPr="003A411E">
        <w:rPr>
          <w:lang w:val="fr-FR"/>
        </w:rPr>
        <w:t> </w:t>
      </w:r>
      <w:r w:rsidR="008F1465" w:rsidRPr="003A411E">
        <w:rPr>
          <w:lang w:val="fr-FR"/>
        </w:rPr>
        <w:t>agents).</w:t>
      </w:r>
    </w:p>
    <w:p w14:paraId="72951416" w14:textId="1501D2DC" w:rsidR="008F1465" w:rsidRPr="003A411E" w:rsidRDefault="00A61B9C" w:rsidP="00534B76">
      <w:pPr>
        <w:pStyle w:val="SingleTxtG"/>
        <w:rPr>
          <w:lang w:val="fr-FR"/>
        </w:rPr>
      </w:pPr>
      <w:r w:rsidRPr="003A411E">
        <w:rPr>
          <w:lang w:val="fr-FR"/>
        </w:rPr>
        <w:t>11</w:t>
      </w:r>
      <w:r w:rsidR="00534B76" w:rsidRPr="003A411E">
        <w:rPr>
          <w:lang w:val="fr-FR"/>
        </w:rPr>
        <w:t>5</w:t>
      </w:r>
      <w:r w:rsidR="008F1465" w:rsidRPr="003A411E">
        <w:rPr>
          <w:lang w:val="fr-FR"/>
        </w:rPr>
        <w:t>.</w:t>
      </w:r>
      <w:r w:rsidRPr="003A411E">
        <w:rPr>
          <w:lang w:val="fr-FR"/>
        </w:rPr>
        <w:tab/>
      </w:r>
      <w:r w:rsidR="00E2431F" w:rsidRPr="003A411E">
        <w:rPr>
          <w:lang w:val="fr-FR"/>
        </w:rPr>
        <w:t>Le Sous-Comité</w:t>
      </w:r>
      <w:r w:rsidR="008F1465" w:rsidRPr="003A411E">
        <w:rPr>
          <w:lang w:val="fr-FR"/>
        </w:rPr>
        <w:t xml:space="preserve"> note avec satisfaction la création de l’</w:t>
      </w:r>
      <w:r w:rsidR="008B5FBD" w:rsidRPr="003A411E">
        <w:rPr>
          <w:lang w:val="fr-FR"/>
        </w:rPr>
        <w:t>É</w:t>
      </w:r>
      <w:r w:rsidR="008F1465" w:rsidRPr="003A411E">
        <w:rPr>
          <w:lang w:val="fr-FR"/>
        </w:rPr>
        <w:t xml:space="preserve">cole </w:t>
      </w:r>
      <w:r w:rsidR="008B5FBD" w:rsidRPr="003A411E">
        <w:rPr>
          <w:lang w:val="fr-FR"/>
        </w:rPr>
        <w:t>n</w:t>
      </w:r>
      <w:r w:rsidR="008F1465" w:rsidRPr="003A411E">
        <w:rPr>
          <w:lang w:val="fr-FR"/>
        </w:rPr>
        <w:t xml:space="preserve">ationale </w:t>
      </w:r>
      <w:r w:rsidR="008B5FBD" w:rsidRPr="003A411E">
        <w:rPr>
          <w:lang w:val="fr-FR"/>
        </w:rPr>
        <w:t>de la garde de sécurité p</w:t>
      </w:r>
      <w:r w:rsidR="008F1465" w:rsidRPr="003A411E">
        <w:rPr>
          <w:lang w:val="fr-FR"/>
        </w:rPr>
        <w:t>énitentiaire</w:t>
      </w:r>
      <w:r w:rsidR="008B5FBD" w:rsidRPr="003A411E">
        <w:rPr>
          <w:lang w:val="fr-FR"/>
        </w:rPr>
        <w:t>,</w:t>
      </w:r>
      <w:r w:rsidR="008F1465" w:rsidRPr="003A411E">
        <w:rPr>
          <w:lang w:val="fr-FR"/>
        </w:rPr>
        <w:t xml:space="preserve"> </w:t>
      </w:r>
      <w:r w:rsidR="008B5FBD" w:rsidRPr="003A411E">
        <w:rPr>
          <w:lang w:val="fr-FR"/>
        </w:rPr>
        <w:t>assurant</w:t>
      </w:r>
      <w:r w:rsidR="008F1465" w:rsidRPr="003A411E">
        <w:rPr>
          <w:lang w:val="fr-FR"/>
        </w:rPr>
        <w:t xml:space="preserve"> la formation d’un corps d’agents pénitentiaires dans le complexe de la </w:t>
      </w:r>
      <w:r w:rsidR="00B26A22" w:rsidRPr="003A411E">
        <w:rPr>
          <w:lang w:val="fr-FR"/>
        </w:rPr>
        <w:t>prison de haute sécurité de Ouagadougou</w:t>
      </w:r>
      <w:r w:rsidR="008F1465" w:rsidRPr="003A411E">
        <w:rPr>
          <w:lang w:val="fr-FR"/>
        </w:rPr>
        <w:t>.</w:t>
      </w:r>
      <w:r w:rsidR="00927EB8" w:rsidRPr="003A411E">
        <w:rPr>
          <w:lang w:val="fr-FR"/>
        </w:rPr>
        <w:t xml:space="preserve"> </w:t>
      </w:r>
    </w:p>
    <w:p w14:paraId="5C3094B0" w14:textId="402A7B45" w:rsidR="008F1465" w:rsidRPr="003A411E" w:rsidRDefault="00A61B9C" w:rsidP="00534B76">
      <w:pPr>
        <w:pStyle w:val="SingleTxtG"/>
        <w:rPr>
          <w:lang w:val="fr-FR"/>
        </w:rPr>
      </w:pPr>
      <w:r w:rsidRPr="003A411E">
        <w:rPr>
          <w:lang w:val="fr-FR"/>
        </w:rPr>
        <w:t>11</w:t>
      </w:r>
      <w:r w:rsidR="00534B76" w:rsidRPr="003A411E">
        <w:rPr>
          <w:lang w:val="fr-FR"/>
        </w:rPr>
        <w:t>6</w:t>
      </w:r>
      <w:r w:rsidRPr="003A411E">
        <w:rPr>
          <w:lang w:val="fr-FR"/>
        </w:rPr>
        <w:t>.</w:t>
      </w:r>
      <w:r w:rsidRPr="003A411E">
        <w:rPr>
          <w:lang w:val="fr-FR"/>
        </w:rPr>
        <w:tab/>
      </w:r>
      <w:r w:rsidR="008F1465" w:rsidRPr="003A411E">
        <w:rPr>
          <w:lang w:val="fr-FR"/>
        </w:rPr>
        <w:t xml:space="preserve">Cependant, les entretiens que la délégation a effectués avec certains </w:t>
      </w:r>
      <w:r w:rsidR="00927EB8" w:rsidRPr="003A411E">
        <w:rPr>
          <w:lang w:val="fr-FR"/>
        </w:rPr>
        <w:t xml:space="preserve">membres du </w:t>
      </w:r>
      <w:r w:rsidR="008F1465" w:rsidRPr="003A411E">
        <w:rPr>
          <w:lang w:val="fr-FR"/>
        </w:rPr>
        <w:t xml:space="preserve">personnel révèlent que ces derniers manquaient de connaissances </w:t>
      </w:r>
      <w:r w:rsidR="00927EB8" w:rsidRPr="003A411E">
        <w:rPr>
          <w:lang w:val="fr-FR"/>
        </w:rPr>
        <w:t>sur les</w:t>
      </w:r>
      <w:r w:rsidR="008F1465" w:rsidRPr="003A411E">
        <w:rPr>
          <w:lang w:val="fr-FR"/>
        </w:rPr>
        <w:t xml:space="preserve"> Règles </w:t>
      </w:r>
      <w:r w:rsidR="00927EB8" w:rsidRPr="003A411E">
        <w:rPr>
          <w:lang w:val="fr-FR"/>
        </w:rPr>
        <w:t xml:space="preserve">Nelson </w:t>
      </w:r>
      <w:r w:rsidR="008F1465" w:rsidRPr="003A411E">
        <w:rPr>
          <w:lang w:val="fr-FR"/>
        </w:rPr>
        <w:t>Mandela</w:t>
      </w:r>
      <w:r w:rsidR="00927EB8" w:rsidRPr="003A411E">
        <w:rPr>
          <w:lang w:val="fr-FR"/>
        </w:rPr>
        <w:t xml:space="preserve"> et les</w:t>
      </w:r>
      <w:r w:rsidR="008F1465" w:rsidRPr="003A411E">
        <w:rPr>
          <w:lang w:val="fr-FR"/>
        </w:rPr>
        <w:t xml:space="preserve"> normes internationales</w:t>
      </w:r>
      <w:r w:rsidR="00927EB8" w:rsidRPr="003A411E">
        <w:rPr>
          <w:lang w:val="fr-FR"/>
        </w:rPr>
        <w:t>,</w:t>
      </w:r>
      <w:r w:rsidR="008F1465" w:rsidRPr="003A411E">
        <w:rPr>
          <w:lang w:val="fr-FR"/>
        </w:rPr>
        <w:t xml:space="preserve"> et qu’ils n’avaient pas reçu de formation spécifique pour exercer en </w:t>
      </w:r>
      <w:r w:rsidR="00B26A22" w:rsidRPr="003A411E">
        <w:rPr>
          <w:lang w:val="fr-FR"/>
        </w:rPr>
        <w:t>prison de haute sécurité</w:t>
      </w:r>
      <w:r w:rsidR="008F1465" w:rsidRPr="003A411E">
        <w:rPr>
          <w:lang w:val="fr-FR"/>
        </w:rPr>
        <w:t>.</w:t>
      </w:r>
    </w:p>
    <w:p w14:paraId="4EC51827" w14:textId="682A6A56" w:rsidR="008F1465" w:rsidRPr="003A411E" w:rsidRDefault="00A61B9C" w:rsidP="00534B76">
      <w:pPr>
        <w:pStyle w:val="SingleTxtG"/>
        <w:rPr>
          <w:lang w:val="fr-FR"/>
        </w:rPr>
      </w:pPr>
      <w:r w:rsidRPr="003A411E">
        <w:rPr>
          <w:lang w:val="fr-FR"/>
        </w:rPr>
        <w:t>11</w:t>
      </w:r>
      <w:r w:rsidR="00534B76" w:rsidRPr="003A411E">
        <w:rPr>
          <w:lang w:val="fr-FR"/>
        </w:rPr>
        <w:t>7</w:t>
      </w:r>
      <w:r w:rsidRPr="003A411E">
        <w:rPr>
          <w:lang w:val="fr-FR"/>
        </w:rPr>
        <w:t>.</w:t>
      </w:r>
      <w:r w:rsidRPr="003A411E">
        <w:rPr>
          <w:lang w:val="fr-FR"/>
        </w:rPr>
        <w:tab/>
      </w:r>
      <w:r w:rsidR="008F1465" w:rsidRPr="003A411E">
        <w:rPr>
          <w:lang w:val="fr-FR"/>
        </w:rPr>
        <w:t>De nombreux détenus ont fait état de l’existence de corruption</w:t>
      </w:r>
      <w:r w:rsidR="00927EB8" w:rsidRPr="003A411E">
        <w:rPr>
          <w:lang w:val="fr-FR"/>
        </w:rPr>
        <w:t>,</w:t>
      </w:r>
      <w:r w:rsidR="008F1465" w:rsidRPr="003A411E">
        <w:rPr>
          <w:lang w:val="fr-FR"/>
        </w:rPr>
        <w:t xml:space="preserve"> tant au sein de la prison qu’à l’extérieur</w:t>
      </w:r>
      <w:r w:rsidR="00927EB8" w:rsidRPr="003A411E">
        <w:rPr>
          <w:lang w:val="fr-FR"/>
        </w:rPr>
        <w:t xml:space="preserve"> de celle-ci,</w:t>
      </w:r>
      <w:r w:rsidR="008F1465" w:rsidRPr="003A411E">
        <w:rPr>
          <w:lang w:val="fr-FR"/>
        </w:rPr>
        <w:t xml:space="preserve"> pour l’obtention de certains services </w:t>
      </w:r>
      <w:r w:rsidR="00927EB8" w:rsidRPr="003A411E">
        <w:rPr>
          <w:lang w:val="fr-FR"/>
        </w:rPr>
        <w:t>comme</w:t>
      </w:r>
      <w:r w:rsidR="008F1465" w:rsidRPr="003A411E">
        <w:rPr>
          <w:lang w:val="fr-FR"/>
        </w:rPr>
        <w:t xml:space="preserve"> les soins médicaux ou l’accès à l’hôpital.</w:t>
      </w:r>
    </w:p>
    <w:p w14:paraId="7A3C5F70" w14:textId="24F5375C" w:rsidR="008F1465" w:rsidRPr="003A411E" w:rsidRDefault="00A61B9C" w:rsidP="00677254">
      <w:pPr>
        <w:pStyle w:val="SingleTxtG"/>
        <w:keepNext/>
        <w:rPr>
          <w:b/>
          <w:bCs/>
          <w:lang w:val="fr-FR"/>
        </w:rPr>
      </w:pPr>
      <w:r w:rsidRPr="003A411E">
        <w:rPr>
          <w:bCs/>
          <w:lang w:val="fr-FR"/>
        </w:rPr>
        <w:lastRenderedPageBreak/>
        <w:t>1</w:t>
      </w:r>
      <w:r w:rsidR="00927EB8" w:rsidRPr="003A411E">
        <w:rPr>
          <w:bCs/>
          <w:lang w:val="fr-FR"/>
        </w:rPr>
        <w:t>1</w:t>
      </w:r>
      <w:r w:rsidR="00534B76" w:rsidRPr="003A411E">
        <w:rPr>
          <w:bCs/>
          <w:lang w:val="fr-FR"/>
        </w:rPr>
        <w:t>8</w:t>
      </w:r>
      <w:r w:rsidR="008F1465" w:rsidRPr="003A411E">
        <w:rPr>
          <w:bCs/>
          <w:lang w:val="fr-FR"/>
        </w:rPr>
        <w:t>.</w:t>
      </w:r>
      <w:r w:rsidR="008F1465" w:rsidRPr="003A411E">
        <w:rPr>
          <w:b/>
          <w:bCs/>
          <w:lang w:val="fr-FR"/>
        </w:rPr>
        <w:t xml:space="preserve"> </w:t>
      </w:r>
      <w:r w:rsidR="0061231B" w:rsidRPr="003A411E">
        <w:rPr>
          <w:b/>
          <w:bCs/>
          <w:lang w:val="fr-FR"/>
        </w:rPr>
        <w:tab/>
      </w:r>
      <w:r w:rsidR="008F1465" w:rsidRPr="003A411E">
        <w:rPr>
          <w:b/>
          <w:bCs/>
          <w:lang w:val="fr-FR"/>
        </w:rPr>
        <w:t>Le Sous-</w:t>
      </w:r>
      <w:r w:rsidR="006A2C77" w:rsidRPr="003A411E">
        <w:rPr>
          <w:b/>
          <w:bCs/>
          <w:lang w:val="fr-FR"/>
        </w:rPr>
        <w:t>C</w:t>
      </w:r>
      <w:r w:rsidR="008F1465" w:rsidRPr="003A411E">
        <w:rPr>
          <w:b/>
          <w:bCs/>
          <w:lang w:val="fr-FR"/>
        </w:rPr>
        <w:t xml:space="preserve">omité recommande à </w:t>
      </w:r>
      <w:r w:rsidR="00BE49EE" w:rsidRPr="003A411E">
        <w:rPr>
          <w:b/>
          <w:bCs/>
          <w:lang w:val="fr-FR"/>
        </w:rPr>
        <w:t>l</w:t>
      </w:r>
      <w:r w:rsidR="008F1465" w:rsidRPr="003A411E">
        <w:rPr>
          <w:b/>
          <w:bCs/>
          <w:lang w:val="fr-FR"/>
        </w:rPr>
        <w:t>’État partie</w:t>
      </w:r>
      <w:r w:rsidR="0061231B" w:rsidRPr="003A411E">
        <w:rPr>
          <w:b/>
          <w:bCs/>
          <w:lang w:val="fr-FR"/>
        </w:rPr>
        <w:t> :</w:t>
      </w:r>
    </w:p>
    <w:p w14:paraId="792652A1" w14:textId="6726BB86" w:rsidR="008F1465" w:rsidRPr="003A411E" w:rsidRDefault="00677254" w:rsidP="00677254">
      <w:pPr>
        <w:spacing w:after="120"/>
        <w:ind w:left="1134" w:right="1134" w:firstLine="567"/>
        <w:jc w:val="both"/>
        <w:rPr>
          <w:b/>
          <w:bCs/>
          <w:lang w:val="fr-FR"/>
        </w:rPr>
      </w:pPr>
      <w:r w:rsidRPr="003A411E">
        <w:rPr>
          <w:b/>
          <w:bCs/>
          <w:lang w:val="fr-FR"/>
        </w:rPr>
        <w:t>a)</w:t>
      </w:r>
      <w:r w:rsidRPr="003A411E">
        <w:rPr>
          <w:b/>
          <w:bCs/>
          <w:lang w:val="fr-FR"/>
        </w:rPr>
        <w:tab/>
      </w:r>
      <w:r w:rsidR="00927EB8" w:rsidRPr="003A411E">
        <w:rPr>
          <w:b/>
          <w:bCs/>
          <w:lang w:val="fr-FR"/>
        </w:rPr>
        <w:t>De veiller à</w:t>
      </w:r>
      <w:r w:rsidR="008F1465" w:rsidRPr="003A411E">
        <w:rPr>
          <w:b/>
          <w:bCs/>
          <w:lang w:val="fr-FR"/>
        </w:rPr>
        <w:t xml:space="preserve"> ce que l’enseignement et l’information concernant l’interdiction de la torture et des mauvais traitements fassent partie intégrante de la format</w:t>
      </w:r>
      <w:r w:rsidR="0061231B" w:rsidRPr="003A411E">
        <w:rPr>
          <w:b/>
          <w:bCs/>
          <w:lang w:val="fr-FR"/>
        </w:rPr>
        <w:t>ion du personnel pénitentiaire ;</w:t>
      </w:r>
    </w:p>
    <w:p w14:paraId="4E3CEFEF" w14:textId="60563B1D" w:rsidR="008F1465" w:rsidRPr="003A411E" w:rsidRDefault="00677254" w:rsidP="00677254">
      <w:pPr>
        <w:spacing w:after="120"/>
        <w:ind w:left="1134" w:right="1134" w:firstLine="567"/>
        <w:jc w:val="both"/>
        <w:rPr>
          <w:b/>
          <w:bCs/>
          <w:lang w:val="fr-FR"/>
        </w:rPr>
      </w:pPr>
      <w:r w:rsidRPr="003A411E">
        <w:rPr>
          <w:b/>
          <w:bCs/>
          <w:lang w:val="fr-FR"/>
        </w:rPr>
        <w:t>b)</w:t>
      </w:r>
      <w:r w:rsidRPr="003A411E">
        <w:rPr>
          <w:b/>
          <w:bCs/>
          <w:lang w:val="fr-FR"/>
        </w:rPr>
        <w:tab/>
      </w:r>
      <w:r w:rsidR="00927EB8" w:rsidRPr="003A411E">
        <w:rPr>
          <w:b/>
          <w:bCs/>
          <w:lang w:val="fr-FR"/>
        </w:rPr>
        <w:t>D’organiser</w:t>
      </w:r>
      <w:r w:rsidR="008F1465" w:rsidRPr="003A411E">
        <w:rPr>
          <w:b/>
          <w:bCs/>
          <w:lang w:val="fr-FR"/>
        </w:rPr>
        <w:t xml:space="preserve"> de</w:t>
      </w:r>
      <w:r w:rsidR="00927EB8" w:rsidRPr="003A411E">
        <w:rPr>
          <w:b/>
          <w:bCs/>
          <w:lang w:val="fr-FR"/>
        </w:rPr>
        <w:t>s</w:t>
      </w:r>
      <w:r w:rsidR="008F1465" w:rsidRPr="003A411E">
        <w:rPr>
          <w:b/>
          <w:bCs/>
          <w:lang w:val="fr-FR"/>
        </w:rPr>
        <w:t xml:space="preserve"> formations périodiques</w:t>
      </w:r>
      <w:r w:rsidR="00927EB8" w:rsidRPr="003A411E">
        <w:rPr>
          <w:b/>
          <w:bCs/>
          <w:lang w:val="fr-FR"/>
        </w:rPr>
        <w:t>,</w:t>
      </w:r>
      <w:r w:rsidR="008F1465" w:rsidRPr="003A411E">
        <w:rPr>
          <w:b/>
          <w:bCs/>
          <w:lang w:val="fr-FR"/>
        </w:rPr>
        <w:t xml:space="preserve"> notamment pour le personnel d’encadrement, relatives aux normes internationales (Règles </w:t>
      </w:r>
      <w:r w:rsidR="00927EB8" w:rsidRPr="003A411E">
        <w:rPr>
          <w:b/>
          <w:bCs/>
          <w:lang w:val="fr-FR"/>
        </w:rPr>
        <w:t>Nelson</w:t>
      </w:r>
      <w:r w:rsidR="008F1465" w:rsidRPr="003A411E">
        <w:rPr>
          <w:b/>
          <w:bCs/>
          <w:lang w:val="fr-FR"/>
        </w:rPr>
        <w:t xml:space="preserve"> Mandela, Convention contre la tort</w:t>
      </w:r>
      <w:r w:rsidR="0061231B" w:rsidRPr="003A411E">
        <w:rPr>
          <w:b/>
          <w:bCs/>
          <w:lang w:val="fr-FR"/>
        </w:rPr>
        <w:t>ure et Protocole facultatif</w:t>
      </w:r>
      <w:r w:rsidR="00927EB8" w:rsidRPr="003A411E">
        <w:rPr>
          <w:b/>
          <w:bCs/>
          <w:lang w:val="fr-FR"/>
        </w:rPr>
        <w:t>)</w:t>
      </w:r>
      <w:r w:rsidR="0061231B" w:rsidRPr="003A411E">
        <w:rPr>
          <w:b/>
          <w:bCs/>
          <w:lang w:val="fr-FR"/>
        </w:rPr>
        <w:t> ;</w:t>
      </w:r>
    </w:p>
    <w:p w14:paraId="12CD90FF" w14:textId="41C2918A" w:rsidR="008F1465" w:rsidRPr="003A411E" w:rsidRDefault="00677254" w:rsidP="00677254">
      <w:pPr>
        <w:spacing w:after="120"/>
        <w:ind w:left="1134" w:right="1134" w:firstLine="567"/>
        <w:jc w:val="both"/>
        <w:rPr>
          <w:b/>
          <w:bCs/>
          <w:lang w:val="fr-FR"/>
        </w:rPr>
      </w:pPr>
      <w:r w:rsidRPr="003A411E">
        <w:rPr>
          <w:b/>
          <w:bCs/>
          <w:lang w:val="fr-FR"/>
        </w:rPr>
        <w:t>c)</w:t>
      </w:r>
      <w:r w:rsidRPr="003A411E">
        <w:rPr>
          <w:b/>
          <w:bCs/>
          <w:lang w:val="fr-FR"/>
        </w:rPr>
        <w:tab/>
      </w:r>
      <w:r w:rsidR="00927EB8" w:rsidRPr="003A411E">
        <w:rPr>
          <w:b/>
          <w:bCs/>
          <w:lang w:val="fr-FR"/>
        </w:rPr>
        <w:t>De mettre</w:t>
      </w:r>
      <w:r w:rsidR="008F1465" w:rsidRPr="003A411E">
        <w:rPr>
          <w:b/>
          <w:bCs/>
          <w:lang w:val="fr-FR"/>
        </w:rPr>
        <w:t xml:space="preserve"> en place une politique efficace de lutte contre la corruption dans les établissements pénitentiaires.</w:t>
      </w:r>
    </w:p>
    <w:p w14:paraId="73405310" w14:textId="1145E748" w:rsidR="008F1465" w:rsidRPr="003A411E" w:rsidRDefault="00A61B9C" w:rsidP="00AC23A9">
      <w:pPr>
        <w:pStyle w:val="H1G"/>
        <w:jc w:val="both"/>
        <w:rPr>
          <w:lang w:val="fr-FR"/>
        </w:rPr>
      </w:pPr>
      <w:r w:rsidRPr="003A411E">
        <w:rPr>
          <w:lang w:val="fr-FR"/>
        </w:rPr>
        <w:tab/>
        <w:t xml:space="preserve">C. </w:t>
      </w:r>
      <w:r w:rsidRPr="003A411E">
        <w:rPr>
          <w:lang w:val="fr-FR"/>
        </w:rPr>
        <w:tab/>
      </w:r>
      <w:r w:rsidR="006549D2" w:rsidRPr="003A411E">
        <w:rPr>
          <w:lang w:val="fr-FR"/>
        </w:rPr>
        <w:t xml:space="preserve">Santé </w:t>
      </w:r>
    </w:p>
    <w:p w14:paraId="05BF7125" w14:textId="3AC2EB61" w:rsidR="008F1465" w:rsidRPr="003A411E" w:rsidRDefault="008F1465" w:rsidP="0046621A">
      <w:pPr>
        <w:pStyle w:val="H23G"/>
        <w:rPr>
          <w:lang w:val="fr-FR"/>
        </w:rPr>
      </w:pPr>
      <w:r w:rsidRPr="003A411E">
        <w:rPr>
          <w:lang w:val="fr-FR"/>
        </w:rPr>
        <w:tab/>
        <w:t xml:space="preserve">1. </w:t>
      </w:r>
      <w:r w:rsidR="00A61B9C" w:rsidRPr="003A411E">
        <w:rPr>
          <w:lang w:val="fr-FR"/>
        </w:rPr>
        <w:tab/>
      </w:r>
      <w:r w:rsidR="0046621A" w:rsidRPr="003A411E">
        <w:rPr>
          <w:lang w:val="fr-FR"/>
        </w:rPr>
        <w:t>S</w:t>
      </w:r>
      <w:r w:rsidRPr="003A411E">
        <w:rPr>
          <w:lang w:val="fr-FR"/>
        </w:rPr>
        <w:t>oins de santé en milieu pénitentiaire</w:t>
      </w:r>
    </w:p>
    <w:p w14:paraId="1C645450" w14:textId="7FAC9A3F" w:rsidR="008F1465" w:rsidRPr="003A411E" w:rsidRDefault="00A61B9C" w:rsidP="00677254">
      <w:pPr>
        <w:pStyle w:val="H4G"/>
        <w:rPr>
          <w:lang w:val="fr-FR"/>
        </w:rPr>
      </w:pPr>
      <w:r w:rsidRPr="003A411E">
        <w:rPr>
          <w:lang w:val="fr-FR"/>
        </w:rPr>
        <w:tab/>
      </w:r>
      <w:r w:rsidR="009C7184" w:rsidRPr="003A411E">
        <w:rPr>
          <w:lang w:val="fr-FR"/>
        </w:rPr>
        <w:t>i.</w:t>
      </w:r>
      <w:r w:rsidRPr="003A411E">
        <w:rPr>
          <w:lang w:val="fr-FR"/>
        </w:rPr>
        <w:tab/>
      </w:r>
      <w:r w:rsidR="008F1465" w:rsidRPr="003A411E">
        <w:rPr>
          <w:lang w:val="fr-FR"/>
        </w:rPr>
        <w:t>Remarques préliminaires</w:t>
      </w:r>
    </w:p>
    <w:p w14:paraId="5003398F" w14:textId="20F037E9" w:rsidR="008F1465" w:rsidRPr="003A411E" w:rsidRDefault="00170DE2" w:rsidP="00534B76">
      <w:pPr>
        <w:pStyle w:val="SingleTxtG"/>
        <w:rPr>
          <w:lang w:val="fr-FR"/>
        </w:rPr>
      </w:pPr>
      <w:r w:rsidRPr="003A411E">
        <w:rPr>
          <w:lang w:val="fr-FR"/>
        </w:rPr>
        <w:t>1</w:t>
      </w:r>
      <w:r w:rsidR="0046621A" w:rsidRPr="003A411E">
        <w:rPr>
          <w:lang w:val="fr-FR"/>
        </w:rPr>
        <w:t>1</w:t>
      </w:r>
      <w:r w:rsidR="00534B76" w:rsidRPr="003A411E">
        <w:rPr>
          <w:lang w:val="fr-FR"/>
        </w:rPr>
        <w:t>9</w:t>
      </w:r>
      <w:r w:rsidRPr="003A411E">
        <w:rPr>
          <w:lang w:val="fr-FR"/>
        </w:rPr>
        <w:t>.</w:t>
      </w:r>
      <w:r w:rsidRPr="003A411E">
        <w:rPr>
          <w:lang w:val="fr-FR"/>
        </w:rPr>
        <w:tab/>
      </w:r>
      <w:r w:rsidR="008F1465" w:rsidRPr="003A411E">
        <w:rPr>
          <w:lang w:val="fr-FR"/>
        </w:rPr>
        <w:t xml:space="preserve">Le </w:t>
      </w:r>
      <w:r w:rsidR="00AF7450" w:rsidRPr="003A411E">
        <w:rPr>
          <w:lang w:val="fr-FR"/>
        </w:rPr>
        <w:t>Sous-Comité</w:t>
      </w:r>
      <w:r w:rsidR="008F1465" w:rsidRPr="003A411E">
        <w:rPr>
          <w:lang w:val="fr-FR"/>
        </w:rPr>
        <w:t xml:space="preserve"> </w:t>
      </w:r>
      <w:r w:rsidR="0046621A" w:rsidRPr="003A411E">
        <w:rPr>
          <w:lang w:val="fr-FR"/>
        </w:rPr>
        <w:t>note</w:t>
      </w:r>
      <w:r w:rsidR="008F1465" w:rsidRPr="003A411E">
        <w:rPr>
          <w:lang w:val="fr-FR"/>
        </w:rPr>
        <w:t xml:space="preserve"> avec satisfaction que le personnel de santé et le personnel socioéducatif exerçant dans les établissements pénitentiaires relevaient respectivement du </w:t>
      </w:r>
      <w:r w:rsidR="0046621A" w:rsidRPr="003A411E">
        <w:rPr>
          <w:lang w:val="fr-FR"/>
        </w:rPr>
        <w:t>M</w:t>
      </w:r>
      <w:r w:rsidR="008F1465" w:rsidRPr="003A411E">
        <w:rPr>
          <w:lang w:val="fr-FR"/>
        </w:rPr>
        <w:t xml:space="preserve">inistère de la santé et du </w:t>
      </w:r>
      <w:r w:rsidR="0046621A" w:rsidRPr="003A411E">
        <w:rPr>
          <w:lang w:val="fr-FR"/>
        </w:rPr>
        <w:t>M</w:t>
      </w:r>
      <w:r w:rsidR="008F1465" w:rsidRPr="003A411E">
        <w:rPr>
          <w:lang w:val="fr-FR"/>
        </w:rPr>
        <w:t>inistère des affaires sociales. Cela ne peut que contribuer à renforcer la qualité et la coordination de la prise en charge sanitaire et socioéducative des personnes détenues.</w:t>
      </w:r>
    </w:p>
    <w:p w14:paraId="26C3FB24" w14:textId="77586DE6" w:rsidR="008F1465" w:rsidRPr="003A411E" w:rsidRDefault="00170DE2" w:rsidP="00534B76">
      <w:pPr>
        <w:pStyle w:val="SingleTxtG"/>
        <w:rPr>
          <w:b/>
          <w:i/>
          <w:lang w:val="fr-FR"/>
        </w:rPr>
      </w:pPr>
      <w:r w:rsidRPr="003A411E">
        <w:rPr>
          <w:lang w:val="fr-FR"/>
        </w:rPr>
        <w:t>12</w:t>
      </w:r>
      <w:r w:rsidR="00534B76" w:rsidRPr="003A411E">
        <w:rPr>
          <w:lang w:val="fr-FR"/>
        </w:rPr>
        <w:t>0</w:t>
      </w:r>
      <w:r w:rsidRPr="003A411E">
        <w:rPr>
          <w:lang w:val="fr-FR"/>
        </w:rPr>
        <w:t>.</w:t>
      </w:r>
      <w:r w:rsidRPr="003A411E">
        <w:rPr>
          <w:lang w:val="fr-FR"/>
        </w:rPr>
        <w:tab/>
      </w:r>
      <w:r w:rsidR="008F1465" w:rsidRPr="003A411E">
        <w:rPr>
          <w:lang w:val="fr-FR"/>
        </w:rPr>
        <w:t>Cependant, l</w:t>
      </w:r>
      <w:r w:rsidR="008F1465" w:rsidRPr="003A411E">
        <w:t>a situation des détenus défavorisés</w:t>
      </w:r>
      <w:r w:rsidR="0046621A" w:rsidRPr="003A411E">
        <w:t xml:space="preserve"> qui</w:t>
      </w:r>
      <w:r w:rsidR="008F1465" w:rsidRPr="003A411E">
        <w:t xml:space="preserve"> ne </w:t>
      </w:r>
      <w:r w:rsidR="0046621A" w:rsidRPr="003A411E">
        <w:t>peuvent</w:t>
      </w:r>
      <w:r w:rsidR="008F1465" w:rsidRPr="003A411E">
        <w:t xml:space="preserve"> assumer le coût de</w:t>
      </w:r>
      <w:r w:rsidR="0046621A" w:rsidRPr="003A411E">
        <w:t xml:space="preserve"> leur</w:t>
      </w:r>
      <w:r w:rsidR="008F1465" w:rsidRPr="003A411E">
        <w:t>s soins est très préoccupante</w:t>
      </w:r>
      <w:r w:rsidR="0046621A" w:rsidRPr="003A411E">
        <w:t>,</w:t>
      </w:r>
      <w:r w:rsidR="008F1465" w:rsidRPr="003A411E">
        <w:t xml:space="preserve"> </w:t>
      </w:r>
      <w:r w:rsidR="008F1465" w:rsidRPr="003A411E">
        <w:rPr>
          <w:lang w:val="fr-FR"/>
        </w:rPr>
        <w:t>puisque</w:t>
      </w:r>
      <w:r w:rsidR="008F1465" w:rsidRPr="003A411E">
        <w:t xml:space="preserve"> les soins, y compris urgents, </w:t>
      </w:r>
      <w:r w:rsidR="0046621A" w:rsidRPr="003A411E">
        <w:t xml:space="preserve">sont payants – </w:t>
      </w:r>
      <w:r w:rsidR="008F1465" w:rsidRPr="003A411E">
        <w:t xml:space="preserve">en dehors du </w:t>
      </w:r>
      <w:r w:rsidR="0046621A" w:rsidRPr="003A411E">
        <w:t>soutien</w:t>
      </w:r>
      <w:r w:rsidR="008F1465" w:rsidRPr="003A411E">
        <w:t xml:space="preserve"> des </w:t>
      </w:r>
      <w:r w:rsidR="0046621A" w:rsidRPr="003A411E">
        <w:t>organisations non gouvernementales</w:t>
      </w:r>
      <w:r w:rsidR="008F1465" w:rsidRPr="003A411E">
        <w:t xml:space="preserve"> et de programmes nationaux ciblés (tuberculose, paludisme, VIH</w:t>
      </w:r>
      <w:r w:rsidR="00BA64E5">
        <w:t>/sida</w:t>
      </w:r>
      <w:r w:rsidR="008F1465" w:rsidRPr="003A411E">
        <w:t xml:space="preserve">). </w:t>
      </w:r>
    </w:p>
    <w:p w14:paraId="478665E6" w14:textId="679476F5" w:rsidR="008F1465" w:rsidRPr="003A411E" w:rsidRDefault="00170DE2" w:rsidP="00534B76">
      <w:pPr>
        <w:pStyle w:val="SingleTxtG"/>
        <w:rPr>
          <w:b/>
        </w:rPr>
      </w:pPr>
      <w:r w:rsidRPr="003A411E">
        <w:t>12</w:t>
      </w:r>
      <w:r w:rsidR="00534B76" w:rsidRPr="003A411E">
        <w:t>1</w:t>
      </w:r>
      <w:r w:rsidRPr="003A411E">
        <w:t>.</w:t>
      </w:r>
      <w:r w:rsidRPr="003A411E">
        <w:rPr>
          <w:b/>
        </w:rPr>
        <w:tab/>
      </w:r>
      <w:r w:rsidR="008F1465" w:rsidRPr="003A411E">
        <w:rPr>
          <w:b/>
        </w:rPr>
        <w:t xml:space="preserve">Le </w:t>
      </w:r>
      <w:r w:rsidR="00AF7450" w:rsidRPr="003A411E">
        <w:rPr>
          <w:b/>
        </w:rPr>
        <w:t>Sous-Comité</w:t>
      </w:r>
      <w:r w:rsidR="008F1465" w:rsidRPr="003A411E">
        <w:rPr>
          <w:b/>
        </w:rPr>
        <w:t xml:space="preserve"> recommande à l’</w:t>
      </w:r>
      <w:r w:rsidR="006A2C77" w:rsidRPr="003A411E">
        <w:rPr>
          <w:b/>
        </w:rPr>
        <w:t>État</w:t>
      </w:r>
      <w:r w:rsidR="008F1465" w:rsidRPr="003A411E">
        <w:rPr>
          <w:b/>
        </w:rPr>
        <w:t xml:space="preserve"> partie d’assurer l’accès aux traitements pour tous les détenus</w:t>
      </w:r>
      <w:r w:rsidR="0046621A" w:rsidRPr="003A411E">
        <w:rPr>
          <w:b/>
        </w:rPr>
        <w:t>,</w:t>
      </w:r>
      <w:r w:rsidR="008F1465" w:rsidRPr="003A411E">
        <w:rPr>
          <w:b/>
        </w:rPr>
        <w:t xml:space="preserve"> y compris les indigents</w:t>
      </w:r>
      <w:r w:rsidR="0046621A" w:rsidRPr="003A411E">
        <w:rPr>
          <w:b/>
        </w:rPr>
        <w:t>,</w:t>
      </w:r>
      <w:r w:rsidR="008F1465" w:rsidRPr="003A411E">
        <w:rPr>
          <w:b/>
        </w:rPr>
        <w:t xml:space="preserve"> et </w:t>
      </w:r>
      <w:r w:rsidR="008F1465" w:rsidRPr="003A411E">
        <w:rPr>
          <w:b/>
          <w:bCs/>
          <w:lang w:val="fr-FR"/>
        </w:rPr>
        <w:t>l’encourage</w:t>
      </w:r>
      <w:r w:rsidR="008F1465" w:rsidRPr="003A411E">
        <w:rPr>
          <w:b/>
          <w:bCs/>
        </w:rPr>
        <w:t xml:space="preserve"> </w:t>
      </w:r>
      <w:r w:rsidR="008F1465" w:rsidRPr="003A411E">
        <w:rPr>
          <w:b/>
        </w:rPr>
        <w:t>à envisager un régime de protection sociale et un</w:t>
      </w:r>
      <w:r w:rsidR="00403B71" w:rsidRPr="003A411E">
        <w:rPr>
          <w:b/>
        </w:rPr>
        <w:t xml:space="preserve"> système d</w:t>
      </w:r>
      <w:r w:rsidR="008F1465" w:rsidRPr="003A411E">
        <w:rPr>
          <w:b/>
        </w:rPr>
        <w:t xml:space="preserve">e </w:t>
      </w:r>
      <w:r w:rsidR="00403B71" w:rsidRPr="003A411E">
        <w:rPr>
          <w:b/>
        </w:rPr>
        <w:t>couverture</w:t>
      </w:r>
      <w:r w:rsidR="008F1465" w:rsidRPr="003A411E">
        <w:rPr>
          <w:b/>
        </w:rPr>
        <w:t xml:space="preserve"> maladie universelle.</w:t>
      </w:r>
    </w:p>
    <w:p w14:paraId="0A000FE2" w14:textId="45A48E50" w:rsidR="008F1465" w:rsidRPr="003A411E" w:rsidRDefault="006549D2" w:rsidP="00677254">
      <w:pPr>
        <w:pStyle w:val="H4G"/>
        <w:rPr>
          <w:lang w:val="fr-FR"/>
        </w:rPr>
      </w:pPr>
      <w:r w:rsidRPr="003A411E">
        <w:rPr>
          <w:lang w:val="fr-FR"/>
        </w:rPr>
        <w:tab/>
      </w:r>
      <w:r w:rsidR="009C7184" w:rsidRPr="003A411E">
        <w:rPr>
          <w:lang w:val="fr-FR"/>
        </w:rPr>
        <w:t>ii.</w:t>
      </w:r>
      <w:r w:rsidRPr="003A411E">
        <w:rPr>
          <w:lang w:val="fr-FR"/>
        </w:rPr>
        <w:tab/>
      </w:r>
      <w:r w:rsidR="0046621A" w:rsidRPr="003A411E">
        <w:rPr>
          <w:lang w:val="fr-FR"/>
        </w:rPr>
        <w:t>P</w:t>
      </w:r>
      <w:r w:rsidR="008F1465" w:rsidRPr="003A411E">
        <w:rPr>
          <w:lang w:val="fr-FR"/>
        </w:rPr>
        <w:t xml:space="preserve">ersonnel </w:t>
      </w:r>
    </w:p>
    <w:p w14:paraId="3F6E1716" w14:textId="0E92F7AF" w:rsidR="008F1465" w:rsidRPr="003A411E" w:rsidRDefault="00170DE2" w:rsidP="00534B76">
      <w:pPr>
        <w:pStyle w:val="SingleTxtG"/>
        <w:rPr>
          <w:lang w:val="fr-FR"/>
        </w:rPr>
      </w:pPr>
      <w:r w:rsidRPr="003A411E">
        <w:rPr>
          <w:lang w:val="fr-FR"/>
        </w:rPr>
        <w:t>12</w:t>
      </w:r>
      <w:r w:rsidR="00534B76" w:rsidRPr="003A411E">
        <w:rPr>
          <w:lang w:val="fr-FR"/>
        </w:rPr>
        <w:t>2</w:t>
      </w:r>
      <w:r w:rsidRPr="003A411E">
        <w:rPr>
          <w:lang w:val="fr-FR"/>
        </w:rPr>
        <w:t>.</w:t>
      </w:r>
      <w:r w:rsidRPr="003A411E">
        <w:rPr>
          <w:lang w:val="fr-FR"/>
        </w:rPr>
        <w:tab/>
      </w:r>
      <w:r w:rsidR="0046621A" w:rsidRPr="003A411E">
        <w:rPr>
          <w:lang w:val="fr-FR"/>
        </w:rPr>
        <w:t>À</w:t>
      </w:r>
      <w:r w:rsidR="008F1465" w:rsidRPr="003A411E">
        <w:rPr>
          <w:lang w:val="fr-FR"/>
        </w:rPr>
        <w:t xml:space="preserve"> la </w:t>
      </w:r>
      <w:r w:rsidR="0046621A" w:rsidRPr="003A411E">
        <w:rPr>
          <w:lang w:val="fr-FR"/>
        </w:rPr>
        <w:t>maison d’arrêt et de correction de Ouagadougou</w:t>
      </w:r>
      <w:r w:rsidR="008F1465" w:rsidRPr="003A411E">
        <w:rPr>
          <w:lang w:val="fr-FR"/>
        </w:rPr>
        <w:t>, le personnel de santé soign</w:t>
      </w:r>
      <w:r w:rsidR="0046621A" w:rsidRPr="003A411E">
        <w:rPr>
          <w:lang w:val="fr-FR"/>
        </w:rPr>
        <w:t>ait</w:t>
      </w:r>
      <w:r w:rsidR="008F1465" w:rsidRPr="003A411E">
        <w:rPr>
          <w:lang w:val="fr-FR"/>
        </w:rPr>
        <w:t xml:space="preserve"> les détenus et le personnel, ce qui pourrait </w:t>
      </w:r>
      <w:r w:rsidR="00751F6F" w:rsidRPr="003A411E">
        <w:rPr>
          <w:lang w:val="fr-FR"/>
        </w:rPr>
        <w:t>entra</w:t>
      </w:r>
      <w:r w:rsidR="0046621A" w:rsidRPr="003A411E">
        <w:rPr>
          <w:lang w:val="fr-FR"/>
        </w:rPr>
        <w:t>î</w:t>
      </w:r>
      <w:r w:rsidR="00751F6F" w:rsidRPr="003A411E">
        <w:rPr>
          <w:lang w:val="fr-FR"/>
        </w:rPr>
        <w:t>ner un conflit de loyauté</w:t>
      </w:r>
      <w:r w:rsidR="0046621A" w:rsidRPr="003A411E">
        <w:rPr>
          <w:lang w:val="fr-FR"/>
        </w:rPr>
        <w:t>,</w:t>
      </w:r>
      <w:r w:rsidR="00751F6F" w:rsidRPr="003A411E">
        <w:rPr>
          <w:lang w:val="fr-FR"/>
        </w:rPr>
        <w:t xml:space="preserve"> </w:t>
      </w:r>
      <w:r w:rsidR="008F1465" w:rsidRPr="003A411E">
        <w:rPr>
          <w:lang w:val="fr-FR"/>
        </w:rPr>
        <w:t>notamment en cas d’allégation de mauvais traitements.</w:t>
      </w:r>
    </w:p>
    <w:p w14:paraId="7D78737E" w14:textId="37349C36" w:rsidR="008F1465" w:rsidRPr="003A411E" w:rsidRDefault="006549D2" w:rsidP="00677254">
      <w:pPr>
        <w:pStyle w:val="H4G"/>
        <w:rPr>
          <w:lang w:val="fr-FR"/>
        </w:rPr>
      </w:pPr>
      <w:r w:rsidRPr="003A411E">
        <w:rPr>
          <w:lang w:val="fr-FR"/>
        </w:rPr>
        <w:tab/>
      </w:r>
      <w:r w:rsidR="009C7184" w:rsidRPr="003A411E">
        <w:rPr>
          <w:lang w:val="fr-FR"/>
        </w:rPr>
        <w:t>iii.</w:t>
      </w:r>
      <w:r w:rsidRPr="003A411E">
        <w:rPr>
          <w:lang w:val="fr-FR"/>
        </w:rPr>
        <w:tab/>
      </w:r>
      <w:r w:rsidR="008F1465" w:rsidRPr="003A411E">
        <w:rPr>
          <w:lang w:val="fr-FR"/>
        </w:rPr>
        <w:t>Locaux</w:t>
      </w:r>
    </w:p>
    <w:p w14:paraId="10F39413" w14:textId="5288DB73" w:rsidR="008F1465" w:rsidRPr="003A411E" w:rsidRDefault="00170DE2" w:rsidP="00534B76">
      <w:pPr>
        <w:pStyle w:val="SingleTxtG"/>
        <w:rPr>
          <w:lang w:val="fr-FR"/>
        </w:rPr>
      </w:pPr>
      <w:r w:rsidRPr="003A411E">
        <w:rPr>
          <w:lang w:val="fr-FR"/>
        </w:rPr>
        <w:t>12</w:t>
      </w:r>
      <w:r w:rsidR="00534B76" w:rsidRPr="003A411E">
        <w:rPr>
          <w:lang w:val="fr-FR"/>
        </w:rPr>
        <w:t>3</w:t>
      </w:r>
      <w:r w:rsidRPr="003A411E">
        <w:rPr>
          <w:lang w:val="fr-FR"/>
        </w:rPr>
        <w:t>.</w:t>
      </w:r>
      <w:r w:rsidRPr="003A411E">
        <w:rPr>
          <w:lang w:val="fr-FR"/>
        </w:rPr>
        <w:tab/>
      </w:r>
      <w:r w:rsidR="0046621A" w:rsidRPr="003A411E">
        <w:rPr>
          <w:lang w:val="fr-FR"/>
        </w:rPr>
        <w:t>À</w:t>
      </w:r>
      <w:r w:rsidR="008F1465" w:rsidRPr="003A411E">
        <w:rPr>
          <w:lang w:val="fr-FR"/>
        </w:rPr>
        <w:t xml:space="preserve"> la </w:t>
      </w:r>
      <w:r w:rsidR="00B26A22" w:rsidRPr="003A411E">
        <w:rPr>
          <w:lang w:val="fr-FR"/>
        </w:rPr>
        <w:t>prison de haute sécurité de Ouagadougou</w:t>
      </w:r>
      <w:r w:rsidR="008F1465" w:rsidRPr="003A411E">
        <w:rPr>
          <w:lang w:val="fr-FR"/>
        </w:rPr>
        <w:t xml:space="preserve">, l’infirmerie disposait de deux lits d’observation (inoccupés le jour de la visite). </w:t>
      </w:r>
      <w:r w:rsidR="0046621A" w:rsidRPr="003A411E">
        <w:rPr>
          <w:lang w:val="fr-FR"/>
        </w:rPr>
        <w:t>À</w:t>
      </w:r>
      <w:r w:rsidR="008F1465" w:rsidRPr="003A411E">
        <w:rPr>
          <w:lang w:val="fr-FR"/>
        </w:rPr>
        <w:t xml:space="preserve"> la </w:t>
      </w:r>
      <w:r w:rsidR="0046621A" w:rsidRPr="003A411E">
        <w:rPr>
          <w:lang w:val="fr-FR"/>
        </w:rPr>
        <w:t>maison d’arrêt et de correction de Ouagadougou</w:t>
      </w:r>
      <w:r w:rsidR="008F1465" w:rsidRPr="003A411E">
        <w:rPr>
          <w:lang w:val="fr-FR"/>
        </w:rPr>
        <w:t xml:space="preserve">, l’infirmerie disposait de </w:t>
      </w:r>
      <w:r w:rsidR="0046621A" w:rsidRPr="003A411E">
        <w:rPr>
          <w:lang w:val="fr-FR"/>
        </w:rPr>
        <w:t>huit</w:t>
      </w:r>
      <w:r w:rsidR="008F1465" w:rsidRPr="003A411E">
        <w:rPr>
          <w:lang w:val="fr-FR"/>
        </w:rPr>
        <w:t xml:space="preserve"> lits, </w:t>
      </w:r>
      <w:r w:rsidR="0046621A" w:rsidRPr="003A411E">
        <w:rPr>
          <w:lang w:val="fr-FR"/>
        </w:rPr>
        <w:t>dont quatre</w:t>
      </w:r>
      <w:r w:rsidR="008F1465" w:rsidRPr="003A411E">
        <w:rPr>
          <w:lang w:val="fr-FR"/>
        </w:rPr>
        <w:t xml:space="preserve"> étaient occupés</w:t>
      </w:r>
      <w:r w:rsidR="003E4D06">
        <w:rPr>
          <w:lang w:val="fr-FR"/>
        </w:rPr>
        <w:t xml:space="preserve"> </w:t>
      </w:r>
      <w:r w:rsidR="008F1465" w:rsidRPr="003A411E">
        <w:rPr>
          <w:lang w:val="fr-FR"/>
        </w:rPr>
        <w:t xml:space="preserve">par des détenus menottés au lit, mesure coercitive systématique qui générait à l’évidence un inconfort pour les patients. </w:t>
      </w:r>
    </w:p>
    <w:p w14:paraId="6B845492" w14:textId="28DD0CDD" w:rsidR="008F1465" w:rsidRPr="003A411E" w:rsidRDefault="00170DE2" w:rsidP="00534B76">
      <w:pPr>
        <w:pStyle w:val="SingleTxtG"/>
        <w:rPr>
          <w:b/>
          <w:lang w:val="fr-FR"/>
        </w:rPr>
      </w:pPr>
      <w:r w:rsidRPr="003A411E">
        <w:rPr>
          <w:lang w:val="fr-FR"/>
        </w:rPr>
        <w:t>12</w:t>
      </w:r>
      <w:r w:rsidR="00534B76" w:rsidRPr="003A411E">
        <w:rPr>
          <w:lang w:val="fr-FR"/>
        </w:rPr>
        <w:t>4</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que toute mesure coercitive ne soit utilisée qu’en dernier recours et sur la base d’une évaluation du risque individualisée.</w:t>
      </w:r>
    </w:p>
    <w:p w14:paraId="4EAD63AB" w14:textId="43434DAE" w:rsidR="008F1465" w:rsidRPr="003A411E" w:rsidRDefault="006549D2" w:rsidP="00677254">
      <w:pPr>
        <w:pStyle w:val="H4G"/>
        <w:rPr>
          <w:lang w:val="fr-FR"/>
        </w:rPr>
      </w:pPr>
      <w:r w:rsidRPr="003A411E">
        <w:rPr>
          <w:lang w:val="fr-FR"/>
        </w:rPr>
        <w:tab/>
      </w:r>
      <w:r w:rsidR="009C7184" w:rsidRPr="003A411E">
        <w:rPr>
          <w:lang w:val="fr-FR"/>
        </w:rPr>
        <w:t>iv.</w:t>
      </w:r>
      <w:r w:rsidRPr="003A411E">
        <w:rPr>
          <w:lang w:val="fr-FR"/>
        </w:rPr>
        <w:tab/>
      </w:r>
      <w:r w:rsidR="00FC67B8" w:rsidRPr="003A411E">
        <w:rPr>
          <w:lang w:val="fr-FR"/>
        </w:rPr>
        <w:t>E</w:t>
      </w:r>
      <w:r w:rsidR="008F1465" w:rsidRPr="003A411E">
        <w:rPr>
          <w:lang w:val="fr-FR"/>
        </w:rPr>
        <w:t xml:space="preserve">xamen médical d’entrée </w:t>
      </w:r>
    </w:p>
    <w:p w14:paraId="6CD5700F" w14:textId="4D6A9208" w:rsidR="008F1465" w:rsidRPr="003A411E" w:rsidRDefault="00170DE2" w:rsidP="00534B76">
      <w:pPr>
        <w:pStyle w:val="SingleTxtG"/>
        <w:rPr>
          <w:lang w:val="fr-FR"/>
        </w:rPr>
      </w:pPr>
      <w:r w:rsidRPr="003A411E">
        <w:rPr>
          <w:lang w:val="fr-FR"/>
        </w:rPr>
        <w:t>12</w:t>
      </w:r>
      <w:r w:rsidR="00534B76" w:rsidRPr="003A411E">
        <w:rPr>
          <w:lang w:val="fr-FR"/>
        </w:rPr>
        <w:t>5</w:t>
      </w:r>
      <w:r w:rsidRPr="003A411E">
        <w:rPr>
          <w:lang w:val="fr-FR"/>
        </w:rPr>
        <w:t>.</w:t>
      </w:r>
      <w:r w:rsidRPr="003A411E">
        <w:rPr>
          <w:lang w:val="fr-FR"/>
        </w:rPr>
        <w:tab/>
      </w:r>
      <w:r w:rsidR="00FC67B8" w:rsidRPr="003A411E">
        <w:rPr>
          <w:lang w:val="fr-FR"/>
        </w:rPr>
        <w:t>À</w:t>
      </w:r>
      <w:r w:rsidR="008F1465" w:rsidRPr="003A411E">
        <w:rPr>
          <w:lang w:val="fr-FR"/>
        </w:rPr>
        <w:t xml:space="preserve"> la </w:t>
      </w:r>
      <w:r w:rsidR="00B26A22" w:rsidRPr="003A411E">
        <w:rPr>
          <w:lang w:val="fr-FR"/>
        </w:rPr>
        <w:t>prison de haute sécurité de Ouagadougou</w:t>
      </w:r>
      <w:r w:rsidR="008F1465" w:rsidRPr="003A411E">
        <w:rPr>
          <w:lang w:val="fr-FR"/>
        </w:rPr>
        <w:t xml:space="preserve">, chaque détenu bénéficiait d’un examen </w:t>
      </w:r>
      <w:r w:rsidR="00FC67B8" w:rsidRPr="003A411E">
        <w:rPr>
          <w:lang w:val="fr-FR"/>
        </w:rPr>
        <w:t>médical</w:t>
      </w:r>
      <w:r w:rsidR="008F1465" w:rsidRPr="003A411E">
        <w:rPr>
          <w:lang w:val="fr-FR"/>
        </w:rPr>
        <w:t xml:space="preserve"> à l’entrée et </w:t>
      </w:r>
      <w:r w:rsidR="00FC67B8" w:rsidRPr="003A411E">
        <w:rPr>
          <w:lang w:val="fr-FR"/>
        </w:rPr>
        <w:t xml:space="preserve">disposait </w:t>
      </w:r>
      <w:r w:rsidR="008F1465" w:rsidRPr="003A411E">
        <w:rPr>
          <w:lang w:val="fr-FR"/>
        </w:rPr>
        <w:t>d’un dossier médical régulièrement tenu. En revanche</w:t>
      </w:r>
      <w:r w:rsidR="00FC67B8" w:rsidRPr="003A411E">
        <w:rPr>
          <w:lang w:val="fr-FR"/>
        </w:rPr>
        <w:t>,</w:t>
      </w:r>
      <w:r w:rsidR="008F1465" w:rsidRPr="003A411E">
        <w:rPr>
          <w:lang w:val="fr-FR"/>
        </w:rPr>
        <w:t xml:space="preserve"> à la </w:t>
      </w:r>
      <w:r w:rsidR="00FC67B8" w:rsidRPr="003A411E">
        <w:rPr>
          <w:lang w:val="fr-FR"/>
        </w:rPr>
        <w:t>maison d’arrêt et de correction de Ouagadougou</w:t>
      </w:r>
      <w:r w:rsidR="008F1465" w:rsidRPr="003A411E">
        <w:rPr>
          <w:lang w:val="fr-FR"/>
        </w:rPr>
        <w:t xml:space="preserve">, il n’y avait pas de visite systématique des </w:t>
      </w:r>
      <w:r w:rsidR="00FC67B8" w:rsidRPr="003A411E">
        <w:rPr>
          <w:lang w:val="fr-FR"/>
        </w:rPr>
        <w:t>arrivants</w:t>
      </w:r>
      <w:r w:rsidR="008F1465" w:rsidRPr="003A411E">
        <w:rPr>
          <w:lang w:val="fr-FR"/>
        </w:rPr>
        <w:t>.</w:t>
      </w:r>
    </w:p>
    <w:p w14:paraId="5338E097" w14:textId="51844D7E" w:rsidR="008F1465" w:rsidRPr="003A411E" w:rsidRDefault="00170DE2" w:rsidP="00534B76">
      <w:pPr>
        <w:pStyle w:val="SingleTxtG"/>
        <w:rPr>
          <w:b/>
          <w:i/>
          <w:lang w:val="fr-FR"/>
        </w:rPr>
      </w:pPr>
      <w:r w:rsidRPr="003A411E">
        <w:rPr>
          <w:lang w:val="fr-FR"/>
        </w:rPr>
        <w:t>12</w:t>
      </w:r>
      <w:r w:rsidR="00534B76" w:rsidRPr="003A411E">
        <w:rPr>
          <w:lang w:val="fr-FR"/>
        </w:rPr>
        <w:t>6</w:t>
      </w:r>
      <w:r w:rsidRPr="003A411E">
        <w:rPr>
          <w:lang w:val="fr-FR"/>
        </w:rPr>
        <w:t>.</w:t>
      </w:r>
      <w:r w:rsidRPr="003A411E">
        <w:rPr>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qu’une visite systématique des </w:t>
      </w:r>
      <w:r w:rsidR="00FC67B8" w:rsidRPr="003A411E">
        <w:rPr>
          <w:b/>
          <w:lang w:val="fr-FR"/>
        </w:rPr>
        <w:t>arrivants</w:t>
      </w:r>
      <w:r w:rsidR="008F1465" w:rsidRPr="003A411E">
        <w:rPr>
          <w:b/>
          <w:lang w:val="fr-FR"/>
        </w:rPr>
        <w:t xml:space="preserve"> soit mise en place à la </w:t>
      </w:r>
      <w:r w:rsidR="00FC67B8" w:rsidRPr="003A411E">
        <w:rPr>
          <w:b/>
          <w:lang w:val="fr-FR"/>
        </w:rPr>
        <w:t>maison d’arrêt et de correction de Ouagadougou</w:t>
      </w:r>
      <w:r w:rsidR="008F1465" w:rsidRPr="003A411E">
        <w:rPr>
          <w:b/>
          <w:lang w:val="fr-FR"/>
        </w:rPr>
        <w:t>.</w:t>
      </w:r>
    </w:p>
    <w:p w14:paraId="480CE57C" w14:textId="4D1DF196" w:rsidR="008F1465" w:rsidRPr="003A411E" w:rsidRDefault="006549D2" w:rsidP="00677254">
      <w:pPr>
        <w:pStyle w:val="H4G"/>
        <w:rPr>
          <w:lang w:val="fr-FR"/>
        </w:rPr>
      </w:pPr>
      <w:r w:rsidRPr="003A411E">
        <w:rPr>
          <w:lang w:val="fr-FR"/>
        </w:rPr>
        <w:lastRenderedPageBreak/>
        <w:tab/>
      </w:r>
      <w:r w:rsidR="009C7184" w:rsidRPr="003A411E">
        <w:rPr>
          <w:lang w:val="fr-FR"/>
        </w:rPr>
        <w:t>v.</w:t>
      </w:r>
      <w:r w:rsidRPr="003A411E">
        <w:rPr>
          <w:lang w:val="fr-FR"/>
        </w:rPr>
        <w:tab/>
      </w:r>
      <w:r w:rsidR="00FC67B8" w:rsidRPr="003A411E">
        <w:rPr>
          <w:lang w:val="fr-FR"/>
        </w:rPr>
        <w:t>A</w:t>
      </w:r>
      <w:r w:rsidR="008F1465" w:rsidRPr="003A411E">
        <w:rPr>
          <w:lang w:val="fr-FR"/>
        </w:rPr>
        <w:t>ccès aux soins et gestion des urgences</w:t>
      </w:r>
    </w:p>
    <w:p w14:paraId="31CC9DB7" w14:textId="710FF04E" w:rsidR="008F1465" w:rsidRPr="003A411E" w:rsidRDefault="00170DE2">
      <w:pPr>
        <w:pStyle w:val="SingleTxtG"/>
        <w:rPr>
          <w:lang w:val="fr-FR"/>
        </w:rPr>
      </w:pPr>
      <w:r w:rsidRPr="003A411E">
        <w:rPr>
          <w:lang w:val="fr-FR"/>
        </w:rPr>
        <w:t>12</w:t>
      </w:r>
      <w:r w:rsidR="00534B76" w:rsidRPr="003A411E">
        <w:rPr>
          <w:lang w:val="fr-FR"/>
        </w:rPr>
        <w:t>7</w:t>
      </w:r>
      <w:r w:rsidRPr="003A411E">
        <w:rPr>
          <w:lang w:val="fr-FR"/>
        </w:rPr>
        <w:t>.</w:t>
      </w:r>
      <w:r w:rsidRPr="003A411E">
        <w:rPr>
          <w:lang w:val="fr-FR"/>
        </w:rPr>
        <w:tab/>
      </w:r>
      <w:r w:rsidR="008F1465" w:rsidRPr="003A411E">
        <w:rPr>
          <w:lang w:val="fr-FR"/>
        </w:rPr>
        <w:t>Les demandes de consultation transitaient par le personnel pénitentiaire ou les détenus auxiliaires d’infirmerie</w:t>
      </w:r>
      <w:r w:rsidR="00FC67B8" w:rsidRPr="003A411E">
        <w:rPr>
          <w:lang w:val="fr-FR"/>
        </w:rPr>
        <w:t>,</w:t>
      </w:r>
      <w:r w:rsidR="008F1465" w:rsidRPr="003A411E">
        <w:rPr>
          <w:lang w:val="fr-FR"/>
        </w:rPr>
        <w:t xml:space="preserve"> </w:t>
      </w:r>
      <w:r w:rsidR="00FC67B8" w:rsidRPr="003A411E">
        <w:rPr>
          <w:lang w:val="fr-FR"/>
        </w:rPr>
        <w:t>par l’intermédiaire des</w:t>
      </w:r>
      <w:r w:rsidR="008F1465" w:rsidRPr="003A411E">
        <w:rPr>
          <w:lang w:val="fr-FR"/>
        </w:rPr>
        <w:t xml:space="preserve"> chefs de cellule. Dans les quartiers </w:t>
      </w:r>
      <w:r w:rsidR="00FC67B8" w:rsidRPr="003A411E">
        <w:rPr>
          <w:lang w:val="fr-FR"/>
        </w:rPr>
        <w:t xml:space="preserve">des </w:t>
      </w:r>
      <w:r w:rsidR="008F1465" w:rsidRPr="003A411E">
        <w:rPr>
          <w:lang w:val="fr-FR"/>
        </w:rPr>
        <w:t xml:space="preserve">hommes de la </w:t>
      </w:r>
      <w:r w:rsidR="00FC67B8" w:rsidRPr="003A411E">
        <w:rPr>
          <w:lang w:val="fr-FR"/>
        </w:rPr>
        <w:t>maison d’arrêt et de correction de Ouagadougou</w:t>
      </w:r>
      <w:r w:rsidR="008F1465" w:rsidRPr="003A411E">
        <w:rPr>
          <w:lang w:val="fr-FR"/>
        </w:rPr>
        <w:t>, il a été fait état de difficulté</w:t>
      </w:r>
      <w:r w:rsidR="00FC67B8" w:rsidRPr="003A411E">
        <w:rPr>
          <w:lang w:val="fr-FR"/>
        </w:rPr>
        <w:t>s</w:t>
      </w:r>
      <w:r w:rsidR="008F1465" w:rsidRPr="003A411E">
        <w:rPr>
          <w:lang w:val="fr-FR"/>
        </w:rPr>
        <w:t xml:space="preserve"> d’accès à la consultation.</w:t>
      </w:r>
    </w:p>
    <w:p w14:paraId="11CB3CE4" w14:textId="34F8D81D" w:rsidR="008F1465" w:rsidRPr="003A411E" w:rsidRDefault="00170DE2">
      <w:pPr>
        <w:pStyle w:val="SingleTxtG"/>
        <w:rPr>
          <w:lang w:val="fr-FR"/>
        </w:rPr>
      </w:pPr>
      <w:r w:rsidRPr="003A411E">
        <w:rPr>
          <w:lang w:val="fr-FR"/>
        </w:rPr>
        <w:t>1</w:t>
      </w:r>
      <w:r w:rsidR="00FC67B8" w:rsidRPr="003A411E">
        <w:rPr>
          <w:lang w:val="fr-FR"/>
        </w:rPr>
        <w:t>2</w:t>
      </w:r>
      <w:r w:rsidR="00534B76" w:rsidRPr="003A411E">
        <w:rPr>
          <w:lang w:val="fr-FR"/>
        </w:rPr>
        <w:t>8</w:t>
      </w:r>
      <w:r w:rsidRPr="003A411E">
        <w:rPr>
          <w:lang w:val="fr-FR"/>
        </w:rPr>
        <w:t>.</w:t>
      </w:r>
      <w:r w:rsidRPr="003A411E">
        <w:rPr>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à l’</w:t>
      </w:r>
      <w:r w:rsidR="006A2C77" w:rsidRPr="003A411E">
        <w:rPr>
          <w:b/>
          <w:lang w:val="fr-FR"/>
        </w:rPr>
        <w:t>État</w:t>
      </w:r>
      <w:r w:rsidR="008F1465" w:rsidRPr="003A411E">
        <w:rPr>
          <w:b/>
          <w:lang w:val="fr-FR"/>
        </w:rPr>
        <w:t xml:space="preserve"> partie une vigilance particulière pour que toutes les demandes soient transmises au personnel de santé</w:t>
      </w:r>
      <w:r w:rsidR="0061231B" w:rsidRPr="003A411E">
        <w:rPr>
          <w:lang w:val="fr-FR"/>
        </w:rPr>
        <w:t>.</w:t>
      </w:r>
      <w:r w:rsidR="00C11E12">
        <w:rPr>
          <w:lang w:val="fr-FR"/>
        </w:rPr>
        <w:t xml:space="preserve"> </w:t>
      </w:r>
    </w:p>
    <w:p w14:paraId="3CEBAE47" w14:textId="0755C2CE" w:rsidR="008F1465" w:rsidRPr="003A411E" w:rsidRDefault="00170DE2">
      <w:pPr>
        <w:pStyle w:val="SingleTxtG"/>
        <w:rPr>
          <w:lang w:val="fr-FR"/>
        </w:rPr>
      </w:pPr>
      <w:r w:rsidRPr="003A411E">
        <w:rPr>
          <w:lang w:val="fr-FR"/>
        </w:rPr>
        <w:t>1</w:t>
      </w:r>
      <w:r w:rsidR="00FC67B8" w:rsidRPr="003A411E">
        <w:rPr>
          <w:lang w:val="fr-FR"/>
        </w:rPr>
        <w:t>2</w:t>
      </w:r>
      <w:r w:rsidR="00534B76" w:rsidRPr="003A411E">
        <w:rPr>
          <w:lang w:val="fr-FR"/>
        </w:rPr>
        <w:t>9</w:t>
      </w:r>
      <w:r w:rsidRPr="003A411E">
        <w:rPr>
          <w:lang w:val="fr-FR"/>
        </w:rPr>
        <w:t>.</w:t>
      </w:r>
      <w:r w:rsidRPr="003A411E">
        <w:rPr>
          <w:lang w:val="fr-FR"/>
        </w:rPr>
        <w:tab/>
      </w:r>
      <w:r w:rsidR="008F1465" w:rsidRPr="003A411E">
        <w:rPr>
          <w:lang w:val="fr-FR"/>
        </w:rPr>
        <w:t xml:space="preserve">Un registre journalier des consultations demandées et effectuées était tenu à la </w:t>
      </w:r>
      <w:r w:rsidR="00B26A22" w:rsidRPr="003A411E">
        <w:rPr>
          <w:lang w:val="fr-FR"/>
        </w:rPr>
        <w:t>prison de haute sécurité</w:t>
      </w:r>
      <w:r w:rsidR="008F1465" w:rsidRPr="003A411E">
        <w:rPr>
          <w:lang w:val="fr-FR"/>
        </w:rPr>
        <w:t xml:space="preserve"> comme à la </w:t>
      </w:r>
      <w:r w:rsidR="00FC67B8" w:rsidRPr="003A411E">
        <w:rPr>
          <w:lang w:val="fr-FR"/>
        </w:rPr>
        <w:t>maison d’arrêt et de correction de Ouagadougou</w:t>
      </w:r>
      <w:r w:rsidR="008F1465" w:rsidRPr="003A411E">
        <w:rPr>
          <w:lang w:val="fr-FR"/>
        </w:rPr>
        <w:t xml:space="preserve">. Le </w:t>
      </w:r>
      <w:r w:rsidR="00FC67B8" w:rsidRPr="003A411E">
        <w:rPr>
          <w:lang w:val="fr-FR"/>
        </w:rPr>
        <w:t>centre hospitalier universitaire</w:t>
      </w:r>
      <w:r w:rsidR="008F1465" w:rsidRPr="003A411E">
        <w:rPr>
          <w:lang w:val="fr-FR"/>
        </w:rPr>
        <w:t xml:space="preserve"> Ya</w:t>
      </w:r>
      <w:r w:rsidR="00FC67B8" w:rsidRPr="003A411E">
        <w:rPr>
          <w:lang w:val="fr-FR"/>
        </w:rPr>
        <w:t>l</w:t>
      </w:r>
      <w:r w:rsidR="008F1465" w:rsidRPr="003A411E">
        <w:rPr>
          <w:lang w:val="fr-FR"/>
        </w:rPr>
        <w:t>gado</w:t>
      </w:r>
      <w:r w:rsidR="00FC67B8" w:rsidRPr="003A411E">
        <w:rPr>
          <w:lang w:val="fr-FR"/>
        </w:rPr>
        <w:t>-Ouédraogo</w:t>
      </w:r>
      <w:r w:rsidR="008F1465" w:rsidRPr="003A411E">
        <w:rPr>
          <w:lang w:val="fr-FR"/>
        </w:rPr>
        <w:t xml:space="preserve"> </w:t>
      </w:r>
      <w:r w:rsidR="00FB463A" w:rsidRPr="003A411E">
        <w:rPr>
          <w:lang w:val="fr-FR"/>
        </w:rPr>
        <w:t>et</w:t>
      </w:r>
      <w:r w:rsidR="008F1465" w:rsidRPr="003A411E">
        <w:rPr>
          <w:lang w:val="fr-FR"/>
        </w:rPr>
        <w:t xml:space="preserve"> la clinique d’Aouissa étaient référents pour les consultations spécialisées et hospitalisations (sous garde pénitentiaire). Aucun de</w:t>
      </w:r>
      <w:r w:rsidR="00FB463A" w:rsidRPr="003A411E">
        <w:rPr>
          <w:lang w:val="fr-FR"/>
        </w:rPr>
        <w:t xml:space="preserve"> ce</w:t>
      </w:r>
      <w:r w:rsidR="008F1465" w:rsidRPr="003A411E">
        <w:rPr>
          <w:lang w:val="fr-FR"/>
        </w:rPr>
        <w:t xml:space="preserve">s deux établissements ne disposait d’une ambulance. </w:t>
      </w:r>
    </w:p>
    <w:p w14:paraId="38899D27" w14:textId="423969F5" w:rsidR="008F1465" w:rsidRPr="003A411E" w:rsidRDefault="00170DE2">
      <w:pPr>
        <w:pStyle w:val="SingleTxtG"/>
        <w:rPr>
          <w:lang w:val="fr-FR"/>
        </w:rPr>
      </w:pPr>
      <w:r w:rsidRPr="003A411E">
        <w:rPr>
          <w:lang w:val="fr-FR"/>
        </w:rPr>
        <w:t>13</w:t>
      </w:r>
      <w:r w:rsidR="00534B76" w:rsidRPr="003A411E">
        <w:rPr>
          <w:lang w:val="fr-FR"/>
        </w:rPr>
        <w:t>0</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que chaque établissement pénitentiaire soit doté d’un véhicule de transport adapté.</w:t>
      </w:r>
    </w:p>
    <w:p w14:paraId="125EC653" w14:textId="2FA2C308" w:rsidR="008F1465" w:rsidRPr="003A411E" w:rsidRDefault="006549D2" w:rsidP="00677254">
      <w:pPr>
        <w:pStyle w:val="H4G"/>
        <w:rPr>
          <w:lang w:val="fr-FR"/>
        </w:rPr>
      </w:pPr>
      <w:r w:rsidRPr="003A411E">
        <w:rPr>
          <w:lang w:val="fr-FR"/>
        </w:rPr>
        <w:tab/>
      </w:r>
      <w:r w:rsidR="009C7184" w:rsidRPr="003A411E">
        <w:rPr>
          <w:lang w:val="fr-FR"/>
        </w:rPr>
        <w:t>vi.</w:t>
      </w:r>
      <w:r w:rsidRPr="003A411E">
        <w:rPr>
          <w:lang w:val="fr-FR"/>
        </w:rPr>
        <w:tab/>
      </w:r>
      <w:r w:rsidR="00FB463A" w:rsidRPr="003A411E">
        <w:rPr>
          <w:lang w:val="fr-FR"/>
        </w:rPr>
        <w:t>T</w:t>
      </w:r>
      <w:r w:rsidR="008F1465" w:rsidRPr="003A411E">
        <w:rPr>
          <w:lang w:val="fr-FR"/>
        </w:rPr>
        <w:t xml:space="preserve">raitements </w:t>
      </w:r>
    </w:p>
    <w:p w14:paraId="58EB19DE" w14:textId="138E7F66" w:rsidR="008F1465" w:rsidRPr="003A411E" w:rsidRDefault="00170DE2">
      <w:pPr>
        <w:pStyle w:val="SingleTxtG"/>
        <w:rPr>
          <w:lang w:val="fr-FR"/>
        </w:rPr>
      </w:pPr>
      <w:r w:rsidRPr="003A411E">
        <w:rPr>
          <w:lang w:val="fr-FR"/>
        </w:rPr>
        <w:t>13</w:t>
      </w:r>
      <w:r w:rsidR="00534B76" w:rsidRPr="003A411E">
        <w:rPr>
          <w:lang w:val="fr-FR"/>
        </w:rPr>
        <w:t>1</w:t>
      </w:r>
      <w:r w:rsidRPr="003A411E">
        <w:rPr>
          <w:lang w:val="fr-FR"/>
        </w:rPr>
        <w:t>.</w:t>
      </w:r>
      <w:r w:rsidRPr="003A411E">
        <w:rPr>
          <w:lang w:val="fr-FR"/>
        </w:rPr>
        <w:tab/>
      </w:r>
      <w:r w:rsidR="008F1465" w:rsidRPr="003A411E">
        <w:rPr>
          <w:lang w:val="fr-FR"/>
        </w:rPr>
        <w:t>Les crises aiguës de paludisme et la protection contre les moustiques, le diagnostic et le traitement de la tuberculose, le dépistage</w:t>
      </w:r>
      <w:r w:rsidR="006261D0">
        <w:rPr>
          <w:lang w:val="fr-FR"/>
        </w:rPr>
        <w:t xml:space="preserve"> du VIH ainsi que le diagnostic</w:t>
      </w:r>
      <w:r w:rsidR="008F1465" w:rsidRPr="003A411E">
        <w:rPr>
          <w:lang w:val="fr-FR"/>
        </w:rPr>
        <w:t xml:space="preserve"> et le traitement du </w:t>
      </w:r>
      <w:r w:rsidR="00FB463A" w:rsidRPr="003A411E">
        <w:rPr>
          <w:lang w:val="fr-FR"/>
        </w:rPr>
        <w:t>sida</w:t>
      </w:r>
      <w:r w:rsidR="008F1465" w:rsidRPr="003A411E">
        <w:rPr>
          <w:lang w:val="fr-FR"/>
        </w:rPr>
        <w:t xml:space="preserve"> faisaient l’objet de programmes nationaux de prise en charge.</w:t>
      </w:r>
    </w:p>
    <w:p w14:paraId="4E4C50EF" w14:textId="0AA49390" w:rsidR="008F1465" w:rsidRPr="003A411E" w:rsidRDefault="00170DE2" w:rsidP="00534B76">
      <w:pPr>
        <w:pStyle w:val="SingleTxtG"/>
        <w:rPr>
          <w:lang w:val="fr-FR"/>
        </w:rPr>
      </w:pPr>
      <w:r w:rsidRPr="003A411E">
        <w:rPr>
          <w:lang w:val="fr-FR"/>
        </w:rPr>
        <w:t>13</w:t>
      </w:r>
      <w:r w:rsidR="00534B76" w:rsidRPr="003A411E">
        <w:rPr>
          <w:lang w:val="fr-FR"/>
        </w:rPr>
        <w:t>2</w:t>
      </w:r>
      <w:r w:rsidRPr="003A411E">
        <w:rPr>
          <w:lang w:val="fr-FR"/>
        </w:rPr>
        <w:t>.</w:t>
      </w:r>
      <w:r w:rsidRPr="003A411E">
        <w:rPr>
          <w:lang w:val="fr-FR"/>
        </w:rPr>
        <w:tab/>
      </w:r>
      <w:r w:rsidR="008F1465" w:rsidRPr="003A411E">
        <w:rPr>
          <w:lang w:val="fr-FR"/>
        </w:rPr>
        <w:t xml:space="preserve">Les pathologies en lien avec des carences vitaminiques sévères d’origine alimentaire étaient nombreuses (109 cas de </w:t>
      </w:r>
      <w:r w:rsidR="00FB463A" w:rsidRPr="003A411E">
        <w:rPr>
          <w:lang w:val="fr-FR"/>
        </w:rPr>
        <w:t>béribéri</w:t>
      </w:r>
      <w:r w:rsidR="008F1465" w:rsidRPr="003A411E">
        <w:rPr>
          <w:lang w:val="fr-FR"/>
        </w:rPr>
        <w:t xml:space="preserve"> à la </w:t>
      </w:r>
      <w:r w:rsidR="00FB463A" w:rsidRPr="003A411E">
        <w:rPr>
          <w:lang w:val="fr-FR"/>
        </w:rPr>
        <w:t>maison d’arrêt et de correction de Ouagadougou,</w:t>
      </w:r>
      <w:r w:rsidR="008F1465" w:rsidRPr="003A411E">
        <w:rPr>
          <w:lang w:val="fr-FR"/>
        </w:rPr>
        <w:t xml:space="preserve"> par exemple). </w:t>
      </w:r>
    </w:p>
    <w:p w14:paraId="60C9C141" w14:textId="439A4C00" w:rsidR="008F1465" w:rsidRPr="003A411E" w:rsidRDefault="00170DE2" w:rsidP="00534B76">
      <w:pPr>
        <w:pStyle w:val="SingleTxtG"/>
        <w:rPr>
          <w:b/>
          <w:lang w:val="fr-FR"/>
        </w:rPr>
      </w:pPr>
      <w:r w:rsidRPr="003A411E">
        <w:rPr>
          <w:lang w:val="fr-FR"/>
        </w:rPr>
        <w:t>13</w:t>
      </w:r>
      <w:r w:rsidR="00534B76" w:rsidRPr="003A411E">
        <w:rPr>
          <w:lang w:val="fr-FR"/>
        </w:rPr>
        <w:t>3</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à l’</w:t>
      </w:r>
      <w:r w:rsidR="006A2C77" w:rsidRPr="003A411E">
        <w:rPr>
          <w:b/>
          <w:lang w:val="fr-FR"/>
        </w:rPr>
        <w:t>État</w:t>
      </w:r>
      <w:r w:rsidR="008F1465" w:rsidRPr="003A411E">
        <w:rPr>
          <w:b/>
          <w:lang w:val="fr-FR"/>
        </w:rPr>
        <w:t xml:space="preserve"> partie d’améliorer la qualité nutritionnelle des repas fournis aux détenus.</w:t>
      </w:r>
    </w:p>
    <w:p w14:paraId="3707D20D" w14:textId="09274C97" w:rsidR="008F1465" w:rsidRPr="003A411E" w:rsidRDefault="00170DE2" w:rsidP="00534B76">
      <w:pPr>
        <w:pStyle w:val="SingleTxtG"/>
        <w:rPr>
          <w:lang w:val="fr-FR"/>
        </w:rPr>
      </w:pPr>
      <w:r w:rsidRPr="003A411E">
        <w:rPr>
          <w:lang w:val="fr-FR"/>
        </w:rPr>
        <w:t>13</w:t>
      </w:r>
      <w:r w:rsidR="00534B76" w:rsidRPr="003A411E">
        <w:rPr>
          <w:lang w:val="fr-FR"/>
        </w:rPr>
        <w:t>4</w:t>
      </w:r>
      <w:r w:rsidRPr="003A411E">
        <w:rPr>
          <w:lang w:val="fr-FR"/>
        </w:rPr>
        <w:t>.</w:t>
      </w:r>
      <w:r w:rsidRPr="003A411E">
        <w:rPr>
          <w:lang w:val="fr-FR"/>
        </w:rPr>
        <w:tab/>
      </w:r>
      <w:r w:rsidR="008F1465" w:rsidRPr="003A411E">
        <w:rPr>
          <w:lang w:val="fr-FR"/>
        </w:rPr>
        <w:t>La fourniture des médicaments de base (antibiotiques, antalgiques, vitamines</w:t>
      </w:r>
      <w:r w:rsidR="00FB463A" w:rsidRPr="003A411E">
        <w:rPr>
          <w:lang w:val="fr-FR"/>
        </w:rPr>
        <w:t>, etc.</w:t>
      </w:r>
      <w:r w:rsidR="008F1465" w:rsidRPr="003A411E">
        <w:rPr>
          <w:lang w:val="fr-FR"/>
        </w:rPr>
        <w:t xml:space="preserve">) connaissait de fréquentes ruptures d’approvisionnement. </w:t>
      </w:r>
    </w:p>
    <w:p w14:paraId="421204BB" w14:textId="60B43D0F" w:rsidR="008F1465" w:rsidRPr="003A411E" w:rsidRDefault="00170DE2" w:rsidP="00534B76">
      <w:pPr>
        <w:pStyle w:val="SingleTxtG"/>
        <w:rPr>
          <w:b/>
          <w:lang w:val="fr-FR"/>
        </w:rPr>
      </w:pPr>
      <w:r w:rsidRPr="003A411E">
        <w:rPr>
          <w:lang w:val="fr-FR"/>
        </w:rPr>
        <w:t>13</w:t>
      </w:r>
      <w:r w:rsidR="00534B76" w:rsidRPr="003A411E">
        <w:rPr>
          <w:lang w:val="fr-FR"/>
        </w:rPr>
        <w:t>5</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à l’</w:t>
      </w:r>
      <w:r w:rsidR="006A2C77" w:rsidRPr="003A411E">
        <w:rPr>
          <w:b/>
          <w:lang w:val="fr-FR"/>
        </w:rPr>
        <w:t>État</w:t>
      </w:r>
      <w:r w:rsidR="008F1465" w:rsidRPr="003A411E">
        <w:rPr>
          <w:b/>
          <w:lang w:val="fr-FR"/>
        </w:rPr>
        <w:t xml:space="preserve"> partie de veiller à l’approvisionnement régulier en médicaments.</w:t>
      </w:r>
    </w:p>
    <w:p w14:paraId="484C42C4" w14:textId="1C119758" w:rsidR="008F1465" w:rsidRPr="003A411E" w:rsidRDefault="00170DE2" w:rsidP="00534B76">
      <w:pPr>
        <w:pStyle w:val="SingleTxtG"/>
        <w:rPr>
          <w:lang w:val="fr-FR"/>
        </w:rPr>
      </w:pPr>
      <w:r w:rsidRPr="003A411E">
        <w:rPr>
          <w:lang w:val="fr-FR"/>
        </w:rPr>
        <w:t>13</w:t>
      </w:r>
      <w:r w:rsidR="00534B76" w:rsidRPr="003A411E">
        <w:rPr>
          <w:lang w:val="fr-FR"/>
        </w:rPr>
        <w:t>6</w:t>
      </w:r>
      <w:r w:rsidRPr="003A411E">
        <w:rPr>
          <w:lang w:val="fr-FR"/>
        </w:rPr>
        <w:t>.</w:t>
      </w:r>
      <w:r w:rsidRPr="003A411E">
        <w:rPr>
          <w:lang w:val="fr-FR"/>
        </w:rPr>
        <w:tab/>
      </w:r>
      <w:r w:rsidR="008F1465" w:rsidRPr="003A411E">
        <w:rPr>
          <w:lang w:val="fr-FR"/>
        </w:rPr>
        <w:t>Les violences entre détenus</w:t>
      </w:r>
      <w:r w:rsidR="00FB463A" w:rsidRPr="003A411E">
        <w:rPr>
          <w:lang w:val="fr-FR"/>
        </w:rPr>
        <w:t>,</w:t>
      </w:r>
      <w:r w:rsidR="008F1465" w:rsidRPr="003A411E">
        <w:rPr>
          <w:lang w:val="fr-FR"/>
        </w:rPr>
        <w:t xml:space="preserve"> ou entre gardiens et détenus</w:t>
      </w:r>
      <w:r w:rsidR="00FB463A" w:rsidRPr="003A411E">
        <w:rPr>
          <w:lang w:val="fr-FR"/>
        </w:rPr>
        <w:t>,</w:t>
      </w:r>
      <w:r w:rsidR="008F1465" w:rsidRPr="003A411E">
        <w:rPr>
          <w:lang w:val="fr-FR"/>
        </w:rPr>
        <w:t xml:space="preserve"> ne </w:t>
      </w:r>
      <w:r w:rsidR="00FB463A" w:rsidRPr="003A411E">
        <w:rPr>
          <w:lang w:val="fr-FR"/>
        </w:rPr>
        <w:t>faisaient</w:t>
      </w:r>
      <w:r w:rsidR="008F1465" w:rsidRPr="003A411E">
        <w:rPr>
          <w:lang w:val="fr-FR"/>
        </w:rPr>
        <w:t xml:space="preserve"> pas l’objet d’un</w:t>
      </w:r>
      <w:r w:rsidR="00431A07" w:rsidRPr="003A411E">
        <w:rPr>
          <w:lang w:val="fr-FR"/>
        </w:rPr>
        <w:t>e consignation</w:t>
      </w:r>
      <w:r w:rsidR="008F1465" w:rsidRPr="003A411E">
        <w:rPr>
          <w:lang w:val="fr-FR"/>
        </w:rPr>
        <w:t xml:space="preserve"> et d’un signalement systématique</w:t>
      </w:r>
      <w:r w:rsidR="00431A07" w:rsidRPr="003A411E">
        <w:rPr>
          <w:lang w:val="fr-FR"/>
        </w:rPr>
        <w:t>s</w:t>
      </w:r>
      <w:r w:rsidR="008F1465" w:rsidRPr="003A411E">
        <w:rPr>
          <w:lang w:val="fr-FR"/>
        </w:rPr>
        <w:t xml:space="preserve"> par le personnel de santé</w:t>
      </w:r>
      <w:r w:rsidR="00FB463A" w:rsidRPr="003A411E">
        <w:rPr>
          <w:lang w:val="fr-FR"/>
        </w:rPr>
        <w:t>,</w:t>
      </w:r>
      <w:r w:rsidR="008F1465" w:rsidRPr="003A411E">
        <w:rPr>
          <w:lang w:val="fr-FR"/>
        </w:rPr>
        <w:t xml:space="preserve"> qui se </w:t>
      </w:r>
      <w:r w:rsidR="00FB463A" w:rsidRPr="003A411E">
        <w:rPr>
          <w:lang w:val="fr-FR"/>
        </w:rPr>
        <w:t>limitait</w:t>
      </w:r>
      <w:r w:rsidR="008F1465" w:rsidRPr="003A411E">
        <w:rPr>
          <w:lang w:val="fr-FR"/>
        </w:rPr>
        <w:t xml:space="preserve"> aux soins nécessaires</w:t>
      </w:r>
      <w:r w:rsidR="00FB463A" w:rsidRPr="003A411E">
        <w:rPr>
          <w:lang w:val="fr-FR"/>
        </w:rPr>
        <w:t>,</w:t>
      </w:r>
      <w:r w:rsidR="008F1465" w:rsidRPr="003A411E">
        <w:rPr>
          <w:lang w:val="fr-FR"/>
        </w:rPr>
        <w:t xml:space="preserve"> le cas échéant. </w:t>
      </w:r>
    </w:p>
    <w:p w14:paraId="30AA21F6" w14:textId="3C503A9D" w:rsidR="008F1465" w:rsidRPr="003A411E" w:rsidRDefault="00170DE2" w:rsidP="00534B76">
      <w:pPr>
        <w:pStyle w:val="SingleTxtG"/>
        <w:rPr>
          <w:b/>
          <w:lang w:val="fr-FR"/>
        </w:rPr>
      </w:pPr>
      <w:r w:rsidRPr="003A411E">
        <w:rPr>
          <w:lang w:val="fr-FR"/>
        </w:rPr>
        <w:t>13</w:t>
      </w:r>
      <w:r w:rsidR="00534B76" w:rsidRPr="003A411E">
        <w:rPr>
          <w:lang w:val="fr-FR"/>
        </w:rPr>
        <w:t>7</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que le personnel de santé soit sensibilisé à l’intérêt préventif de la démarche de </w:t>
      </w:r>
      <w:r w:rsidR="00431A07" w:rsidRPr="003A411E">
        <w:rPr>
          <w:b/>
          <w:lang w:val="fr-FR"/>
        </w:rPr>
        <w:t>consignation</w:t>
      </w:r>
      <w:r w:rsidR="008F1465" w:rsidRPr="003A411E">
        <w:rPr>
          <w:b/>
          <w:lang w:val="fr-FR"/>
        </w:rPr>
        <w:t xml:space="preserve"> systématique des allégations de violences et </w:t>
      </w:r>
      <w:r w:rsidR="001A6743" w:rsidRPr="003A411E">
        <w:rPr>
          <w:b/>
          <w:lang w:val="fr-FR"/>
        </w:rPr>
        <w:t xml:space="preserve">des </w:t>
      </w:r>
      <w:r w:rsidR="008F1465" w:rsidRPr="003A411E">
        <w:rPr>
          <w:b/>
          <w:lang w:val="fr-FR"/>
        </w:rPr>
        <w:t xml:space="preserve">constats </w:t>
      </w:r>
      <w:r w:rsidR="00431A07" w:rsidRPr="003A411E">
        <w:rPr>
          <w:b/>
          <w:lang w:val="fr-FR"/>
        </w:rPr>
        <w:t>de lésions</w:t>
      </w:r>
      <w:r w:rsidR="008F1465" w:rsidRPr="003A411E">
        <w:rPr>
          <w:b/>
          <w:lang w:val="fr-FR"/>
        </w:rPr>
        <w:t>.</w:t>
      </w:r>
    </w:p>
    <w:p w14:paraId="09E59C28" w14:textId="3E3347BA" w:rsidR="008F1465" w:rsidRPr="003A411E" w:rsidRDefault="00170DE2" w:rsidP="00534B76">
      <w:pPr>
        <w:pStyle w:val="SingleTxtG"/>
        <w:rPr>
          <w:lang w:val="fr-FR"/>
        </w:rPr>
      </w:pPr>
      <w:r w:rsidRPr="003A411E">
        <w:rPr>
          <w:lang w:val="fr-FR"/>
        </w:rPr>
        <w:t>1</w:t>
      </w:r>
      <w:r w:rsidR="00431A07" w:rsidRPr="003A411E">
        <w:rPr>
          <w:lang w:val="fr-FR"/>
        </w:rPr>
        <w:t>3</w:t>
      </w:r>
      <w:r w:rsidR="00534B76" w:rsidRPr="003A411E">
        <w:rPr>
          <w:lang w:val="fr-FR"/>
        </w:rPr>
        <w:t>8</w:t>
      </w:r>
      <w:r w:rsidRPr="003A411E">
        <w:rPr>
          <w:lang w:val="fr-FR"/>
        </w:rPr>
        <w:t>.</w:t>
      </w:r>
      <w:r w:rsidRPr="003A411E">
        <w:rPr>
          <w:lang w:val="fr-FR"/>
        </w:rPr>
        <w:tab/>
      </w:r>
      <w:r w:rsidR="008F1465" w:rsidRPr="003A411E">
        <w:rPr>
          <w:lang w:val="fr-FR"/>
        </w:rPr>
        <w:t>Il n’</w:t>
      </w:r>
      <w:r w:rsidR="00431A07" w:rsidRPr="003A411E">
        <w:rPr>
          <w:lang w:val="fr-FR"/>
        </w:rPr>
        <w:t>existe</w:t>
      </w:r>
      <w:r w:rsidR="008F1465" w:rsidRPr="003A411E">
        <w:rPr>
          <w:lang w:val="fr-FR"/>
        </w:rPr>
        <w:t xml:space="preserve"> pas de prise en charge spécifique pour les </w:t>
      </w:r>
      <w:r w:rsidR="00431A07" w:rsidRPr="003A411E">
        <w:rPr>
          <w:lang w:val="fr-FR"/>
        </w:rPr>
        <w:t xml:space="preserve">condamnés à de </w:t>
      </w:r>
      <w:r w:rsidR="008F1465" w:rsidRPr="003A411E">
        <w:rPr>
          <w:lang w:val="fr-FR"/>
        </w:rPr>
        <w:t xml:space="preserve">longues peines, les personnes âgées, les femmes, les mineurs, les toxicomanes </w:t>
      </w:r>
      <w:r w:rsidR="00431A07" w:rsidRPr="003A411E">
        <w:rPr>
          <w:lang w:val="fr-FR"/>
        </w:rPr>
        <w:t>ou</w:t>
      </w:r>
      <w:r w:rsidR="008F1465" w:rsidRPr="003A411E">
        <w:rPr>
          <w:lang w:val="fr-FR"/>
        </w:rPr>
        <w:t xml:space="preserve"> les enfants de moins de deux ans placés auprès de leur mère. </w:t>
      </w:r>
    </w:p>
    <w:p w14:paraId="48A47070" w14:textId="09A4A1AD" w:rsidR="008F1465" w:rsidRPr="003A411E" w:rsidRDefault="00170DE2" w:rsidP="00534B76">
      <w:pPr>
        <w:pStyle w:val="SingleTxtG"/>
        <w:rPr>
          <w:b/>
          <w:lang w:val="fr-FR"/>
        </w:rPr>
      </w:pPr>
      <w:r w:rsidRPr="003A411E">
        <w:rPr>
          <w:lang w:val="fr-FR"/>
        </w:rPr>
        <w:t>1</w:t>
      </w:r>
      <w:r w:rsidR="00431A07" w:rsidRPr="003A411E">
        <w:rPr>
          <w:lang w:val="fr-FR"/>
        </w:rPr>
        <w:t>3</w:t>
      </w:r>
      <w:r w:rsidR="00534B76" w:rsidRPr="003A411E">
        <w:rPr>
          <w:lang w:val="fr-FR"/>
        </w:rPr>
        <w:t>9</w:t>
      </w:r>
      <w:r w:rsidRPr="003A411E">
        <w:rPr>
          <w:lang w:val="fr-FR"/>
        </w:rPr>
        <w:t>.</w:t>
      </w:r>
      <w:r w:rsidRPr="003A411E">
        <w:rPr>
          <w:b/>
          <w:lang w:val="fr-FR"/>
        </w:rPr>
        <w:tab/>
      </w:r>
      <w:r w:rsidR="008F1465" w:rsidRPr="003A411E">
        <w:rPr>
          <w:b/>
          <w:lang w:val="fr-FR"/>
        </w:rPr>
        <w:t xml:space="preserve">Le </w:t>
      </w:r>
      <w:r w:rsidR="00AF7450" w:rsidRPr="003A411E">
        <w:rPr>
          <w:b/>
          <w:lang w:val="fr-FR"/>
        </w:rPr>
        <w:t>Sous-Comité</w:t>
      </w:r>
      <w:r w:rsidR="008F1465" w:rsidRPr="003A411E">
        <w:rPr>
          <w:b/>
          <w:lang w:val="fr-FR"/>
        </w:rPr>
        <w:t xml:space="preserve"> recommande à l’</w:t>
      </w:r>
      <w:r w:rsidR="006A2C77" w:rsidRPr="003A411E">
        <w:rPr>
          <w:b/>
          <w:lang w:val="fr-FR"/>
        </w:rPr>
        <w:t>État</w:t>
      </w:r>
      <w:r w:rsidR="008F1465" w:rsidRPr="003A411E">
        <w:rPr>
          <w:b/>
          <w:lang w:val="fr-FR"/>
        </w:rPr>
        <w:t xml:space="preserve"> partie d’</w:t>
      </w:r>
      <w:r w:rsidR="00431A07" w:rsidRPr="003A411E">
        <w:rPr>
          <w:b/>
          <w:lang w:val="fr-FR"/>
        </w:rPr>
        <w:t>utiliser</w:t>
      </w:r>
      <w:r w:rsidR="008F1465" w:rsidRPr="003A411E">
        <w:rPr>
          <w:b/>
          <w:lang w:val="fr-FR"/>
        </w:rPr>
        <w:t xml:space="preserve"> une approche différenciée </w:t>
      </w:r>
      <w:r w:rsidR="00431A07" w:rsidRPr="003A411E">
        <w:rPr>
          <w:b/>
          <w:lang w:val="fr-FR"/>
        </w:rPr>
        <w:t>sur les plans</w:t>
      </w:r>
      <w:r w:rsidR="008F1465" w:rsidRPr="003A411E">
        <w:rPr>
          <w:b/>
          <w:lang w:val="fr-FR"/>
        </w:rPr>
        <w:t xml:space="preserve"> sanitaire</w:t>
      </w:r>
      <w:r w:rsidR="00431A07" w:rsidRPr="003A411E">
        <w:rPr>
          <w:b/>
          <w:lang w:val="fr-FR"/>
        </w:rPr>
        <w:t>,</w:t>
      </w:r>
      <w:r w:rsidR="008F1465" w:rsidRPr="003A411E">
        <w:rPr>
          <w:b/>
          <w:lang w:val="fr-FR"/>
        </w:rPr>
        <w:t xml:space="preserve"> éducati</w:t>
      </w:r>
      <w:r w:rsidR="00431A07" w:rsidRPr="003A411E">
        <w:rPr>
          <w:b/>
          <w:lang w:val="fr-FR"/>
        </w:rPr>
        <w:t>f</w:t>
      </w:r>
      <w:r w:rsidR="008F1465" w:rsidRPr="003A411E">
        <w:rPr>
          <w:b/>
          <w:lang w:val="fr-FR"/>
        </w:rPr>
        <w:t xml:space="preserve"> et pénitentiaire, en fonction des vulnérabilités particulières</w:t>
      </w:r>
      <w:r w:rsidR="00431A07" w:rsidRPr="003A411E">
        <w:rPr>
          <w:b/>
          <w:lang w:val="fr-FR"/>
        </w:rPr>
        <w:t xml:space="preserve"> de la population carcérale</w:t>
      </w:r>
      <w:r w:rsidR="008F1465" w:rsidRPr="003A411E">
        <w:rPr>
          <w:b/>
          <w:lang w:val="fr-FR"/>
        </w:rPr>
        <w:t>.</w:t>
      </w:r>
    </w:p>
    <w:p w14:paraId="677A6495" w14:textId="14A9B1F1" w:rsidR="008F1465" w:rsidRPr="003A411E" w:rsidRDefault="008F1465">
      <w:pPr>
        <w:pStyle w:val="H23G"/>
        <w:rPr>
          <w:lang w:val="fr-FR"/>
        </w:rPr>
      </w:pPr>
      <w:r w:rsidRPr="003A411E">
        <w:rPr>
          <w:lang w:val="fr-FR"/>
        </w:rPr>
        <w:tab/>
        <w:t xml:space="preserve">2. </w:t>
      </w:r>
      <w:r w:rsidRPr="003A411E">
        <w:rPr>
          <w:lang w:val="fr-FR"/>
        </w:rPr>
        <w:tab/>
        <w:t xml:space="preserve">Service psychiatrique du </w:t>
      </w:r>
      <w:r w:rsidR="00431A07" w:rsidRPr="003A411E">
        <w:rPr>
          <w:lang w:val="fr-FR"/>
        </w:rPr>
        <w:t>c</w:t>
      </w:r>
      <w:r w:rsidRPr="003A411E">
        <w:rPr>
          <w:lang w:val="fr-FR"/>
        </w:rPr>
        <w:t xml:space="preserve">entre </w:t>
      </w:r>
      <w:r w:rsidR="00431A07" w:rsidRPr="003A411E">
        <w:rPr>
          <w:lang w:val="fr-FR"/>
        </w:rPr>
        <w:t>h</w:t>
      </w:r>
      <w:r w:rsidRPr="003A411E">
        <w:rPr>
          <w:lang w:val="fr-FR"/>
        </w:rPr>
        <w:t xml:space="preserve">ospitalier </w:t>
      </w:r>
      <w:r w:rsidR="00431A07" w:rsidRPr="003A411E">
        <w:rPr>
          <w:lang w:val="fr-FR"/>
        </w:rPr>
        <w:t>u</w:t>
      </w:r>
      <w:r w:rsidRPr="003A411E">
        <w:rPr>
          <w:lang w:val="fr-FR"/>
        </w:rPr>
        <w:t>niversitaire Yalgado</w:t>
      </w:r>
      <w:r w:rsidR="00431A07" w:rsidRPr="003A411E">
        <w:rPr>
          <w:lang w:val="fr-FR"/>
        </w:rPr>
        <w:t>-</w:t>
      </w:r>
      <w:r w:rsidRPr="003A411E">
        <w:rPr>
          <w:lang w:val="fr-FR"/>
        </w:rPr>
        <w:t>Ouédraogo</w:t>
      </w:r>
    </w:p>
    <w:p w14:paraId="69CFB384" w14:textId="5988D592" w:rsidR="008F1465" w:rsidRPr="003A411E" w:rsidRDefault="006549D2" w:rsidP="00677254">
      <w:pPr>
        <w:pStyle w:val="H4G"/>
        <w:rPr>
          <w:lang w:val="fr-FR"/>
        </w:rPr>
      </w:pPr>
      <w:r w:rsidRPr="003A411E">
        <w:rPr>
          <w:lang w:val="fr-FR"/>
        </w:rPr>
        <w:tab/>
      </w:r>
      <w:r w:rsidR="009C7184" w:rsidRPr="003A411E">
        <w:rPr>
          <w:lang w:val="fr-FR"/>
        </w:rPr>
        <w:t>i.</w:t>
      </w:r>
      <w:r w:rsidRPr="003A411E">
        <w:rPr>
          <w:lang w:val="fr-FR"/>
        </w:rPr>
        <w:tab/>
      </w:r>
      <w:r w:rsidR="008F1465" w:rsidRPr="003A411E">
        <w:rPr>
          <w:lang w:val="fr-FR"/>
        </w:rPr>
        <w:t>Remarques préliminaires</w:t>
      </w:r>
    </w:p>
    <w:p w14:paraId="6026D11A" w14:textId="4638713A" w:rsidR="008F1465" w:rsidRPr="003A411E" w:rsidRDefault="008F1465" w:rsidP="00534B76">
      <w:pPr>
        <w:pStyle w:val="SingleTxtG"/>
      </w:pPr>
      <w:r w:rsidRPr="003A411E">
        <w:t>1</w:t>
      </w:r>
      <w:r w:rsidR="006549D2" w:rsidRPr="003A411E">
        <w:t>4</w:t>
      </w:r>
      <w:r w:rsidR="00534B76" w:rsidRPr="003A411E">
        <w:t>0</w:t>
      </w:r>
      <w:r w:rsidR="006549D2" w:rsidRPr="003A411E">
        <w:t>.</w:t>
      </w:r>
      <w:r w:rsidR="006549D2" w:rsidRPr="003A411E">
        <w:tab/>
      </w:r>
      <w:r w:rsidR="00431A07" w:rsidRPr="003A411E">
        <w:t>H</w:t>
      </w:r>
      <w:r w:rsidRPr="003A411E">
        <w:t>ôpital de proximité pour la région de Ouagadougou</w:t>
      </w:r>
      <w:r w:rsidR="00431A07" w:rsidRPr="003A411E">
        <w:t>,</w:t>
      </w:r>
      <w:r w:rsidRPr="003A411E">
        <w:t xml:space="preserve"> </w:t>
      </w:r>
      <w:r w:rsidR="00431A07" w:rsidRPr="003A411E">
        <w:t xml:space="preserve">le centre hospitalier universitaire Yalgado-Ouédraogo est </w:t>
      </w:r>
      <w:r w:rsidR="001A6743" w:rsidRPr="003A411E">
        <w:t xml:space="preserve">aussi </w:t>
      </w:r>
      <w:r w:rsidR="00431A07" w:rsidRPr="003A411E">
        <w:t>une</w:t>
      </w:r>
      <w:r w:rsidRPr="003A411E">
        <w:t xml:space="preserve"> référence pour l’ensemble du territoire national. Seule l’unité d’hospitalisation a été visitée. </w:t>
      </w:r>
    </w:p>
    <w:p w14:paraId="4C30BFD7" w14:textId="7E5CA0BF" w:rsidR="008F1465" w:rsidRPr="003A411E" w:rsidRDefault="006549D2" w:rsidP="004E0A9C">
      <w:pPr>
        <w:pStyle w:val="SingleTxtG"/>
      </w:pPr>
      <w:r w:rsidRPr="003A411E">
        <w:t>14</w:t>
      </w:r>
      <w:r w:rsidR="004E0A9C" w:rsidRPr="003A411E">
        <w:t>1</w:t>
      </w:r>
      <w:r w:rsidRPr="003A411E">
        <w:t>.</w:t>
      </w:r>
      <w:r w:rsidRPr="003A411E">
        <w:tab/>
      </w:r>
      <w:r w:rsidR="008F1465" w:rsidRPr="003A411E">
        <w:t>Le séjour et les soins délivrés à l’hôpital sont payants</w:t>
      </w:r>
      <w:r w:rsidR="00431A07" w:rsidRPr="003A411E">
        <w:t>,</w:t>
      </w:r>
      <w:r w:rsidR="008F1465" w:rsidRPr="003A411E">
        <w:t xml:space="preserve"> sauf pour les femmes enceintes et les enfants de moins de 5 ans. La situation est donc très préoccupante pour la population indigente.</w:t>
      </w:r>
    </w:p>
    <w:p w14:paraId="053C7C71" w14:textId="62CE5876" w:rsidR="008F1465" w:rsidRPr="003A411E" w:rsidRDefault="006549D2" w:rsidP="004E0A9C">
      <w:pPr>
        <w:pStyle w:val="SingleTxtG"/>
        <w:rPr>
          <w:b/>
        </w:rPr>
      </w:pPr>
      <w:r w:rsidRPr="003A411E">
        <w:lastRenderedPageBreak/>
        <w:t>14</w:t>
      </w:r>
      <w:r w:rsidR="004E0A9C" w:rsidRPr="003A411E">
        <w:t>2</w:t>
      </w:r>
      <w:r w:rsidRPr="003A411E">
        <w:t>.</w:t>
      </w:r>
      <w:r w:rsidRPr="003A411E">
        <w:tab/>
      </w:r>
      <w:r w:rsidR="008F1465" w:rsidRPr="003A411E">
        <w:rPr>
          <w:b/>
        </w:rPr>
        <w:t xml:space="preserve">Le </w:t>
      </w:r>
      <w:r w:rsidR="00AF7450" w:rsidRPr="003A411E">
        <w:rPr>
          <w:b/>
        </w:rPr>
        <w:t>Sous-Comité</w:t>
      </w:r>
      <w:r w:rsidR="008F1465" w:rsidRPr="003A411E">
        <w:t xml:space="preserve"> </w:t>
      </w:r>
      <w:r w:rsidR="008F1465" w:rsidRPr="003A411E">
        <w:rPr>
          <w:b/>
          <w:lang w:val="fr-FR"/>
        </w:rPr>
        <w:t>recommande</w:t>
      </w:r>
      <w:r w:rsidR="008F1465" w:rsidRPr="003A411E">
        <w:rPr>
          <w:b/>
        </w:rPr>
        <w:t xml:space="preserve"> à l’</w:t>
      </w:r>
      <w:r w:rsidR="006A2C77" w:rsidRPr="003A411E">
        <w:rPr>
          <w:b/>
        </w:rPr>
        <w:t>État</w:t>
      </w:r>
      <w:r w:rsidR="008F1465" w:rsidRPr="003A411E">
        <w:rPr>
          <w:b/>
        </w:rPr>
        <w:t xml:space="preserve"> partie de garantir l’accès aux soins pour les indigents</w:t>
      </w:r>
      <w:r w:rsidR="00431A07" w:rsidRPr="003A411E">
        <w:rPr>
          <w:b/>
        </w:rPr>
        <w:t>,</w:t>
      </w:r>
      <w:r w:rsidR="008F1465" w:rsidRPr="003A411E">
        <w:rPr>
          <w:b/>
        </w:rPr>
        <w:t xml:space="preserve"> et l’encourage à envisager l’extension du régime de protection sociale et </w:t>
      </w:r>
      <w:r w:rsidR="00403B71" w:rsidRPr="003A411E">
        <w:rPr>
          <w:b/>
        </w:rPr>
        <w:t>la mise en place d’</w:t>
      </w:r>
      <w:r w:rsidR="008F1465" w:rsidRPr="003A411E">
        <w:rPr>
          <w:b/>
        </w:rPr>
        <w:t>un</w:t>
      </w:r>
      <w:r w:rsidR="00403B71" w:rsidRPr="003A411E">
        <w:rPr>
          <w:b/>
        </w:rPr>
        <w:t xml:space="preserve"> système d</w:t>
      </w:r>
      <w:r w:rsidR="008F1465" w:rsidRPr="003A411E">
        <w:rPr>
          <w:b/>
        </w:rPr>
        <w:t xml:space="preserve">e </w:t>
      </w:r>
      <w:r w:rsidR="00403B71" w:rsidRPr="003A411E">
        <w:rPr>
          <w:b/>
        </w:rPr>
        <w:t>couverture</w:t>
      </w:r>
      <w:r w:rsidR="008F1465" w:rsidRPr="003A411E">
        <w:rPr>
          <w:b/>
        </w:rPr>
        <w:t xml:space="preserve"> maladie universelle.</w:t>
      </w:r>
    </w:p>
    <w:p w14:paraId="7C7EACA6" w14:textId="65D6ADAC" w:rsidR="008F1465" w:rsidRPr="003A411E" w:rsidRDefault="006549D2" w:rsidP="00677254">
      <w:pPr>
        <w:pStyle w:val="H4G"/>
      </w:pPr>
      <w:r w:rsidRPr="003A411E">
        <w:tab/>
      </w:r>
      <w:r w:rsidR="009C7184" w:rsidRPr="003A411E">
        <w:t>ii.</w:t>
      </w:r>
      <w:r w:rsidRPr="003A411E">
        <w:tab/>
      </w:r>
      <w:r w:rsidR="008F1465" w:rsidRPr="003A411E">
        <w:t>Conditions de séjour</w:t>
      </w:r>
    </w:p>
    <w:p w14:paraId="22B265F3" w14:textId="1CC77E77" w:rsidR="008F1465" w:rsidRPr="003A411E" w:rsidRDefault="006549D2">
      <w:pPr>
        <w:pStyle w:val="SingleTxtG"/>
      </w:pPr>
      <w:r w:rsidRPr="003A411E">
        <w:t>14</w:t>
      </w:r>
      <w:r w:rsidR="004E0A9C" w:rsidRPr="003A411E">
        <w:t>3</w:t>
      </w:r>
      <w:r w:rsidRPr="003A411E">
        <w:t>.</w:t>
      </w:r>
      <w:r w:rsidRPr="003A411E">
        <w:tab/>
      </w:r>
      <w:r w:rsidR="008F1465" w:rsidRPr="003A411E">
        <w:t xml:space="preserve">Chaque patient était </w:t>
      </w:r>
      <w:r w:rsidR="00403B71" w:rsidRPr="003A411E">
        <w:t xml:space="preserve">généralement </w:t>
      </w:r>
      <w:r w:rsidR="008F1465" w:rsidRPr="003A411E">
        <w:t xml:space="preserve">hospitalisé avec un accompagnant. Les chambres individuelles </w:t>
      </w:r>
      <w:r w:rsidR="00403B71" w:rsidRPr="003A411E">
        <w:t>comme</w:t>
      </w:r>
      <w:r w:rsidR="008F1465" w:rsidRPr="003A411E">
        <w:t xml:space="preserve"> doubles étaient payantes (de 500 à 4</w:t>
      </w:r>
      <w:r w:rsidR="00403B71" w:rsidRPr="003A411E">
        <w:t> </w:t>
      </w:r>
      <w:r w:rsidR="008F1465" w:rsidRPr="003A411E">
        <w:t>500 francs CFA par jour, en fonction de l’équipement de la chambre)</w:t>
      </w:r>
      <w:r w:rsidR="00403B71" w:rsidRPr="003A411E">
        <w:t>,</w:t>
      </w:r>
      <w:r w:rsidR="008F1465" w:rsidRPr="003A411E">
        <w:t xml:space="preserve"> et les familles devaient </w:t>
      </w:r>
      <w:r w:rsidR="00403B71" w:rsidRPr="003A411E">
        <w:t xml:space="preserve">s’arranger comme elles </w:t>
      </w:r>
      <w:r w:rsidR="001A6743" w:rsidRPr="003A411E">
        <w:t xml:space="preserve">le </w:t>
      </w:r>
      <w:r w:rsidR="00403B71" w:rsidRPr="003A411E">
        <w:t>pouvaient</w:t>
      </w:r>
      <w:r w:rsidR="008F1465" w:rsidRPr="003A411E">
        <w:t xml:space="preserve"> pour payer. Or</w:t>
      </w:r>
      <w:r w:rsidR="00403B71" w:rsidRPr="003A411E">
        <w:t>,</w:t>
      </w:r>
      <w:r w:rsidR="008F1465" w:rsidRPr="003A411E">
        <w:t xml:space="preserve"> la majorité des patients accueillis étaient considérés comme indigents. </w:t>
      </w:r>
    </w:p>
    <w:p w14:paraId="30FDE8AE" w14:textId="0714E04A" w:rsidR="008F1465" w:rsidRPr="003A411E" w:rsidRDefault="006549D2">
      <w:pPr>
        <w:pStyle w:val="SingleTxtG"/>
        <w:rPr>
          <w:b/>
        </w:rPr>
      </w:pPr>
      <w:r w:rsidRPr="003A411E">
        <w:t>14</w:t>
      </w:r>
      <w:r w:rsidR="004E0A9C" w:rsidRPr="003A411E">
        <w:t>4</w:t>
      </w:r>
      <w:r w:rsidRPr="003A411E">
        <w:t>.</w:t>
      </w:r>
      <w:r w:rsidRPr="003A411E">
        <w:rPr>
          <w:b/>
        </w:rPr>
        <w:tab/>
      </w:r>
      <w:r w:rsidR="008F1465" w:rsidRPr="003A411E">
        <w:rPr>
          <w:b/>
        </w:rPr>
        <w:t xml:space="preserve">Le </w:t>
      </w:r>
      <w:r w:rsidR="00AF7450" w:rsidRPr="003A411E">
        <w:rPr>
          <w:b/>
        </w:rPr>
        <w:t>Sous-Comité</w:t>
      </w:r>
      <w:r w:rsidR="008F1465" w:rsidRPr="003A411E">
        <w:rPr>
          <w:b/>
        </w:rPr>
        <w:t xml:space="preserve"> recommande à l’</w:t>
      </w:r>
      <w:r w:rsidR="006A2C77" w:rsidRPr="003A411E">
        <w:rPr>
          <w:b/>
        </w:rPr>
        <w:t>État</w:t>
      </w:r>
      <w:r w:rsidR="008F1465" w:rsidRPr="003A411E">
        <w:rPr>
          <w:b/>
        </w:rPr>
        <w:t xml:space="preserve"> partie de garantir l’accès aux soins des patients indigents</w:t>
      </w:r>
      <w:r w:rsidR="00403B71" w:rsidRPr="003A411E">
        <w:rPr>
          <w:b/>
        </w:rPr>
        <w:t>,</w:t>
      </w:r>
      <w:r w:rsidR="008F1465" w:rsidRPr="003A411E">
        <w:rPr>
          <w:b/>
        </w:rPr>
        <w:t xml:space="preserve"> qu’il s’agisse du séjour ou des soins proprement dits.</w:t>
      </w:r>
    </w:p>
    <w:p w14:paraId="17D4270B" w14:textId="57DFFD76" w:rsidR="008F1465" w:rsidRPr="003A411E" w:rsidRDefault="006549D2">
      <w:pPr>
        <w:pStyle w:val="SingleTxtG"/>
      </w:pPr>
      <w:r w:rsidRPr="003A411E">
        <w:t>14</w:t>
      </w:r>
      <w:r w:rsidR="004E0A9C" w:rsidRPr="003A411E">
        <w:t>5</w:t>
      </w:r>
      <w:r w:rsidRPr="003A411E">
        <w:t>.</w:t>
      </w:r>
      <w:r w:rsidRPr="003A411E">
        <w:tab/>
      </w:r>
      <w:r w:rsidR="008F1465" w:rsidRPr="003A411E">
        <w:t xml:space="preserve">Les </w:t>
      </w:r>
      <w:r w:rsidR="00403B71" w:rsidRPr="003A411E">
        <w:t>deux</w:t>
      </w:r>
      <w:r w:rsidR="008F1465" w:rsidRPr="003A411E">
        <w:t xml:space="preserve"> chambres d’isolement par lesquelles passait tout nouvel entrant</w:t>
      </w:r>
      <w:r w:rsidR="00403B71" w:rsidRPr="003A411E">
        <w:t>,</w:t>
      </w:r>
      <w:r w:rsidR="008F1465" w:rsidRPr="003A411E">
        <w:t xml:space="preserve"> sauf exception, étaient des cellules </w:t>
      </w:r>
      <w:r w:rsidR="008F1465" w:rsidRPr="003A411E">
        <w:rPr>
          <w:lang w:val="fr-FR"/>
        </w:rPr>
        <w:t>dépourvues</w:t>
      </w:r>
      <w:r w:rsidR="008F1465" w:rsidRPr="003A411E">
        <w:t xml:space="preserve"> de natte, </w:t>
      </w:r>
      <w:r w:rsidR="00403B71" w:rsidRPr="003A411E">
        <w:t xml:space="preserve">de </w:t>
      </w:r>
      <w:r w:rsidR="008F1465" w:rsidRPr="003A411E">
        <w:t xml:space="preserve">matelas, </w:t>
      </w:r>
      <w:r w:rsidR="00403B71" w:rsidRPr="003A411E">
        <w:t xml:space="preserve">de </w:t>
      </w:r>
      <w:r w:rsidR="008F1465" w:rsidRPr="003A411E">
        <w:t>toilettes</w:t>
      </w:r>
      <w:r w:rsidR="00403B71" w:rsidRPr="003A411E">
        <w:t xml:space="preserve"> et de</w:t>
      </w:r>
      <w:r w:rsidR="008F1465" w:rsidRPr="003A411E">
        <w:t xml:space="preserve"> lavabo, fermées par des portes en fer (dont l’une </w:t>
      </w:r>
      <w:r w:rsidR="00403B71" w:rsidRPr="003A411E">
        <w:t xml:space="preserve">était </w:t>
      </w:r>
      <w:r w:rsidR="008F1465" w:rsidRPr="003A411E">
        <w:t>coupante et dangereuse) et munies d’une petite fenêtre grillagée ne dispensant qu’une faible aération.</w:t>
      </w:r>
    </w:p>
    <w:p w14:paraId="40EA7D94" w14:textId="490A19C7" w:rsidR="008F1465" w:rsidRPr="003A411E" w:rsidRDefault="006549D2" w:rsidP="001A6743">
      <w:pPr>
        <w:pStyle w:val="SingleTxtG"/>
        <w:rPr>
          <w:b/>
        </w:rPr>
      </w:pPr>
      <w:r w:rsidRPr="003A411E">
        <w:t>14</w:t>
      </w:r>
      <w:r w:rsidR="004E0A9C" w:rsidRPr="003A411E">
        <w:t>6</w:t>
      </w:r>
      <w:r w:rsidRPr="003A411E">
        <w:t>.</w:t>
      </w:r>
      <w:r w:rsidRPr="003A411E">
        <w:tab/>
      </w:r>
      <w:r w:rsidR="008F1465" w:rsidRPr="003A411E">
        <w:rPr>
          <w:b/>
        </w:rPr>
        <w:t xml:space="preserve">Le </w:t>
      </w:r>
      <w:r w:rsidR="00AF7450" w:rsidRPr="003A411E">
        <w:rPr>
          <w:b/>
        </w:rPr>
        <w:t>Sous-Comité</w:t>
      </w:r>
      <w:r w:rsidR="008F1465" w:rsidRPr="003A411E">
        <w:rPr>
          <w:b/>
        </w:rPr>
        <w:t xml:space="preserve"> </w:t>
      </w:r>
      <w:r w:rsidR="008F1465" w:rsidRPr="003A411E">
        <w:rPr>
          <w:b/>
          <w:lang w:val="fr-FR"/>
        </w:rPr>
        <w:t>recommande</w:t>
      </w:r>
      <w:r w:rsidR="008F1465" w:rsidRPr="003A411E">
        <w:rPr>
          <w:b/>
        </w:rPr>
        <w:t xml:space="preserve"> la rénovation immédiate </w:t>
      </w:r>
      <w:r w:rsidR="001A6743" w:rsidRPr="003A411E">
        <w:rPr>
          <w:b/>
        </w:rPr>
        <w:t>des</w:t>
      </w:r>
      <w:r w:rsidR="008F1465" w:rsidRPr="003A411E">
        <w:rPr>
          <w:b/>
        </w:rPr>
        <w:t xml:space="preserve"> </w:t>
      </w:r>
      <w:r w:rsidR="00403B71" w:rsidRPr="003A411E">
        <w:rPr>
          <w:b/>
        </w:rPr>
        <w:t>deux</w:t>
      </w:r>
      <w:r w:rsidR="008F1465" w:rsidRPr="003A411E">
        <w:rPr>
          <w:b/>
        </w:rPr>
        <w:t xml:space="preserve"> chambres</w:t>
      </w:r>
      <w:r w:rsidR="001A6743" w:rsidRPr="003A411E">
        <w:rPr>
          <w:b/>
        </w:rPr>
        <w:t xml:space="preserve"> d’isolement</w:t>
      </w:r>
      <w:r w:rsidR="008F1465" w:rsidRPr="003A411E">
        <w:rPr>
          <w:b/>
        </w:rPr>
        <w:t>.</w:t>
      </w:r>
    </w:p>
    <w:p w14:paraId="7EE07386" w14:textId="50B56EF1" w:rsidR="008F1465" w:rsidRPr="003A411E" w:rsidRDefault="006549D2" w:rsidP="004E0A9C">
      <w:pPr>
        <w:pStyle w:val="SingleTxtG"/>
      </w:pPr>
      <w:r w:rsidRPr="003A411E">
        <w:t>14</w:t>
      </w:r>
      <w:r w:rsidR="004E0A9C" w:rsidRPr="003A411E">
        <w:t>7</w:t>
      </w:r>
      <w:r w:rsidRPr="003A411E">
        <w:t>.</w:t>
      </w:r>
      <w:r w:rsidRPr="003A411E">
        <w:tab/>
      </w:r>
      <w:r w:rsidR="008F1465" w:rsidRPr="003A411E">
        <w:t xml:space="preserve">Lorsqu’un détenu </w:t>
      </w:r>
      <w:r w:rsidR="00403B71" w:rsidRPr="003A411E">
        <w:t>était</w:t>
      </w:r>
      <w:r w:rsidR="008F1465" w:rsidRPr="003A411E">
        <w:t xml:space="preserve"> hospitalisé (un cas en 2016</w:t>
      </w:r>
      <w:r w:rsidR="00403B71" w:rsidRPr="003A411E">
        <w:t>,</w:t>
      </w:r>
      <w:r w:rsidR="008F1465" w:rsidRPr="003A411E">
        <w:t xml:space="preserve"> un </w:t>
      </w:r>
      <w:r w:rsidR="00403B71" w:rsidRPr="003A411E">
        <w:t>autre</w:t>
      </w:r>
      <w:r w:rsidR="008F1465" w:rsidRPr="003A411E">
        <w:t xml:space="preserve"> en 2017), un garde pénitentiaire </w:t>
      </w:r>
      <w:r w:rsidR="00403B71" w:rsidRPr="003A411E">
        <w:t>était</w:t>
      </w:r>
      <w:r w:rsidR="008F1465" w:rsidRPr="003A411E">
        <w:t xml:space="preserve"> présent. </w:t>
      </w:r>
      <w:r w:rsidR="008F1465" w:rsidRPr="003A411E">
        <w:rPr>
          <w:lang w:val="fr-FR"/>
        </w:rPr>
        <w:t>La</w:t>
      </w:r>
      <w:r w:rsidR="008F1465" w:rsidRPr="003A411E">
        <w:t xml:space="preserve"> durée moyenne de séjour </w:t>
      </w:r>
      <w:r w:rsidR="00403B71" w:rsidRPr="003A411E">
        <w:t>était</w:t>
      </w:r>
      <w:r w:rsidR="008F1465" w:rsidRPr="003A411E">
        <w:t xml:space="preserve"> brève, </w:t>
      </w:r>
      <w:r w:rsidR="00403B71" w:rsidRPr="003A411E">
        <w:t>soit d’</w:t>
      </w:r>
      <w:r w:rsidR="008F1465" w:rsidRPr="003A411E">
        <w:t xml:space="preserve">environ </w:t>
      </w:r>
      <w:r w:rsidR="00403B71" w:rsidRPr="003A411E">
        <w:t>quinze</w:t>
      </w:r>
      <w:r w:rsidR="008F1465" w:rsidRPr="003A411E">
        <w:t xml:space="preserve"> jours.</w:t>
      </w:r>
    </w:p>
    <w:p w14:paraId="03BCD6F1" w14:textId="640CB902" w:rsidR="008F1465" w:rsidRPr="003A411E" w:rsidRDefault="006549D2" w:rsidP="00677254">
      <w:pPr>
        <w:pStyle w:val="H4G"/>
      </w:pPr>
      <w:r w:rsidRPr="003A411E">
        <w:tab/>
      </w:r>
      <w:r w:rsidR="009C7184" w:rsidRPr="003A411E">
        <w:t>iii.</w:t>
      </w:r>
      <w:r w:rsidRPr="003A411E">
        <w:tab/>
      </w:r>
      <w:r w:rsidR="008F1465" w:rsidRPr="003A411E">
        <w:t>Personnel</w:t>
      </w:r>
    </w:p>
    <w:p w14:paraId="7E8E8761" w14:textId="3ACC1BE0" w:rsidR="008F1465" w:rsidRPr="003A411E" w:rsidRDefault="006549D2">
      <w:pPr>
        <w:pStyle w:val="SingleTxtG"/>
      </w:pPr>
      <w:r w:rsidRPr="003A411E">
        <w:t>1</w:t>
      </w:r>
      <w:r w:rsidR="004E0A9C" w:rsidRPr="003A411E">
        <w:t>48</w:t>
      </w:r>
      <w:r w:rsidRPr="003A411E">
        <w:t>.</w:t>
      </w:r>
      <w:r w:rsidRPr="003A411E">
        <w:tab/>
      </w:r>
      <w:r w:rsidR="008F1465" w:rsidRPr="003A411E">
        <w:t xml:space="preserve">Le </w:t>
      </w:r>
      <w:r w:rsidR="00403B71" w:rsidRPr="003A411E">
        <w:t>personnel</w:t>
      </w:r>
      <w:r w:rsidR="008F1465" w:rsidRPr="003A411E">
        <w:t xml:space="preserve"> était constitué de 42 </w:t>
      </w:r>
      <w:r w:rsidR="00403B71" w:rsidRPr="003A411E">
        <w:t>membres</w:t>
      </w:r>
      <w:r w:rsidR="008F1465" w:rsidRPr="003A411E">
        <w:t xml:space="preserve"> pour les unités du service</w:t>
      </w:r>
      <w:r w:rsidR="00403B71" w:rsidRPr="003A411E">
        <w:t>,</w:t>
      </w:r>
      <w:r w:rsidR="008F1465" w:rsidRPr="003A411E">
        <w:t xml:space="preserve"> dont 8 psychiatres </w:t>
      </w:r>
      <w:r w:rsidR="00033437" w:rsidRPr="003A411E">
        <w:t xml:space="preserve">en exercice </w:t>
      </w:r>
      <w:r w:rsidR="008F1465" w:rsidRPr="003A411E">
        <w:t xml:space="preserve">et 13 en formation, 3 psychologues et 16 attachés de santé, c’est-à-dire des infirmiers diplômés </w:t>
      </w:r>
      <w:r w:rsidR="008F1465" w:rsidRPr="003A411E">
        <w:rPr>
          <w:lang w:val="fr-FR"/>
        </w:rPr>
        <w:t>d’</w:t>
      </w:r>
      <w:r w:rsidR="006A2C77" w:rsidRPr="003A411E">
        <w:rPr>
          <w:lang w:val="fr-FR"/>
        </w:rPr>
        <w:t>État</w:t>
      </w:r>
      <w:r w:rsidR="008F1465" w:rsidRPr="003A411E">
        <w:t xml:space="preserve"> spécialisés, ayant une capacité de diagnostic et de prescription</w:t>
      </w:r>
      <w:r w:rsidR="00033437" w:rsidRPr="003A411E">
        <w:t>,</w:t>
      </w:r>
      <w:r w:rsidR="008F1465" w:rsidRPr="003A411E">
        <w:t xml:space="preserve"> et susceptibles de compenser partiellement le manque de psychiatres. </w:t>
      </w:r>
    </w:p>
    <w:p w14:paraId="3CEC9E68" w14:textId="3D99DCC5" w:rsidR="008F1465" w:rsidRPr="003A411E" w:rsidRDefault="006549D2" w:rsidP="00677254">
      <w:pPr>
        <w:pStyle w:val="H4G"/>
      </w:pPr>
      <w:r w:rsidRPr="003A411E">
        <w:tab/>
      </w:r>
      <w:r w:rsidR="009C7184" w:rsidRPr="003A411E">
        <w:t>iv.</w:t>
      </w:r>
      <w:r w:rsidRPr="003A411E">
        <w:tab/>
      </w:r>
      <w:r w:rsidR="008F1465" w:rsidRPr="003A411E">
        <w:t>Traitements</w:t>
      </w:r>
    </w:p>
    <w:p w14:paraId="5C85D385" w14:textId="72321345" w:rsidR="008F1465" w:rsidRPr="003A411E" w:rsidRDefault="006549D2">
      <w:pPr>
        <w:pStyle w:val="SingleTxtG"/>
      </w:pPr>
      <w:r w:rsidRPr="003A411E">
        <w:t>1</w:t>
      </w:r>
      <w:r w:rsidR="00033437" w:rsidRPr="003A411E">
        <w:t>4</w:t>
      </w:r>
      <w:r w:rsidR="004E0A9C" w:rsidRPr="003A411E">
        <w:t>9</w:t>
      </w:r>
      <w:r w:rsidRPr="003A411E">
        <w:t>.</w:t>
      </w:r>
      <w:r w:rsidRPr="003A411E">
        <w:tab/>
      </w:r>
      <w:r w:rsidR="008F1465" w:rsidRPr="003A411E">
        <w:t xml:space="preserve">Les </w:t>
      </w:r>
      <w:r w:rsidR="008F1465" w:rsidRPr="003A411E">
        <w:rPr>
          <w:lang w:val="fr-FR"/>
        </w:rPr>
        <w:t>soins</w:t>
      </w:r>
      <w:r w:rsidR="008F1465" w:rsidRPr="003A411E">
        <w:t xml:space="preserve"> et traitements médicamenteux </w:t>
      </w:r>
      <w:r w:rsidR="00033437" w:rsidRPr="003A411E">
        <w:t>étaient</w:t>
      </w:r>
      <w:r w:rsidR="008F1465" w:rsidRPr="003A411E">
        <w:t xml:space="preserve"> payants. Néanmoins, le service dispos</w:t>
      </w:r>
      <w:r w:rsidR="00033437" w:rsidRPr="003A411E">
        <w:t>ait</w:t>
      </w:r>
      <w:r w:rsidR="008F1465" w:rsidRPr="003A411E">
        <w:t xml:space="preserve"> de médicaments de base (</w:t>
      </w:r>
      <w:r w:rsidR="00033437" w:rsidRPr="003A411E">
        <w:t>d</w:t>
      </w:r>
      <w:r w:rsidR="008F1465" w:rsidRPr="003A411E">
        <w:t>iaz</w:t>
      </w:r>
      <w:r w:rsidR="00033437" w:rsidRPr="003A411E">
        <w:t>é</w:t>
      </w:r>
      <w:r w:rsidR="008F1465" w:rsidRPr="003A411E">
        <w:t xml:space="preserve">pam, </w:t>
      </w:r>
      <w:r w:rsidR="00033437" w:rsidRPr="003A411E">
        <w:t>h</w:t>
      </w:r>
      <w:r w:rsidR="008F1465" w:rsidRPr="003A411E">
        <w:t>alop</w:t>
      </w:r>
      <w:r w:rsidR="00033437" w:rsidRPr="003A411E">
        <w:t>é</w:t>
      </w:r>
      <w:r w:rsidR="008F1465" w:rsidRPr="003A411E">
        <w:t xml:space="preserve">ridol, </w:t>
      </w:r>
      <w:r w:rsidR="00033437" w:rsidRPr="003A411E">
        <w:t>c</w:t>
      </w:r>
      <w:r w:rsidR="008F1465" w:rsidRPr="003A411E">
        <w:t xml:space="preserve">hlorpromazine) fournis par des </w:t>
      </w:r>
      <w:r w:rsidR="00033437" w:rsidRPr="003A411E">
        <w:t>organisations non gouvernementales</w:t>
      </w:r>
      <w:r w:rsidR="008F1465" w:rsidRPr="003A411E">
        <w:t xml:space="preserve"> ou un fonds propre, pour traiter les épisodes de crise des indigents.</w:t>
      </w:r>
    </w:p>
    <w:p w14:paraId="15108A0F" w14:textId="3921D952" w:rsidR="008F1465" w:rsidRPr="003A411E" w:rsidRDefault="006549D2" w:rsidP="00677254">
      <w:pPr>
        <w:pStyle w:val="H4G"/>
      </w:pPr>
      <w:r w:rsidRPr="003A411E">
        <w:tab/>
      </w:r>
      <w:r w:rsidR="009C7184" w:rsidRPr="003A411E">
        <w:t>v.</w:t>
      </w:r>
      <w:r w:rsidRPr="003A411E">
        <w:tab/>
      </w:r>
      <w:r w:rsidR="008F1465" w:rsidRPr="003A411E">
        <w:t>Moyens de contrainte</w:t>
      </w:r>
    </w:p>
    <w:p w14:paraId="368D14C7" w14:textId="778F3B76" w:rsidR="008F1465" w:rsidRPr="00677254" w:rsidRDefault="006549D2">
      <w:pPr>
        <w:pStyle w:val="SingleTxtG"/>
        <w:rPr>
          <w:bCs/>
        </w:rPr>
      </w:pPr>
      <w:r w:rsidRPr="003A411E">
        <w:t>15</w:t>
      </w:r>
      <w:r w:rsidR="004E0A9C" w:rsidRPr="003A411E">
        <w:t>0</w:t>
      </w:r>
      <w:r w:rsidRPr="003A411E">
        <w:t>.</w:t>
      </w:r>
      <w:r w:rsidRPr="003A411E">
        <w:tab/>
      </w:r>
      <w:r w:rsidR="008F1465" w:rsidRPr="003A411E">
        <w:t xml:space="preserve">Le recours à l’isolement </w:t>
      </w:r>
      <w:r w:rsidR="00033437" w:rsidRPr="003A411E">
        <w:t>était</w:t>
      </w:r>
      <w:r w:rsidR="008F1465" w:rsidRPr="003A411E">
        <w:t xml:space="preserve"> fréquent, notamment pour les </w:t>
      </w:r>
      <w:r w:rsidR="00033437" w:rsidRPr="003A411E">
        <w:t>arrivants,</w:t>
      </w:r>
      <w:r w:rsidR="008F1465" w:rsidRPr="003A411E">
        <w:t xml:space="preserve"> pour une période </w:t>
      </w:r>
      <w:r w:rsidR="008F1465" w:rsidRPr="003A411E">
        <w:rPr>
          <w:lang w:val="fr-FR"/>
        </w:rPr>
        <w:t xml:space="preserve">d’observation qui </w:t>
      </w:r>
      <w:r w:rsidR="00033437" w:rsidRPr="003A411E">
        <w:rPr>
          <w:lang w:val="fr-FR"/>
        </w:rPr>
        <w:t>pouvait</w:t>
      </w:r>
      <w:r w:rsidR="008F1465" w:rsidRPr="003A411E">
        <w:rPr>
          <w:lang w:val="fr-FR"/>
        </w:rPr>
        <w:t xml:space="preserve"> durer plusieurs jours. </w:t>
      </w:r>
      <w:r w:rsidR="00E47ECE" w:rsidRPr="003A411E">
        <w:rPr>
          <w:lang w:val="fr-FR"/>
        </w:rPr>
        <w:t>Les</w:t>
      </w:r>
      <w:r w:rsidR="008F1465" w:rsidRPr="003A411E">
        <w:rPr>
          <w:lang w:val="fr-FR"/>
        </w:rPr>
        <w:t xml:space="preserve"> vigiles </w:t>
      </w:r>
      <w:r w:rsidR="00E47ECE" w:rsidRPr="003A411E">
        <w:rPr>
          <w:lang w:val="fr-FR"/>
        </w:rPr>
        <w:t>pouvaient parfois</w:t>
      </w:r>
      <w:r w:rsidR="008F1465" w:rsidRPr="003A411E">
        <w:rPr>
          <w:lang w:val="fr-FR"/>
        </w:rPr>
        <w:t xml:space="preserve"> prêter main forte. Les séj</w:t>
      </w:r>
      <w:r w:rsidR="008F1465" w:rsidRPr="003A411E">
        <w:t xml:space="preserve">ours </w:t>
      </w:r>
      <w:r w:rsidR="00E47ECE" w:rsidRPr="003A411E">
        <w:t>n’étaient</w:t>
      </w:r>
      <w:r w:rsidR="008F1465" w:rsidRPr="003A411E">
        <w:t xml:space="preserve"> répertoriés ni dans le dossier du patient, ni dans un registre ad hoc. En revanche</w:t>
      </w:r>
      <w:r w:rsidR="00E47ECE" w:rsidRPr="003A411E">
        <w:t>,</w:t>
      </w:r>
      <w:r w:rsidR="008F1465" w:rsidRPr="003A411E">
        <w:t xml:space="preserve"> le recours à la contention</w:t>
      </w:r>
      <w:r w:rsidR="008F1465" w:rsidRPr="00677254">
        <w:rPr>
          <w:bCs/>
        </w:rPr>
        <w:t xml:space="preserve"> </w:t>
      </w:r>
      <w:r w:rsidR="00E47ECE" w:rsidRPr="003A411E">
        <w:t>était</w:t>
      </w:r>
      <w:r w:rsidR="008F1465" w:rsidRPr="003A411E">
        <w:t xml:space="preserve"> exceptionnel.</w:t>
      </w:r>
    </w:p>
    <w:p w14:paraId="5D62DA07" w14:textId="01909295" w:rsidR="008F1465" w:rsidRPr="003A411E" w:rsidRDefault="006549D2">
      <w:pPr>
        <w:pStyle w:val="SingleTxtG"/>
        <w:rPr>
          <w:b/>
        </w:rPr>
      </w:pPr>
      <w:r w:rsidRPr="003A411E">
        <w:t>15</w:t>
      </w:r>
      <w:r w:rsidR="004E0A9C" w:rsidRPr="003A411E">
        <w:t>1</w:t>
      </w:r>
      <w:r w:rsidRPr="003A411E">
        <w:t>.</w:t>
      </w:r>
      <w:r w:rsidRPr="003A411E">
        <w:rPr>
          <w:b/>
        </w:rPr>
        <w:tab/>
      </w:r>
      <w:r w:rsidR="008F1465" w:rsidRPr="003A411E">
        <w:rPr>
          <w:b/>
        </w:rPr>
        <w:t xml:space="preserve">Le </w:t>
      </w:r>
      <w:r w:rsidR="00AF7450" w:rsidRPr="003A411E">
        <w:rPr>
          <w:b/>
        </w:rPr>
        <w:t>Sous-Comité</w:t>
      </w:r>
      <w:r w:rsidR="008F1465" w:rsidRPr="003A411E">
        <w:rPr>
          <w:b/>
        </w:rPr>
        <w:t xml:space="preserve"> recommande </w:t>
      </w:r>
      <w:r w:rsidR="00E47ECE" w:rsidRPr="003A411E">
        <w:rPr>
          <w:b/>
        </w:rPr>
        <w:t>à</w:t>
      </w:r>
      <w:r w:rsidR="008F1465" w:rsidRPr="003A411E">
        <w:rPr>
          <w:b/>
        </w:rPr>
        <w:t xml:space="preserve"> l’</w:t>
      </w:r>
      <w:r w:rsidR="006A2C77" w:rsidRPr="003A411E">
        <w:rPr>
          <w:b/>
        </w:rPr>
        <w:t>État</w:t>
      </w:r>
      <w:r w:rsidR="008F1465" w:rsidRPr="003A411E">
        <w:rPr>
          <w:b/>
        </w:rPr>
        <w:t xml:space="preserve"> partie </w:t>
      </w:r>
      <w:r w:rsidR="00E47ECE" w:rsidRPr="003A411E">
        <w:rPr>
          <w:b/>
        </w:rPr>
        <w:t>de définir</w:t>
      </w:r>
      <w:r w:rsidR="008F1465" w:rsidRPr="003A411E">
        <w:rPr>
          <w:b/>
        </w:rPr>
        <w:t xml:space="preserve"> et </w:t>
      </w:r>
      <w:r w:rsidR="00E47ECE" w:rsidRPr="003A411E">
        <w:rPr>
          <w:b/>
        </w:rPr>
        <w:t xml:space="preserve">de </w:t>
      </w:r>
      <w:r w:rsidR="008F1465" w:rsidRPr="003A411E">
        <w:rPr>
          <w:b/>
        </w:rPr>
        <w:t>mett</w:t>
      </w:r>
      <w:r w:rsidR="00E47ECE" w:rsidRPr="003A411E">
        <w:rPr>
          <w:b/>
        </w:rPr>
        <w:t>r</w:t>
      </w:r>
      <w:r w:rsidR="008F1465" w:rsidRPr="003A411E">
        <w:rPr>
          <w:b/>
        </w:rPr>
        <w:t xml:space="preserve">e en place une politique de recours à la contention et à l’isolement, en les limitant strictement à des situations de dernier recours et en les </w:t>
      </w:r>
      <w:r w:rsidR="00E47ECE" w:rsidRPr="003A411E">
        <w:rPr>
          <w:b/>
        </w:rPr>
        <w:t>accompagnant</w:t>
      </w:r>
      <w:r w:rsidR="008F1465" w:rsidRPr="003A411E">
        <w:rPr>
          <w:b/>
        </w:rPr>
        <w:t xml:space="preserve"> de garanties</w:t>
      </w:r>
      <w:r w:rsidR="00E47ECE" w:rsidRPr="003A411E">
        <w:rPr>
          <w:b/>
        </w:rPr>
        <w:t>,</w:t>
      </w:r>
      <w:r w:rsidR="008F1465" w:rsidRPr="003A411E">
        <w:rPr>
          <w:b/>
        </w:rPr>
        <w:t xml:space="preserve"> notamment </w:t>
      </w:r>
      <w:r w:rsidR="00E47ECE" w:rsidRPr="003A411E">
        <w:rPr>
          <w:b/>
        </w:rPr>
        <w:t xml:space="preserve">la </w:t>
      </w:r>
      <w:r w:rsidR="008F1465" w:rsidRPr="003A411E">
        <w:rPr>
          <w:b/>
        </w:rPr>
        <w:t xml:space="preserve">tenue d’un registre ad hoc et </w:t>
      </w:r>
      <w:r w:rsidR="00E47ECE" w:rsidRPr="003A411E">
        <w:rPr>
          <w:b/>
        </w:rPr>
        <w:t xml:space="preserve">son </w:t>
      </w:r>
      <w:r w:rsidR="008F1465" w:rsidRPr="003A411E">
        <w:rPr>
          <w:b/>
        </w:rPr>
        <w:t>contrôle régulier</w:t>
      </w:r>
      <w:r w:rsidR="00E47ECE" w:rsidRPr="003A411E">
        <w:rPr>
          <w:b/>
        </w:rPr>
        <w:t>.</w:t>
      </w:r>
      <w:r w:rsidR="008F1465" w:rsidRPr="003A411E">
        <w:rPr>
          <w:b/>
        </w:rPr>
        <w:t xml:space="preserve"> </w:t>
      </w:r>
    </w:p>
    <w:p w14:paraId="3453202D" w14:textId="4DAE1751" w:rsidR="008F1465" w:rsidRPr="003A411E" w:rsidRDefault="006549D2" w:rsidP="00677254">
      <w:pPr>
        <w:pStyle w:val="H4G"/>
      </w:pPr>
      <w:r w:rsidRPr="003A411E">
        <w:tab/>
      </w:r>
      <w:r w:rsidR="009C7184" w:rsidRPr="003A411E">
        <w:t>vi.</w:t>
      </w:r>
      <w:r w:rsidRPr="003A411E">
        <w:tab/>
      </w:r>
      <w:r w:rsidR="008F1465" w:rsidRPr="003A411E">
        <w:t>Garanties</w:t>
      </w:r>
    </w:p>
    <w:p w14:paraId="74062BD2" w14:textId="4E1DEF26" w:rsidR="008F1465" w:rsidRPr="003A411E" w:rsidRDefault="006549D2">
      <w:pPr>
        <w:pStyle w:val="SingleTxtG"/>
      </w:pPr>
      <w:r w:rsidRPr="003A411E">
        <w:t>15</w:t>
      </w:r>
      <w:r w:rsidR="004E0A9C" w:rsidRPr="003A411E">
        <w:t>2</w:t>
      </w:r>
      <w:r w:rsidRPr="003A411E">
        <w:t>.</w:t>
      </w:r>
      <w:r w:rsidRPr="003A411E">
        <w:tab/>
      </w:r>
      <w:r w:rsidR="008F1465" w:rsidRPr="003A411E">
        <w:t xml:space="preserve">La très grande majorité des patients </w:t>
      </w:r>
      <w:r w:rsidR="00E47ECE" w:rsidRPr="003A411E">
        <w:t>étaient</w:t>
      </w:r>
      <w:r w:rsidR="008F1465" w:rsidRPr="003A411E">
        <w:t xml:space="preserve"> hospitalisés sans leur consentement, amenés par la famille ou la police sur réquisition. L’hospitalisation </w:t>
      </w:r>
      <w:r w:rsidR="00E47ECE" w:rsidRPr="003A411E">
        <w:t>était</w:t>
      </w:r>
      <w:r w:rsidR="008F1465" w:rsidRPr="003A411E">
        <w:t xml:space="preserve"> </w:t>
      </w:r>
      <w:r w:rsidR="00425999" w:rsidRPr="003A411E">
        <w:t>décidée</w:t>
      </w:r>
      <w:r w:rsidR="008F1465" w:rsidRPr="003A411E">
        <w:t xml:space="preserve"> par le psychiatre de garde ou l’assistant de santé, de même que la sortie. Les articles 108</w:t>
      </w:r>
      <w:r w:rsidR="00B02A34" w:rsidRPr="003A411E">
        <w:t xml:space="preserve"> à</w:t>
      </w:r>
      <w:r w:rsidR="008F1465" w:rsidRPr="003A411E">
        <w:t xml:space="preserve"> 110 du C</w:t>
      </w:r>
      <w:r w:rsidR="00B02A34" w:rsidRPr="003A411E">
        <w:t>ode de la santé publique</w:t>
      </w:r>
      <w:r w:rsidR="008F1465" w:rsidRPr="003A411E">
        <w:t xml:space="preserve"> relatifs aux hospitalisations sans consentement n’</w:t>
      </w:r>
      <w:r w:rsidR="00B02A34" w:rsidRPr="003A411E">
        <w:t>ayant</w:t>
      </w:r>
      <w:r w:rsidR="008F1465" w:rsidRPr="003A411E">
        <w:t xml:space="preserve"> pas été complétés par </w:t>
      </w:r>
      <w:r w:rsidR="00B02A34" w:rsidRPr="003A411E">
        <w:t>des</w:t>
      </w:r>
      <w:r w:rsidR="008F1465" w:rsidRPr="003A411E">
        <w:t xml:space="preserve"> décrets d’application</w:t>
      </w:r>
      <w:r w:rsidR="00B02A34" w:rsidRPr="003A411E">
        <w:t>,</w:t>
      </w:r>
      <w:r w:rsidR="008F1465" w:rsidRPr="003A411E">
        <w:t xml:space="preserve"> il n’</w:t>
      </w:r>
      <w:r w:rsidR="00B02A34" w:rsidRPr="003A411E">
        <w:t>existait</w:t>
      </w:r>
      <w:r w:rsidR="008F1465" w:rsidRPr="003A411E">
        <w:t xml:space="preserve"> pas de réglementation régissant </w:t>
      </w:r>
      <w:r w:rsidR="00B02A34" w:rsidRPr="003A411E">
        <w:t>ces hospitalisations</w:t>
      </w:r>
      <w:r w:rsidR="008F1465" w:rsidRPr="003A411E">
        <w:t xml:space="preserve"> </w:t>
      </w:r>
      <w:r w:rsidR="00B02A34" w:rsidRPr="003A411E">
        <w:t>ou encore la</w:t>
      </w:r>
      <w:r w:rsidR="008F1465" w:rsidRPr="003A411E">
        <w:t xml:space="preserve"> notification des droits, </w:t>
      </w:r>
      <w:r w:rsidR="00B02A34" w:rsidRPr="003A411E">
        <w:t>l’</w:t>
      </w:r>
      <w:r w:rsidR="008F1465" w:rsidRPr="003A411E">
        <w:t>examen périodique de la situation</w:t>
      </w:r>
      <w:r w:rsidR="00B02A34" w:rsidRPr="003A411E">
        <w:t xml:space="preserve"> et le</w:t>
      </w:r>
      <w:r w:rsidR="008F1465" w:rsidRPr="003A411E">
        <w:t xml:space="preserve"> recours judiciaire</w:t>
      </w:r>
      <w:r w:rsidR="00B02A34" w:rsidRPr="003A411E">
        <w:t xml:space="preserve"> qui y étaient liés</w:t>
      </w:r>
      <w:r w:rsidR="008F1465" w:rsidRPr="003A411E">
        <w:t xml:space="preserve">. </w:t>
      </w:r>
    </w:p>
    <w:p w14:paraId="2BCC1073" w14:textId="02892DEC" w:rsidR="008F1465" w:rsidRPr="003A411E" w:rsidRDefault="006549D2" w:rsidP="001A6743">
      <w:pPr>
        <w:pStyle w:val="SingleTxtG"/>
        <w:rPr>
          <w:b/>
        </w:rPr>
      </w:pPr>
      <w:r w:rsidRPr="003A411E">
        <w:lastRenderedPageBreak/>
        <w:t>15</w:t>
      </w:r>
      <w:r w:rsidR="004E0A9C" w:rsidRPr="003A411E">
        <w:t>3</w:t>
      </w:r>
      <w:r w:rsidRPr="003A411E">
        <w:t>.</w:t>
      </w:r>
      <w:r w:rsidRPr="003A411E">
        <w:rPr>
          <w:b/>
        </w:rPr>
        <w:tab/>
      </w:r>
      <w:r w:rsidR="008F1465" w:rsidRPr="003A411E">
        <w:rPr>
          <w:b/>
        </w:rPr>
        <w:t xml:space="preserve">Le </w:t>
      </w:r>
      <w:r w:rsidR="00AF7450" w:rsidRPr="003A411E">
        <w:rPr>
          <w:b/>
        </w:rPr>
        <w:t>Sous-Comité</w:t>
      </w:r>
      <w:r w:rsidR="008F1465" w:rsidRPr="003A411E">
        <w:rPr>
          <w:b/>
        </w:rPr>
        <w:t xml:space="preserve"> recommande à l’</w:t>
      </w:r>
      <w:r w:rsidR="006A2C77" w:rsidRPr="003A411E">
        <w:rPr>
          <w:b/>
        </w:rPr>
        <w:t>État</w:t>
      </w:r>
      <w:r w:rsidR="008F1465" w:rsidRPr="003A411E">
        <w:rPr>
          <w:b/>
        </w:rPr>
        <w:t xml:space="preserve"> partie d’inclure dans le programme de réforme législative engagé une réforme de la législation en santé mentale</w:t>
      </w:r>
      <w:r w:rsidR="00B02A34" w:rsidRPr="003A411E">
        <w:rPr>
          <w:b/>
        </w:rPr>
        <w:t>,</w:t>
      </w:r>
      <w:r w:rsidR="008F1465" w:rsidRPr="003A411E">
        <w:rPr>
          <w:b/>
        </w:rPr>
        <w:t xml:space="preserve"> </w:t>
      </w:r>
      <w:r w:rsidR="00B02A34" w:rsidRPr="003A411E">
        <w:rPr>
          <w:b/>
        </w:rPr>
        <w:t>évoquant notamment</w:t>
      </w:r>
      <w:r w:rsidR="008F1465" w:rsidRPr="003A411E">
        <w:rPr>
          <w:b/>
        </w:rPr>
        <w:t xml:space="preserve"> les conditions et garanties relatives à l’</w:t>
      </w:r>
      <w:r w:rsidR="00B02A34" w:rsidRPr="003A411E">
        <w:rPr>
          <w:b/>
        </w:rPr>
        <w:t>hospitalisation sans consentement</w:t>
      </w:r>
      <w:r w:rsidR="008F1465" w:rsidRPr="003A411E">
        <w:rPr>
          <w:b/>
        </w:rPr>
        <w:t>.</w:t>
      </w:r>
    </w:p>
    <w:p w14:paraId="4E9FDAAD" w14:textId="77777777" w:rsidR="008F1465" w:rsidRPr="0038425D" w:rsidRDefault="008F1465" w:rsidP="0038425D">
      <w:pPr>
        <w:pStyle w:val="HChG"/>
      </w:pPr>
      <w:r w:rsidRPr="003A411E">
        <w:rPr>
          <w:lang w:val="fr-FR"/>
        </w:rPr>
        <w:tab/>
        <w:t>VI.</w:t>
      </w:r>
      <w:r w:rsidRPr="003A411E">
        <w:rPr>
          <w:lang w:val="fr-FR"/>
        </w:rPr>
        <w:tab/>
        <w:t xml:space="preserve">Réforme législative </w:t>
      </w:r>
    </w:p>
    <w:p w14:paraId="659502F3" w14:textId="3BD54F08" w:rsidR="008F1465" w:rsidRPr="003A411E" w:rsidRDefault="00A324C5" w:rsidP="00F108A0">
      <w:pPr>
        <w:pStyle w:val="SingleTxtG"/>
        <w:rPr>
          <w:bCs/>
          <w:lang w:val="fr-FR"/>
        </w:rPr>
      </w:pPr>
      <w:r w:rsidRPr="003A411E">
        <w:rPr>
          <w:lang w:val="fr-FR"/>
        </w:rPr>
        <w:t>15</w:t>
      </w:r>
      <w:r w:rsidR="004E0A9C" w:rsidRPr="003A411E">
        <w:rPr>
          <w:lang w:val="fr-FR"/>
        </w:rPr>
        <w:t>4</w:t>
      </w:r>
      <w:r w:rsidRPr="003A411E">
        <w:rPr>
          <w:lang w:val="fr-FR"/>
        </w:rPr>
        <w:t>.</w:t>
      </w:r>
      <w:r w:rsidRPr="003A411E">
        <w:rPr>
          <w:lang w:val="fr-FR"/>
        </w:rPr>
        <w:tab/>
      </w:r>
      <w:r w:rsidR="008F1465" w:rsidRPr="003A411E">
        <w:rPr>
          <w:lang w:val="fr-FR"/>
        </w:rPr>
        <w:t>Le Sous-</w:t>
      </w:r>
      <w:r w:rsidR="006A2C77" w:rsidRPr="003A411E">
        <w:rPr>
          <w:lang w:val="fr-FR"/>
        </w:rPr>
        <w:t>C</w:t>
      </w:r>
      <w:r w:rsidR="008F1465" w:rsidRPr="003A411E">
        <w:rPr>
          <w:lang w:val="fr-FR"/>
        </w:rPr>
        <w:t xml:space="preserve">omité a bien noté que le Burkina Faso avait engagé </w:t>
      </w:r>
      <w:r w:rsidR="00F108A0" w:rsidRPr="003A411E">
        <w:rPr>
          <w:lang w:val="fr-FR"/>
        </w:rPr>
        <w:t>une</w:t>
      </w:r>
      <w:r w:rsidR="008F1465" w:rsidRPr="003A411E">
        <w:rPr>
          <w:lang w:val="fr-FR"/>
        </w:rPr>
        <w:t xml:space="preserve"> réforme </w:t>
      </w:r>
      <w:r w:rsidR="008F1465" w:rsidRPr="003A411E">
        <w:rPr>
          <w:bCs/>
          <w:lang w:val="fr-FR"/>
        </w:rPr>
        <w:t>législative</w:t>
      </w:r>
      <w:r w:rsidR="00F108A0" w:rsidRPr="003A411E">
        <w:rPr>
          <w:bCs/>
          <w:lang w:val="fr-FR"/>
        </w:rPr>
        <w:t xml:space="preserve"> importante</w:t>
      </w:r>
      <w:r w:rsidR="00B02A34" w:rsidRPr="003A411E">
        <w:rPr>
          <w:bCs/>
          <w:lang w:val="fr-FR"/>
        </w:rPr>
        <w:t>, notamment la</w:t>
      </w:r>
      <w:r w:rsidR="008F1465" w:rsidRPr="003A411E">
        <w:rPr>
          <w:bCs/>
          <w:lang w:val="fr-FR"/>
        </w:rPr>
        <w:t xml:space="preserve"> r</w:t>
      </w:r>
      <w:r w:rsidR="00425999" w:rsidRPr="003A411E">
        <w:rPr>
          <w:bCs/>
          <w:lang w:val="fr-FR"/>
        </w:rPr>
        <w:t>évision de la Constitution</w:t>
      </w:r>
      <w:r w:rsidR="006C50F8" w:rsidRPr="003A411E">
        <w:rPr>
          <w:bCs/>
          <w:lang w:val="fr-FR"/>
        </w:rPr>
        <w:t>,</w:t>
      </w:r>
      <w:r w:rsidR="00425999" w:rsidRPr="003A411E">
        <w:rPr>
          <w:bCs/>
          <w:lang w:val="fr-FR"/>
        </w:rPr>
        <w:t xml:space="preserve"> </w:t>
      </w:r>
      <w:r w:rsidR="008F1465" w:rsidRPr="003A411E">
        <w:rPr>
          <w:bCs/>
          <w:lang w:val="fr-FR"/>
        </w:rPr>
        <w:t xml:space="preserve">du </w:t>
      </w:r>
      <w:r w:rsidR="008F1465" w:rsidRPr="003A411E">
        <w:rPr>
          <w:lang w:val="fr-FR"/>
        </w:rPr>
        <w:t xml:space="preserve">Code </w:t>
      </w:r>
      <w:r w:rsidR="00B02A34" w:rsidRPr="003A411E">
        <w:rPr>
          <w:lang w:val="fr-FR"/>
        </w:rPr>
        <w:t>p</w:t>
      </w:r>
      <w:r w:rsidR="008F1465" w:rsidRPr="003A411E">
        <w:rPr>
          <w:lang w:val="fr-FR"/>
        </w:rPr>
        <w:t>énal</w:t>
      </w:r>
      <w:r w:rsidR="008F1465" w:rsidRPr="003A411E">
        <w:rPr>
          <w:bCs/>
          <w:lang w:val="fr-FR"/>
        </w:rPr>
        <w:t xml:space="preserve"> et du </w:t>
      </w:r>
      <w:r w:rsidR="008F1465" w:rsidRPr="003A411E">
        <w:rPr>
          <w:lang w:val="fr-FR"/>
        </w:rPr>
        <w:t xml:space="preserve">Code de </w:t>
      </w:r>
      <w:r w:rsidR="00B02A34" w:rsidRPr="003A411E">
        <w:rPr>
          <w:lang w:val="fr-FR"/>
        </w:rPr>
        <w:t>p</w:t>
      </w:r>
      <w:r w:rsidR="008F1465" w:rsidRPr="003A411E">
        <w:rPr>
          <w:lang w:val="fr-FR"/>
        </w:rPr>
        <w:t xml:space="preserve">rocédure </w:t>
      </w:r>
      <w:r w:rsidR="00B02A34" w:rsidRPr="003A411E">
        <w:rPr>
          <w:lang w:val="fr-FR"/>
        </w:rPr>
        <w:t>p</w:t>
      </w:r>
      <w:r w:rsidR="008F1465" w:rsidRPr="003A411E">
        <w:rPr>
          <w:lang w:val="fr-FR"/>
        </w:rPr>
        <w:t>énale</w:t>
      </w:r>
      <w:r w:rsidR="008F1465" w:rsidRPr="003A411E">
        <w:rPr>
          <w:bCs/>
          <w:lang w:val="fr-FR"/>
        </w:rPr>
        <w:t xml:space="preserve">. </w:t>
      </w:r>
    </w:p>
    <w:p w14:paraId="209F17E5" w14:textId="780BDA1D" w:rsidR="008F1465" w:rsidRPr="003A411E" w:rsidRDefault="00A324C5" w:rsidP="00F108A0">
      <w:pPr>
        <w:pStyle w:val="SingleTxtG"/>
        <w:rPr>
          <w:b/>
          <w:bCs/>
          <w:lang w:val="fr-FR"/>
        </w:rPr>
      </w:pPr>
      <w:r w:rsidRPr="003A411E">
        <w:rPr>
          <w:bCs/>
          <w:lang w:val="fr-FR"/>
        </w:rPr>
        <w:t>15</w:t>
      </w:r>
      <w:r w:rsidR="004E0A9C" w:rsidRPr="003A411E">
        <w:rPr>
          <w:bCs/>
          <w:lang w:val="fr-FR"/>
        </w:rPr>
        <w:t>5</w:t>
      </w:r>
      <w:r w:rsidRPr="003A411E">
        <w:rPr>
          <w:bCs/>
          <w:lang w:val="fr-FR"/>
        </w:rPr>
        <w:t>.</w:t>
      </w:r>
      <w:r w:rsidRPr="003A411E">
        <w:rPr>
          <w:b/>
          <w:bCs/>
          <w:lang w:val="fr-FR"/>
        </w:rPr>
        <w:tab/>
      </w:r>
      <w:r w:rsidR="008F1465" w:rsidRPr="003A411E">
        <w:rPr>
          <w:b/>
          <w:bCs/>
          <w:lang w:val="fr-FR"/>
        </w:rPr>
        <w:t>Le Sous-</w:t>
      </w:r>
      <w:r w:rsidR="006A2C77" w:rsidRPr="003A411E">
        <w:rPr>
          <w:b/>
          <w:bCs/>
          <w:lang w:val="fr-FR"/>
        </w:rPr>
        <w:t>C</w:t>
      </w:r>
      <w:r w:rsidR="008F1465" w:rsidRPr="003A411E">
        <w:rPr>
          <w:b/>
          <w:bCs/>
          <w:lang w:val="fr-FR"/>
        </w:rPr>
        <w:t xml:space="preserve">omité encourage l’État partie à effectuer </w:t>
      </w:r>
      <w:r w:rsidR="00F108A0" w:rsidRPr="003A411E">
        <w:rPr>
          <w:b/>
          <w:bCs/>
          <w:lang w:val="fr-FR"/>
        </w:rPr>
        <w:t>cette</w:t>
      </w:r>
      <w:r w:rsidR="008F1465" w:rsidRPr="003A411E">
        <w:rPr>
          <w:b/>
          <w:bCs/>
          <w:lang w:val="fr-FR"/>
        </w:rPr>
        <w:t xml:space="preserve"> ré</w:t>
      </w:r>
      <w:r w:rsidR="00425999" w:rsidRPr="003A411E">
        <w:rPr>
          <w:b/>
          <w:bCs/>
          <w:lang w:val="fr-FR"/>
        </w:rPr>
        <w:t>forme</w:t>
      </w:r>
      <w:r w:rsidR="008F1465" w:rsidRPr="003A411E">
        <w:rPr>
          <w:b/>
          <w:bCs/>
          <w:lang w:val="fr-FR"/>
        </w:rPr>
        <w:t xml:space="preserve"> </w:t>
      </w:r>
      <w:r w:rsidR="00B02A34" w:rsidRPr="003A411E">
        <w:rPr>
          <w:b/>
          <w:bCs/>
          <w:lang w:val="fr-FR"/>
        </w:rPr>
        <w:t>en conformité avec les</w:t>
      </w:r>
      <w:r w:rsidR="008F1465" w:rsidRPr="003A411E">
        <w:rPr>
          <w:b/>
          <w:bCs/>
          <w:lang w:val="fr-FR"/>
        </w:rPr>
        <w:t xml:space="preserve"> normes internationales.</w:t>
      </w:r>
    </w:p>
    <w:p w14:paraId="12646A16" w14:textId="76D32E0A" w:rsidR="008F1465" w:rsidRPr="003A411E" w:rsidRDefault="00A324C5" w:rsidP="004E0A9C">
      <w:pPr>
        <w:pStyle w:val="SingleTxtG"/>
        <w:rPr>
          <w:lang w:val="fr-FR"/>
        </w:rPr>
      </w:pPr>
      <w:r w:rsidRPr="003A411E">
        <w:rPr>
          <w:lang w:val="fr-FR"/>
        </w:rPr>
        <w:t>15</w:t>
      </w:r>
      <w:r w:rsidR="004E0A9C" w:rsidRPr="003A411E">
        <w:rPr>
          <w:lang w:val="fr-FR"/>
        </w:rPr>
        <w:t>6</w:t>
      </w:r>
      <w:r w:rsidRPr="003A411E">
        <w:rPr>
          <w:lang w:val="fr-FR"/>
        </w:rPr>
        <w:t>.</w:t>
      </w:r>
      <w:r w:rsidRPr="003A411E">
        <w:rPr>
          <w:lang w:val="fr-FR"/>
        </w:rPr>
        <w:tab/>
      </w:r>
      <w:r w:rsidR="008F1465" w:rsidRPr="003A411E">
        <w:rPr>
          <w:lang w:val="fr-FR"/>
        </w:rPr>
        <w:t xml:space="preserve">L’avant-projet de nouvelle </w:t>
      </w:r>
      <w:r w:rsidR="00336479" w:rsidRPr="003A411E">
        <w:rPr>
          <w:lang w:val="fr-FR"/>
        </w:rPr>
        <w:t>c</w:t>
      </w:r>
      <w:r w:rsidR="008F1465" w:rsidRPr="003A411E">
        <w:rPr>
          <w:lang w:val="fr-FR"/>
        </w:rPr>
        <w:t xml:space="preserve">onstitution contient des changements positifs concernant la </w:t>
      </w:r>
      <w:r w:rsidR="008F1465" w:rsidRPr="003A411E">
        <w:t>prévention</w:t>
      </w:r>
      <w:r w:rsidR="008F1465" w:rsidRPr="003A411E">
        <w:rPr>
          <w:lang w:val="fr-FR"/>
        </w:rPr>
        <w:t xml:space="preserve"> de la torture et </w:t>
      </w:r>
      <w:r w:rsidR="005224E3" w:rsidRPr="003A411E">
        <w:rPr>
          <w:lang w:val="fr-FR"/>
        </w:rPr>
        <w:t>des</w:t>
      </w:r>
      <w:r w:rsidR="008F1465" w:rsidRPr="003A411E">
        <w:rPr>
          <w:lang w:val="fr-FR"/>
        </w:rPr>
        <w:t xml:space="preserve"> traitements inhumains, cruels, dégradants et humiliants. La protection de la vie, la sûreté et l’intégrité physique y sont garanties ; la peine de mort </w:t>
      </w:r>
      <w:r w:rsidR="00336479" w:rsidRPr="003A411E">
        <w:rPr>
          <w:lang w:val="fr-FR"/>
        </w:rPr>
        <w:t xml:space="preserve">y </w:t>
      </w:r>
      <w:r w:rsidR="008F1465" w:rsidRPr="003A411E">
        <w:rPr>
          <w:lang w:val="fr-FR"/>
        </w:rPr>
        <w:t>est abolie</w:t>
      </w:r>
      <w:r w:rsidR="00336479" w:rsidRPr="003A411E">
        <w:rPr>
          <w:lang w:val="fr-FR"/>
        </w:rPr>
        <w:t> </w:t>
      </w:r>
      <w:r w:rsidR="008F1465" w:rsidRPr="003A411E">
        <w:rPr>
          <w:lang w:val="fr-FR"/>
        </w:rPr>
        <w:t xml:space="preserve">; et les traitements inhumains, cruels, dégradants et humiliants </w:t>
      </w:r>
      <w:r w:rsidR="00336479" w:rsidRPr="003A411E">
        <w:rPr>
          <w:lang w:val="fr-FR"/>
        </w:rPr>
        <w:t>ainsi que</w:t>
      </w:r>
      <w:r w:rsidR="008F1465" w:rsidRPr="003A411E">
        <w:rPr>
          <w:lang w:val="fr-FR"/>
        </w:rPr>
        <w:t xml:space="preserve"> la torture physique ou morale, entre autres, sont interdit</w:t>
      </w:r>
      <w:r w:rsidR="00336479" w:rsidRPr="003A411E">
        <w:rPr>
          <w:lang w:val="fr-FR"/>
        </w:rPr>
        <w:t>s</w:t>
      </w:r>
      <w:r w:rsidR="008F1465" w:rsidRPr="003A411E">
        <w:rPr>
          <w:lang w:val="fr-FR"/>
        </w:rPr>
        <w:t xml:space="preserve"> et punis par </w:t>
      </w:r>
      <w:r w:rsidR="00336479" w:rsidRPr="003A411E">
        <w:rPr>
          <w:lang w:val="fr-FR"/>
        </w:rPr>
        <w:t xml:space="preserve">la </w:t>
      </w:r>
      <w:r w:rsidR="008F1465" w:rsidRPr="003A411E">
        <w:rPr>
          <w:lang w:val="fr-FR"/>
        </w:rPr>
        <w:t>loi (art.</w:t>
      </w:r>
      <w:r w:rsidR="003E4D06">
        <w:rPr>
          <w:lang w:val="fr-FR"/>
        </w:rPr>
        <w:t> </w:t>
      </w:r>
      <w:r w:rsidR="008F1465" w:rsidRPr="003A411E">
        <w:rPr>
          <w:lang w:val="fr-FR"/>
        </w:rPr>
        <w:t xml:space="preserve">5). Bien qu’un moratoire sur la peine de mort soit en place depuis 1988, </w:t>
      </w:r>
      <w:r w:rsidR="00336479" w:rsidRPr="003A411E">
        <w:rPr>
          <w:lang w:val="fr-FR"/>
        </w:rPr>
        <w:t>celle-ci</w:t>
      </w:r>
      <w:r w:rsidR="008F1465" w:rsidRPr="003A411E">
        <w:rPr>
          <w:lang w:val="fr-FR"/>
        </w:rPr>
        <w:t xml:space="preserve"> continue à être prononcée par les tribunaux (16 condamnés à mort au pays en 2017). Le Sous-</w:t>
      </w:r>
      <w:r w:rsidR="006A2C77" w:rsidRPr="003A411E">
        <w:rPr>
          <w:lang w:val="fr-FR"/>
        </w:rPr>
        <w:t>C</w:t>
      </w:r>
      <w:r w:rsidR="008F1465" w:rsidRPr="003A411E">
        <w:rPr>
          <w:lang w:val="fr-FR"/>
        </w:rPr>
        <w:t xml:space="preserve">omité félicite l’État partie de prévoir l’abolition de la peine de mort dans l’avant-projet de </w:t>
      </w:r>
      <w:r w:rsidR="00336479" w:rsidRPr="003A411E">
        <w:rPr>
          <w:lang w:val="fr-FR"/>
        </w:rPr>
        <w:t>nouvelle c</w:t>
      </w:r>
      <w:r w:rsidR="008F1465" w:rsidRPr="003A411E">
        <w:rPr>
          <w:lang w:val="fr-FR"/>
        </w:rPr>
        <w:t xml:space="preserve">onstitution, de protéger les personnes privées de leur liberté (art. 6), et </w:t>
      </w:r>
      <w:r w:rsidR="00336479" w:rsidRPr="003A411E">
        <w:rPr>
          <w:lang w:val="fr-FR"/>
        </w:rPr>
        <w:t xml:space="preserve">de </w:t>
      </w:r>
      <w:r w:rsidR="008F1465" w:rsidRPr="003A411E">
        <w:rPr>
          <w:lang w:val="fr-FR"/>
        </w:rPr>
        <w:t>garantir le droit à la défense et à être entendu par une juridiction indépendante et impartiale (art. 7). Le Sous-</w:t>
      </w:r>
      <w:r w:rsidR="006A2C77" w:rsidRPr="003A411E">
        <w:rPr>
          <w:lang w:val="fr-FR"/>
        </w:rPr>
        <w:t>C</w:t>
      </w:r>
      <w:r w:rsidR="008F1465" w:rsidRPr="003A411E">
        <w:rPr>
          <w:lang w:val="fr-FR"/>
        </w:rPr>
        <w:t>omité note aussi positivement l’existence de dispositions relatives à l’indépendance du pouvoir judiciaire (art.</w:t>
      </w:r>
      <w:r w:rsidR="003E4D06">
        <w:rPr>
          <w:lang w:val="fr-FR"/>
        </w:rPr>
        <w:t> </w:t>
      </w:r>
      <w:r w:rsidR="008F1465" w:rsidRPr="003A411E">
        <w:rPr>
          <w:lang w:val="fr-FR"/>
        </w:rPr>
        <w:t>146</w:t>
      </w:r>
      <w:r w:rsidR="00336479" w:rsidRPr="003A411E">
        <w:rPr>
          <w:lang w:val="fr-FR"/>
        </w:rPr>
        <w:t xml:space="preserve"> à </w:t>
      </w:r>
      <w:r w:rsidR="008F1465" w:rsidRPr="003A411E">
        <w:rPr>
          <w:lang w:val="fr-FR"/>
        </w:rPr>
        <w:t>156) et des magistrats (art.157</w:t>
      </w:r>
      <w:r w:rsidR="00336479" w:rsidRPr="003A411E">
        <w:rPr>
          <w:lang w:val="fr-FR"/>
        </w:rPr>
        <w:t xml:space="preserve"> à </w:t>
      </w:r>
      <w:r w:rsidR="008F1465" w:rsidRPr="003A411E">
        <w:rPr>
          <w:lang w:val="fr-FR"/>
        </w:rPr>
        <w:t>159).</w:t>
      </w:r>
    </w:p>
    <w:p w14:paraId="314682D1" w14:textId="3569127C" w:rsidR="008F1465" w:rsidRPr="003A411E" w:rsidRDefault="008F1465" w:rsidP="004E0A9C">
      <w:pPr>
        <w:pStyle w:val="SingleTxtG"/>
        <w:rPr>
          <w:lang w:val="fr-FR"/>
        </w:rPr>
      </w:pPr>
      <w:r w:rsidRPr="003A411E">
        <w:rPr>
          <w:lang w:val="fr-FR"/>
        </w:rPr>
        <w:t>1</w:t>
      </w:r>
      <w:r w:rsidR="00A324C5" w:rsidRPr="003A411E">
        <w:rPr>
          <w:lang w:val="fr-FR"/>
        </w:rPr>
        <w:t>5</w:t>
      </w:r>
      <w:r w:rsidR="004E0A9C" w:rsidRPr="003A411E">
        <w:rPr>
          <w:lang w:val="fr-FR"/>
        </w:rPr>
        <w:t>7</w:t>
      </w:r>
      <w:r w:rsidR="00A324C5" w:rsidRPr="003A411E">
        <w:rPr>
          <w:lang w:val="fr-FR"/>
        </w:rPr>
        <w:t>.</w:t>
      </w:r>
      <w:r w:rsidR="00A324C5" w:rsidRPr="003A411E">
        <w:rPr>
          <w:lang w:val="fr-FR"/>
        </w:rPr>
        <w:tab/>
      </w:r>
      <w:r w:rsidRPr="003A411E">
        <w:rPr>
          <w:lang w:val="fr-FR"/>
        </w:rPr>
        <w:t>Le Sous-</w:t>
      </w:r>
      <w:r w:rsidR="006A2C77" w:rsidRPr="003A411E">
        <w:rPr>
          <w:lang w:val="fr-FR"/>
        </w:rPr>
        <w:t>C</w:t>
      </w:r>
      <w:r w:rsidRPr="003A411E">
        <w:rPr>
          <w:lang w:val="fr-FR"/>
        </w:rPr>
        <w:t xml:space="preserve">omité félicite l’État partie pour la définition de la torture et des pratiques assimilées à la torture </w:t>
      </w:r>
      <w:r w:rsidR="00336479" w:rsidRPr="003A411E">
        <w:rPr>
          <w:lang w:val="fr-FR"/>
        </w:rPr>
        <w:t xml:space="preserve">adoptée </w:t>
      </w:r>
      <w:r w:rsidRPr="003A411E">
        <w:rPr>
          <w:lang w:val="fr-FR"/>
        </w:rPr>
        <w:t xml:space="preserve">dans la </w:t>
      </w:r>
      <w:r w:rsidR="00336479" w:rsidRPr="003A411E">
        <w:rPr>
          <w:lang w:val="fr-FR"/>
        </w:rPr>
        <w:t>l</w:t>
      </w:r>
      <w:r w:rsidRPr="003A411E">
        <w:rPr>
          <w:lang w:val="fr-FR"/>
        </w:rPr>
        <w:t xml:space="preserve">oi </w:t>
      </w:r>
      <w:r w:rsidR="00336479" w:rsidRPr="003A411E">
        <w:rPr>
          <w:lang w:val="fr-FR"/>
        </w:rPr>
        <w:t>n</w:t>
      </w:r>
      <w:r w:rsidRPr="00677254">
        <w:rPr>
          <w:vertAlign w:val="superscript"/>
          <w:lang w:val="fr-FR"/>
        </w:rPr>
        <w:t>o</w:t>
      </w:r>
      <w:r w:rsidR="003E4D06">
        <w:rPr>
          <w:lang w:val="fr-FR"/>
        </w:rPr>
        <w:t> </w:t>
      </w:r>
      <w:r w:rsidRPr="003A411E">
        <w:rPr>
          <w:lang w:val="fr-FR"/>
        </w:rPr>
        <w:t xml:space="preserve">022-2014/AN, en accord avec celle de l’article </w:t>
      </w:r>
      <w:r w:rsidR="00336479" w:rsidRPr="003A411E">
        <w:rPr>
          <w:lang w:val="fr-FR"/>
        </w:rPr>
        <w:t>premier</w:t>
      </w:r>
      <w:r w:rsidRPr="003A411E">
        <w:rPr>
          <w:lang w:val="fr-FR"/>
        </w:rPr>
        <w:t xml:space="preserve"> de la Convention contre la torture</w:t>
      </w:r>
      <w:r w:rsidR="00336479" w:rsidRPr="003A411E">
        <w:rPr>
          <w:lang w:val="fr-FR"/>
        </w:rPr>
        <w:t>. Il note également avec satisfaction</w:t>
      </w:r>
      <w:r w:rsidRPr="003A411E">
        <w:rPr>
          <w:lang w:val="fr-FR"/>
        </w:rPr>
        <w:t xml:space="preserve"> l’avant-projet de loi portant sa modification (art.</w:t>
      </w:r>
      <w:r w:rsidR="003E4D06">
        <w:rPr>
          <w:lang w:val="fr-FR"/>
        </w:rPr>
        <w:t> </w:t>
      </w:r>
      <w:r w:rsidRPr="003A411E">
        <w:rPr>
          <w:lang w:val="fr-FR"/>
        </w:rPr>
        <w:t xml:space="preserve">2), qui comprend aussi </w:t>
      </w:r>
      <w:r w:rsidRPr="003A411E">
        <w:rPr>
          <w:bCs/>
          <w:lang w:val="fr-FR"/>
        </w:rPr>
        <w:t>une section sur la répression des actes de torture et des pratiques assimilées</w:t>
      </w:r>
      <w:r w:rsidR="00336479" w:rsidRPr="003A411E">
        <w:rPr>
          <w:bCs/>
          <w:lang w:val="fr-FR"/>
        </w:rPr>
        <w:t>,</w:t>
      </w:r>
      <w:r w:rsidRPr="003A411E">
        <w:rPr>
          <w:bCs/>
          <w:lang w:val="fr-FR"/>
        </w:rPr>
        <w:t xml:space="preserve"> </w:t>
      </w:r>
      <w:r w:rsidRPr="003A411E">
        <w:t>punis</w:t>
      </w:r>
      <w:r w:rsidRPr="003A411E">
        <w:rPr>
          <w:bCs/>
          <w:lang w:val="fr-FR"/>
        </w:rPr>
        <w:t xml:space="preserve"> par des peines d’emprisonnement (art. 4</w:t>
      </w:r>
      <w:r w:rsidR="00336479" w:rsidRPr="003A411E">
        <w:rPr>
          <w:bCs/>
          <w:lang w:val="fr-FR"/>
        </w:rPr>
        <w:t xml:space="preserve"> à </w:t>
      </w:r>
      <w:r w:rsidRPr="003A411E">
        <w:rPr>
          <w:bCs/>
          <w:lang w:val="fr-FR"/>
        </w:rPr>
        <w:t>10)</w:t>
      </w:r>
      <w:r w:rsidR="00336479" w:rsidRPr="003A411E">
        <w:rPr>
          <w:bCs/>
          <w:lang w:val="fr-FR"/>
        </w:rPr>
        <w:t>,</w:t>
      </w:r>
      <w:r w:rsidRPr="003A411E">
        <w:rPr>
          <w:bCs/>
          <w:lang w:val="fr-FR"/>
        </w:rPr>
        <w:t xml:space="preserve"> et une disposition selon laquelle aucune </w:t>
      </w:r>
      <w:r w:rsidRPr="003A411E">
        <w:rPr>
          <w:lang w:val="fr-FR"/>
        </w:rPr>
        <w:t>circonstance exceptionnelle ne peut être invoquée pour justifier la torture ou des pratiques assimilées (art.</w:t>
      </w:r>
      <w:r w:rsidR="003E4D06">
        <w:rPr>
          <w:lang w:val="fr-FR"/>
        </w:rPr>
        <w:t> </w:t>
      </w:r>
      <w:r w:rsidRPr="003A411E">
        <w:rPr>
          <w:lang w:val="fr-FR"/>
        </w:rPr>
        <w:t xml:space="preserve">3). </w:t>
      </w:r>
    </w:p>
    <w:p w14:paraId="791567EF" w14:textId="0DCB6441" w:rsidR="008F1465" w:rsidRPr="003A411E" w:rsidRDefault="00A324C5" w:rsidP="00115EE4">
      <w:pPr>
        <w:pStyle w:val="SingleTxtG"/>
        <w:rPr>
          <w:lang w:val="fr-FR"/>
        </w:rPr>
      </w:pPr>
      <w:r w:rsidRPr="003A411E">
        <w:t>1</w:t>
      </w:r>
      <w:r w:rsidR="004E0A9C" w:rsidRPr="003A411E">
        <w:t>58</w:t>
      </w:r>
      <w:r w:rsidRPr="003A411E">
        <w:t>.</w:t>
      </w:r>
      <w:r w:rsidRPr="003A411E">
        <w:tab/>
      </w:r>
      <w:r w:rsidR="008F1465" w:rsidRPr="003A411E">
        <w:t>Cependant</w:t>
      </w:r>
      <w:r w:rsidR="008F1465" w:rsidRPr="003A411E">
        <w:rPr>
          <w:lang w:val="fr-FR"/>
        </w:rPr>
        <w:t xml:space="preserve">, il ressort des entretiens </w:t>
      </w:r>
      <w:r w:rsidR="00115EE4" w:rsidRPr="003A411E">
        <w:rPr>
          <w:lang w:val="fr-FR"/>
        </w:rPr>
        <w:t xml:space="preserve">menés par la délégation </w:t>
      </w:r>
      <w:r w:rsidR="008F1465" w:rsidRPr="003A411E">
        <w:rPr>
          <w:lang w:val="fr-FR"/>
        </w:rPr>
        <w:t>que les m</w:t>
      </w:r>
      <w:r w:rsidR="008F1465" w:rsidRPr="003A411E">
        <w:rPr>
          <w:bCs/>
          <w:lang w:val="fr-FR"/>
        </w:rPr>
        <w:t xml:space="preserve">agistrats </w:t>
      </w:r>
      <w:r w:rsidR="004E0A9C" w:rsidRPr="003A411E">
        <w:rPr>
          <w:bCs/>
          <w:lang w:val="fr-FR"/>
        </w:rPr>
        <w:t xml:space="preserve">de l’État partie </w:t>
      </w:r>
      <w:r w:rsidR="008F1465" w:rsidRPr="003A411E">
        <w:rPr>
          <w:bCs/>
          <w:lang w:val="fr-FR"/>
        </w:rPr>
        <w:t>prennent en considération les aveux obtenus sous la torture</w:t>
      </w:r>
      <w:r w:rsidR="00336479" w:rsidRPr="003A411E">
        <w:rPr>
          <w:bCs/>
          <w:lang w:val="fr-FR"/>
        </w:rPr>
        <w:t>,</w:t>
      </w:r>
      <w:r w:rsidR="008F1465" w:rsidRPr="003A411E">
        <w:rPr>
          <w:bCs/>
          <w:lang w:val="fr-FR"/>
        </w:rPr>
        <w:t xml:space="preserve"> et que </w:t>
      </w:r>
      <w:r w:rsidR="00115EE4" w:rsidRPr="003A411E">
        <w:rPr>
          <w:bCs/>
          <w:lang w:val="fr-FR"/>
        </w:rPr>
        <w:t>cette pratique</w:t>
      </w:r>
      <w:r w:rsidR="008F1465" w:rsidRPr="003A411E">
        <w:rPr>
          <w:bCs/>
          <w:lang w:val="fr-FR"/>
        </w:rPr>
        <w:t xml:space="preserve"> n’est pas interdit</w:t>
      </w:r>
      <w:r w:rsidR="00115EE4" w:rsidRPr="003A411E">
        <w:rPr>
          <w:bCs/>
          <w:lang w:val="fr-FR"/>
        </w:rPr>
        <w:t>e</w:t>
      </w:r>
      <w:r w:rsidR="008F1465" w:rsidRPr="003A411E">
        <w:rPr>
          <w:bCs/>
          <w:lang w:val="fr-FR"/>
        </w:rPr>
        <w:t xml:space="preserve"> par la loi.</w:t>
      </w:r>
      <w:r w:rsidR="008F1465" w:rsidRPr="003A411E">
        <w:rPr>
          <w:lang w:val="fr-FR"/>
        </w:rPr>
        <w:t xml:space="preserve"> </w:t>
      </w:r>
    </w:p>
    <w:p w14:paraId="45413E20" w14:textId="733C6C00" w:rsidR="008F1465" w:rsidRPr="003A411E" w:rsidRDefault="00A324C5" w:rsidP="004E0A9C">
      <w:pPr>
        <w:pStyle w:val="SingleTxtG"/>
      </w:pPr>
      <w:r w:rsidRPr="003A411E">
        <w:rPr>
          <w:lang w:val="fr-FR"/>
        </w:rPr>
        <w:t>1</w:t>
      </w:r>
      <w:r w:rsidR="00336479" w:rsidRPr="003A411E">
        <w:rPr>
          <w:lang w:val="fr-FR"/>
        </w:rPr>
        <w:t>5</w:t>
      </w:r>
      <w:r w:rsidR="004E0A9C" w:rsidRPr="003A411E">
        <w:rPr>
          <w:lang w:val="fr-FR"/>
        </w:rPr>
        <w:t>9</w:t>
      </w:r>
      <w:r w:rsidRPr="003A411E">
        <w:rPr>
          <w:lang w:val="fr-FR"/>
        </w:rPr>
        <w:t>.</w:t>
      </w:r>
      <w:r w:rsidRPr="003A411E">
        <w:rPr>
          <w:lang w:val="fr-FR"/>
        </w:rPr>
        <w:tab/>
      </w:r>
      <w:r w:rsidR="008F1465" w:rsidRPr="003A411E">
        <w:rPr>
          <w:b/>
        </w:rPr>
        <w:t>Le Sous-</w:t>
      </w:r>
      <w:r w:rsidR="006A2C77" w:rsidRPr="003A411E">
        <w:rPr>
          <w:b/>
        </w:rPr>
        <w:t>C</w:t>
      </w:r>
      <w:r w:rsidR="008F1465" w:rsidRPr="003A411E">
        <w:rPr>
          <w:b/>
        </w:rPr>
        <w:t xml:space="preserve">omité recommande </w:t>
      </w:r>
      <w:r w:rsidR="00336479" w:rsidRPr="003A411E">
        <w:rPr>
          <w:b/>
        </w:rPr>
        <w:t>à</w:t>
      </w:r>
      <w:r w:rsidR="008F1465" w:rsidRPr="003A411E">
        <w:rPr>
          <w:b/>
        </w:rPr>
        <w:t xml:space="preserve"> l’État partie </w:t>
      </w:r>
      <w:r w:rsidR="00336479" w:rsidRPr="003A411E">
        <w:rPr>
          <w:b/>
        </w:rPr>
        <w:t>d’</w:t>
      </w:r>
      <w:r w:rsidR="008F1465" w:rsidRPr="003A411E">
        <w:rPr>
          <w:b/>
        </w:rPr>
        <w:t>interdi</w:t>
      </w:r>
      <w:r w:rsidR="006C50F8" w:rsidRPr="003A411E">
        <w:rPr>
          <w:b/>
        </w:rPr>
        <w:t>r</w:t>
      </w:r>
      <w:r w:rsidR="008F1465" w:rsidRPr="003A411E">
        <w:rPr>
          <w:b/>
        </w:rPr>
        <w:t xml:space="preserve">e par disposition légale l’utilisation de toute déclaration obtenue par la torture comme élément de preuve dans une procédure judiciaire, et </w:t>
      </w:r>
      <w:r w:rsidR="006C50F8" w:rsidRPr="003A411E">
        <w:rPr>
          <w:b/>
        </w:rPr>
        <w:t xml:space="preserve">de </w:t>
      </w:r>
      <w:r w:rsidR="008F1465" w:rsidRPr="003A411E">
        <w:rPr>
          <w:b/>
        </w:rPr>
        <w:t>veille</w:t>
      </w:r>
      <w:r w:rsidR="006C50F8" w:rsidRPr="003A411E">
        <w:rPr>
          <w:b/>
        </w:rPr>
        <w:t>r</w:t>
      </w:r>
      <w:r w:rsidR="008F1465" w:rsidRPr="003A411E">
        <w:rPr>
          <w:b/>
        </w:rPr>
        <w:t xml:space="preserve"> à l’application de cette disposition en conformité avec l’article 15 de la Convention contre la torture.</w:t>
      </w:r>
    </w:p>
    <w:p w14:paraId="72F926AA" w14:textId="4CCEE52F" w:rsidR="008F1465" w:rsidRPr="003A411E" w:rsidRDefault="00A324C5" w:rsidP="004E0A9C">
      <w:pPr>
        <w:pStyle w:val="SingleTxtG"/>
        <w:rPr>
          <w:lang w:val="fr-FR"/>
        </w:rPr>
      </w:pPr>
      <w:r w:rsidRPr="003A411E">
        <w:rPr>
          <w:lang w:val="fr-FR"/>
        </w:rPr>
        <w:t>16</w:t>
      </w:r>
      <w:r w:rsidR="004E0A9C" w:rsidRPr="003A411E">
        <w:rPr>
          <w:lang w:val="fr-FR"/>
        </w:rPr>
        <w:t>0</w:t>
      </w:r>
      <w:r w:rsidRPr="003A411E">
        <w:rPr>
          <w:lang w:val="fr-FR"/>
        </w:rPr>
        <w:t>.</w:t>
      </w:r>
      <w:r w:rsidRPr="003A411E">
        <w:rPr>
          <w:lang w:val="fr-FR"/>
        </w:rPr>
        <w:tab/>
      </w:r>
      <w:r w:rsidR="008F1465" w:rsidRPr="003A411E">
        <w:rPr>
          <w:lang w:val="fr-FR"/>
        </w:rPr>
        <w:t>Le Sous-</w:t>
      </w:r>
      <w:r w:rsidR="006A2C77" w:rsidRPr="003A411E">
        <w:rPr>
          <w:lang w:val="fr-FR"/>
        </w:rPr>
        <w:t>C</w:t>
      </w:r>
      <w:r w:rsidR="008F1465" w:rsidRPr="003A411E">
        <w:rPr>
          <w:lang w:val="fr-FR"/>
        </w:rPr>
        <w:t xml:space="preserve">omité félicite l’État partie pour l’adoption de la </w:t>
      </w:r>
      <w:r w:rsidR="006C50F8" w:rsidRPr="003A411E">
        <w:rPr>
          <w:lang w:val="fr-FR"/>
        </w:rPr>
        <w:t>l</w:t>
      </w:r>
      <w:r w:rsidR="008F1465" w:rsidRPr="003A411E">
        <w:rPr>
          <w:lang w:val="fr-FR"/>
        </w:rPr>
        <w:t xml:space="preserve">oi </w:t>
      </w:r>
      <w:r w:rsidR="006C50F8" w:rsidRPr="003A411E">
        <w:rPr>
          <w:lang w:val="fr-FR"/>
        </w:rPr>
        <w:t>n</w:t>
      </w:r>
      <w:r w:rsidR="008F1465" w:rsidRPr="00677254">
        <w:rPr>
          <w:vertAlign w:val="superscript"/>
          <w:lang w:val="fr-FR"/>
        </w:rPr>
        <w:t>o</w:t>
      </w:r>
      <w:r w:rsidR="003E4D06">
        <w:rPr>
          <w:lang w:val="fr-FR"/>
        </w:rPr>
        <w:t> </w:t>
      </w:r>
      <w:r w:rsidR="008F1465" w:rsidRPr="003A411E">
        <w:rPr>
          <w:lang w:val="fr-FR"/>
        </w:rPr>
        <w:t>010-2017/AN, qui r</w:t>
      </w:r>
      <w:r w:rsidR="006C50F8" w:rsidRPr="003A411E">
        <w:rPr>
          <w:lang w:val="fr-FR"/>
        </w:rPr>
        <w:t>é</w:t>
      </w:r>
      <w:r w:rsidR="008F1465" w:rsidRPr="003A411E">
        <w:rPr>
          <w:lang w:val="fr-FR"/>
        </w:rPr>
        <w:t xml:space="preserve">glemente le régime </w:t>
      </w:r>
      <w:r w:rsidR="008F1465" w:rsidRPr="003A411E">
        <w:t>pénitentiaire</w:t>
      </w:r>
      <w:r w:rsidR="008F1465" w:rsidRPr="003A411E">
        <w:rPr>
          <w:lang w:val="fr-FR"/>
        </w:rPr>
        <w:t xml:space="preserve"> jusque-là régi par le </w:t>
      </w:r>
      <w:r w:rsidR="006C50F8" w:rsidRPr="003A411E">
        <w:rPr>
          <w:lang w:val="fr-FR"/>
        </w:rPr>
        <w:t>d</w:t>
      </w:r>
      <w:r w:rsidR="008F1465" w:rsidRPr="003A411E">
        <w:rPr>
          <w:lang w:val="fr-FR"/>
        </w:rPr>
        <w:t xml:space="preserve">écret </w:t>
      </w:r>
      <w:r w:rsidR="006C50F8" w:rsidRPr="003A411E">
        <w:rPr>
          <w:lang w:val="fr-FR"/>
        </w:rPr>
        <w:t>n</w:t>
      </w:r>
      <w:r w:rsidR="006C50F8" w:rsidRPr="00677254">
        <w:rPr>
          <w:vertAlign w:val="superscript"/>
          <w:lang w:val="fr-FR"/>
        </w:rPr>
        <w:t>o</w:t>
      </w:r>
      <w:r w:rsidR="006C50F8" w:rsidRPr="003A411E">
        <w:rPr>
          <w:lang w:val="fr-FR"/>
        </w:rPr>
        <w:t> </w:t>
      </w:r>
      <w:r w:rsidR="008F1465" w:rsidRPr="003A411E">
        <w:rPr>
          <w:lang w:val="fr-FR"/>
        </w:rPr>
        <w:t xml:space="preserve">AN VI-103/FP/MIJ </w:t>
      </w:r>
      <w:r w:rsidR="006C50F8" w:rsidRPr="003A411E">
        <w:rPr>
          <w:lang w:val="fr-FR"/>
        </w:rPr>
        <w:t>du 1</w:t>
      </w:r>
      <w:r w:rsidR="006C50F8" w:rsidRPr="00677254">
        <w:rPr>
          <w:vertAlign w:val="superscript"/>
          <w:lang w:val="fr-FR"/>
        </w:rPr>
        <w:t>er</w:t>
      </w:r>
      <w:r w:rsidR="006C50F8" w:rsidRPr="003A411E">
        <w:rPr>
          <w:lang w:val="fr-FR"/>
        </w:rPr>
        <w:t> décembre </w:t>
      </w:r>
      <w:r w:rsidR="008F1465" w:rsidRPr="003A411E">
        <w:rPr>
          <w:lang w:val="fr-FR"/>
        </w:rPr>
        <w:t xml:space="preserve">1988. </w:t>
      </w:r>
    </w:p>
    <w:p w14:paraId="5B4D4E2E" w14:textId="526A641E" w:rsidR="008F1465" w:rsidRPr="003A411E" w:rsidRDefault="00A324C5" w:rsidP="00115EE4">
      <w:pPr>
        <w:pStyle w:val="SingleTxtG"/>
        <w:rPr>
          <w:b/>
          <w:lang w:val="fr-FR"/>
        </w:rPr>
      </w:pPr>
      <w:r w:rsidRPr="003A411E">
        <w:rPr>
          <w:lang w:val="fr-FR"/>
        </w:rPr>
        <w:t>16</w:t>
      </w:r>
      <w:r w:rsidR="004E0A9C" w:rsidRPr="003A411E">
        <w:rPr>
          <w:lang w:val="fr-FR"/>
        </w:rPr>
        <w:t>1</w:t>
      </w:r>
      <w:r w:rsidRPr="003A411E">
        <w:rPr>
          <w:lang w:val="fr-FR"/>
        </w:rPr>
        <w:t>.</w:t>
      </w:r>
      <w:r w:rsidRPr="003A411E">
        <w:rPr>
          <w:b/>
          <w:lang w:val="fr-FR"/>
        </w:rPr>
        <w:tab/>
      </w:r>
      <w:r w:rsidR="008F1465" w:rsidRPr="003A411E">
        <w:rPr>
          <w:b/>
          <w:lang w:val="fr-FR"/>
        </w:rPr>
        <w:t>Le Sous-</w:t>
      </w:r>
      <w:r w:rsidR="006A2C77" w:rsidRPr="003A411E">
        <w:rPr>
          <w:b/>
          <w:lang w:val="fr-FR"/>
        </w:rPr>
        <w:t>C</w:t>
      </w:r>
      <w:r w:rsidR="008F1465" w:rsidRPr="003A411E">
        <w:rPr>
          <w:b/>
          <w:lang w:val="fr-FR"/>
        </w:rPr>
        <w:t xml:space="preserve">omité encourage l’État </w:t>
      </w:r>
      <w:r w:rsidR="006C50F8" w:rsidRPr="003A411E">
        <w:rPr>
          <w:b/>
          <w:lang w:val="fr-FR"/>
        </w:rPr>
        <w:t xml:space="preserve">partie </w:t>
      </w:r>
      <w:r w:rsidR="008F1465" w:rsidRPr="003A411E">
        <w:rPr>
          <w:b/>
          <w:lang w:val="fr-FR"/>
        </w:rPr>
        <w:t xml:space="preserve">à veiller à ce que </w:t>
      </w:r>
      <w:r w:rsidR="006C50F8" w:rsidRPr="003A411E">
        <w:rPr>
          <w:b/>
          <w:lang w:val="fr-FR"/>
        </w:rPr>
        <w:t>la</w:t>
      </w:r>
      <w:r w:rsidR="008F1465" w:rsidRPr="003A411E">
        <w:rPr>
          <w:b/>
          <w:lang w:val="fr-FR"/>
        </w:rPr>
        <w:t xml:space="preserve"> loi</w:t>
      </w:r>
      <w:r w:rsidR="006C50F8" w:rsidRPr="003A411E">
        <w:rPr>
          <w:b/>
          <w:lang w:val="fr-FR"/>
        </w:rPr>
        <w:t xml:space="preserve"> n</w:t>
      </w:r>
      <w:r w:rsidR="006C50F8" w:rsidRPr="00677254">
        <w:rPr>
          <w:b/>
          <w:vertAlign w:val="superscript"/>
          <w:lang w:val="fr-FR"/>
        </w:rPr>
        <w:t>o</w:t>
      </w:r>
      <w:r w:rsidR="006C50F8" w:rsidRPr="003A411E">
        <w:rPr>
          <w:b/>
          <w:lang w:val="fr-FR"/>
        </w:rPr>
        <w:t> 010</w:t>
      </w:r>
      <w:r w:rsidR="00115EE4" w:rsidRPr="003A411E">
        <w:rPr>
          <w:b/>
          <w:lang w:val="fr-FR"/>
        </w:rPr>
        <w:t>-</w:t>
      </w:r>
      <w:r w:rsidR="006C50F8" w:rsidRPr="003A411E">
        <w:rPr>
          <w:b/>
          <w:lang w:val="fr-FR"/>
        </w:rPr>
        <w:t>2017/AN</w:t>
      </w:r>
      <w:r w:rsidR="008F1465" w:rsidRPr="003A411E">
        <w:rPr>
          <w:b/>
          <w:lang w:val="fr-FR"/>
        </w:rPr>
        <w:t xml:space="preserve"> soit effectivement appliquée</w:t>
      </w:r>
      <w:r w:rsidR="006C50F8" w:rsidRPr="003A411E">
        <w:rPr>
          <w:b/>
          <w:lang w:val="fr-FR"/>
        </w:rPr>
        <w:t>,</w:t>
      </w:r>
      <w:r w:rsidR="008F1465" w:rsidRPr="003A411E">
        <w:rPr>
          <w:b/>
          <w:lang w:val="fr-FR"/>
        </w:rPr>
        <w:t xml:space="preserve"> afin </w:t>
      </w:r>
      <w:r w:rsidR="008F1465" w:rsidRPr="003A411E">
        <w:rPr>
          <w:b/>
        </w:rPr>
        <w:t>d’améliorer</w:t>
      </w:r>
      <w:r w:rsidR="008F1465" w:rsidRPr="003A411E">
        <w:rPr>
          <w:b/>
          <w:lang w:val="fr-FR"/>
        </w:rPr>
        <w:t xml:space="preserve"> les conditions </w:t>
      </w:r>
      <w:r w:rsidR="006C50F8" w:rsidRPr="003A411E">
        <w:rPr>
          <w:b/>
          <w:lang w:val="fr-FR"/>
        </w:rPr>
        <w:t xml:space="preserve">en milieu </w:t>
      </w:r>
      <w:r w:rsidR="008F1465" w:rsidRPr="003A411E">
        <w:rPr>
          <w:b/>
          <w:lang w:val="fr-FR"/>
        </w:rPr>
        <w:t>pénitentiaire.</w:t>
      </w:r>
    </w:p>
    <w:p w14:paraId="3FBD0F75" w14:textId="4EE23567" w:rsidR="008F1465" w:rsidRPr="003A411E" w:rsidRDefault="00A324C5" w:rsidP="004E0A9C">
      <w:pPr>
        <w:pStyle w:val="SingleTxtG"/>
        <w:rPr>
          <w:lang w:val="fr-FR"/>
        </w:rPr>
      </w:pPr>
      <w:r w:rsidRPr="003A411E">
        <w:rPr>
          <w:lang w:val="fr-FR"/>
        </w:rPr>
        <w:t>16</w:t>
      </w:r>
      <w:r w:rsidR="004E0A9C" w:rsidRPr="003A411E">
        <w:rPr>
          <w:lang w:val="fr-FR"/>
        </w:rPr>
        <w:t>2</w:t>
      </w:r>
      <w:r w:rsidRPr="003A411E">
        <w:rPr>
          <w:lang w:val="fr-FR"/>
        </w:rPr>
        <w:t>.</w:t>
      </w:r>
      <w:r w:rsidRPr="003A411E">
        <w:rPr>
          <w:lang w:val="fr-FR"/>
        </w:rPr>
        <w:tab/>
      </w:r>
      <w:r w:rsidR="008F1465" w:rsidRPr="003A411E">
        <w:rPr>
          <w:lang w:val="fr-FR"/>
        </w:rPr>
        <w:t xml:space="preserve">Le </w:t>
      </w:r>
      <w:r w:rsidR="008F1465" w:rsidRPr="003A411E">
        <w:t>Sous</w:t>
      </w:r>
      <w:r w:rsidR="008F1465" w:rsidRPr="003A411E">
        <w:rPr>
          <w:lang w:val="fr-FR"/>
        </w:rPr>
        <w:t>-</w:t>
      </w:r>
      <w:r w:rsidR="006A2C77" w:rsidRPr="003A411E">
        <w:rPr>
          <w:lang w:val="fr-FR"/>
        </w:rPr>
        <w:t>C</w:t>
      </w:r>
      <w:r w:rsidR="008F1465" w:rsidRPr="003A411E">
        <w:rPr>
          <w:lang w:val="fr-FR"/>
        </w:rPr>
        <w:t xml:space="preserve">omité a été informé de la révision du Code </w:t>
      </w:r>
      <w:r w:rsidR="006C50F8" w:rsidRPr="003A411E">
        <w:rPr>
          <w:lang w:val="fr-FR"/>
        </w:rPr>
        <w:t>p</w:t>
      </w:r>
      <w:r w:rsidR="008F1465" w:rsidRPr="003A411E">
        <w:rPr>
          <w:lang w:val="fr-FR"/>
        </w:rPr>
        <w:t xml:space="preserve">énal et du Code de </w:t>
      </w:r>
      <w:r w:rsidR="00433D8C" w:rsidRPr="003A411E">
        <w:rPr>
          <w:lang w:val="fr-FR"/>
        </w:rPr>
        <w:t>p</w:t>
      </w:r>
      <w:r w:rsidR="008F1465" w:rsidRPr="003A411E">
        <w:rPr>
          <w:lang w:val="fr-FR"/>
        </w:rPr>
        <w:t xml:space="preserve">rocédure </w:t>
      </w:r>
      <w:r w:rsidR="00433D8C" w:rsidRPr="003A411E">
        <w:rPr>
          <w:lang w:val="fr-FR"/>
        </w:rPr>
        <w:t>p</w:t>
      </w:r>
      <w:r w:rsidR="008F1465" w:rsidRPr="003A411E">
        <w:rPr>
          <w:lang w:val="fr-FR"/>
        </w:rPr>
        <w:t xml:space="preserve">énale </w:t>
      </w:r>
      <w:r w:rsidR="00433D8C" w:rsidRPr="003A411E">
        <w:rPr>
          <w:lang w:val="fr-FR"/>
        </w:rPr>
        <w:t>conformément aux</w:t>
      </w:r>
      <w:r w:rsidR="008F1465" w:rsidRPr="003A411E">
        <w:rPr>
          <w:lang w:val="fr-FR"/>
        </w:rPr>
        <w:t xml:space="preserve"> recommandations </w:t>
      </w:r>
      <w:r w:rsidR="00433D8C" w:rsidRPr="003A411E">
        <w:rPr>
          <w:lang w:val="fr-FR"/>
        </w:rPr>
        <w:t>formulées par le</w:t>
      </w:r>
      <w:r w:rsidR="008F1465" w:rsidRPr="003A411E">
        <w:rPr>
          <w:lang w:val="fr-FR"/>
        </w:rPr>
        <w:t xml:space="preserve"> Comité contre la </w:t>
      </w:r>
      <w:r w:rsidR="00433D8C" w:rsidRPr="003A411E">
        <w:rPr>
          <w:lang w:val="fr-FR"/>
        </w:rPr>
        <w:t>t</w:t>
      </w:r>
      <w:r w:rsidR="008F1465" w:rsidRPr="003A411E">
        <w:rPr>
          <w:lang w:val="fr-FR"/>
        </w:rPr>
        <w:t xml:space="preserve">orture </w:t>
      </w:r>
      <w:r w:rsidR="00433D8C" w:rsidRPr="003A411E">
        <w:rPr>
          <w:lang w:val="fr-FR"/>
        </w:rPr>
        <w:t xml:space="preserve">aux </w:t>
      </w:r>
      <w:r w:rsidR="008F1465" w:rsidRPr="003A411E">
        <w:rPr>
          <w:lang w:val="fr-FR"/>
        </w:rPr>
        <w:t>para</w:t>
      </w:r>
      <w:r w:rsidR="00433D8C" w:rsidRPr="003A411E">
        <w:rPr>
          <w:lang w:val="fr-FR"/>
        </w:rPr>
        <w:t>graphes</w:t>
      </w:r>
      <w:r w:rsidR="008F1465" w:rsidRPr="003A411E">
        <w:rPr>
          <w:lang w:val="fr-FR"/>
        </w:rPr>
        <w:t xml:space="preserve"> 8 et 11</w:t>
      </w:r>
      <w:r w:rsidR="00315603" w:rsidRPr="003A411E">
        <w:rPr>
          <w:lang w:val="fr-FR"/>
        </w:rPr>
        <w:t>, alinéa</w:t>
      </w:r>
      <w:r w:rsidR="00433D8C" w:rsidRPr="003A411E">
        <w:rPr>
          <w:lang w:val="fr-FR"/>
        </w:rPr>
        <w:t> </w:t>
      </w:r>
      <w:r w:rsidR="008F1465" w:rsidRPr="003A411E">
        <w:rPr>
          <w:lang w:val="fr-FR"/>
        </w:rPr>
        <w:t>b)</w:t>
      </w:r>
      <w:r w:rsidR="00315603" w:rsidRPr="003A411E">
        <w:rPr>
          <w:lang w:val="fr-FR"/>
        </w:rPr>
        <w:t>,</w:t>
      </w:r>
      <w:r w:rsidR="00433D8C" w:rsidRPr="003A411E">
        <w:rPr>
          <w:lang w:val="fr-FR"/>
        </w:rPr>
        <w:t xml:space="preserve"> de ses observations finales concernant le rapport initial du Burkina Faso (</w:t>
      </w:r>
      <w:hyperlink r:id="rId13" w:history="1">
        <w:r w:rsidR="00433D8C" w:rsidRPr="00E444C8">
          <w:rPr>
            <w:rStyle w:val="Lienhypertexte"/>
            <w:lang w:val="fr-FR"/>
          </w:rPr>
          <w:t>CAT/C/BFA/CO/1</w:t>
        </w:r>
      </w:hyperlink>
      <w:r w:rsidR="00433D8C" w:rsidRPr="003A411E">
        <w:rPr>
          <w:lang w:val="fr-FR"/>
        </w:rPr>
        <w:t>)</w:t>
      </w:r>
      <w:r w:rsidR="008F1465" w:rsidRPr="003A411E">
        <w:rPr>
          <w:lang w:val="fr-FR"/>
        </w:rPr>
        <w:t xml:space="preserve">. </w:t>
      </w:r>
    </w:p>
    <w:p w14:paraId="5306BFB0" w14:textId="730C4E91" w:rsidR="008F1465" w:rsidRPr="003A411E" w:rsidRDefault="00A324C5" w:rsidP="004E0A9C">
      <w:pPr>
        <w:pStyle w:val="SingleTxtG"/>
        <w:rPr>
          <w:b/>
          <w:lang w:val="fr-FR"/>
        </w:rPr>
      </w:pPr>
      <w:r w:rsidRPr="003A411E">
        <w:rPr>
          <w:lang w:val="fr-FR"/>
        </w:rPr>
        <w:t>16</w:t>
      </w:r>
      <w:r w:rsidR="004E0A9C" w:rsidRPr="003A411E">
        <w:rPr>
          <w:lang w:val="fr-FR"/>
        </w:rPr>
        <w:t>3</w:t>
      </w:r>
      <w:r w:rsidRPr="003A411E">
        <w:rPr>
          <w:lang w:val="fr-FR"/>
        </w:rPr>
        <w:t>.</w:t>
      </w:r>
      <w:r w:rsidRPr="003A411E">
        <w:rPr>
          <w:lang w:val="fr-FR"/>
        </w:rPr>
        <w:tab/>
      </w:r>
      <w:r w:rsidR="008F1465" w:rsidRPr="003A411E">
        <w:rPr>
          <w:b/>
          <w:lang w:val="fr-FR"/>
        </w:rPr>
        <w:t>Le Sous-</w:t>
      </w:r>
      <w:r w:rsidR="006A2C77" w:rsidRPr="003A411E">
        <w:rPr>
          <w:b/>
          <w:lang w:val="fr-FR"/>
        </w:rPr>
        <w:t>C</w:t>
      </w:r>
      <w:r w:rsidR="008F1465" w:rsidRPr="003A411E">
        <w:rPr>
          <w:b/>
          <w:lang w:val="fr-FR"/>
        </w:rPr>
        <w:t xml:space="preserve">omité encourage l’État partie </w:t>
      </w:r>
      <w:r w:rsidR="00433D8C" w:rsidRPr="003A411E">
        <w:rPr>
          <w:b/>
          <w:lang w:val="fr-FR"/>
        </w:rPr>
        <w:t>à</w:t>
      </w:r>
      <w:r w:rsidR="008F1465" w:rsidRPr="003A411E">
        <w:rPr>
          <w:b/>
          <w:lang w:val="fr-FR"/>
        </w:rPr>
        <w:t xml:space="preserve"> veiller à l’harmonisation </w:t>
      </w:r>
      <w:r w:rsidR="00433D8C" w:rsidRPr="003A411E">
        <w:rPr>
          <w:b/>
          <w:lang w:val="fr-FR"/>
        </w:rPr>
        <w:t>du Code pénal et du Code de procédure pénale</w:t>
      </w:r>
      <w:r w:rsidR="008F1465" w:rsidRPr="003A411E">
        <w:rPr>
          <w:b/>
          <w:lang w:val="fr-FR"/>
        </w:rPr>
        <w:t xml:space="preserve"> </w:t>
      </w:r>
      <w:r w:rsidR="00433D8C" w:rsidRPr="003A411E">
        <w:rPr>
          <w:b/>
          <w:lang w:val="fr-FR"/>
        </w:rPr>
        <w:t>avec les</w:t>
      </w:r>
      <w:r w:rsidR="008F1465" w:rsidRPr="003A411E">
        <w:rPr>
          <w:b/>
          <w:lang w:val="fr-FR"/>
        </w:rPr>
        <w:t xml:space="preserve"> normes </w:t>
      </w:r>
      <w:r w:rsidR="008F1465" w:rsidRPr="003A411E">
        <w:rPr>
          <w:b/>
        </w:rPr>
        <w:t>internationales</w:t>
      </w:r>
      <w:r w:rsidR="000D7A1B" w:rsidRPr="003A411E">
        <w:rPr>
          <w:b/>
          <w:lang w:val="fr-FR"/>
        </w:rPr>
        <w:t xml:space="preserve">, </w:t>
      </w:r>
      <w:r w:rsidR="00433D8C" w:rsidRPr="003A411E">
        <w:rPr>
          <w:b/>
          <w:lang w:val="fr-FR"/>
        </w:rPr>
        <w:t>et à</w:t>
      </w:r>
      <w:r w:rsidR="008F1465" w:rsidRPr="003A411E">
        <w:rPr>
          <w:b/>
          <w:lang w:val="fr-FR"/>
        </w:rPr>
        <w:t xml:space="preserve"> garantir le droit d’accès à un avocat dès les premiers instants de la garde à vue</w:t>
      </w:r>
      <w:r w:rsidR="00D22842" w:rsidRPr="003A411E">
        <w:rPr>
          <w:b/>
          <w:lang w:val="fr-FR"/>
        </w:rPr>
        <w:t>,</w:t>
      </w:r>
      <w:r w:rsidR="008F1465" w:rsidRPr="003A411E">
        <w:rPr>
          <w:b/>
          <w:lang w:val="fr-FR"/>
        </w:rPr>
        <w:t xml:space="preserve"> </w:t>
      </w:r>
      <w:r w:rsidR="00D22842" w:rsidRPr="003A411E">
        <w:rPr>
          <w:b/>
          <w:lang w:val="fr-FR"/>
        </w:rPr>
        <w:t>le droit</w:t>
      </w:r>
      <w:r w:rsidR="008F1465" w:rsidRPr="003A411E">
        <w:rPr>
          <w:b/>
          <w:lang w:val="fr-FR"/>
        </w:rPr>
        <w:t xml:space="preserve"> de prévenir sa famille ou ses proches ainsi que </w:t>
      </w:r>
      <w:r w:rsidR="00D22842" w:rsidRPr="003A411E">
        <w:rPr>
          <w:b/>
          <w:lang w:val="fr-FR"/>
        </w:rPr>
        <w:t xml:space="preserve">le droit </w:t>
      </w:r>
      <w:r w:rsidR="008F1465" w:rsidRPr="003A411E">
        <w:rPr>
          <w:b/>
          <w:lang w:val="fr-FR"/>
        </w:rPr>
        <w:t>d’avoir accès à un médecin.</w:t>
      </w:r>
    </w:p>
    <w:p w14:paraId="44F4A804" w14:textId="4AE4EBDC" w:rsidR="008F1465" w:rsidRPr="003A411E" w:rsidRDefault="00A324C5" w:rsidP="006469B1">
      <w:pPr>
        <w:pStyle w:val="SingleTxtG"/>
        <w:rPr>
          <w:bCs/>
          <w:lang w:val="fr-FR"/>
        </w:rPr>
      </w:pPr>
      <w:r w:rsidRPr="003A411E">
        <w:rPr>
          <w:bCs/>
          <w:lang w:val="fr-FR"/>
        </w:rPr>
        <w:t>16</w:t>
      </w:r>
      <w:r w:rsidR="004E0A9C" w:rsidRPr="003A411E">
        <w:rPr>
          <w:bCs/>
          <w:lang w:val="fr-FR"/>
        </w:rPr>
        <w:t>4</w:t>
      </w:r>
      <w:r w:rsidRPr="003A411E">
        <w:rPr>
          <w:bCs/>
          <w:lang w:val="fr-FR"/>
        </w:rPr>
        <w:t>.</w:t>
      </w:r>
      <w:r w:rsidRPr="003A411E">
        <w:rPr>
          <w:bCs/>
          <w:lang w:val="fr-FR"/>
        </w:rPr>
        <w:tab/>
      </w:r>
      <w:r w:rsidR="008F1465" w:rsidRPr="003A411E">
        <w:rPr>
          <w:bCs/>
          <w:lang w:val="fr-FR"/>
        </w:rPr>
        <w:t>Le Sous-</w:t>
      </w:r>
      <w:r w:rsidR="006A2C77" w:rsidRPr="003A411E">
        <w:rPr>
          <w:bCs/>
          <w:lang w:val="fr-FR"/>
        </w:rPr>
        <w:t>C</w:t>
      </w:r>
      <w:r w:rsidR="008F1465" w:rsidRPr="003A411E">
        <w:rPr>
          <w:bCs/>
          <w:lang w:val="fr-FR"/>
        </w:rPr>
        <w:t>omité prend note de la préoccupation de l’État partie relative aux «</w:t>
      </w:r>
      <w:r w:rsidR="00433D8C" w:rsidRPr="003A411E">
        <w:rPr>
          <w:bCs/>
          <w:lang w:val="fr-FR"/>
        </w:rPr>
        <w:t> </w:t>
      </w:r>
      <w:r w:rsidR="008F1465" w:rsidRPr="003A411E">
        <w:rPr>
          <w:bCs/>
          <w:lang w:val="fr-FR"/>
        </w:rPr>
        <w:t>groupes d’auto</w:t>
      </w:r>
      <w:r w:rsidR="008F1465" w:rsidRPr="003A411E">
        <w:t>défense</w:t>
      </w:r>
      <w:r w:rsidR="00433D8C" w:rsidRPr="003A411E">
        <w:t> </w:t>
      </w:r>
      <w:r w:rsidR="008F1465" w:rsidRPr="003A411E">
        <w:rPr>
          <w:bCs/>
          <w:lang w:val="fr-FR"/>
        </w:rPr>
        <w:t>» qui pratiquent régulièrement et impunément la torture et les mauvais traitements. Il salue les tentatives de l’État</w:t>
      </w:r>
      <w:r w:rsidR="00433D8C" w:rsidRPr="003A411E">
        <w:rPr>
          <w:bCs/>
          <w:lang w:val="fr-FR"/>
        </w:rPr>
        <w:t xml:space="preserve"> partie</w:t>
      </w:r>
      <w:r w:rsidR="008F1465" w:rsidRPr="003A411E">
        <w:rPr>
          <w:bCs/>
          <w:lang w:val="fr-FR"/>
        </w:rPr>
        <w:t xml:space="preserve"> </w:t>
      </w:r>
      <w:r w:rsidR="00433D8C" w:rsidRPr="003A411E">
        <w:rPr>
          <w:bCs/>
          <w:lang w:val="fr-FR"/>
        </w:rPr>
        <w:t>de</w:t>
      </w:r>
      <w:r w:rsidR="008F1465" w:rsidRPr="003A411E">
        <w:rPr>
          <w:bCs/>
          <w:lang w:val="fr-FR"/>
        </w:rPr>
        <w:t xml:space="preserve"> r</w:t>
      </w:r>
      <w:r w:rsidR="00433D8C" w:rsidRPr="003A411E">
        <w:rPr>
          <w:bCs/>
          <w:lang w:val="fr-FR"/>
        </w:rPr>
        <w:t>é</w:t>
      </w:r>
      <w:r w:rsidR="008F1465" w:rsidRPr="003A411E">
        <w:rPr>
          <w:bCs/>
          <w:lang w:val="fr-FR"/>
        </w:rPr>
        <w:t xml:space="preserve">glementer les activités de ces groupes, </w:t>
      </w:r>
      <w:r w:rsidR="008F1465" w:rsidRPr="003A411E">
        <w:rPr>
          <w:bCs/>
          <w:lang w:val="fr-FR"/>
        </w:rPr>
        <w:lastRenderedPageBreak/>
        <w:t xml:space="preserve">qui sévissent dans certaines zones du pays, notamment </w:t>
      </w:r>
      <w:r w:rsidR="00433D8C" w:rsidRPr="003A411E">
        <w:rPr>
          <w:bCs/>
          <w:lang w:val="fr-FR"/>
        </w:rPr>
        <w:t xml:space="preserve">par </w:t>
      </w:r>
      <w:r w:rsidR="008F1465" w:rsidRPr="003A411E">
        <w:rPr>
          <w:bCs/>
          <w:lang w:val="fr-FR"/>
        </w:rPr>
        <w:t xml:space="preserve">le </w:t>
      </w:r>
      <w:r w:rsidR="00433D8C" w:rsidRPr="003A411E">
        <w:rPr>
          <w:bCs/>
          <w:lang w:val="fr-FR"/>
        </w:rPr>
        <w:t>d</w:t>
      </w:r>
      <w:r w:rsidR="008F1465" w:rsidRPr="003A411E">
        <w:rPr>
          <w:bCs/>
          <w:lang w:val="fr-FR"/>
        </w:rPr>
        <w:t xml:space="preserve">écret </w:t>
      </w:r>
      <w:r w:rsidR="00433D8C" w:rsidRPr="003A411E">
        <w:rPr>
          <w:bCs/>
          <w:lang w:val="fr-FR"/>
        </w:rPr>
        <w:t>n</w:t>
      </w:r>
      <w:r w:rsidR="008F1465" w:rsidRPr="00677254">
        <w:rPr>
          <w:bCs/>
          <w:vertAlign w:val="superscript"/>
          <w:lang w:val="fr-FR"/>
        </w:rPr>
        <w:t>o</w:t>
      </w:r>
      <w:r w:rsidR="003E4D06">
        <w:rPr>
          <w:bCs/>
          <w:lang w:val="fr-FR"/>
        </w:rPr>
        <w:t> </w:t>
      </w:r>
      <w:r w:rsidR="008F1465" w:rsidRPr="003A411E">
        <w:rPr>
          <w:bCs/>
          <w:lang w:val="fr-FR"/>
        </w:rPr>
        <w:t>2016-1052/PRES</w:t>
      </w:r>
      <w:r w:rsidR="00433D8C" w:rsidRPr="003A411E">
        <w:t>/PM/MATDSI/MJDHPC/MINEFID/MEEVCC</w:t>
      </w:r>
      <w:r w:rsidR="008F1465" w:rsidRPr="003A411E">
        <w:rPr>
          <w:bCs/>
          <w:lang w:val="fr-FR"/>
        </w:rPr>
        <w:t xml:space="preserve"> portant définition des modalités de participation des populations à la mise en œuvre de la police de proximité. </w:t>
      </w:r>
      <w:r w:rsidR="006469B1" w:rsidRPr="003A411E">
        <w:rPr>
          <w:bCs/>
          <w:lang w:val="fr-FR"/>
        </w:rPr>
        <w:t>Ce dernier</w:t>
      </w:r>
      <w:r w:rsidR="008F1465" w:rsidRPr="003A411E">
        <w:rPr>
          <w:bCs/>
          <w:lang w:val="fr-FR"/>
        </w:rPr>
        <w:t xml:space="preserve"> interdit</w:t>
      </w:r>
      <w:r w:rsidR="006469B1" w:rsidRPr="003A411E">
        <w:rPr>
          <w:bCs/>
          <w:lang w:val="fr-FR"/>
        </w:rPr>
        <w:t xml:space="preserve"> entre autres en son article 12</w:t>
      </w:r>
      <w:r w:rsidR="008F1465" w:rsidRPr="003A411E">
        <w:rPr>
          <w:bCs/>
          <w:lang w:val="fr-FR"/>
        </w:rPr>
        <w:t>, au niveau de la structure communautaire locale de sécurité, la détention</w:t>
      </w:r>
      <w:r w:rsidR="006469B1" w:rsidRPr="003A411E">
        <w:rPr>
          <w:bCs/>
          <w:lang w:val="fr-FR"/>
        </w:rPr>
        <w:t>,</w:t>
      </w:r>
      <w:r w:rsidR="008F1465" w:rsidRPr="003A411E">
        <w:rPr>
          <w:bCs/>
          <w:lang w:val="fr-FR"/>
        </w:rPr>
        <w:t xml:space="preserve"> les sévices corporels</w:t>
      </w:r>
      <w:r w:rsidR="006469B1" w:rsidRPr="003A411E">
        <w:rPr>
          <w:bCs/>
          <w:lang w:val="fr-FR"/>
        </w:rPr>
        <w:t xml:space="preserve"> et</w:t>
      </w:r>
      <w:r w:rsidR="008F1465" w:rsidRPr="003A411E">
        <w:rPr>
          <w:bCs/>
          <w:lang w:val="fr-FR"/>
        </w:rPr>
        <w:t xml:space="preserve"> les traitements cruels, inhumains, dégradants et humiliants.</w:t>
      </w:r>
    </w:p>
    <w:p w14:paraId="78DE7C90" w14:textId="702CBF22" w:rsidR="008F1465" w:rsidRPr="003A411E" w:rsidRDefault="00A324C5" w:rsidP="004E0A9C">
      <w:pPr>
        <w:pStyle w:val="SingleTxtG"/>
        <w:rPr>
          <w:lang w:val="fr-FR"/>
        </w:rPr>
      </w:pPr>
      <w:r w:rsidRPr="003A411E">
        <w:rPr>
          <w:lang w:val="fr-FR"/>
        </w:rPr>
        <w:t>16</w:t>
      </w:r>
      <w:r w:rsidR="004E0A9C" w:rsidRPr="003A411E">
        <w:rPr>
          <w:lang w:val="fr-FR"/>
        </w:rPr>
        <w:t>5</w:t>
      </w:r>
      <w:r w:rsidRPr="003A411E">
        <w:rPr>
          <w:lang w:val="fr-FR"/>
        </w:rPr>
        <w:t>.</w:t>
      </w:r>
      <w:r w:rsidRPr="003A411E">
        <w:rPr>
          <w:b/>
          <w:lang w:val="fr-FR"/>
        </w:rPr>
        <w:tab/>
      </w:r>
      <w:r w:rsidR="008F1465" w:rsidRPr="003A411E">
        <w:rPr>
          <w:b/>
          <w:lang w:val="fr-FR"/>
        </w:rPr>
        <w:t>Le Sous-</w:t>
      </w:r>
      <w:r w:rsidR="006A2C77" w:rsidRPr="003A411E">
        <w:rPr>
          <w:b/>
          <w:lang w:val="fr-FR"/>
        </w:rPr>
        <w:t>C</w:t>
      </w:r>
      <w:r w:rsidR="008F1465" w:rsidRPr="003A411E">
        <w:rPr>
          <w:b/>
          <w:lang w:val="fr-FR"/>
        </w:rPr>
        <w:t xml:space="preserve">omité recommande </w:t>
      </w:r>
      <w:r w:rsidR="006469B1" w:rsidRPr="003A411E">
        <w:rPr>
          <w:b/>
          <w:lang w:val="fr-FR"/>
        </w:rPr>
        <w:t>à</w:t>
      </w:r>
      <w:r w:rsidR="008F1465" w:rsidRPr="003A411E">
        <w:rPr>
          <w:b/>
          <w:lang w:val="fr-FR"/>
        </w:rPr>
        <w:t xml:space="preserve"> l’État partie </w:t>
      </w:r>
      <w:r w:rsidR="006469B1" w:rsidRPr="003A411E">
        <w:rPr>
          <w:b/>
          <w:lang w:val="fr-FR"/>
        </w:rPr>
        <w:t>d’</w:t>
      </w:r>
      <w:r w:rsidR="008F1465" w:rsidRPr="003A411E">
        <w:rPr>
          <w:b/>
          <w:lang w:val="fr-FR"/>
        </w:rPr>
        <w:t xml:space="preserve">adopter toutes les mesures </w:t>
      </w:r>
      <w:r w:rsidR="006469B1" w:rsidRPr="003A411E">
        <w:rPr>
          <w:b/>
          <w:lang w:val="fr-FR"/>
        </w:rPr>
        <w:t xml:space="preserve">nécessaires </w:t>
      </w:r>
      <w:r w:rsidR="008F1465" w:rsidRPr="003A411E">
        <w:rPr>
          <w:b/>
          <w:lang w:val="fr-FR"/>
        </w:rPr>
        <w:t>pour faire cesser les activités des «</w:t>
      </w:r>
      <w:r w:rsidR="006469B1" w:rsidRPr="003A411E">
        <w:rPr>
          <w:b/>
          <w:lang w:val="fr-FR"/>
        </w:rPr>
        <w:t> </w:t>
      </w:r>
      <w:r w:rsidR="008F1465" w:rsidRPr="003A411E">
        <w:rPr>
          <w:b/>
          <w:lang w:val="fr-FR"/>
        </w:rPr>
        <w:t>groupes d’autodéfense</w:t>
      </w:r>
      <w:r w:rsidR="006469B1" w:rsidRPr="003A411E">
        <w:rPr>
          <w:b/>
          <w:lang w:val="fr-FR"/>
        </w:rPr>
        <w:t> </w:t>
      </w:r>
      <w:r w:rsidR="008F1465" w:rsidRPr="003A411E">
        <w:rPr>
          <w:b/>
          <w:lang w:val="fr-FR"/>
        </w:rPr>
        <w:t>» et rétablir l’ordre dans les zones du pays où ces groupes opèrent</w:t>
      </w:r>
      <w:r w:rsidR="006469B1" w:rsidRPr="003A411E">
        <w:rPr>
          <w:b/>
          <w:lang w:val="fr-FR"/>
        </w:rPr>
        <w:t>,</w:t>
      </w:r>
      <w:r w:rsidR="008F1465" w:rsidRPr="003A411E">
        <w:rPr>
          <w:b/>
          <w:lang w:val="fr-FR"/>
        </w:rPr>
        <w:t xml:space="preserve"> afin de </w:t>
      </w:r>
      <w:r w:rsidR="006469B1" w:rsidRPr="003A411E">
        <w:rPr>
          <w:b/>
          <w:lang w:val="fr-FR"/>
        </w:rPr>
        <w:t>mettre fin aux</w:t>
      </w:r>
      <w:r w:rsidR="008F1465" w:rsidRPr="003A411E">
        <w:rPr>
          <w:b/>
          <w:lang w:val="fr-FR"/>
        </w:rPr>
        <w:t xml:space="preserve"> actes de torture et </w:t>
      </w:r>
      <w:r w:rsidR="00115EE4" w:rsidRPr="003A411E">
        <w:rPr>
          <w:b/>
          <w:lang w:val="fr-FR"/>
        </w:rPr>
        <w:t>aux</w:t>
      </w:r>
      <w:r w:rsidR="008F1465" w:rsidRPr="003A411E">
        <w:rPr>
          <w:b/>
          <w:lang w:val="fr-FR"/>
        </w:rPr>
        <w:t xml:space="preserve"> mauvais traitement</w:t>
      </w:r>
      <w:r w:rsidR="006469B1" w:rsidRPr="003A411E">
        <w:rPr>
          <w:b/>
          <w:lang w:val="fr-FR"/>
        </w:rPr>
        <w:t>s</w:t>
      </w:r>
      <w:r w:rsidR="008F1465" w:rsidRPr="003A411E">
        <w:rPr>
          <w:b/>
          <w:lang w:val="fr-FR"/>
        </w:rPr>
        <w:t xml:space="preserve"> qu’ils pratiquent</w:t>
      </w:r>
      <w:r w:rsidR="006469B1" w:rsidRPr="003A411E">
        <w:rPr>
          <w:b/>
          <w:lang w:val="fr-FR"/>
        </w:rPr>
        <w:t>,</w:t>
      </w:r>
      <w:r w:rsidR="008F1465" w:rsidRPr="003A411E">
        <w:rPr>
          <w:b/>
          <w:lang w:val="fr-FR"/>
        </w:rPr>
        <w:t xml:space="preserve"> et </w:t>
      </w:r>
      <w:r w:rsidR="006469B1" w:rsidRPr="003A411E">
        <w:rPr>
          <w:b/>
          <w:lang w:val="fr-FR"/>
        </w:rPr>
        <w:t xml:space="preserve">de </w:t>
      </w:r>
      <w:r w:rsidR="008F1465" w:rsidRPr="003A411E">
        <w:rPr>
          <w:b/>
          <w:lang w:val="fr-FR"/>
        </w:rPr>
        <w:t>traduire en justice ceux qui pratiquent de</w:t>
      </w:r>
      <w:r w:rsidR="006469B1" w:rsidRPr="003A411E">
        <w:rPr>
          <w:b/>
          <w:lang w:val="fr-FR"/>
        </w:rPr>
        <w:t xml:space="preserve"> tel</w:t>
      </w:r>
      <w:r w:rsidR="008F1465" w:rsidRPr="003A411E">
        <w:rPr>
          <w:b/>
          <w:lang w:val="fr-FR"/>
        </w:rPr>
        <w:t xml:space="preserve">s actes. </w:t>
      </w:r>
    </w:p>
    <w:p w14:paraId="0A5D9BB9" w14:textId="7FAD7DE0" w:rsidR="008F1465" w:rsidRPr="003A411E" w:rsidRDefault="008F1465" w:rsidP="007F7A60">
      <w:pPr>
        <w:pStyle w:val="HChG"/>
        <w:rPr>
          <w:lang w:val="fr-FR"/>
        </w:rPr>
      </w:pPr>
      <w:r w:rsidRPr="003A411E">
        <w:rPr>
          <w:lang w:val="fr-FR"/>
        </w:rPr>
        <w:tab/>
        <w:t>VII.</w:t>
      </w:r>
      <w:r w:rsidRPr="003A411E">
        <w:rPr>
          <w:lang w:val="fr-FR"/>
        </w:rPr>
        <w:tab/>
      </w:r>
      <w:r w:rsidR="007F7A60" w:rsidRPr="003A411E">
        <w:rPr>
          <w:lang w:val="fr-FR"/>
        </w:rPr>
        <w:t>É</w:t>
      </w:r>
      <w:r w:rsidRPr="003A411E">
        <w:rPr>
          <w:lang w:val="fr-FR"/>
        </w:rPr>
        <w:t>tapes suivantes</w:t>
      </w:r>
    </w:p>
    <w:p w14:paraId="442BC1FA" w14:textId="3DC2E466" w:rsidR="008F1465" w:rsidRPr="003A411E" w:rsidRDefault="00A324C5" w:rsidP="004E0A9C">
      <w:pPr>
        <w:pStyle w:val="SingleTxtG"/>
        <w:rPr>
          <w:b/>
          <w:bCs/>
          <w:lang w:val="fr-FR"/>
        </w:rPr>
      </w:pPr>
      <w:r w:rsidRPr="003A411E">
        <w:rPr>
          <w:bCs/>
          <w:lang w:val="fr-FR"/>
        </w:rPr>
        <w:t>16</w:t>
      </w:r>
      <w:r w:rsidR="004E0A9C" w:rsidRPr="003A411E">
        <w:rPr>
          <w:bCs/>
          <w:lang w:val="fr-FR"/>
        </w:rPr>
        <w:t>6</w:t>
      </w:r>
      <w:r w:rsidRPr="003A411E">
        <w:rPr>
          <w:bCs/>
          <w:lang w:val="fr-FR"/>
        </w:rPr>
        <w:t>.</w:t>
      </w:r>
      <w:r w:rsidRPr="003A411E">
        <w:rPr>
          <w:b/>
          <w:bCs/>
          <w:lang w:val="fr-FR"/>
        </w:rPr>
        <w:tab/>
      </w:r>
      <w:r w:rsidR="008F1465" w:rsidRPr="003A411E">
        <w:rPr>
          <w:b/>
          <w:bCs/>
          <w:lang w:val="fr-FR"/>
        </w:rPr>
        <w:t xml:space="preserve">Le Sous-Comité demande qu’une réponse lui soit communiquée dans les six mois à compter de la date de transmission du présent rapport à la Mission permanente du Burkina Faso auprès </w:t>
      </w:r>
      <w:r w:rsidR="00D71196" w:rsidRPr="003A411E">
        <w:rPr>
          <w:b/>
          <w:bCs/>
          <w:lang w:val="fr-FR"/>
        </w:rPr>
        <w:t xml:space="preserve">de l’Office </w:t>
      </w:r>
      <w:r w:rsidR="008F1465" w:rsidRPr="003A411E">
        <w:rPr>
          <w:b/>
          <w:bCs/>
          <w:lang w:val="fr-FR"/>
        </w:rPr>
        <w:t xml:space="preserve">des Nations Unies </w:t>
      </w:r>
      <w:r w:rsidR="00D71196" w:rsidRPr="003A411E">
        <w:rPr>
          <w:b/>
          <w:bCs/>
          <w:lang w:val="fr-FR"/>
        </w:rPr>
        <w:t xml:space="preserve">et des autres organisations internationales </w:t>
      </w:r>
      <w:r w:rsidR="008F1465" w:rsidRPr="003A411E">
        <w:rPr>
          <w:b/>
          <w:bCs/>
          <w:lang w:val="fr-FR"/>
        </w:rPr>
        <w:t xml:space="preserve">à Genève. </w:t>
      </w:r>
    </w:p>
    <w:p w14:paraId="5DBD6F62" w14:textId="1DEEFF50" w:rsidR="008F1465" w:rsidRPr="003A411E" w:rsidRDefault="00A324C5" w:rsidP="00312B4F">
      <w:pPr>
        <w:pStyle w:val="SingleTxtG"/>
        <w:rPr>
          <w:b/>
          <w:bCs/>
          <w:lang w:val="fr-FR"/>
        </w:rPr>
      </w:pPr>
      <w:r w:rsidRPr="003A411E">
        <w:rPr>
          <w:bCs/>
          <w:lang w:val="fr-FR"/>
        </w:rPr>
        <w:t>16</w:t>
      </w:r>
      <w:r w:rsidR="004E0A9C" w:rsidRPr="003A411E">
        <w:rPr>
          <w:bCs/>
          <w:lang w:val="fr-FR"/>
        </w:rPr>
        <w:t>7</w:t>
      </w:r>
      <w:r w:rsidRPr="003A411E">
        <w:rPr>
          <w:bCs/>
          <w:lang w:val="fr-FR"/>
        </w:rPr>
        <w:t>.</w:t>
      </w:r>
      <w:r w:rsidRPr="003A411E">
        <w:rPr>
          <w:b/>
          <w:bCs/>
          <w:lang w:val="fr-FR"/>
        </w:rPr>
        <w:tab/>
      </w:r>
      <w:r w:rsidR="008F1465" w:rsidRPr="003A411E">
        <w:rPr>
          <w:b/>
          <w:bCs/>
          <w:lang w:val="fr-FR"/>
        </w:rPr>
        <w:t xml:space="preserve">Dans ce document, l’État partie </w:t>
      </w:r>
      <w:r w:rsidR="00312B4F" w:rsidRPr="003A411E">
        <w:rPr>
          <w:b/>
          <w:bCs/>
          <w:lang w:val="fr-FR"/>
        </w:rPr>
        <w:t>doit</w:t>
      </w:r>
      <w:r w:rsidR="008F1465" w:rsidRPr="003A411E">
        <w:rPr>
          <w:b/>
          <w:bCs/>
          <w:lang w:val="fr-FR"/>
        </w:rPr>
        <w:t xml:space="preserve"> répondre directement à toutes les </w:t>
      </w:r>
      <w:r w:rsidR="008F1465" w:rsidRPr="003A411E">
        <w:rPr>
          <w:b/>
        </w:rPr>
        <w:t>recommandations</w:t>
      </w:r>
      <w:r w:rsidR="008F1465" w:rsidRPr="003A411E">
        <w:rPr>
          <w:b/>
          <w:bCs/>
          <w:lang w:val="fr-FR"/>
        </w:rPr>
        <w:t xml:space="preserve"> et demandes de renseignements complémentaires formulées dans le </w:t>
      </w:r>
      <w:r w:rsidR="00D71196" w:rsidRPr="003A411E">
        <w:rPr>
          <w:b/>
          <w:bCs/>
          <w:lang w:val="fr-FR"/>
        </w:rPr>
        <w:t xml:space="preserve">présent </w:t>
      </w:r>
      <w:r w:rsidR="008F1465" w:rsidRPr="003A411E">
        <w:rPr>
          <w:b/>
          <w:bCs/>
          <w:lang w:val="fr-FR"/>
        </w:rPr>
        <w:t xml:space="preserve">rapport, et rendre compte en détail des mesures déjà prises ou prévues (accompagnées de calendriers d’exécution) pour donner suite aux recommandations. </w:t>
      </w:r>
    </w:p>
    <w:p w14:paraId="4766DB17" w14:textId="2F05B8FC" w:rsidR="008F1465" w:rsidRPr="003A411E" w:rsidRDefault="00A324C5" w:rsidP="00312B4F">
      <w:pPr>
        <w:pStyle w:val="SingleTxtG"/>
        <w:rPr>
          <w:b/>
          <w:bCs/>
          <w:lang w:val="fr-FR"/>
        </w:rPr>
      </w:pPr>
      <w:r w:rsidRPr="003A411E">
        <w:rPr>
          <w:bCs/>
          <w:lang w:val="fr-FR"/>
        </w:rPr>
        <w:t>1</w:t>
      </w:r>
      <w:r w:rsidR="004E0A9C" w:rsidRPr="003A411E">
        <w:rPr>
          <w:bCs/>
          <w:lang w:val="fr-FR"/>
        </w:rPr>
        <w:t>68</w:t>
      </w:r>
      <w:r w:rsidRPr="003A411E">
        <w:rPr>
          <w:bCs/>
          <w:lang w:val="fr-FR"/>
        </w:rPr>
        <w:t>.</w:t>
      </w:r>
      <w:r w:rsidRPr="003A411E">
        <w:rPr>
          <w:b/>
          <w:bCs/>
          <w:lang w:val="fr-FR"/>
        </w:rPr>
        <w:tab/>
      </w:r>
      <w:r w:rsidR="004E0A9C" w:rsidRPr="003A411E">
        <w:rPr>
          <w:b/>
          <w:bCs/>
          <w:lang w:val="fr-FR"/>
        </w:rPr>
        <w:t>La</w:t>
      </w:r>
      <w:r w:rsidR="008F1465" w:rsidRPr="003A411E">
        <w:rPr>
          <w:b/>
          <w:bCs/>
          <w:lang w:val="fr-FR"/>
        </w:rPr>
        <w:t xml:space="preserve"> réponse</w:t>
      </w:r>
      <w:r w:rsidR="004E0A9C" w:rsidRPr="003A411E">
        <w:rPr>
          <w:b/>
          <w:bCs/>
          <w:lang w:val="fr-FR"/>
        </w:rPr>
        <w:t xml:space="preserve"> de l’État partie</w:t>
      </w:r>
      <w:r w:rsidR="008F1465" w:rsidRPr="003A411E">
        <w:rPr>
          <w:b/>
          <w:bCs/>
          <w:lang w:val="fr-FR"/>
        </w:rPr>
        <w:t xml:space="preserve"> </w:t>
      </w:r>
      <w:r w:rsidR="00312B4F" w:rsidRPr="003A411E">
        <w:rPr>
          <w:b/>
          <w:bCs/>
          <w:lang w:val="fr-FR"/>
        </w:rPr>
        <w:t>doit</w:t>
      </w:r>
      <w:r w:rsidR="008F1465" w:rsidRPr="003A411E">
        <w:rPr>
          <w:b/>
          <w:bCs/>
          <w:lang w:val="fr-FR"/>
        </w:rPr>
        <w:t xml:space="preserve"> contenir des renseignements sur la mise en œuvre des </w:t>
      </w:r>
      <w:r w:rsidR="008F1465" w:rsidRPr="003A411E">
        <w:rPr>
          <w:b/>
        </w:rPr>
        <w:t>recommandations</w:t>
      </w:r>
      <w:r w:rsidR="008F1465" w:rsidRPr="003A411E">
        <w:rPr>
          <w:b/>
          <w:bCs/>
          <w:lang w:val="fr-FR"/>
        </w:rPr>
        <w:t xml:space="preserve"> portant spécifiquement sur certaines institutions </w:t>
      </w:r>
      <w:r w:rsidR="00D71196" w:rsidRPr="003A411E">
        <w:rPr>
          <w:b/>
          <w:bCs/>
          <w:lang w:val="fr-FR"/>
        </w:rPr>
        <w:t>ainsi que</w:t>
      </w:r>
      <w:r w:rsidR="008F1465" w:rsidRPr="003A411E">
        <w:rPr>
          <w:b/>
          <w:bCs/>
          <w:lang w:val="fr-FR"/>
        </w:rPr>
        <w:t xml:space="preserve"> sur les politiques et pratiques en général</w:t>
      </w:r>
      <w:r w:rsidR="008F1465" w:rsidRPr="00E375EF">
        <w:rPr>
          <w:rStyle w:val="Appelnotedebasdep"/>
        </w:rPr>
        <w:footnoteReference w:id="26"/>
      </w:r>
      <w:r w:rsidR="008F1465" w:rsidRPr="003A411E">
        <w:rPr>
          <w:b/>
          <w:bCs/>
          <w:lang w:val="fr-FR"/>
        </w:rPr>
        <w:t xml:space="preserve">. </w:t>
      </w:r>
    </w:p>
    <w:p w14:paraId="4FEFEF0D" w14:textId="09965A7E" w:rsidR="008F1465" w:rsidRPr="003A411E" w:rsidRDefault="00A324C5" w:rsidP="004E0A9C">
      <w:pPr>
        <w:pStyle w:val="SingleTxtG"/>
        <w:rPr>
          <w:b/>
          <w:bCs/>
          <w:lang w:val="fr-FR"/>
        </w:rPr>
      </w:pPr>
      <w:r w:rsidRPr="003A411E">
        <w:rPr>
          <w:bCs/>
          <w:lang w:val="fr-FR"/>
        </w:rPr>
        <w:t>1</w:t>
      </w:r>
      <w:r w:rsidR="004E0A9C" w:rsidRPr="003A411E">
        <w:rPr>
          <w:bCs/>
          <w:lang w:val="fr-FR"/>
        </w:rPr>
        <w:t>69</w:t>
      </w:r>
      <w:r w:rsidRPr="003A411E">
        <w:rPr>
          <w:bCs/>
          <w:lang w:val="fr-FR"/>
        </w:rPr>
        <w:t>.</w:t>
      </w:r>
      <w:r w:rsidRPr="003A411E">
        <w:rPr>
          <w:b/>
          <w:bCs/>
          <w:lang w:val="fr-FR"/>
        </w:rPr>
        <w:tab/>
      </w:r>
      <w:r w:rsidR="008F1465" w:rsidRPr="003A411E">
        <w:rPr>
          <w:b/>
          <w:bCs/>
          <w:lang w:val="fr-FR"/>
        </w:rPr>
        <w:t xml:space="preserve">L’article 15 du Protocole facultatif interdit toutes les sanctions et représailles, quelles qu’en soient la forme et la source, visant une personne qui a été en contact ou </w:t>
      </w:r>
      <w:r w:rsidR="00AB2E4E" w:rsidRPr="003A411E">
        <w:rPr>
          <w:b/>
          <w:bCs/>
          <w:lang w:val="fr-FR"/>
        </w:rPr>
        <w:t xml:space="preserve">a </w:t>
      </w:r>
      <w:r w:rsidR="008F1465" w:rsidRPr="003A411E">
        <w:rPr>
          <w:b/>
          <w:bCs/>
          <w:lang w:val="fr-FR"/>
        </w:rPr>
        <w:t>tenté d’être en contact avec le Sous-Comité. Le Sous-Comité rappelle au Burkina Faso l’obligation qui lui incombe de prévenir de telles sanctions ou représailles</w:t>
      </w:r>
      <w:r w:rsidR="004074CF" w:rsidRPr="003A411E">
        <w:rPr>
          <w:b/>
          <w:bCs/>
          <w:lang w:val="fr-FR"/>
        </w:rPr>
        <w:t>,</w:t>
      </w:r>
      <w:r w:rsidR="008F1465" w:rsidRPr="003A411E">
        <w:rPr>
          <w:b/>
          <w:bCs/>
          <w:lang w:val="fr-FR"/>
        </w:rPr>
        <w:t xml:space="preserve"> et le prie de fournir, dans sa réponse, des renseignements détaillés sur les mesures qu’il aura prises pour s’acquitter de cette obligation</w:t>
      </w:r>
      <w:r w:rsidR="008F1465" w:rsidRPr="00E375EF">
        <w:rPr>
          <w:rStyle w:val="Appelnotedebasdep"/>
        </w:rPr>
        <w:footnoteReference w:id="27"/>
      </w:r>
      <w:r w:rsidR="008F1465" w:rsidRPr="003A411E">
        <w:rPr>
          <w:b/>
          <w:bCs/>
          <w:lang w:val="fr-FR"/>
        </w:rPr>
        <w:t>.</w:t>
      </w:r>
    </w:p>
    <w:p w14:paraId="42B29C91" w14:textId="50BF4FDB" w:rsidR="008F1465" w:rsidRPr="003A411E" w:rsidRDefault="00A324C5" w:rsidP="004E0A9C">
      <w:pPr>
        <w:pStyle w:val="SingleTxtG"/>
        <w:rPr>
          <w:b/>
          <w:bCs/>
          <w:lang w:val="fr-FR"/>
        </w:rPr>
      </w:pPr>
      <w:r w:rsidRPr="003A411E">
        <w:rPr>
          <w:bCs/>
          <w:lang w:val="fr-FR"/>
        </w:rPr>
        <w:t>17</w:t>
      </w:r>
      <w:r w:rsidR="004E0A9C" w:rsidRPr="003A411E">
        <w:rPr>
          <w:bCs/>
          <w:lang w:val="fr-FR"/>
        </w:rPr>
        <w:t>0</w:t>
      </w:r>
      <w:r w:rsidRPr="003A411E">
        <w:rPr>
          <w:bCs/>
          <w:lang w:val="fr-FR"/>
        </w:rPr>
        <w:t>.</w:t>
      </w:r>
      <w:r w:rsidRPr="003A411E">
        <w:rPr>
          <w:b/>
          <w:bCs/>
          <w:lang w:val="fr-FR"/>
        </w:rPr>
        <w:tab/>
      </w:r>
      <w:r w:rsidR="008F1465" w:rsidRPr="003A411E">
        <w:rPr>
          <w:b/>
          <w:bCs/>
          <w:lang w:val="fr-FR"/>
        </w:rPr>
        <w:t xml:space="preserve">Le Sous-Comité rappelle que la prévention de la torture et des mauvais traitements constitue </w:t>
      </w:r>
      <w:r w:rsidR="008F1465" w:rsidRPr="003A411E">
        <w:rPr>
          <w:b/>
        </w:rPr>
        <w:t>une</w:t>
      </w:r>
      <w:r w:rsidR="008F1465" w:rsidRPr="003A411E">
        <w:rPr>
          <w:b/>
          <w:bCs/>
          <w:lang w:val="fr-FR"/>
        </w:rPr>
        <w:t xml:space="preserve"> obligation continue et de large portée de l’État partie</w:t>
      </w:r>
      <w:r w:rsidR="008F1465" w:rsidRPr="00E375EF">
        <w:rPr>
          <w:rStyle w:val="Appelnotedebasdep"/>
        </w:rPr>
        <w:footnoteReference w:id="28"/>
      </w:r>
      <w:r w:rsidR="008F1465" w:rsidRPr="003A411E">
        <w:rPr>
          <w:b/>
          <w:bCs/>
          <w:lang w:val="fr-FR"/>
        </w:rPr>
        <w:t xml:space="preserve">. </w:t>
      </w:r>
    </w:p>
    <w:p w14:paraId="592D2E28" w14:textId="566765BD" w:rsidR="008F1465" w:rsidRPr="003A411E" w:rsidRDefault="00A324C5" w:rsidP="004E0A9C">
      <w:pPr>
        <w:pStyle w:val="SingleTxtG"/>
        <w:rPr>
          <w:b/>
          <w:bCs/>
          <w:lang w:val="fr-FR"/>
        </w:rPr>
      </w:pPr>
      <w:r w:rsidRPr="003A411E">
        <w:rPr>
          <w:bCs/>
          <w:lang w:val="fr-FR"/>
        </w:rPr>
        <w:t>17</w:t>
      </w:r>
      <w:r w:rsidR="004E0A9C" w:rsidRPr="003A411E">
        <w:rPr>
          <w:bCs/>
          <w:lang w:val="fr-FR"/>
        </w:rPr>
        <w:t>1</w:t>
      </w:r>
      <w:r w:rsidRPr="003A411E">
        <w:rPr>
          <w:bCs/>
          <w:lang w:val="fr-FR"/>
        </w:rPr>
        <w:t>.</w:t>
      </w:r>
      <w:r w:rsidRPr="003A411E">
        <w:rPr>
          <w:b/>
          <w:bCs/>
          <w:lang w:val="fr-FR"/>
        </w:rPr>
        <w:tab/>
      </w:r>
      <w:r w:rsidR="008F1465" w:rsidRPr="003A411E">
        <w:rPr>
          <w:b/>
          <w:bCs/>
          <w:lang w:val="fr-FR"/>
        </w:rPr>
        <w:t xml:space="preserve">Le Sous-Comité considère que sa visite et le présent rapport font partie d’un dialogue continu. Il </w:t>
      </w:r>
      <w:r w:rsidR="008F1465" w:rsidRPr="003A411E">
        <w:rPr>
          <w:b/>
        </w:rPr>
        <w:t>reste</w:t>
      </w:r>
      <w:r w:rsidR="008F1465" w:rsidRPr="003A411E">
        <w:rPr>
          <w:b/>
          <w:bCs/>
          <w:lang w:val="fr-FR"/>
        </w:rPr>
        <w:t xml:space="preserve"> à la disposition du Burkina Faso en vue de l’aider à s’acquitter des obligations qui lui incombent en vertu du Protocole facultatif. </w:t>
      </w:r>
    </w:p>
    <w:p w14:paraId="7016514D" w14:textId="1B8C983D" w:rsidR="008F1465" w:rsidRPr="003A411E" w:rsidRDefault="00A324C5" w:rsidP="00677254">
      <w:pPr>
        <w:pStyle w:val="SingleTxtG"/>
      </w:pPr>
      <w:r w:rsidRPr="003A411E">
        <w:rPr>
          <w:bCs/>
          <w:lang w:val="fr-FR"/>
        </w:rPr>
        <w:t>17</w:t>
      </w:r>
      <w:r w:rsidR="004E0A9C" w:rsidRPr="003A411E">
        <w:rPr>
          <w:bCs/>
          <w:lang w:val="fr-FR"/>
        </w:rPr>
        <w:t>2</w:t>
      </w:r>
      <w:r w:rsidRPr="003A411E">
        <w:rPr>
          <w:bCs/>
          <w:lang w:val="fr-FR"/>
        </w:rPr>
        <w:t>.</w:t>
      </w:r>
      <w:r w:rsidRPr="003A411E">
        <w:rPr>
          <w:b/>
          <w:bCs/>
          <w:lang w:val="fr-FR"/>
        </w:rPr>
        <w:tab/>
      </w:r>
      <w:r w:rsidR="008F1465" w:rsidRPr="003A411E">
        <w:rPr>
          <w:b/>
          <w:bCs/>
          <w:lang w:val="fr-FR"/>
        </w:rPr>
        <w:t xml:space="preserve">Le Sous-Comité recommande </w:t>
      </w:r>
      <w:r w:rsidR="004074CF" w:rsidRPr="003A411E">
        <w:rPr>
          <w:b/>
          <w:bCs/>
          <w:lang w:val="fr-FR"/>
        </w:rPr>
        <w:t>aux autorités nationales du Burkina Faso</w:t>
      </w:r>
      <w:r w:rsidR="008F1465" w:rsidRPr="003A411E">
        <w:rPr>
          <w:b/>
          <w:bCs/>
          <w:lang w:val="fr-FR"/>
        </w:rPr>
        <w:t xml:space="preserve">, conformément </w:t>
      </w:r>
      <w:r w:rsidR="00315603" w:rsidRPr="003A411E">
        <w:rPr>
          <w:b/>
          <w:bCs/>
          <w:lang w:val="fr-FR"/>
        </w:rPr>
        <w:t>à</w:t>
      </w:r>
      <w:r w:rsidR="008F1465" w:rsidRPr="003A411E">
        <w:rPr>
          <w:b/>
          <w:bCs/>
          <w:lang w:val="fr-FR"/>
        </w:rPr>
        <w:t xml:space="preserve"> l’article 12</w:t>
      </w:r>
      <w:r w:rsidR="00315603" w:rsidRPr="003A411E">
        <w:rPr>
          <w:b/>
          <w:bCs/>
          <w:lang w:val="fr-FR"/>
        </w:rPr>
        <w:t>, alinéa d),</w:t>
      </w:r>
      <w:r w:rsidR="008F1465" w:rsidRPr="003A411E">
        <w:rPr>
          <w:b/>
          <w:bCs/>
          <w:lang w:val="fr-FR"/>
        </w:rPr>
        <w:t xml:space="preserve"> du Protocole </w:t>
      </w:r>
      <w:r w:rsidR="008F1465" w:rsidRPr="003A411E">
        <w:rPr>
          <w:b/>
        </w:rPr>
        <w:t>facultatif</w:t>
      </w:r>
      <w:r w:rsidR="008F1465" w:rsidRPr="003A411E">
        <w:rPr>
          <w:b/>
          <w:bCs/>
          <w:lang w:val="fr-FR"/>
        </w:rPr>
        <w:t xml:space="preserve">, </w:t>
      </w:r>
      <w:r w:rsidR="004074CF" w:rsidRPr="003A411E">
        <w:rPr>
          <w:b/>
          <w:bCs/>
          <w:lang w:val="fr-FR"/>
        </w:rPr>
        <w:t>d’engager</w:t>
      </w:r>
      <w:r w:rsidR="008F1465" w:rsidRPr="003A411E">
        <w:rPr>
          <w:b/>
          <w:bCs/>
          <w:lang w:val="fr-FR"/>
        </w:rPr>
        <w:t xml:space="preserve"> le dialogue avec le Sous-Comité au sujet de la suite donnée à ses recommandations</w:t>
      </w:r>
      <w:r w:rsidR="004074CF" w:rsidRPr="003A411E">
        <w:rPr>
          <w:b/>
          <w:bCs/>
          <w:lang w:val="fr-FR"/>
        </w:rPr>
        <w:t>,</w:t>
      </w:r>
      <w:r w:rsidR="008F1465" w:rsidRPr="003A411E">
        <w:rPr>
          <w:b/>
          <w:bCs/>
          <w:lang w:val="fr-FR"/>
        </w:rPr>
        <w:t xml:space="preserve"> dans les six mois qui </w:t>
      </w:r>
      <w:r w:rsidR="004074CF" w:rsidRPr="003A411E">
        <w:rPr>
          <w:b/>
          <w:bCs/>
          <w:lang w:val="fr-FR"/>
        </w:rPr>
        <w:t>suivront</w:t>
      </w:r>
      <w:r w:rsidR="008F1465" w:rsidRPr="003A411E">
        <w:rPr>
          <w:b/>
          <w:bCs/>
          <w:lang w:val="fr-FR"/>
        </w:rPr>
        <w:t xml:space="preserve"> la réception par le Sous-Comité de la réponse au présent rapport. Il</w:t>
      </w:r>
      <w:r w:rsidR="00DF1F8D">
        <w:rPr>
          <w:b/>
          <w:bCs/>
          <w:lang w:val="fr-FR"/>
        </w:rPr>
        <w:t> </w:t>
      </w:r>
      <w:r w:rsidR="008F1465" w:rsidRPr="003A411E">
        <w:rPr>
          <w:b/>
          <w:bCs/>
          <w:lang w:val="fr-FR"/>
        </w:rPr>
        <w:t>recommande également au Burkina Faso d’entamer des discussions avec le Sous-Comité sur les modalités de ce dialogue</w:t>
      </w:r>
      <w:r w:rsidR="004074CF" w:rsidRPr="003A411E">
        <w:rPr>
          <w:b/>
          <w:bCs/>
          <w:lang w:val="fr-FR"/>
        </w:rPr>
        <w:t>,</w:t>
      </w:r>
      <w:r w:rsidR="008F1465" w:rsidRPr="003A411E">
        <w:rPr>
          <w:b/>
          <w:bCs/>
          <w:lang w:val="fr-FR"/>
        </w:rPr>
        <w:t xml:space="preserve"> au moment où il soumettra sa réponse au présent rapport</w:t>
      </w:r>
      <w:r w:rsidR="008F1465" w:rsidRPr="00E375EF">
        <w:rPr>
          <w:rStyle w:val="Appelnotedebasdep"/>
        </w:rPr>
        <w:footnoteReference w:id="29"/>
      </w:r>
      <w:r w:rsidR="008F1465" w:rsidRPr="003A411E">
        <w:rPr>
          <w:b/>
          <w:bCs/>
          <w:lang w:val="fr-FR"/>
        </w:rPr>
        <w:t>.</w:t>
      </w:r>
      <w:r w:rsidR="008F1465" w:rsidRPr="003A411E">
        <w:rPr>
          <w:u w:val="single"/>
          <w:lang w:val="fr-FR"/>
        </w:rPr>
        <w:br w:type="page"/>
      </w:r>
    </w:p>
    <w:p w14:paraId="2DC03886" w14:textId="7BB92AC2" w:rsidR="00F64BBF" w:rsidRDefault="005B4B21">
      <w:pPr>
        <w:pStyle w:val="HChG"/>
      </w:pPr>
      <w:r w:rsidRPr="003A411E">
        <w:lastRenderedPageBreak/>
        <w:t>Annexe</w:t>
      </w:r>
      <w:r w:rsidR="004F7C99" w:rsidRPr="003A411E">
        <w:t>s</w:t>
      </w:r>
    </w:p>
    <w:p w14:paraId="2212E009" w14:textId="63DBE746" w:rsidR="004F7C99" w:rsidRPr="003A411E" w:rsidRDefault="004F7C99" w:rsidP="00677254">
      <w:pPr>
        <w:pStyle w:val="SingleTxtG"/>
        <w:jc w:val="right"/>
        <w:rPr>
          <w:lang w:val="fr-FR" w:eastAsia="es-ES"/>
        </w:rPr>
      </w:pPr>
      <w:r w:rsidRPr="003A411E">
        <w:tab/>
      </w:r>
      <w:r w:rsidRPr="003A411E">
        <w:rPr>
          <w:lang w:val="fr-FR"/>
        </w:rPr>
        <w:t xml:space="preserve">[Français </w:t>
      </w:r>
      <w:r w:rsidR="005766E4" w:rsidRPr="003A411E">
        <w:rPr>
          <w:lang w:val="fr-FR"/>
        </w:rPr>
        <w:t>seulement</w:t>
      </w:r>
      <w:r w:rsidRPr="003A411E">
        <w:rPr>
          <w:lang w:val="fr-FR"/>
        </w:rPr>
        <w:t>]</w:t>
      </w:r>
    </w:p>
    <w:p w14:paraId="2339DC81" w14:textId="1598CD91" w:rsidR="005B4B21" w:rsidRPr="003A411E" w:rsidRDefault="004F7C99" w:rsidP="004F7C99">
      <w:pPr>
        <w:pStyle w:val="HChG"/>
      </w:pPr>
      <w:r w:rsidRPr="003A411E">
        <w:t>Annexe</w:t>
      </w:r>
      <w:r w:rsidR="00364ABF" w:rsidRPr="003A411E">
        <w:t xml:space="preserve"> I</w:t>
      </w:r>
    </w:p>
    <w:p w14:paraId="7DCCF922" w14:textId="0F1DAEAF" w:rsidR="008F1465" w:rsidRPr="003A411E" w:rsidRDefault="005B4B21" w:rsidP="008F1465">
      <w:pPr>
        <w:keepNext/>
        <w:keepLines/>
        <w:tabs>
          <w:tab w:val="right" w:pos="851"/>
          <w:tab w:val="left" w:pos="4320"/>
          <w:tab w:val="left" w:pos="5040"/>
          <w:tab w:val="left" w:pos="6600"/>
          <w:tab w:val="left" w:pos="7200"/>
        </w:tabs>
        <w:spacing w:after="240" w:line="240" w:lineRule="auto"/>
        <w:ind w:right="1133"/>
        <w:jc w:val="right"/>
        <w:rPr>
          <w:i/>
          <w:iCs/>
          <w:lang w:val="fr-FR"/>
        </w:rPr>
      </w:pPr>
      <w:r w:rsidRPr="003A411E">
        <w:tab/>
      </w:r>
      <w:r w:rsidRPr="003A411E">
        <w:tab/>
      </w:r>
    </w:p>
    <w:p w14:paraId="3B7E7700" w14:textId="06444B30" w:rsidR="008F1465" w:rsidRPr="0038425D" w:rsidRDefault="008F1465" w:rsidP="0038425D">
      <w:pPr>
        <w:pStyle w:val="HChG"/>
      </w:pPr>
      <w:r w:rsidRPr="003A411E">
        <w:rPr>
          <w:sz w:val="24"/>
          <w:szCs w:val="24"/>
          <w:lang w:val="fr-FR"/>
        </w:rPr>
        <w:tab/>
      </w:r>
      <w:r w:rsidRPr="003A411E">
        <w:rPr>
          <w:sz w:val="24"/>
          <w:szCs w:val="24"/>
          <w:lang w:val="fr-FR"/>
        </w:rPr>
        <w:tab/>
      </w:r>
      <w:r w:rsidRPr="003A411E">
        <w:rPr>
          <w:lang w:val="fr-FR"/>
        </w:rPr>
        <w:t xml:space="preserve">Liste des </w:t>
      </w:r>
      <w:r w:rsidR="00E8190D" w:rsidRPr="003A411E">
        <w:rPr>
          <w:lang w:val="fr-FR"/>
        </w:rPr>
        <w:t>entités</w:t>
      </w:r>
      <w:r w:rsidRPr="003A411E">
        <w:rPr>
          <w:lang w:val="fr-FR"/>
        </w:rPr>
        <w:t xml:space="preserve"> rencontrées par le Sous-</w:t>
      </w:r>
      <w:r w:rsidR="00617360">
        <w:rPr>
          <w:lang w:val="fr-FR"/>
        </w:rPr>
        <w:t>C</w:t>
      </w:r>
      <w:r w:rsidRPr="003A411E">
        <w:rPr>
          <w:lang w:val="fr-FR"/>
        </w:rPr>
        <w:t>omité</w:t>
      </w:r>
    </w:p>
    <w:p w14:paraId="7DA81955" w14:textId="0505335A" w:rsidR="008F1465" w:rsidRPr="0038425D" w:rsidRDefault="008F1465" w:rsidP="0038425D">
      <w:pPr>
        <w:pStyle w:val="H1G"/>
      </w:pPr>
      <w:r w:rsidRPr="003A411E">
        <w:rPr>
          <w:lang w:val="fr-FR"/>
        </w:rPr>
        <w:tab/>
      </w:r>
      <w:r w:rsidR="00E45C08">
        <w:rPr>
          <w:lang w:val="fr-FR"/>
        </w:rPr>
        <w:t>1</w:t>
      </w:r>
      <w:r w:rsidRPr="003A411E">
        <w:rPr>
          <w:lang w:val="fr-FR"/>
        </w:rPr>
        <w:t xml:space="preserve">. </w:t>
      </w:r>
      <w:r w:rsidRPr="003A411E">
        <w:rPr>
          <w:lang w:val="fr-FR"/>
        </w:rPr>
        <w:tab/>
        <w:t>Autorités gouvernementales</w:t>
      </w:r>
    </w:p>
    <w:p w14:paraId="34E0C605" w14:textId="5ED3E35D" w:rsidR="008F1465" w:rsidRPr="00677254" w:rsidRDefault="008F1465" w:rsidP="00677254">
      <w:pPr>
        <w:pStyle w:val="H23G"/>
      </w:pPr>
      <w:r w:rsidRPr="003A411E">
        <w:rPr>
          <w:sz w:val="24"/>
          <w:szCs w:val="24"/>
          <w:lang w:val="fr-FR"/>
        </w:rPr>
        <w:tab/>
      </w:r>
      <w:r w:rsidRPr="003A411E">
        <w:rPr>
          <w:sz w:val="24"/>
          <w:szCs w:val="24"/>
          <w:lang w:val="fr-FR"/>
        </w:rPr>
        <w:tab/>
      </w:r>
      <w:r w:rsidRPr="003A411E">
        <w:rPr>
          <w:lang w:val="fr-FR" w:eastAsia="de-DE"/>
        </w:rPr>
        <w:t xml:space="preserve">Ministère de la </w:t>
      </w:r>
      <w:r w:rsidR="00617360">
        <w:rPr>
          <w:lang w:val="fr-FR" w:eastAsia="de-DE"/>
        </w:rPr>
        <w:t>j</w:t>
      </w:r>
      <w:r w:rsidRPr="003A411E">
        <w:rPr>
          <w:lang w:val="fr-FR" w:eastAsia="de-DE"/>
        </w:rPr>
        <w:t xml:space="preserve">ustice, des </w:t>
      </w:r>
      <w:r w:rsidR="00617360">
        <w:rPr>
          <w:lang w:val="fr-FR" w:eastAsia="de-DE"/>
        </w:rPr>
        <w:t>d</w:t>
      </w:r>
      <w:r w:rsidRPr="003A411E">
        <w:rPr>
          <w:lang w:val="fr-FR" w:eastAsia="de-DE"/>
        </w:rPr>
        <w:t xml:space="preserve">roits </w:t>
      </w:r>
      <w:r w:rsidR="00617360">
        <w:rPr>
          <w:lang w:val="fr-FR" w:eastAsia="de-DE"/>
        </w:rPr>
        <w:t>h</w:t>
      </w:r>
      <w:r w:rsidRPr="003A411E">
        <w:rPr>
          <w:lang w:val="fr-FR" w:eastAsia="de-DE"/>
        </w:rPr>
        <w:t xml:space="preserve">umains et de la </w:t>
      </w:r>
      <w:r w:rsidR="00617360">
        <w:rPr>
          <w:lang w:val="fr-FR" w:eastAsia="de-DE"/>
        </w:rPr>
        <w:t>p</w:t>
      </w:r>
      <w:r w:rsidRPr="003A411E">
        <w:rPr>
          <w:lang w:val="fr-FR" w:eastAsia="de-DE"/>
        </w:rPr>
        <w:t xml:space="preserve">romotion </w:t>
      </w:r>
      <w:r w:rsidR="00617360">
        <w:rPr>
          <w:lang w:val="fr-FR" w:eastAsia="de-DE"/>
        </w:rPr>
        <w:t>c</w:t>
      </w:r>
      <w:r w:rsidRPr="003A411E">
        <w:rPr>
          <w:lang w:val="fr-FR" w:eastAsia="de-DE"/>
        </w:rPr>
        <w:t>ivique</w:t>
      </w:r>
    </w:p>
    <w:p w14:paraId="2E197646" w14:textId="251C179C"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Secrétaire général</w:t>
      </w:r>
    </w:p>
    <w:p w14:paraId="21DB27B5" w14:textId="233AE2D0"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Directeur général de la défense des droits humains</w:t>
      </w:r>
    </w:p>
    <w:p w14:paraId="6F8F2125" w14:textId="5F783FF7"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 xml:space="preserve">Conseiller en droits humains du Cabinet </w:t>
      </w:r>
    </w:p>
    <w:p w14:paraId="60F772D7" w14:textId="12CD0CFF"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617360">
        <w:rPr>
          <w:rFonts w:eastAsia="Calibri"/>
          <w:lang w:val="fr-FR" w:eastAsia="de-DE"/>
        </w:rPr>
        <w:t>D</w:t>
      </w:r>
      <w:r w:rsidR="008F1465" w:rsidRPr="003A411E">
        <w:rPr>
          <w:rFonts w:eastAsia="Calibri"/>
          <w:lang w:val="fr-FR" w:eastAsia="de-DE"/>
        </w:rPr>
        <w:t>irecteur du suivi des accords internationaux</w:t>
      </w:r>
    </w:p>
    <w:p w14:paraId="0FFD7940" w14:textId="56CD0887"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Direction générale de la garde de sécurité pénitentiaire</w:t>
      </w:r>
    </w:p>
    <w:p w14:paraId="0A21493F" w14:textId="30FF8CE5"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Inspection technique des services</w:t>
      </w:r>
    </w:p>
    <w:p w14:paraId="3A03A3D2" w14:textId="47D42796"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Direction générale de la politique criminelle et du sceau</w:t>
      </w:r>
    </w:p>
    <w:p w14:paraId="38B07007" w14:textId="003D3984"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Direction générale de la promotion des droits humains</w:t>
      </w:r>
    </w:p>
    <w:p w14:paraId="54280369" w14:textId="248F26EC" w:rsidR="008F1465" w:rsidRPr="003A411E" w:rsidRDefault="008F1465" w:rsidP="00617360">
      <w:pPr>
        <w:pStyle w:val="H23G"/>
        <w:rPr>
          <w:lang w:val="fr-FR"/>
        </w:rPr>
      </w:pPr>
      <w:r w:rsidRPr="003A411E">
        <w:rPr>
          <w:sz w:val="24"/>
          <w:szCs w:val="24"/>
          <w:lang w:val="fr-FR"/>
        </w:rPr>
        <w:tab/>
      </w:r>
      <w:r w:rsidRPr="003A411E">
        <w:rPr>
          <w:lang w:val="fr-FR"/>
        </w:rPr>
        <w:tab/>
        <w:t>Ministère de l’</w:t>
      </w:r>
      <w:r w:rsidR="00617360">
        <w:rPr>
          <w:lang w:val="fr-FR"/>
        </w:rPr>
        <w:t>a</w:t>
      </w:r>
      <w:r w:rsidRPr="003A411E">
        <w:rPr>
          <w:lang w:val="fr-FR"/>
        </w:rPr>
        <w:t xml:space="preserve">dministration </w:t>
      </w:r>
      <w:r w:rsidR="00617360">
        <w:rPr>
          <w:lang w:val="fr-FR"/>
        </w:rPr>
        <w:t>t</w:t>
      </w:r>
      <w:r w:rsidRPr="003A411E">
        <w:rPr>
          <w:lang w:val="fr-FR"/>
        </w:rPr>
        <w:t>erritoriale</w:t>
      </w:r>
      <w:r w:rsidR="00617360">
        <w:rPr>
          <w:lang w:val="fr-FR"/>
        </w:rPr>
        <w:t>,</w:t>
      </w:r>
      <w:r w:rsidRPr="003A411E">
        <w:rPr>
          <w:lang w:val="fr-FR"/>
        </w:rPr>
        <w:t xml:space="preserve"> de la </w:t>
      </w:r>
      <w:r w:rsidR="00617360">
        <w:rPr>
          <w:lang w:val="fr-FR"/>
        </w:rPr>
        <w:t>d</w:t>
      </w:r>
      <w:r w:rsidRPr="003A411E">
        <w:rPr>
          <w:lang w:val="fr-FR"/>
        </w:rPr>
        <w:t xml:space="preserve">écentralisation et de la </w:t>
      </w:r>
      <w:r w:rsidR="00617360">
        <w:rPr>
          <w:lang w:val="fr-FR"/>
        </w:rPr>
        <w:t>s</w:t>
      </w:r>
      <w:r w:rsidRPr="003A411E">
        <w:rPr>
          <w:lang w:val="fr-FR"/>
        </w:rPr>
        <w:t xml:space="preserve">écurité </w:t>
      </w:r>
      <w:r w:rsidR="00617360">
        <w:rPr>
          <w:lang w:val="fr-FR"/>
        </w:rPr>
        <w:t>i</w:t>
      </w:r>
      <w:r w:rsidRPr="003A411E">
        <w:rPr>
          <w:lang w:val="fr-FR"/>
        </w:rPr>
        <w:t>ntérieure</w:t>
      </w:r>
    </w:p>
    <w:p w14:paraId="1E17BD52" w14:textId="37959335"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Direction général</w:t>
      </w:r>
      <w:r w:rsidR="00617360">
        <w:rPr>
          <w:lang w:val="fr-FR"/>
        </w:rPr>
        <w:t>e</w:t>
      </w:r>
      <w:r w:rsidR="008F1465" w:rsidRPr="003A411E">
        <w:rPr>
          <w:lang w:val="fr-FR"/>
        </w:rPr>
        <w:t xml:space="preserve"> de la </w:t>
      </w:r>
      <w:r w:rsidR="00617360">
        <w:rPr>
          <w:lang w:val="fr-FR"/>
        </w:rPr>
        <w:t>P</w:t>
      </w:r>
      <w:r w:rsidR="008F1465" w:rsidRPr="003A411E">
        <w:rPr>
          <w:lang w:val="fr-FR"/>
        </w:rPr>
        <w:t>olice nationale</w:t>
      </w:r>
    </w:p>
    <w:p w14:paraId="0FC6B507" w14:textId="099F2995" w:rsidR="008F1465" w:rsidRPr="003A411E" w:rsidRDefault="008F1465" w:rsidP="00617360">
      <w:pPr>
        <w:pStyle w:val="H23G"/>
        <w:rPr>
          <w:rFonts w:eastAsia="Calibri"/>
          <w:lang w:val="fr-FR" w:eastAsia="de-DE"/>
        </w:rPr>
      </w:pPr>
      <w:r w:rsidRPr="003A411E">
        <w:rPr>
          <w:rFonts w:eastAsia="Calibri"/>
          <w:lang w:val="fr-FR" w:eastAsia="de-DE"/>
        </w:rPr>
        <w:tab/>
      </w:r>
      <w:r w:rsidRPr="003A411E">
        <w:rPr>
          <w:rFonts w:eastAsia="Calibri"/>
          <w:lang w:val="fr-FR" w:eastAsia="de-DE"/>
        </w:rPr>
        <w:tab/>
        <w:t xml:space="preserve">Ministère de la </w:t>
      </w:r>
      <w:r w:rsidR="00617360">
        <w:rPr>
          <w:rFonts w:eastAsia="Calibri"/>
          <w:lang w:val="fr-FR" w:eastAsia="de-DE"/>
        </w:rPr>
        <w:t>f</w:t>
      </w:r>
      <w:r w:rsidRPr="003A411E">
        <w:rPr>
          <w:rFonts w:eastAsia="Calibri"/>
          <w:lang w:val="fr-FR" w:eastAsia="de-DE"/>
        </w:rPr>
        <w:t xml:space="preserve">emme, de la </w:t>
      </w:r>
      <w:r w:rsidR="00617360">
        <w:rPr>
          <w:rFonts w:eastAsia="Calibri"/>
          <w:lang w:val="fr-FR" w:eastAsia="de-DE"/>
        </w:rPr>
        <w:t>s</w:t>
      </w:r>
      <w:r w:rsidRPr="003A411E">
        <w:rPr>
          <w:rFonts w:eastAsia="Calibri"/>
          <w:lang w:val="fr-FR" w:eastAsia="de-DE"/>
        </w:rPr>
        <w:t xml:space="preserve">olidarité </w:t>
      </w:r>
      <w:r w:rsidR="00617360">
        <w:rPr>
          <w:rFonts w:eastAsia="Calibri"/>
          <w:lang w:val="fr-FR" w:eastAsia="de-DE"/>
        </w:rPr>
        <w:t>n</w:t>
      </w:r>
      <w:r w:rsidRPr="003A411E">
        <w:rPr>
          <w:rFonts w:eastAsia="Calibri"/>
          <w:lang w:val="fr-FR" w:eastAsia="de-DE"/>
        </w:rPr>
        <w:t xml:space="preserve">ationale et de la </w:t>
      </w:r>
      <w:r w:rsidR="00617360">
        <w:rPr>
          <w:rFonts w:eastAsia="Calibri"/>
          <w:lang w:val="fr-FR" w:eastAsia="de-DE"/>
        </w:rPr>
        <w:t>f</w:t>
      </w:r>
      <w:r w:rsidRPr="003A411E">
        <w:rPr>
          <w:rFonts w:eastAsia="Calibri"/>
          <w:lang w:val="fr-FR" w:eastAsia="de-DE"/>
        </w:rPr>
        <w:t xml:space="preserve">amille </w:t>
      </w:r>
    </w:p>
    <w:p w14:paraId="551B96E6" w14:textId="23EB0FD4" w:rsidR="008F1465" w:rsidRPr="003A411E" w:rsidRDefault="008F1465" w:rsidP="00617360">
      <w:pPr>
        <w:pStyle w:val="H23G"/>
        <w:rPr>
          <w:lang w:val="fr-FR"/>
        </w:rPr>
      </w:pPr>
      <w:r w:rsidRPr="003A411E">
        <w:rPr>
          <w:lang w:val="fr-FR"/>
        </w:rPr>
        <w:tab/>
      </w:r>
      <w:r w:rsidRPr="003A411E">
        <w:rPr>
          <w:lang w:val="fr-FR"/>
        </w:rPr>
        <w:tab/>
        <w:t xml:space="preserve">Ministère de la </w:t>
      </w:r>
      <w:r w:rsidR="00617360">
        <w:rPr>
          <w:lang w:val="fr-FR"/>
        </w:rPr>
        <w:t>d</w:t>
      </w:r>
      <w:r w:rsidRPr="003A411E">
        <w:rPr>
          <w:lang w:val="fr-FR"/>
        </w:rPr>
        <w:t xml:space="preserve">éfense </w:t>
      </w:r>
      <w:r w:rsidR="00617360">
        <w:rPr>
          <w:lang w:val="fr-FR"/>
        </w:rPr>
        <w:t>n</w:t>
      </w:r>
      <w:r w:rsidRPr="003A411E">
        <w:rPr>
          <w:lang w:val="fr-FR"/>
        </w:rPr>
        <w:t xml:space="preserve">ationale et des </w:t>
      </w:r>
      <w:r w:rsidR="00617360">
        <w:rPr>
          <w:lang w:val="fr-FR"/>
        </w:rPr>
        <w:t>a</w:t>
      </w:r>
      <w:r w:rsidRPr="003A411E">
        <w:rPr>
          <w:lang w:val="fr-FR"/>
        </w:rPr>
        <w:t xml:space="preserve">nciens </w:t>
      </w:r>
      <w:r w:rsidR="00617360">
        <w:rPr>
          <w:lang w:val="fr-FR"/>
        </w:rPr>
        <w:t>c</w:t>
      </w:r>
      <w:r w:rsidRPr="003A411E">
        <w:rPr>
          <w:lang w:val="fr-FR"/>
        </w:rPr>
        <w:t>ombattants</w:t>
      </w:r>
    </w:p>
    <w:p w14:paraId="1E78C8BA" w14:textId="6355299F" w:rsidR="008F1465" w:rsidRPr="00677254" w:rsidRDefault="008F1465" w:rsidP="00677254">
      <w:pPr>
        <w:pStyle w:val="H1G"/>
      </w:pPr>
      <w:r w:rsidRPr="003A411E">
        <w:rPr>
          <w:lang w:val="fr-FR"/>
        </w:rPr>
        <w:tab/>
      </w:r>
      <w:r w:rsidR="00E45C08">
        <w:rPr>
          <w:lang w:val="fr-FR"/>
        </w:rPr>
        <w:t>2</w:t>
      </w:r>
      <w:r w:rsidRPr="003A411E">
        <w:rPr>
          <w:lang w:val="fr-FR"/>
        </w:rPr>
        <w:t>.</w:t>
      </w:r>
      <w:r w:rsidRPr="003A411E">
        <w:rPr>
          <w:lang w:val="fr-FR"/>
        </w:rPr>
        <w:tab/>
        <w:t xml:space="preserve">Commission des affaires générales, institutionnelles et des droits humains de l’Assemblée </w:t>
      </w:r>
      <w:r w:rsidR="00617360">
        <w:rPr>
          <w:lang w:val="fr-FR"/>
        </w:rPr>
        <w:t>n</w:t>
      </w:r>
      <w:r w:rsidRPr="003A411E">
        <w:rPr>
          <w:lang w:val="fr-FR"/>
        </w:rPr>
        <w:t>ationale</w:t>
      </w:r>
    </w:p>
    <w:p w14:paraId="1AB952E0" w14:textId="4E914F21"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Député-Président </w:t>
      </w:r>
    </w:p>
    <w:p w14:paraId="52AD23E8" w14:textId="6D50C48D"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Députée adjointe du </w:t>
      </w:r>
      <w:r w:rsidR="00617360">
        <w:rPr>
          <w:lang w:val="fr-FR"/>
        </w:rPr>
        <w:t>P</w:t>
      </w:r>
      <w:r w:rsidR="008F1465" w:rsidRPr="003A411E">
        <w:rPr>
          <w:lang w:val="fr-FR"/>
        </w:rPr>
        <w:t>résident</w:t>
      </w:r>
    </w:p>
    <w:p w14:paraId="57474E87" w14:textId="6B8F2379"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sz w:val="24"/>
          <w:szCs w:val="24"/>
          <w:lang w:val="fr-FR"/>
        </w:rPr>
      </w:pPr>
      <w:r w:rsidRPr="003A411E">
        <w:rPr>
          <w:sz w:val="24"/>
          <w:szCs w:val="24"/>
          <w:lang w:val="fr-FR"/>
        </w:rPr>
        <w:t>•</w:t>
      </w:r>
      <w:r w:rsidRPr="003A411E">
        <w:rPr>
          <w:sz w:val="24"/>
          <w:szCs w:val="24"/>
          <w:lang w:val="fr-FR"/>
        </w:rPr>
        <w:tab/>
      </w:r>
      <w:r w:rsidR="008F1465" w:rsidRPr="003A411E">
        <w:rPr>
          <w:lang w:val="fr-FR"/>
        </w:rPr>
        <w:t>Cinq députés</w:t>
      </w:r>
      <w:r w:rsidR="008F1465" w:rsidRPr="003A411E">
        <w:rPr>
          <w:sz w:val="24"/>
          <w:szCs w:val="24"/>
          <w:lang w:val="fr-FR"/>
        </w:rPr>
        <w:t xml:space="preserve"> </w:t>
      </w:r>
      <w:r w:rsidR="008F1465" w:rsidRPr="003A411E">
        <w:rPr>
          <w:sz w:val="24"/>
          <w:szCs w:val="24"/>
          <w:lang w:val="fr-FR"/>
        </w:rPr>
        <w:tab/>
      </w:r>
    </w:p>
    <w:p w14:paraId="659C6350" w14:textId="063C9472" w:rsidR="008F1465" w:rsidRPr="00677254" w:rsidRDefault="00B814EE" w:rsidP="00677254">
      <w:pPr>
        <w:pStyle w:val="H1G"/>
      </w:pPr>
      <w:r>
        <w:rPr>
          <w:lang w:val="fr-FR"/>
        </w:rPr>
        <w:tab/>
      </w:r>
      <w:r w:rsidR="00E45C08">
        <w:rPr>
          <w:lang w:val="fr-FR"/>
        </w:rPr>
        <w:t>3</w:t>
      </w:r>
      <w:r w:rsidR="008F1465" w:rsidRPr="003A411E">
        <w:rPr>
          <w:lang w:val="fr-FR"/>
        </w:rPr>
        <w:t>.</w:t>
      </w:r>
      <w:r w:rsidR="00577779" w:rsidRPr="003A411E">
        <w:rPr>
          <w:lang w:val="fr-FR"/>
        </w:rPr>
        <w:t xml:space="preserve"> </w:t>
      </w:r>
      <w:r w:rsidR="00577779" w:rsidRPr="003A411E">
        <w:rPr>
          <w:lang w:val="fr-FR"/>
        </w:rPr>
        <w:tab/>
      </w:r>
      <w:r w:rsidR="00577779" w:rsidRPr="003A411E">
        <w:rPr>
          <w:lang w:val="fr-FR"/>
        </w:rPr>
        <w:tab/>
      </w:r>
      <w:r w:rsidR="008F1465" w:rsidRPr="003A411E">
        <w:rPr>
          <w:lang w:val="fr-FR"/>
        </w:rPr>
        <w:t>Cour d’appel de Ouagadougou</w:t>
      </w:r>
    </w:p>
    <w:p w14:paraId="3B9ADED6" w14:textId="4A52F508"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bCs/>
          <w:lang w:val="fr-FR"/>
        </w:rPr>
      </w:pPr>
      <w:r w:rsidRPr="003A411E">
        <w:rPr>
          <w:bCs/>
          <w:lang w:val="fr-FR"/>
        </w:rPr>
        <w:t>•</w:t>
      </w:r>
      <w:r w:rsidRPr="003A411E">
        <w:rPr>
          <w:bCs/>
          <w:lang w:val="fr-FR"/>
        </w:rPr>
        <w:tab/>
      </w:r>
      <w:r w:rsidR="008F1465" w:rsidRPr="003A411E">
        <w:rPr>
          <w:lang w:val="fr-FR"/>
        </w:rPr>
        <w:t>Procureur général</w:t>
      </w:r>
    </w:p>
    <w:p w14:paraId="3F638B5D" w14:textId="5D177BCE" w:rsidR="008F1465" w:rsidRPr="00677254" w:rsidRDefault="008F1465" w:rsidP="00677254">
      <w:pPr>
        <w:pStyle w:val="H1G"/>
      </w:pPr>
      <w:r w:rsidRPr="003A411E">
        <w:rPr>
          <w:lang w:val="fr-FR"/>
        </w:rPr>
        <w:tab/>
      </w:r>
      <w:r w:rsidR="00E45C08">
        <w:rPr>
          <w:lang w:val="fr-FR"/>
        </w:rPr>
        <w:t>4</w:t>
      </w:r>
      <w:r w:rsidRPr="003A411E">
        <w:rPr>
          <w:lang w:val="fr-FR"/>
        </w:rPr>
        <w:t>.</w:t>
      </w:r>
      <w:r w:rsidRPr="003A411E">
        <w:rPr>
          <w:lang w:val="fr-FR"/>
        </w:rPr>
        <w:tab/>
        <w:t xml:space="preserve">Organismes des Nations Unies </w:t>
      </w:r>
    </w:p>
    <w:p w14:paraId="68E63D88" w14:textId="5B00D75D"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Coordonnatrice résidente et représentante résidente </w:t>
      </w:r>
      <w:r w:rsidR="00617360">
        <w:rPr>
          <w:lang w:val="fr-FR"/>
        </w:rPr>
        <w:t xml:space="preserve">du </w:t>
      </w:r>
      <w:r w:rsidR="00E45C08">
        <w:rPr>
          <w:lang w:val="fr-FR"/>
        </w:rPr>
        <w:t>Programme des Nations Unies pour le développement</w:t>
      </w:r>
    </w:p>
    <w:p w14:paraId="63D386EF" w14:textId="28E1016F"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bCs/>
          <w:lang w:val="fr-FR"/>
        </w:rPr>
      </w:pPr>
      <w:r w:rsidRPr="003A411E">
        <w:rPr>
          <w:bCs/>
          <w:lang w:val="fr-FR"/>
        </w:rPr>
        <w:t>•</w:t>
      </w:r>
      <w:r w:rsidRPr="003A411E">
        <w:rPr>
          <w:bCs/>
          <w:lang w:val="fr-FR"/>
        </w:rPr>
        <w:tab/>
      </w:r>
      <w:r w:rsidR="008F1465" w:rsidRPr="003A411E">
        <w:rPr>
          <w:lang w:val="fr-FR"/>
        </w:rPr>
        <w:t xml:space="preserve">Directeur </w:t>
      </w:r>
      <w:r w:rsidR="00E45C08">
        <w:rPr>
          <w:lang w:val="fr-FR"/>
        </w:rPr>
        <w:t xml:space="preserve">de </w:t>
      </w:r>
      <w:r w:rsidR="008F1465" w:rsidRPr="003A411E">
        <w:rPr>
          <w:lang w:val="fr-FR"/>
        </w:rPr>
        <w:t xml:space="preserve">pays et troisième personne du </w:t>
      </w:r>
      <w:r w:rsidR="00E45C08">
        <w:rPr>
          <w:lang w:val="fr-FR"/>
        </w:rPr>
        <w:t>Programme des Nations Unies pour le développement</w:t>
      </w:r>
    </w:p>
    <w:p w14:paraId="44EC7AAE" w14:textId="23BD1BD2" w:rsidR="008F1465" w:rsidRPr="00677254" w:rsidRDefault="00677254" w:rsidP="00677254">
      <w:pPr>
        <w:pStyle w:val="Bullet1G"/>
        <w:numPr>
          <w:ilvl w:val="0"/>
          <w:numId w:val="0"/>
        </w:numPr>
        <w:tabs>
          <w:tab w:val="left" w:pos="1701"/>
        </w:tabs>
        <w:kinsoku/>
        <w:overflowPunct/>
        <w:autoSpaceDE/>
        <w:autoSpaceDN/>
        <w:adjustRightInd/>
        <w:snapToGrid/>
        <w:ind w:left="1701" w:hanging="170"/>
        <w:rPr>
          <w:bCs/>
        </w:rPr>
      </w:pPr>
      <w:r w:rsidRPr="00677254">
        <w:rPr>
          <w:bCs/>
        </w:rPr>
        <w:t>•</w:t>
      </w:r>
      <w:r w:rsidRPr="00677254">
        <w:rPr>
          <w:bCs/>
        </w:rPr>
        <w:tab/>
      </w:r>
      <w:r w:rsidR="00E45C08" w:rsidRPr="00677254">
        <w:t>Organisation mondiale de la Santé</w:t>
      </w:r>
    </w:p>
    <w:p w14:paraId="3F2B48B7" w14:textId="36CE4F18" w:rsidR="008F1465" w:rsidRPr="00677254" w:rsidRDefault="00677254" w:rsidP="00677254">
      <w:pPr>
        <w:pStyle w:val="Bullet1G"/>
        <w:numPr>
          <w:ilvl w:val="0"/>
          <w:numId w:val="0"/>
        </w:numPr>
        <w:tabs>
          <w:tab w:val="left" w:pos="1701"/>
        </w:tabs>
        <w:kinsoku/>
        <w:overflowPunct/>
        <w:autoSpaceDE/>
        <w:autoSpaceDN/>
        <w:adjustRightInd/>
        <w:snapToGrid/>
        <w:ind w:left="1701" w:hanging="170"/>
        <w:rPr>
          <w:bCs/>
        </w:rPr>
      </w:pPr>
      <w:r w:rsidRPr="00677254">
        <w:rPr>
          <w:bCs/>
        </w:rPr>
        <w:lastRenderedPageBreak/>
        <w:t>•</w:t>
      </w:r>
      <w:r w:rsidRPr="00677254">
        <w:rPr>
          <w:bCs/>
        </w:rPr>
        <w:tab/>
      </w:r>
      <w:r w:rsidR="00E45C08" w:rsidRPr="00677254">
        <w:t>Programme alimentaire mondial</w:t>
      </w:r>
    </w:p>
    <w:p w14:paraId="7A9176B5" w14:textId="510E909A"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bCs/>
          <w:lang w:val="fr-FR"/>
        </w:rPr>
      </w:pPr>
      <w:r w:rsidRPr="003A411E">
        <w:rPr>
          <w:bCs/>
          <w:lang w:val="fr-FR"/>
        </w:rPr>
        <w:t>•</w:t>
      </w:r>
      <w:r w:rsidRPr="003A411E">
        <w:rPr>
          <w:bCs/>
          <w:lang w:val="fr-FR"/>
        </w:rPr>
        <w:tab/>
      </w:r>
      <w:r w:rsidR="00E45C08">
        <w:rPr>
          <w:lang w:val="fr-FR"/>
        </w:rPr>
        <w:t>Haut-Commissariat des Nations Unies pour les réfugiés</w:t>
      </w:r>
    </w:p>
    <w:p w14:paraId="398402FA" w14:textId="4ED0301F" w:rsidR="008F1465" w:rsidRPr="003A411E" w:rsidRDefault="008F1465" w:rsidP="00677254">
      <w:pPr>
        <w:pStyle w:val="H1G"/>
        <w:rPr>
          <w:lang w:val="fr-FR"/>
        </w:rPr>
      </w:pPr>
      <w:r w:rsidRPr="003A411E">
        <w:rPr>
          <w:lang w:val="fr-FR"/>
        </w:rPr>
        <w:tab/>
      </w:r>
      <w:r w:rsidR="00E45C08">
        <w:rPr>
          <w:lang w:val="fr-FR"/>
        </w:rPr>
        <w:t>5</w:t>
      </w:r>
      <w:r w:rsidRPr="003A411E">
        <w:rPr>
          <w:lang w:val="fr-FR"/>
        </w:rPr>
        <w:t>.</w:t>
      </w:r>
      <w:r w:rsidRPr="003A411E">
        <w:rPr>
          <w:lang w:val="fr-FR"/>
        </w:rPr>
        <w:tab/>
        <w:t xml:space="preserve">Commission </w:t>
      </w:r>
      <w:r w:rsidR="00E45C08">
        <w:rPr>
          <w:lang w:val="fr-FR"/>
        </w:rPr>
        <w:t>n</w:t>
      </w:r>
      <w:r w:rsidRPr="003A411E">
        <w:rPr>
          <w:lang w:val="fr-FR"/>
        </w:rPr>
        <w:t xml:space="preserve">ationale des </w:t>
      </w:r>
      <w:r w:rsidR="00E45C08">
        <w:rPr>
          <w:lang w:val="fr-FR"/>
        </w:rPr>
        <w:t>d</w:t>
      </w:r>
      <w:r w:rsidRPr="003A411E">
        <w:rPr>
          <w:lang w:val="fr-FR"/>
        </w:rPr>
        <w:t xml:space="preserve">roits </w:t>
      </w:r>
      <w:r w:rsidR="00E45C08">
        <w:rPr>
          <w:lang w:val="fr-FR"/>
        </w:rPr>
        <w:t>h</w:t>
      </w:r>
      <w:r w:rsidRPr="003A411E">
        <w:rPr>
          <w:lang w:val="fr-FR"/>
        </w:rPr>
        <w:t>umains</w:t>
      </w:r>
    </w:p>
    <w:p w14:paraId="1873092A" w14:textId="38813D04" w:rsidR="008F1465" w:rsidRPr="003A411E" w:rsidRDefault="00677254" w:rsidP="00677254">
      <w:pPr>
        <w:pStyle w:val="Bullet1G"/>
        <w:numPr>
          <w:ilvl w:val="0"/>
          <w:numId w:val="0"/>
        </w:numPr>
        <w:tabs>
          <w:tab w:val="left" w:pos="1701"/>
        </w:tabs>
        <w:ind w:left="1701" w:hanging="170"/>
        <w:rPr>
          <w:lang w:val="fr-FR" w:eastAsia="de-DE"/>
        </w:rPr>
      </w:pPr>
      <w:r w:rsidRPr="003A411E">
        <w:rPr>
          <w:lang w:val="fr-FR" w:eastAsia="de-DE"/>
        </w:rPr>
        <w:t>•</w:t>
      </w:r>
      <w:r w:rsidRPr="003A411E">
        <w:rPr>
          <w:lang w:val="fr-FR" w:eastAsia="de-DE"/>
        </w:rPr>
        <w:tab/>
      </w:r>
      <w:r w:rsidR="008F1465" w:rsidRPr="003A411E">
        <w:rPr>
          <w:lang w:val="fr-FR" w:eastAsia="de-DE"/>
        </w:rPr>
        <w:t>Président</w:t>
      </w:r>
    </w:p>
    <w:p w14:paraId="103349A8" w14:textId="76DA8730"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Secrétaire général</w:t>
      </w:r>
    </w:p>
    <w:p w14:paraId="1A9D6AC1" w14:textId="1D44E38E"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Conseiller</w:t>
      </w:r>
    </w:p>
    <w:p w14:paraId="241534D9" w14:textId="4008662F"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Attaché</w:t>
      </w:r>
    </w:p>
    <w:p w14:paraId="5C992E4A" w14:textId="23D2EEE1" w:rsidR="008F1465" w:rsidRPr="00677254" w:rsidRDefault="008F1465" w:rsidP="00677254">
      <w:pPr>
        <w:pStyle w:val="H1G"/>
      </w:pPr>
      <w:r w:rsidRPr="003A411E">
        <w:rPr>
          <w:lang w:val="fr-FR"/>
        </w:rPr>
        <w:tab/>
      </w:r>
      <w:r w:rsidR="00B814EE">
        <w:rPr>
          <w:lang w:val="fr-FR"/>
        </w:rPr>
        <w:t>6</w:t>
      </w:r>
      <w:r w:rsidRPr="003A411E">
        <w:rPr>
          <w:lang w:val="fr-FR"/>
        </w:rPr>
        <w:t xml:space="preserve">. </w:t>
      </w:r>
      <w:r w:rsidRPr="003A411E">
        <w:rPr>
          <w:lang w:val="fr-FR"/>
        </w:rPr>
        <w:tab/>
        <w:t>Société civile</w:t>
      </w:r>
    </w:p>
    <w:p w14:paraId="7B91B554" w14:textId="6E22EA81" w:rsidR="008F1465" w:rsidRPr="00677254" w:rsidRDefault="008F1465" w:rsidP="00677254">
      <w:pPr>
        <w:pStyle w:val="H23G"/>
      </w:pPr>
      <w:r w:rsidRPr="003A411E">
        <w:rPr>
          <w:sz w:val="24"/>
          <w:szCs w:val="24"/>
          <w:lang w:val="fr-FR"/>
        </w:rPr>
        <w:tab/>
      </w:r>
      <w:r w:rsidRPr="003A411E">
        <w:rPr>
          <w:sz w:val="24"/>
          <w:szCs w:val="24"/>
          <w:lang w:val="fr-FR"/>
        </w:rPr>
        <w:tab/>
      </w:r>
      <w:r w:rsidRPr="003A411E">
        <w:rPr>
          <w:lang w:val="fr-FR"/>
        </w:rPr>
        <w:t xml:space="preserve">Ordre des </w:t>
      </w:r>
      <w:r w:rsidR="00E45C08">
        <w:rPr>
          <w:lang w:val="fr-FR"/>
        </w:rPr>
        <w:t>a</w:t>
      </w:r>
      <w:r w:rsidRPr="003A411E">
        <w:rPr>
          <w:lang w:val="fr-FR"/>
        </w:rPr>
        <w:t xml:space="preserve">vocats du Burkina Faso </w:t>
      </w:r>
    </w:p>
    <w:p w14:paraId="1FE65FAA" w14:textId="3E82EE9A"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Deux représentants </w:t>
      </w:r>
    </w:p>
    <w:p w14:paraId="63F0B1E1" w14:textId="7D30E831" w:rsidR="008F1465" w:rsidRPr="003A411E" w:rsidRDefault="008F1465" w:rsidP="00677254">
      <w:pPr>
        <w:pStyle w:val="H23G"/>
        <w:rPr>
          <w:lang w:val="fr-FR"/>
        </w:rPr>
      </w:pPr>
      <w:r w:rsidRPr="003A411E">
        <w:rPr>
          <w:sz w:val="24"/>
          <w:szCs w:val="24"/>
          <w:lang w:val="fr-FR"/>
        </w:rPr>
        <w:tab/>
      </w:r>
      <w:r w:rsidRPr="003A411E">
        <w:rPr>
          <w:sz w:val="24"/>
          <w:szCs w:val="24"/>
          <w:lang w:val="fr-FR"/>
        </w:rPr>
        <w:tab/>
      </w:r>
      <w:r w:rsidRPr="003A411E">
        <w:rPr>
          <w:lang w:val="fr-FR"/>
        </w:rPr>
        <w:t xml:space="preserve">Ordre </w:t>
      </w:r>
      <w:r w:rsidR="00E45C08">
        <w:rPr>
          <w:lang w:val="fr-FR"/>
        </w:rPr>
        <w:t>n</w:t>
      </w:r>
      <w:r w:rsidRPr="003A411E">
        <w:rPr>
          <w:lang w:val="fr-FR"/>
        </w:rPr>
        <w:t xml:space="preserve">ational des </w:t>
      </w:r>
      <w:r w:rsidR="00E45C08">
        <w:rPr>
          <w:lang w:val="fr-FR"/>
        </w:rPr>
        <w:t>m</w:t>
      </w:r>
      <w:r w:rsidRPr="003A411E">
        <w:rPr>
          <w:lang w:val="fr-FR"/>
        </w:rPr>
        <w:t xml:space="preserve">édecins du Burkina Faso - Conseil </w:t>
      </w:r>
      <w:r w:rsidR="00E45C08">
        <w:rPr>
          <w:lang w:val="fr-FR"/>
        </w:rPr>
        <w:t>r</w:t>
      </w:r>
      <w:r w:rsidRPr="003A411E">
        <w:rPr>
          <w:lang w:val="fr-FR"/>
        </w:rPr>
        <w:t>égional de l’</w:t>
      </w:r>
      <w:r w:rsidR="00E45C08">
        <w:rPr>
          <w:lang w:val="fr-FR"/>
        </w:rPr>
        <w:t>o</w:t>
      </w:r>
      <w:r w:rsidRPr="003A411E">
        <w:rPr>
          <w:lang w:val="fr-FR"/>
        </w:rPr>
        <w:t>rdre des</w:t>
      </w:r>
      <w:r w:rsidR="00042E07">
        <w:rPr>
          <w:lang w:val="fr-FR"/>
        </w:rPr>
        <w:t> </w:t>
      </w:r>
      <w:r w:rsidR="00E45C08">
        <w:rPr>
          <w:lang w:val="fr-FR"/>
        </w:rPr>
        <w:t>m</w:t>
      </w:r>
      <w:r w:rsidRPr="003A411E">
        <w:rPr>
          <w:lang w:val="fr-FR"/>
        </w:rPr>
        <w:t>édecins de Ouagadougou</w:t>
      </w:r>
    </w:p>
    <w:p w14:paraId="23E4FCA0" w14:textId="366AE93F"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Président et deux médecins</w:t>
      </w:r>
    </w:p>
    <w:p w14:paraId="22BC5194" w14:textId="58489F41" w:rsidR="008F1465" w:rsidRPr="0038425D" w:rsidRDefault="008F1465" w:rsidP="0038425D">
      <w:pPr>
        <w:pStyle w:val="H23G"/>
      </w:pPr>
      <w:r w:rsidRPr="003A411E">
        <w:rPr>
          <w:sz w:val="24"/>
          <w:szCs w:val="24"/>
          <w:lang w:val="fr-FR"/>
        </w:rPr>
        <w:tab/>
      </w:r>
      <w:r w:rsidRPr="003A411E">
        <w:rPr>
          <w:sz w:val="24"/>
          <w:szCs w:val="24"/>
          <w:lang w:val="fr-FR"/>
        </w:rPr>
        <w:tab/>
      </w:r>
      <w:r w:rsidRPr="003A411E">
        <w:rPr>
          <w:lang w:val="fr-FR"/>
        </w:rPr>
        <w:t>Organisations non</w:t>
      </w:r>
      <w:r w:rsidR="00E45C08">
        <w:rPr>
          <w:lang w:val="fr-FR"/>
        </w:rPr>
        <w:t xml:space="preserve"> </w:t>
      </w:r>
      <w:r w:rsidRPr="003A411E">
        <w:rPr>
          <w:lang w:val="fr-FR"/>
        </w:rPr>
        <w:t>gouvernementales</w:t>
      </w:r>
    </w:p>
    <w:p w14:paraId="2D92713C" w14:textId="101FFE49"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Association SOS Pénitencier </w:t>
      </w:r>
    </w:p>
    <w:p w14:paraId="660ED5CC" w14:textId="55509990"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Centre pour la </w:t>
      </w:r>
      <w:r w:rsidR="00E45C08">
        <w:rPr>
          <w:lang w:val="fr-FR"/>
        </w:rPr>
        <w:t>q</w:t>
      </w:r>
      <w:r w:rsidR="008F1465" w:rsidRPr="003A411E">
        <w:rPr>
          <w:lang w:val="fr-FR"/>
        </w:rPr>
        <w:t xml:space="preserve">ualité du </w:t>
      </w:r>
      <w:r w:rsidR="00E45C08">
        <w:rPr>
          <w:lang w:val="fr-FR"/>
        </w:rPr>
        <w:t>d</w:t>
      </w:r>
      <w:r w:rsidR="008F1465" w:rsidRPr="003A411E">
        <w:rPr>
          <w:lang w:val="fr-FR"/>
        </w:rPr>
        <w:t xml:space="preserve">roit et la </w:t>
      </w:r>
      <w:r w:rsidR="00E45C08">
        <w:rPr>
          <w:lang w:val="fr-FR"/>
        </w:rPr>
        <w:t>j</w:t>
      </w:r>
      <w:r w:rsidR="008F1465" w:rsidRPr="003A411E">
        <w:rPr>
          <w:lang w:val="fr-FR"/>
        </w:rPr>
        <w:t>ustice</w:t>
      </w:r>
    </w:p>
    <w:p w14:paraId="622CEC7E" w14:textId="47279A20"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Centre d’</w:t>
      </w:r>
      <w:r w:rsidR="00E45C08">
        <w:rPr>
          <w:lang w:val="fr-FR"/>
        </w:rPr>
        <w:t>i</w:t>
      </w:r>
      <w:r w:rsidR="008F1465" w:rsidRPr="003A411E">
        <w:rPr>
          <w:lang w:val="fr-FR"/>
        </w:rPr>
        <w:t xml:space="preserve">nformation et de </w:t>
      </w:r>
      <w:r w:rsidR="00E45C08">
        <w:rPr>
          <w:lang w:val="fr-FR"/>
        </w:rPr>
        <w:t>f</w:t>
      </w:r>
      <w:r w:rsidR="008F1465" w:rsidRPr="003A411E">
        <w:rPr>
          <w:lang w:val="fr-FR"/>
        </w:rPr>
        <w:t xml:space="preserve">ormation en matière de </w:t>
      </w:r>
      <w:r w:rsidR="00E45C08">
        <w:rPr>
          <w:lang w:val="fr-FR"/>
        </w:rPr>
        <w:t>d</w:t>
      </w:r>
      <w:r w:rsidR="008F1465" w:rsidRPr="003A411E">
        <w:rPr>
          <w:lang w:val="fr-FR"/>
        </w:rPr>
        <w:t xml:space="preserve">roits </w:t>
      </w:r>
      <w:r w:rsidR="00E45C08">
        <w:rPr>
          <w:lang w:val="fr-FR"/>
        </w:rPr>
        <w:t>h</w:t>
      </w:r>
      <w:r w:rsidR="008F1465" w:rsidRPr="003A411E">
        <w:rPr>
          <w:lang w:val="fr-FR"/>
        </w:rPr>
        <w:t xml:space="preserve">umains en Afrique </w:t>
      </w:r>
    </w:p>
    <w:p w14:paraId="70798180" w14:textId="4A33FAC1" w:rsidR="008F1465" w:rsidRPr="00393FFB" w:rsidRDefault="00677254" w:rsidP="00677254">
      <w:pPr>
        <w:pStyle w:val="Bullet1G"/>
        <w:numPr>
          <w:ilvl w:val="0"/>
          <w:numId w:val="0"/>
        </w:numPr>
        <w:tabs>
          <w:tab w:val="left" w:pos="1701"/>
        </w:tabs>
        <w:kinsoku/>
        <w:overflowPunct/>
        <w:autoSpaceDE/>
        <w:autoSpaceDN/>
        <w:adjustRightInd/>
        <w:snapToGrid/>
        <w:ind w:left="1701" w:hanging="170"/>
      </w:pPr>
      <w:r w:rsidRPr="00393FFB">
        <w:t>•</w:t>
      </w:r>
      <w:r w:rsidRPr="00393FFB">
        <w:tab/>
      </w:r>
      <w:r w:rsidR="008F1465" w:rsidRPr="00393FFB">
        <w:t xml:space="preserve">ACAT </w:t>
      </w:r>
    </w:p>
    <w:p w14:paraId="006A02A4" w14:textId="282262C5"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Mouvement </w:t>
      </w:r>
      <w:r w:rsidR="00E45C08">
        <w:rPr>
          <w:lang w:val="fr-FR"/>
        </w:rPr>
        <w:t>b</w:t>
      </w:r>
      <w:r w:rsidR="008F1465" w:rsidRPr="003A411E">
        <w:rPr>
          <w:lang w:val="fr-FR"/>
        </w:rPr>
        <w:t>urkinab</w:t>
      </w:r>
      <w:r w:rsidR="00E45C08">
        <w:rPr>
          <w:lang w:val="fr-FR"/>
        </w:rPr>
        <w:t>é</w:t>
      </w:r>
      <w:r w:rsidR="008F1465" w:rsidRPr="003A411E">
        <w:rPr>
          <w:lang w:val="fr-FR"/>
        </w:rPr>
        <w:t xml:space="preserve"> des </w:t>
      </w:r>
      <w:r w:rsidR="00E45C08">
        <w:rPr>
          <w:lang w:val="fr-FR"/>
        </w:rPr>
        <w:t>d</w:t>
      </w:r>
      <w:r w:rsidR="008F1465" w:rsidRPr="003A411E">
        <w:rPr>
          <w:lang w:val="fr-FR"/>
        </w:rPr>
        <w:t>roits de l’</w:t>
      </w:r>
      <w:r w:rsidR="00E45C08">
        <w:rPr>
          <w:lang w:val="fr-FR"/>
        </w:rPr>
        <w:t>h</w:t>
      </w:r>
      <w:r w:rsidR="008F1465" w:rsidRPr="003A411E">
        <w:rPr>
          <w:lang w:val="fr-FR"/>
        </w:rPr>
        <w:t xml:space="preserve">omme et des </w:t>
      </w:r>
      <w:r w:rsidR="00E45C08">
        <w:rPr>
          <w:lang w:val="fr-FR"/>
        </w:rPr>
        <w:t>p</w:t>
      </w:r>
      <w:r w:rsidR="008F1465" w:rsidRPr="003A411E">
        <w:rPr>
          <w:lang w:val="fr-FR"/>
        </w:rPr>
        <w:t>euples</w:t>
      </w:r>
    </w:p>
    <w:p w14:paraId="7DF3F9DB" w14:textId="6EA41765"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Association Semfilms</w:t>
      </w:r>
    </w:p>
    <w:p w14:paraId="13C5542D" w14:textId="471E40AD"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Femmes et </w:t>
      </w:r>
      <w:r w:rsidR="00E45C08">
        <w:rPr>
          <w:lang w:val="fr-FR"/>
        </w:rPr>
        <w:t>p</w:t>
      </w:r>
      <w:r w:rsidR="008F1465" w:rsidRPr="003A411E">
        <w:rPr>
          <w:lang w:val="fr-FR"/>
        </w:rPr>
        <w:t>risons d’Afrique</w:t>
      </w:r>
    </w:p>
    <w:p w14:paraId="143B0FC0" w14:textId="10E89EBC" w:rsidR="008F1465" w:rsidRPr="00393FFB" w:rsidRDefault="00677254" w:rsidP="00677254">
      <w:pPr>
        <w:pStyle w:val="Bullet1G"/>
        <w:numPr>
          <w:ilvl w:val="0"/>
          <w:numId w:val="0"/>
        </w:numPr>
        <w:tabs>
          <w:tab w:val="left" w:pos="1701"/>
        </w:tabs>
        <w:kinsoku/>
        <w:overflowPunct/>
        <w:autoSpaceDE/>
        <w:autoSpaceDN/>
        <w:adjustRightInd/>
        <w:snapToGrid/>
        <w:ind w:left="1701" w:hanging="170"/>
      </w:pPr>
      <w:r w:rsidRPr="00393FFB">
        <w:t>•</w:t>
      </w:r>
      <w:r w:rsidRPr="00393FFB">
        <w:tab/>
      </w:r>
      <w:r w:rsidR="008F1465" w:rsidRPr="00393FFB">
        <w:t>Amnesty International Burkina Faso</w:t>
      </w:r>
    </w:p>
    <w:p w14:paraId="38D80494" w14:textId="7F337B8E" w:rsidR="008F1465" w:rsidRPr="00677254" w:rsidRDefault="008F1465" w:rsidP="00677254">
      <w:pPr>
        <w:pStyle w:val="H1G"/>
      </w:pPr>
      <w:r w:rsidRPr="003A411E">
        <w:rPr>
          <w:lang w:val="fr-FR"/>
        </w:rPr>
        <w:tab/>
      </w:r>
      <w:r w:rsidR="00B814EE">
        <w:rPr>
          <w:lang w:val="fr-FR"/>
        </w:rPr>
        <w:t>7</w:t>
      </w:r>
      <w:r w:rsidRPr="003A411E">
        <w:rPr>
          <w:lang w:val="fr-FR"/>
        </w:rPr>
        <w:t>.</w:t>
      </w:r>
      <w:r w:rsidRPr="003A411E">
        <w:rPr>
          <w:lang w:val="fr-FR"/>
        </w:rPr>
        <w:tab/>
        <w:t>Organisations internationales</w:t>
      </w:r>
    </w:p>
    <w:p w14:paraId="523474B6" w14:textId="7B3DE78A"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rFonts w:eastAsia="Calibri"/>
          <w:lang w:val="fr-FR" w:eastAsia="de-DE"/>
        </w:rPr>
      </w:pPr>
      <w:r w:rsidRPr="003A411E">
        <w:rPr>
          <w:rFonts w:eastAsia="Calibri"/>
          <w:lang w:val="fr-FR" w:eastAsia="de-DE"/>
        </w:rPr>
        <w:t>•</w:t>
      </w:r>
      <w:r w:rsidRPr="003A411E">
        <w:rPr>
          <w:rFonts w:eastAsia="Calibri"/>
          <w:lang w:val="fr-FR" w:eastAsia="de-DE"/>
        </w:rPr>
        <w:tab/>
      </w:r>
      <w:r w:rsidR="008F1465" w:rsidRPr="003A411E">
        <w:rPr>
          <w:rFonts w:eastAsia="Calibri"/>
          <w:lang w:val="fr-FR" w:eastAsia="de-DE"/>
        </w:rPr>
        <w:t xml:space="preserve">Délégation de l’Union européenne </w:t>
      </w:r>
      <w:r w:rsidR="00B814EE">
        <w:rPr>
          <w:rFonts w:eastAsia="Calibri"/>
          <w:lang w:val="fr-FR" w:eastAsia="de-DE"/>
        </w:rPr>
        <w:t>au Burkina Faso</w:t>
      </w:r>
    </w:p>
    <w:p w14:paraId="416E46E1" w14:textId="77777777" w:rsidR="008F1465" w:rsidRPr="003A411E" w:rsidRDefault="008F1465" w:rsidP="008F1465">
      <w:pPr>
        <w:pStyle w:val="HMG"/>
        <w:spacing w:before="0" w:line="240" w:lineRule="auto"/>
        <w:rPr>
          <w:sz w:val="24"/>
          <w:szCs w:val="24"/>
          <w:lang w:val="fr-FR"/>
        </w:rPr>
      </w:pPr>
    </w:p>
    <w:p w14:paraId="3EA1FAA2" w14:textId="39C3A9FE" w:rsidR="00577779" w:rsidRPr="003A411E" w:rsidRDefault="00577779">
      <w:pPr>
        <w:suppressAutoHyphens w:val="0"/>
        <w:kinsoku/>
        <w:overflowPunct/>
        <w:autoSpaceDE/>
        <w:autoSpaceDN/>
        <w:adjustRightInd/>
        <w:snapToGrid/>
        <w:spacing w:after="200" w:line="276" w:lineRule="auto"/>
        <w:rPr>
          <w:b/>
          <w:sz w:val="24"/>
          <w:szCs w:val="24"/>
          <w:lang w:val="fr-FR"/>
        </w:rPr>
      </w:pPr>
      <w:r w:rsidRPr="003A411E">
        <w:rPr>
          <w:sz w:val="24"/>
          <w:szCs w:val="24"/>
          <w:lang w:val="fr-FR"/>
        </w:rPr>
        <w:br w:type="page"/>
      </w:r>
    </w:p>
    <w:p w14:paraId="6718EAF9" w14:textId="42BB58F6" w:rsidR="008F1465" w:rsidRPr="00677254" w:rsidRDefault="008F1465" w:rsidP="00677254">
      <w:pPr>
        <w:pStyle w:val="HChG"/>
      </w:pPr>
      <w:r w:rsidRPr="003A411E">
        <w:rPr>
          <w:lang w:val="fr-FR"/>
        </w:rPr>
        <w:lastRenderedPageBreak/>
        <w:t>Annexe II</w:t>
      </w:r>
    </w:p>
    <w:p w14:paraId="41FB2F4B" w14:textId="751805C5" w:rsidR="008F1465" w:rsidRPr="00677254" w:rsidRDefault="008F1465" w:rsidP="00677254">
      <w:pPr>
        <w:pStyle w:val="HChG"/>
      </w:pPr>
      <w:r w:rsidRPr="003A411E">
        <w:rPr>
          <w:sz w:val="24"/>
          <w:szCs w:val="24"/>
          <w:lang w:val="fr-FR"/>
        </w:rPr>
        <w:tab/>
      </w:r>
      <w:r w:rsidRPr="003A411E">
        <w:rPr>
          <w:sz w:val="24"/>
          <w:szCs w:val="24"/>
          <w:lang w:val="fr-FR"/>
        </w:rPr>
        <w:tab/>
      </w:r>
      <w:r w:rsidRPr="003A411E">
        <w:rPr>
          <w:lang w:val="fr-FR"/>
        </w:rPr>
        <w:t>Lieux de privation de liberté visités par le Sous-</w:t>
      </w:r>
      <w:r w:rsidR="00B814EE">
        <w:rPr>
          <w:lang w:val="fr-FR"/>
        </w:rPr>
        <w:t>C</w:t>
      </w:r>
      <w:r w:rsidRPr="003A411E">
        <w:rPr>
          <w:lang w:val="fr-FR"/>
        </w:rPr>
        <w:t>omité</w:t>
      </w:r>
    </w:p>
    <w:p w14:paraId="5C522C1B" w14:textId="77777777" w:rsidR="008F1465" w:rsidRPr="003A411E" w:rsidRDefault="008F1465" w:rsidP="00677254">
      <w:pPr>
        <w:pStyle w:val="H23G"/>
        <w:rPr>
          <w:lang w:val="fr-FR"/>
        </w:rPr>
      </w:pPr>
      <w:r w:rsidRPr="003A411E">
        <w:rPr>
          <w:szCs w:val="24"/>
          <w:lang w:val="fr-FR"/>
        </w:rPr>
        <w:tab/>
      </w:r>
      <w:r w:rsidRPr="003A411E">
        <w:rPr>
          <w:szCs w:val="24"/>
          <w:lang w:val="fr-FR"/>
        </w:rPr>
        <w:tab/>
      </w:r>
      <w:r w:rsidRPr="003A411E">
        <w:rPr>
          <w:lang w:val="fr-FR"/>
        </w:rPr>
        <w:t>Gendarmeries</w:t>
      </w:r>
    </w:p>
    <w:p w14:paraId="5772FC2C" w14:textId="2BA1DA3C"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Groupe </w:t>
      </w:r>
      <w:r w:rsidR="00B814EE">
        <w:rPr>
          <w:lang w:val="fr-FR"/>
        </w:rPr>
        <w:t>d</w:t>
      </w:r>
      <w:r w:rsidR="008F1465" w:rsidRPr="003A411E">
        <w:rPr>
          <w:lang w:val="fr-FR"/>
        </w:rPr>
        <w:t xml:space="preserve">épartemental de la Gendarmerie </w:t>
      </w:r>
      <w:r w:rsidR="00B814EE">
        <w:rPr>
          <w:lang w:val="fr-FR"/>
        </w:rPr>
        <w:t>n</w:t>
      </w:r>
      <w:r w:rsidR="008F1465" w:rsidRPr="003A411E">
        <w:rPr>
          <w:lang w:val="fr-FR"/>
        </w:rPr>
        <w:t>ationale de Ouagadougou</w:t>
      </w:r>
    </w:p>
    <w:p w14:paraId="71410131" w14:textId="1105EEAB"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Brigade de </w:t>
      </w:r>
      <w:r w:rsidR="00B814EE">
        <w:rPr>
          <w:lang w:val="fr-FR"/>
        </w:rPr>
        <w:t>r</w:t>
      </w:r>
      <w:r w:rsidR="008F1465" w:rsidRPr="003A411E">
        <w:rPr>
          <w:lang w:val="fr-FR"/>
        </w:rPr>
        <w:t xml:space="preserve">echerche et </w:t>
      </w:r>
      <w:r w:rsidR="00B814EE">
        <w:rPr>
          <w:lang w:val="fr-FR"/>
        </w:rPr>
        <w:t>d’i</w:t>
      </w:r>
      <w:r w:rsidR="008F1465" w:rsidRPr="003A411E">
        <w:rPr>
          <w:lang w:val="fr-FR"/>
        </w:rPr>
        <w:t xml:space="preserve">ntervention de la Gendarmerie </w:t>
      </w:r>
      <w:r w:rsidR="00B814EE">
        <w:rPr>
          <w:lang w:val="fr-FR"/>
        </w:rPr>
        <w:t>n</w:t>
      </w:r>
      <w:r w:rsidR="008F1465" w:rsidRPr="003A411E">
        <w:rPr>
          <w:lang w:val="fr-FR"/>
        </w:rPr>
        <w:t>ationale de Paspanga</w:t>
      </w:r>
    </w:p>
    <w:p w14:paraId="65D7B381" w14:textId="1C0899EE"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Brigade </w:t>
      </w:r>
      <w:r w:rsidR="00B814EE">
        <w:rPr>
          <w:lang w:val="fr-FR"/>
        </w:rPr>
        <w:t>t</w:t>
      </w:r>
      <w:r w:rsidR="008F1465" w:rsidRPr="003A411E">
        <w:rPr>
          <w:lang w:val="fr-FR"/>
        </w:rPr>
        <w:t xml:space="preserve">erritoriale de la Gendarmerie </w:t>
      </w:r>
      <w:r w:rsidR="00B814EE">
        <w:rPr>
          <w:lang w:val="fr-FR"/>
        </w:rPr>
        <w:t>n</w:t>
      </w:r>
      <w:r w:rsidR="008F1465" w:rsidRPr="003A411E">
        <w:rPr>
          <w:lang w:val="fr-FR"/>
        </w:rPr>
        <w:t>ationale de Paspanga</w:t>
      </w:r>
    </w:p>
    <w:p w14:paraId="1F0E3BB3" w14:textId="77777777" w:rsidR="008F1465" w:rsidRPr="003A411E" w:rsidRDefault="008F1465" w:rsidP="00677254">
      <w:pPr>
        <w:pStyle w:val="H23G"/>
        <w:rPr>
          <w:lang w:val="fr-FR"/>
        </w:rPr>
      </w:pPr>
      <w:r w:rsidRPr="003A411E">
        <w:rPr>
          <w:szCs w:val="24"/>
          <w:lang w:val="fr-FR"/>
        </w:rPr>
        <w:tab/>
      </w:r>
      <w:r w:rsidRPr="003A411E">
        <w:rPr>
          <w:szCs w:val="24"/>
          <w:lang w:val="fr-FR"/>
        </w:rPr>
        <w:tab/>
      </w:r>
      <w:r w:rsidRPr="003A411E">
        <w:rPr>
          <w:lang w:val="fr-FR"/>
        </w:rPr>
        <w:t>Commissariats de police</w:t>
      </w:r>
    </w:p>
    <w:p w14:paraId="001501B8" w14:textId="5F9CC398"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Commissariat </w:t>
      </w:r>
      <w:r w:rsidR="00B814EE">
        <w:rPr>
          <w:lang w:val="fr-FR"/>
        </w:rPr>
        <w:t>c</w:t>
      </w:r>
      <w:r w:rsidR="008F1465" w:rsidRPr="003A411E">
        <w:rPr>
          <w:lang w:val="fr-FR"/>
        </w:rPr>
        <w:t xml:space="preserve">entral de la </w:t>
      </w:r>
      <w:r w:rsidR="00B814EE">
        <w:rPr>
          <w:lang w:val="fr-FR"/>
        </w:rPr>
        <w:t>p</w:t>
      </w:r>
      <w:r w:rsidR="008F1465" w:rsidRPr="003A411E">
        <w:rPr>
          <w:lang w:val="fr-FR"/>
        </w:rPr>
        <w:t>olice de Ouagadougou</w:t>
      </w:r>
    </w:p>
    <w:p w14:paraId="40EFB275" w14:textId="6F104E67"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Commissariat de </w:t>
      </w:r>
      <w:r w:rsidR="00B814EE">
        <w:rPr>
          <w:lang w:val="fr-FR"/>
        </w:rPr>
        <w:t>p</w:t>
      </w:r>
      <w:r w:rsidR="008F1465" w:rsidRPr="003A411E">
        <w:rPr>
          <w:lang w:val="fr-FR"/>
        </w:rPr>
        <w:t xml:space="preserve">olice de Wemtenga - Brigade de </w:t>
      </w:r>
      <w:r w:rsidR="00B814EE">
        <w:rPr>
          <w:lang w:val="fr-FR"/>
        </w:rPr>
        <w:t>r</w:t>
      </w:r>
      <w:r w:rsidR="008F1465" w:rsidRPr="003A411E">
        <w:rPr>
          <w:lang w:val="fr-FR"/>
        </w:rPr>
        <w:t xml:space="preserve">echerche et </w:t>
      </w:r>
      <w:r w:rsidR="00B814EE">
        <w:rPr>
          <w:lang w:val="fr-FR"/>
        </w:rPr>
        <w:t>d’i</w:t>
      </w:r>
      <w:r w:rsidR="008F1465" w:rsidRPr="003A411E">
        <w:rPr>
          <w:lang w:val="fr-FR"/>
        </w:rPr>
        <w:t xml:space="preserve">ntervention de la Police </w:t>
      </w:r>
      <w:r w:rsidR="00B814EE">
        <w:rPr>
          <w:lang w:val="fr-FR"/>
        </w:rPr>
        <w:t>n</w:t>
      </w:r>
      <w:r w:rsidR="008F1465" w:rsidRPr="003A411E">
        <w:rPr>
          <w:lang w:val="fr-FR"/>
        </w:rPr>
        <w:t>ationale</w:t>
      </w:r>
    </w:p>
    <w:p w14:paraId="469DF857" w14:textId="77777777" w:rsidR="008F1465" w:rsidRPr="003A411E" w:rsidRDefault="008F1465" w:rsidP="00677254">
      <w:pPr>
        <w:pStyle w:val="H23G"/>
        <w:rPr>
          <w:lang w:val="fr-FR"/>
        </w:rPr>
      </w:pPr>
      <w:r w:rsidRPr="003A411E">
        <w:rPr>
          <w:lang w:val="fr-FR"/>
        </w:rPr>
        <w:tab/>
      </w:r>
      <w:r w:rsidRPr="003A411E">
        <w:rPr>
          <w:lang w:val="fr-FR"/>
        </w:rPr>
        <w:tab/>
        <w:t xml:space="preserve">Maisons d’arrêt </w:t>
      </w:r>
    </w:p>
    <w:p w14:paraId="354CEDCF" w14:textId="1CCFE852"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Prison de </w:t>
      </w:r>
      <w:r w:rsidR="00B814EE">
        <w:rPr>
          <w:lang w:val="fr-FR"/>
        </w:rPr>
        <w:t>h</w:t>
      </w:r>
      <w:r w:rsidR="008F1465" w:rsidRPr="003A411E">
        <w:rPr>
          <w:lang w:val="fr-FR"/>
        </w:rPr>
        <w:t xml:space="preserve">aute </w:t>
      </w:r>
      <w:r w:rsidR="00B814EE">
        <w:rPr>
          <w:lang w:val="fr-FR"/>
        </w:rPr>
        <w:t>s</w:t>
      </w:r>
      <w:r w:rsidR="008F1465" w:rsidRPr="003A411E">
        <w:rPr>
          <w:lang w:val="fr-FR"/>
        </w:rPr>
        <w:t>écurité de Ouagadougou</w:t>
      </w:r>
    </w:p>
    <w:p w14:paraId="634BED9F" w14:textId="153E9467"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Maison d’</w:t>
      </w:r>
      <w:r w:rsidR="00B814EE">
        <w:rPr>
          <w:lang w:val="fr-FR"/>
        </w:rPr>
        <w:t>a</w:t>
      </w:r>
      <w:r w:rsidR="008F1465" w:rsidRPr="003A411E">
        <w:rPr>
          <w:lang w:val="fr-FR"/>
        </w:rPr>
        <w:t xml:space="preserve">rrêt et de </w:t>
      </w:r>
      <w:r w:rsidR="00B814EE">
        <w:rPr>
          <w:lang w:val="fr-FR"/>
        </w:rPr>
        <w:t>c</w:t>
      </w:r>
      <w:r w:rsidR="008F1465" w:rsidRPr="003A411E">
        <w:rPr>
          <w:lang w:val="fr-FR"/>
        </w:rPr>
        <w:t>orrection de Ouagadougou</w:t>
      </w:r>
    </w:p>
    <w:p w14:paraId="72E7DB47" w14:textId="77777777" w:rsidR="008F1465" w:rsidRPr="003A411E" w:rsidRDefault="008F1465" w:rsidP="00677254">
      <w:pPr>
        <w:pStyle w:val="H23G"/>
        <w:rPr>
          <w:lang w:val="fr-FR"/>
        </w:rPr>
      </w:pPr>
      <w:r w:rsidRPr="003A411E">
        <w:rPr>
          <w:lang w:val="fr-FR"/>
        </w:rPr>
        <w:tab/>
      </w:r>
      <w:r w:rsidRPr="003A411E">
        <w:rPr>
          <w:lang w:val="fr-FR"/>
        </w:rPr>
        <w:tab/>
      </w:r>
      <w:r w:rsidRPr="003A411E">
        <w:rPr>
          <w:lang w:val="fr-FR"/>
        </w:rPr>
        <w:tab/>
        <w:t>Hôpital</w:t>
      </w:r>
    </w:p>
    <w:p w14:paraId="43D42FEC" w14:textId="494C7558" w:rsidR="008F1465" w:rsidRPr="003A411E" w:rsidRDefault="00677254" w:rsidP="00677254">
      <w:pPr>
        <w:pStyle w:val="Bullet1G"/>
        <w:numPr>
          <w:ilvl w:val="0"/>
          <w:numId w:val="0"/>
        </w:numPr>
        <w:tabs>
          <w:tab w:val="left" w:pos="1701"/>
        </w:tabs>
        <w:kinsoku/>
        <w:overflowPunct/>
        <w:autoSpaceDE/>
        <w:autoSpaceDN/>
        <w:adjustRightInd/>
        <w:snapToGrid/>
        <w:ind w:left="1701" w:hanging="170"/>
        <w:rPr>
          <w:lang w:val="fr-FR"/>
        </w:rPr>
      </w:pPr>
      <w:r w:rsidRPr="003A411E">
        <w:rPr>
          <w:lang w:val="fr-FR"/>
        </w:rPr>
        <w:t>•</w:t>
      </w:r>
      <w:r w:rsidRPr="003A411E">
        <w:rPr>
          <w:lang w:val="fr-FR"/>
        </w:rPr>
        <w:tab/>
      </w:r>
      <w:r w:rsidR="008F1465" w:rsidRPr="003A411E">
        <w:rPr>
          <w:lang w:val="fr-FR"/>
        </w:rPr>
        <w:t xml:space="preserve">Service psychiatrique du Centre </w:t>
      </w:r>
      <w:r w:rsidR="00B814EE">
        <w:rPr>
          <w:lang w:val="fr-FR"/>
        </w:rPr>
        <w:t>h</w:t>
      </w:r>
      <w:r w:rsidR="008F1465" w:rsidRPr="003A411E">
        <w:rPr>
          <w:lang w:val="fr-FR"/>
        </w:rPr>
        <w:t xml:space="preserve">ospitalier </w:t>
      </w:r>
      <w:r w:rsidR="00B814EE">
        <w:rPr>
          <w:lang w:val="fr-FR"/>
        </w:rPr>
        <w:t>u</w:t>
      </w:r>
      <w:r w:rsidR="008F1465" w:rsidRPr="003A411E">
        <w:rPr>
          <w:lang w:val="fr-FR"/>
        </w:rPr>
        <w:t>niversitaire Yalgado</w:t>
      </w:r>
      <w:r w:rsidR="00B814EE">
        <w:rPr>
          <w:lang w:val="fr-FR"/>
        </w:rPr>
        <w:t>-</w:t>
      </w:r>
      <w:r w:rsidR="008F1465" w:rsidRPr="003A411E">
        <w:rPr>
          <w:lang w:val="fr-FR"/>
        </w:rPr>
        <w:t>Ouédraogo</w:t>
      </w:r>
    </w:p>
    <w:p w14:paraId="0F8BE2FD" w14:textId="1BD63A8D" w:rsidR="00BA41F4" w:rsidRPr="00545BFC" w:rsidRDefault="00A24C2E" w:rsidP="00545BFC">
      <w:pPr>
        <w:pStyle w:val="SingleTxtG"/>
        <w:spacing w:before="240" w:after="0"/>
        <w:jc w:val="center"/>
        <w:rPr>
          <w:u w:val="single"/>
        </w:rPr>
      </w:pPr>
      <w:r>
        <w:rPr>
          <w:u w:val="single"/>
        </w:rPr>
        <w:tab/>
      </w:r>
      <w:r>
        <w:rPr>
          <w:u w:val="single"/>
        </w:rPr>
        <w:tab/>
      </w:r>
      <w:r w:rsidR="00545BFC">
        <w:rPr>
          <w:u w:val="single"/>
        </w:rPr>
        <w:tab/>
      </w:r>
    </w:p>
    <w:sectPr w:rsidR="00BA41F4" w:rsidRPr="00545BFC" w:rsidSect="00E8190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8E76" w14:textId="77777777" w:rsidR="00AB15A6" w:rsidRPr="009C4D45" w:rsidRDefault="00AB15A6" w:rsidP="009C4D45">
      <w:pPr>
        <w:pStyle w:val="Pieddepage"/>
      </w:pPr>
    </w:p>
  </w:endnote>
  <w:endnote w:type="continuationSeparator" w:id="0">
    <w:p w14:paraId="0669A2BD" w14:textId="77777777" w:rsidR="00AB15A6" w:rsidRPr="009C4D45" w:rsidRDefault="00AB15A6" w:rsidP="009C4D45">
      <w:pPr>
        <w:pStyle w:val="Pieddepage"/>
      </w:pPr>
    </w:p>
  </w:endnote>
  <w:endnote w:type="continuationNotice" w:id="1">
    <w:p w14:paraId="755E79C0" w14:textId="77777777" w:rsidR="00AB15A6" w:rsidRDefault="00AB15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207F" w14:textId="01F61D10" w:rsidR="00AB15A6" w:rsidRPr="0016790E" w:rsidRDefault="00AB15A6" w:rsidP="0016790E">
    <w:pPr>
      <w:pStyle w:val="Pieddepage"/>
      <w:tabs>
        <w:tab w:val="right" w:pos="9638"/>
      </w:tabs>
    </w:pPr>
    <w:r w:rsidRPr="0016790E">
      <w:rPr>
        <w:b/>
        <w:sz w:val="18"/>
      </w:rPr>
      <w:fldChar w:fldCharType="begin"/>
    </w:r>
    <w:r w:rsidRPr="0016790E">
      <w:rPr>
        <w:b/>
        <w:sz w:val="18"/>
      </w:rPr>
      <w:instrText xml:space="preserve"> PAGE  \* MERGEFORMAT </w:instrText>
    </w:r>
    <w:r w:rsidRPr="0016790E">
      <w:rPr>
        <w:b/>
        <w:sz w:val="18"/>
      </w:rPr>
      <w:fldChar w:fldCharType="separate"/>
    </w:r>
    <w:r w:rsidR="00042385">
      <w:rPr>
        <w:b/>
        <w:noProof/>
        <w:sz w:val="18"/>
      </w:rPr>
      <w:t>20</w:t>
    </w:r>
    <w:r w:rsidRPr="0016790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B894" w14:textId="7E0E6B35" w:rsidR="00AB15A6" w:rsidRPr="0016790E" w:rsidRDefault="00AB15A6" w:rsidP="0016790E">
    <w:pPr>
      <w:pStyle w:val="Pieddepage"/>
      <w:tabs>
        <w:tab w:val="right" w:pos="9638"/>
      </w:tabs>
      <w:rPr>
        <w:b/>
        <w:sz w:val="18"/>
      </w:rPr>
    </w:pPr>
    <w:r>
      <w:tab/>
    </w:r>
    <w:r w:rsidRPr="0016790E">
      <w:rPr>
        <w:b/>
        <w:sz w:val="18"/>
      </w:rPr>
      <w:fldChar w:fldCharType="begin"/>
    </w:r>
    <w:r w:rsidRPr="0016790E">
      <w:rPr>
        <w:b/>
        <w:sz w:val="18"/>
      </w:rPr>
      <w:instrText xml:space="preserve"> PAGE  \* MERGEFORMAT </w:instrText>
    </w:r>
    <w:r w:rsidRPr="0016790E">
      <w:rPr>
        <w:b/>
        <w:sz w:val="18"/>
      </w:rPr>
      <w:fldChar w:fldCharType="separate"/>
    </w:r>
    <w:r w:rsidR="00042385">
      <w:rPr>
        <w:b/>
        <w:noProof/>
        <w:sz w:val="18"/>
      </w:rPr>
      <w:t>19</w:t>
    </w:r>
    <w:r w:rsidRPr="001679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B30C" w14:textId="7590C624" w:rsidR="00AB15A6" w:rsidRPr="00424538" w:rsidRDefault="00424538" w:rsidP="00424538">
    <w:pPr>
      <w:pStyle w:val="Pieddepage"/>
      <w:tabs>
        <w:tab w:val="left" w:pos="6520"/>
        <w:tab w:val="right" w:pos="9638"/>
      </w:tabs>
      <w:spacing w:before="120"/>
      <w:rPr>
        <w:sz w:val="20"/>
      </w:rPr>
    </w:pPr>
    <w:r>
      <w:rPr>
        <w:sz w:val="20"/>
      </w:rPr>
      <w:t>GE.23-01974  (F)</w:t>
    </w:r>
    <w:r>
      <w:rPr>
        <w:sz w:val="20"/>
      </w:rPr>
      <w:tab/>
    </w:r>
    <w:r w:rsidRPr="00424538">
      <w:rPr>
        <w:noProof/>
        <w:sz w:val="20"/>
        <w:lang w:eastAsia="fr-CH"/>
      </w:rPr>
      <w:drawing>
        <wp:inline distT="0" distB="0" distL="0" distR="0" wp14:anchorId="18004421" wp14:editId="5D4276D6">
          <wp:extent cx="1105200" cy="234000"/>
          <wp:effectExtent l="0" t="0" r="0" b="0"/>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C4DC268" wp14:editId="347E0706">
          <wp:extent cx="563880" cy="563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BF64" w14:textId="77777777" w:rsidR="00AB15A6" w:rsidRPr="009C4D45" w:rsidRDefault="00AB15A6" w:rsidP="009C4D45">
      <w:pPr>
        <w:pStyle w:val="Pieddepage"/>
        <w:tabs>
          <w:tab w:val="right" w:pos="2155"/>
        </w:tabs>
        <w:spacing w:after="80" w:line="240" w:lineRule="atLeast"/>
        <w:ind w:left="680"/>
        <w:rPr>
          <w:u w:val="single"/>
        </w:rPr>
      </w:pPr>
      <w:r>
        <w:rPr>
          <w:u w:val="single"/>
        </w:rPr>
        <w:tab/>
      </w:r>
    </w:p>
  </w:footnote>
  <w:footnote w:type="continuationSeparator" w:id="0">
    <w:p w14:paraId="65393B8A" w14:textId="77777777" w:rsidR="00AB15A6" w:rsidRPr="00035AE4" w:rsidRDefault="00AB15A6" w:rsidP="00035AE4">
      <w:pPr>
        <w:pStyle w:val="Pieddepage"/>
        <w:tabs>
          <w:tab w:val="right" w:pos="2155"/>
        </w:tabs>
        <w:spacing w:after="80" w:line="240" w:lineRule="atLeast"/>
        <w:ind w:left="680"/>
        <w:rPr>
          <w:u w:val="single"/>
        </w:rPr>
      </w:pPr>
      <w:r>
        <w:rPr>
          <w:u w:val="single"/>
        </w:rPr>
        <w:tab/>
      </w:r>
    </w:p>
  </w:footnote>
  <w:footnote w:type="continuationNotice" w:id="1">
    <w:p w14:paraId="34C80801" w14:textId="77777777" w:rsidR="00AB15A6" w:rsidRPr="00035AE4" w:rsidRDefault="00AB15A6">
      <w:pPr>
        <w:spacing w:line="240" w:lineRule="auto"/>
        <w:rPr>
          <w:sz w:val="2"/>
          <w:szCs w:val="2"/>
        </w:rPr>
      </w:pPr>
    </w:p>
  </w:footnote>
  <w:footnote w:id="2">
    <w:p w14:paraId="0EE7173B" w14:textId="4C071EB0" w:rsidR="00AB15A6" w:rsidRDefault="00AB15A6">
      <w:pPr>
        <w:pStyle w:val="Notedebasdepage"/>
      </w:pPr>
      <w:r>
        <w:tab/>
      </w:r>
      <w:r w:rsidRPr="00677254">
        <w:rPr>
          <w:rStyle w:val="Appelnotedebasdep"/>
          <w:sz w:val="20"/>
          <w:vertAlign w:val="baseline"/>
        </w:rPr>
        <w:t>*</w:t>
      </w:r>
      <w:r>
        <w:tab/>
      </w:r>
      <w:r w:rsidRPr="00E8190D">
        <w:rPr>
          <w:rFonts w:eastAsia="Times New Roman"/>
          <w:szCs w:val="18"/>
          <w:lang w:val="fr-FR"/>
        </w:rPr>
        <w:t xml:space="preserve">Conformément au paragraphe 1 de l’article 16 du </w:t>
      </w:r>
      <w:r>
        <w:rPr>
          <w:rFonts w:eastAsia="Times New Roman"/>
          <w:szCs w:val="18"/>
          <w:lang w:val="fr-FR"/>
        </w:rPr>
        <w:t>P</w:t>
      </w:r>
      <w:r w:rsidRPr="00E8190D">
        <w:rPr>
          <w:rFonts w:eastAsia="Times New Roman"/>
          <w:szCs w:val="18"/>
          <w:lang w:val="fr-FR"/>
        </w:rPr>
        <w:t xml:space="preserve">rotocole facultatif, le présent rapport </w:t>
      </w:r>
      <w:r w:rsidR="00651A31">
        <w:rPr>
          <w:rFonts w:eastAsia="Times New Roman"/>
          <w:szCs w:val="18"/>
          <w:lang w:val="fr-FR"/>
        </w:rPr>
        <w:br/>
      </w:r>
      <w:r w:rsidRPr="00E8190D">
        <w:rPr>
          <w:rFonts w:eastAsia="Times New Roman"/>
          <w:szCs w:val="18"/>
          <w:lang w:val="fr-FR"/>
        </w:rPr>
        <w:t>a été communiqué à titre confidentiel à l’</w:t>
      </w:r>
      <w:r>
        <w:rPr>
          <w:rFonts w:eastAsia="Times New Roman"/>
          <w:szCs w:val="18"/>
          <w:lang w:val="fr-FR"/>
        </w:rPr>
        <w:t>É</w:t>
      </w:r>
      <w:r w:rsidRPr="00E8190D">
        <w:rPr>
          <w:rFonts w:eastAsia="Times New Roman"/>
          <w:szCs w:val="18"/>
          <w:lang w:val="fr-FR"/>
        </w:rPr>
        <w:t>tat partie le 3 mai 2019.</w:t>
      </w:r>
      <w:r w:rsidR="002E2B81" w:rsidRPr="002E2B81">
        <w:t xml:space="preserve"> </w:t>
      </w:r>
      <w:r w:rsidR="002E2B81" w:rsidRPr="002E2B81">
        <w:rPr>
          <w:rFonts w:eastAsia="Times New Roman"/>
          <w:szCs w:val="18"/>
          <w:lang w:val="fr-FR"/>
        </w:rPr>
        <w:t>Le 1 février 2023, l’Etat Partie a demandé au Sous-comité de publier le rapport, conformément à l'article 16 (2) du Protocole facultatif.</w:t>
      </w:r>
    </w:p>
  </w:footnote>
  <w:footnote w:id="3">
    <w:p w14:paraId="020EB4D8" w14:textId="2D70373A" w:rsidR="00AB15A6" w:rsidRDefault="00AB15A6" w:rsidP="00393FFB">
      <w:pPr>
        <w:pStyle w:val="Notedebasdepage"/>
        <w:spacing w:after="120"/>
      </w:pPr>
      <w:r>
        <w:rPr>
          <w:rStyle w:val="Appelnotedebasdep"/>
        </w:rPr>
        <w:tab/>
      </w:r>
      <w:r w:rsidRPr="00677254">
        <w:rPr>
          <w:rStyle w:val="Appelnotedebasdep"/>
          <w:sz w:val="20"/>
          <w:vertAlign w:val="baseline"/>
        </w:rPr>
        <w:t>**</w:t>
      </w:r>
      <w:r>
        <w:rPr>
          <w:rStyle w:val="Appelnotedebasdep"/>
        </w:rPr>
        <w:tab/>
      </w:r>
      <w:r w:rsidRPr="00E8190D">
        <w:rPr>
          <w:szCs w:val="18"/>
          <w:lang w:val="fr-FR"/>
        </w:rPr>
        <w:t>Les annexes sont distribuées uniquement dans la langue de l’original.</w:t>
      </w:r>
    </w:p>
  </w:footnote>
  <w:footnote w:id="4">
    <w:p w14:paraId="43B48FBE" w14:textId="11395217" w:rsidR="00AB15A6" w:rsidRPr="00DF2074" w:rsidRDefault="00AB15A6" w:rsidP="009D199D">
      <w:pPr>
        <w:pStyle w:val="Notedebasdepage"/>
        <w:rPr>
          <w:lang w:val="fr-FR"/>
        </w:rPr>
      </w:pPr>
      <w:r>
        <w:tab/>
      </w:r>
      <w:r w:rsidRPr="00E375EF">
        <w:rPr>
          <w:rStyle w:val="Appelnotedebasdep"/>
        </w:rPr>
        <w:footnoteRef/>
      </w:r>
      <w:r>
        <w:tab/>
      </w:r>
      <w:hyperlink r:id="rId1" w:history="1">
        <w:r w:rsidRPr="00E444C8">
          <w:rPr>
            <w:rStyle w:val="Lienhypertexte"/>
            <w:lang w:val="fr-FR"/>
          </w:rPr>
          <w:t>CAT/C/57/4</w:t>
        </w:r>
      </w:hyperlink>
      <w:r>
        <w:rPr>
          <w:lang w:val="fr-FR"/>
        </w:rPr>
        <w:t>, annexe, par. 1.</w:t>
      </w:r>
    </w:p>
  </w:footnote>
  <w:footnote w:id="5">
    <w:p w14:paraId="2A5D319E" w14:textId="1AEE8373" w:rsidR="00AB15A6" w:rsidRPr="003A411E" w:rsidRDefault="00AB15A6" w:rsidP="00523509">
      <w:pPr>
        <w:pStyle w:val="Notedebasdepage"/>
      </w:pPr>
      <w:r>
        <w:tab/>
      </w:r>
      <w:r w:rsidRPr="00E375EF">
        <w:rPr>
          <w:rStyle w:val="Appelnotedebasdep"/>
        </w:rPr>
        <w:footnoteRef/>
      </w:r>
      <w:r w:rsidRPr="0024795C">
        <w:tab/>
      </w:r>
      <w:r>
        <w:tab/>
        <w:t xml:space="preserve">Règles Nelson </w:t>
      </w:r>
      <w:r w:rsidRPr="003A411E">
        <w:t>Mandela, règle 17.</w:t>
      </w:r>
    </w:p>
  </w:footnote>
  <w:footnote w:id="6">
    <w:p w14:paraId="54453391" w14:textId="4B35904B" w:rsidR="00AB15A6" w:rsidRPr="0024795C" w:rsidRDefault="00AB15A6" w:rsidP="00523509">
      <w:pPr>
        <w:pStyle w:val="Notedebasdepage"/>
      </w:pPr>
      <w:r w:rsidRPr="003A411E">
        <w:tab/>
      </w:r>
      <w:r w:rsidRPr="00E375EF">
        <w:rPr>
          <w:rStyle w:val="Appelnotedebasdep"/>
        </w:rPr>
        <w:footnoteRef/>
      </w:r>
      <w:r w:rsidRPr="003A411E">
        <w:tab/>
      </w:r>
      <w:r w:rsidRPr="003A411E">
        <w:tab/>
        <w:t>Ibid., règles 19 à 21.</w:t>
      </w:r>
    </w:p>
  </w:footnote>
  <w:footnote w:id="7">
    <w:p w14:paraId="7DD83237" w14:textId="559C273B" w:rsidR="00AB15A6" w:rsidRPr="003A411E" w:rsidRDefault="00AB15A6" w:rsidP="008F1465">
      <w:pPr>
        <w:pStyle w:val="Notedebasdepage"/>
      </w:pPr>
      <w:r>
        <w:tab/>
      </w:r>
      <w:r w:rsidRPr="00E375EF">
        <w:rPr>
          <w:rStyle w:val="Appelnotedebasdep"/>
        </w:rPr>
        <w:footnoteRef/>
      </w:r>
      <w:r>
        <w:tab/>
      </w:r>
      <w:r w:rsidRPr="00FF45BE">
        <w:tab/>
        <w:t>Ibid</w:t>
      </w:r>
      <w:r w:rsidRPr="003A411E">
        <w:t>., règle 22.</w:t>
      </w:r>
    </w:p>
  </w:footnote>
  <w:footnote w:id="8">
    <w:p w14:paraId="6A0B6170" w14:textId="2D53CA3B" w:rsidR="00AB15A6" w:rsidRPr="003A411E" w:rsidRDefault="00AB15A6" w:rsidP="008F1465">
      <w:pPr>
        <w:pStyle w:val="Notedebasdepage"/>
      </w:pPr>
      <w:r w:rsidRPr="003A411E">
        <w:tab/>
      </w:r>
      <w:r w:rsidRPr="00E375EF">
        <w:rPr>
          <w:rStyle w:val="Appelnotedebasdep"/>
        </w:rPr>
        <w:footnoteRef/>
      </w:r>
      <w:r w:rsidRPr="003A411E">
        <w:tab/>
      </w:r>
      <w:r w:rsidRPr="003A411E">
        <w:tab/>
        <w:t>Ibid., règle 14.</w:t>
      </w:r>
    </w:p>
  </w:footnote>
  <w:footnote w:id="9">
    <w:p w14:paraId="51A5F076" w14:textId="7D482390" w:rsidR="00AB15A6" w:rsidRPr="003A411E" w:rsidRDefault="00AB15A6" w:rsidP="008F1465">
      <w:pPr>
        <w:pStyle w:val="Notedebasdepage"/>
      </w:pPr>
      <w:r w:rsidRPr="003A411E">
        <w:tab/>
      </w:r>
      <w:r w:rsidRPr="00E375EF">
        <w:rPr>
          <w:rStyle w:val="Appelnotedebasdep"/>
        </w:rPr>
        <w:footnoteRef/>
      </w:r>
      <w:r w:rsidRPr="003A411E">
        <w:tab/>
        <w:t xml:space="preserve">Ibid., règle 23, par. 1. </w:t>
      </w:r>
    </w:p>
  </w:footnote>
  <w:footnote w:id="10">
    <w:p w14:paraId="6606B27C" w14:textId="733600A4" w:rsidR="00AB15A6" w:rsidRPr="00FF45BE" w:rsidRDefault="00AB15A6" w:rsidP="00364920">
      <w:pPr>
        <w:pStyle w:val="Notedebasdepage"/>
      </w:pPr>
      <w:r w:rsidRPr="003A411E">
        <w:tab/>
      </w:r>
      <w:r w:rsidRPr="00E375EF">
        <w:rPr>
          <w:rStyle w:val="Appelnotedebasdep"/>
        </w:rPr>
        <w:footnoteRef/>
      </w:r>
      <w:r w:rsidRPr="003A411E">
        <w:tab/>
        <w:t>Observation générale n</w:t>
      </w:r>
      <w:r w:rsidRPr="00677254">
        <w:rPr>
          <w:vertAlign w:val="superscript"/>
        </w:rPr>
        <w:t>o</w:t>
      </w:r>
      <w:r w:rsidRPr="003A411E">
        <w:t> 2 (2007) du Comité contre la torture sur l’application de l’article 2, par.</w:t>
      </w:r>
      <w:r w:rsidR="003646B4">
        <w:t> </w:t>
      </w:r>
      <w:r w:rsidRPr="003A411E">
        <w:t>13.</w:t>
      </w:r>
      <w:r w:rsidRPr="00FF45BE">
        <w:t xml:space="preserve"> </w:t>
      </w:r>
    </w:p>
  </w:footnote>
  <w:footnote w:id="11">
    <w:p w14:paraId="29FA3429" w14:textId="198CEF57" w:rsidR="00AB15A6" w:rsidRPr="00FF45BE" w:rsidRDefault="00AB15A6" w:rsidP="00152A13">
      <w:pPr>
        <w:pStyle w:val="Notedebasdepage"/>
      </w:pPr>
      <w:r w:rsidRPr="00FF45BE">
        <w:tab/>
      </w:r>
      <w:r w:rsidRPr="00E375EF">
        <w:rPr>
          <w:rStyle w:val="Appelnotedebasdep"/>
        </w:rPr>
        <w:footnoteRef/>
      </w:r>
      <w:r w:rsidRPr="00FF45BE">
        <w:tab/>
      </w:r>
      <w:hyperlink r:id="rId2" w:history="1">
        <w:r w:rsidRPr="00E444C8">
          <w:rPr>
            <w:rStyle w:val="Lienhypertexte"/>
          </w:rPr>
          <w:t>A/HRC/16/51</w:t>
        </w:r>
      </w:hyperlink>
      <w:r w:rsidRPr="003A411E">
        <w:t xml:space="preserve">, </w:t>
      </w:r>
      <w:r>
        <w:t>par. 38, al. </w:t>
      </w:r>
      <w:r w:rsidRPr="00FF45BE">
        <w:t xml:space="preserve">2. </w:t>
      </w:r>
    </w:p>
  </w:footnote>
  <w:footnote w:id="12">
    <w:p w14:paraId="7EAFDF0F" w14:textId="7605C547" w:rsidR="00AB15A6" w:rsidRPr="00A404A3" w:rsidRDefault="00AB15A6" w:rsidP="00915418">
      <w:pPr>
        <w:pStyle w:val="Notedebasdepage"/>
        <w:rPr>
          <w:lang w:val="fr-FR"/>
        </w:rPr>
      </w:pPr>
      <w:r>
        <w:tab/>
      </w:r>
      <w:r w:rsidRPr="00E375EF">
        <w:rPr>
          <w:rStyle w:val="Appelnotedebasdep"/>
        </w:rPr>
        <w:footnoteRef/>
      </w:r>
      <w:r>
        <w:t xml:space="preserve"> </w:t>
      </w:r>
      <w:r>
        <w:tab/>
      </w:r>
      <w:r w:rsidRPr="00443400">
        <w:t>Observation générale n</w:t>
      </w:r>
      <w:r w:rsidRPr="00EC6F93">
        <w:rPr>
          <w:vertAlign w:val="superscript"/>
        </w:rPr>
        <w:t>o</w:t>
      </w:r>
      <w:r w:rsidRPr="00443400">
        <w:t> 2</w:t>
      </w:r>
      <w:r>
        <w:t xml:space="preserve"> du Comité contre la torture</w:t>
      </w:r>
      <w:r w:rsidRPr="003A411E">
        <w:t>, par. 13.</w:t>
      </w:r>
    </w:p>
  </w:footnote>
  <w:footnote w:id="13">
    <w:p w14:paraId="3C0D3E4E" w14:textId="566E3452" w:rsidR="00AB15A6" w:rsidRPr="00C31728" w:rsidRDefault="00AB15A6" w:rsidP="009C2C36">
      <w:pPr>
        <w:pStyle w:val="Notedebasdepage"/>
        <w:ind w:hanging="283"/>
      </w:pPr>
      <w:r w:rsidRPr="00E375EF">
        <w:rPr>
          <w:rStyle w:val="Appelnotedebasdep"/>
        </w:rPr>
        <w:footnoteRef/>
      </w:r>
      <w:r>
        <w:tab/>
      </w:r>
      <w:r>
        <w:tab/>
      </w:r>
      <w:r w:rsidRPr="00C31728">
        <w:t xml:space="preserve">Règles </w:t>
      </w:r>
      <w:r>
        <w:t xml:space="preserve">Nelson </w:t>
      </w:r>
      <w:r w:rsidRPr="00C31728">
        <w:t>Mandela</w:t>
      </w:r>
      <w:r w:rsidRPr="003A411E">
        <w:t>, règles 30, 31 et 34.</w:t>
      </w:r>
    </w:p>
  </w:footnote>
  <w:footnote w:id="14">
    <w:p w14:paraId="631C19EA" w14:textId="00C67E8B" w:rsidR="00AB15A6" w:rsidRPr="003A411E" w:rsidRDefault="00AB15A6" w:rsidP="001F5F95">
      <w:pPr>
        <w:pStyle w:val="Notedebasdepage"/>
      </w:pPr>
      <w:r w:rsidRPr="00FF45BE">
        <w:tab/>
      </w:r>
      <w:r w:rsidRPr="00E375EF">
        <w:rPr>
          <w:rStyle w:val="Appelnotedebasdep"/>
        </w:rPr>
        <w:footnoteRef/>
      </w:r>
      <w:r w:rsidRPr="00FF45BE">
        <w:tab/>
      </w:r>
      <w:r w:rsidRPr="003A411E">
        <w:t>Ibid., règles 19 à 21.</w:t>
      </w:r>
    </w:p>
  </w:footnote>
  <w:footnote w:id="15">
    <w:p w14:paraId="481B0F35" w14:textId="39AC9900" w:rsidR="00AB15A6" w:rsidRPr="003A411E" w:rsidRDefault="00AB15A6" w:rsidP="008F1465">
      <w:pPr>
        <w:pStyle w:val="Notedebasdepage"/>
      </w:pPr>
      <w:r w:rsidRPr="003A411E">
        <w:tab/>
      </w:r>
      <w:r w:rsidRPr="00E375EF">
        <w:rPr>
          <w:rStyle w:val="Appelnotedebasdep"/>
        </w:rPr>
        <w:footnoteRef/>
      </w:r>
      <w:r w:rsidRPr="003A411E">
        <w:tab/>
        <w:t>Ibid., règle 15.</w:t>
      </w:r>
    </w:p>
  </w:footnote>
  <w:footnote w:id="16">
    <w:p w14:paraId="51233EFE" w14:textId="37A61377" w:rsidR="00AB15A6" w:rsidRPr="003A411E" w:rsidRDefault="00AB15A6" w:rsidP="008F1465">
      <w:pPr>
        <w:pStyle w:val="Notedebasdepage"/>
      </w:pPr>
      <w:r w:rsidRPr="003A411E">
        <w:tab/>
      </w:r>
      <w:r w:rsidRPr="00E375EF">
        <w:rPr>
          <w:rStyle w:val="Appelnotedebasdep"/>
        </w:rPr>
        <w:footnoteRef/>
      </w:r>
      <w:r w:rsidRPr="003A411E">
        <w:tab/>
        <w:t>Ibid., règle 22.</w:t>
      </w:r>
    </w:p>
  </w:footnote>
  <w:footnote w:id="17">
    <w:p w14:paraId="50346ED7" w14:textId="59F139F7" w:rsidR="00AB15A6" w:rsidRPr="003A411E" w:rsidRDefault="00AB15A6" w:rsidP="001F5F95">
      <w:pPr>
        <w:pStyle w:val="Notedebasdepage"/>
      </w:pPr>
      <w:r w:rsidRPr="003A411E">
        <w:tab/>
      </w:r>
      <w:r w:rsidRPr="00E375EF">
        <w:rPr>
          <w:rStyle w:val="Appelnotedebasdep"/>
        </w:rPr>
        <w:footnoteRef/>
      </w:r>
      <w:r w:rsidRPr="003A411E">
        <w:tab/>
        <w:t xml:space="preserve">Ibid., règle 18 ; et Règles des Nations Unies concernant le traitement des détenues et l’imposition de mesures non privatives de liberté aux délinquantes (Règles de Bangkok), règle 5. </w:t>
      </w:r>
    </w:p>
  </w:footnote>
  <w:footnote w:id="18">
    <w:p w14:paraId="068CFC69" w14:textId="21323509" w:rsidR="00AB15A6" w:rsidRPr="003A411E" w:rsidRDefault="00AB15A6" w:rsidP="002629EC">
      <w:pPr>
        <w:pStyle w:val="Notedebasdepage"/>
        <w:rPr>
          <w:lang w:val="fr-FR"/>
        </w:rPr>
      </w:pPr>
      <w:r w:rsidRPr="003A411E">
        <w:tab/>
      </w:r>
      <w:r w:rsidRPr="00E375EF">
        <w:rPr>
          <w:rStyle w:val="Appelnotedebasdep"/>
        </w:rPr>
        <w:footnoteRef/>
      </w:r>
      <w:r w:rsidRPr="003A411E">
        <w:rPr>
          <w:lang w:val="fr-FR"/>
        </w:rPr>
        <w:tab/>
        <w:t>Règles Nelson Mandela, règles 4 et 64.</w:t>
      </w:r>
    </w:p>
  </w:footnote>
  <w:footnote w:id="19">
    <w:p w14:paraId="69BBF480" w14:textId="1E296F8A" w:rsidR="00AB15A6" w:rsidRPr="003A411E" w:rsidRDefault="00AB15A6" w:rsidP="002629EC">
      <w:pPr>
        <w:pStyle w:val="Notedebasdepage"/>
        <w:rPr>
          <w:lang w:val="fr-FR"/>
        </w:rPr>
      </w:pPr>
      <w:r w:rsidRPr="003A411E">
        <w:rPr>
          <w:lang w:val="fr-FR"/>
        </w:rPr>
        <w:tab/>
      </w:r>
      <w:r w:rsidRPr="00E375EF">
        <w:rPr>
          <w:rStyle w:val="Appelnotedebasdep"/>
        </w:rPr>
        <w:footnoteRef/>
      </w:r>
      <w:r w:rsidRPr="003A411E">
        <w:rPr>
          <w:lang w:val="fr-FR"/>
        </w:rPr>
        <w:tab/>
        <w:t xml:space="preserve">Ibid., règle 105. </w:t>
      </w:r>
    </w:p>
  </w:footnote>
  <w:footnote w:id="20">
    <w:p w14:paraId="6A9FC0B8" w14:textId="6D6005ED" w:rsidR="00AB15A6" w:rsidRPr="00C70215" w:rsidRDefault="00AB15A6" w:rsidP="008F1465">
      <w:pPr>
        <w:pStyle w:val="Notedebasdepage"/>
        <w:rPr>
          <w:lang w:val="fr-FR"/>
        </w:rPr>
      </w:pPr>
      <w:r w:rsidRPr="003A411E">
        <w:rPr>
          <w:lang w:val="fr-FR"/>
        </w:rPr>
        <w:tab/>
      </w:r>
      <w:r w:rsidRPr="00E375EF">
        <w:rPr>
          <w:rStyle w:val="Appelnotedebasdep"/>
        </w:rPr>
        <w:footnoteRef/>
      </w:r>
      <w:r w:rsidRPr="003A411E">
        <w:rPr>
          <w:lang w:val="fr-FR"/>
        </w:rPr>
        <w:tab/>
        <w:t>Ibid., règle 103.</w:t>
      </w:r>
      <w:r w:rsidRPr="00C70215">
        <w:rPr>
          <w:lang w:val="fr-FR"/>
        </w:rPr>
        <w:t xml:space="preserve"> </w:t>
      </w:r>
    </w:p>
  </w:footnote>
  <w:footnote w:id="21">
    <w:p w14:paraId="62289A71" w14:textId="1AD05590" w:rsidR="00AB15A6" w:rsidRPr="003A411E" w:rsidRDefault="00AB15A6" w:rsidP="00F561AD">
      <w:pPr>
        <w:pStyle w:val="Notedebasdepage"/>
      </w:pPr>
      <w:r w:rsidRPr="00C70215">
        <w:rPr>
          <w:lang w:val="fr-FR"/>
        </w:rPr>
        <w:tab/>
      </w:r>
      <w:r w:rsidRPr="00E375EF">
        <w:rPr>
          <w:rStyle w:val="Appelnotedebasdep"/>
        </w:rPr>
        <w:footnoteRef/>
      </w:r>
      <w:r w:rsidRPr="00F129FB">
        <w:rPr>
          <w:lang w:val="fr-FR"/>
        </w:rPr>
        <w:tab/>
        <w:t>Ibid</w:t>
      </w:r>
      <w:r w:rsidRPr="003A411E">
        <w:rPr>
          <w:lang w:val="fr-FR"/>
        </w:rPr>
        <w:t xml:space="preserve">., règle 56 ; </w:t>
      </w:r>
      <w:r w:rsidRPr="003A411E">
        <w:t>Lignes directrices de Luanda, lignes directrices n</w:t>
      </w:r>
      <w:r w:rsidRPr="00677254">
        <w:rPr>
          <w:vertAlign w:val="superscript"/>
        </w:rPr>
        <w:t>os</w:t>
      </w:r>
      <w:r w:rsidR="003E4D06">
        <w:t> </w:t>
      </w:r>
      <w:r w:rsidRPr="003A411E">
        <w:t xml:space="preserve">22 et 37 ; et Règles de Bangkok, règle 25. </w:t>
      </w:r>
    </w:p>
  </w:footnote>
  <w:footnote w:id="22">
    <w:p w14:paraId="4AB9C874" w14:textId="560DA269" w:rsidR="00AB15A6" w:rsidRPr="0025338A" w:rsidRDefault="00AB15A6" w:rsidP="008F1465">
      <w:pPr>
        <w:pStyle w:val="Notedebasdepage"/>
        <w:rPr>
          <w:lang w:val="fr-FR"/>
        </w:rPr>
      </w:pPr>
      <w:r w:rsidRPr="003A411E">
        <w:tab/>
      </w:r>
      <w:r w:rsidRPr="00E375EF">
        <w:rPr>
          <w:rStyle w:val="Appelnotedebasdep"/>
        </w:rPr>
        <w:footnoteRef/>
      </w:r>
      <w:r w:rsidRPr="003A411E">
        <w:rPr>
          <w:lang w:val="fr-FR"/>
        </w:rPr>
        <w:tab/>
        <w:t>Règles Nelson Mandela, règle 57.</w:t>
      </w:r>
      <w:r w:rsidRPr="0025338A">
        <w:rPr>
          <w:lang w:val="fr-FR"/>
        </w:rPr>
        <w:t xml:space="preserve"> </w:t>
      </w:r>
    </w:p>
  </w:footnote>
  <w:footnote w:id="23">
    <w:p w14:paraId="544BD717" w14:textId="456F2365" w:rsidR="00AB15A6" w:rsidRPr="0025338A" w:rsidRDefault="00AB15A6" w:rsidP="00F561AD">
      <w:pPr>
        <w:pStyle w:val="Notedebasdepage"/>
        <w:rPr>
          <w:lang w:val="fr-FR"/>
        </w:rPr>
      </w:pPr>
      <w:r w:rsidRPr="0025338A">
        <w:rPr>
          <w:lang w:val="fr-FR"/>
        </w:rPr>
        <w:tab/>
      </w:r>
      <w:r w:rsidRPr="00E375EF">
        <w:rPr>
          <w:rStyle w:val="Appelnotedebasdep"/>
        </w:rPr>
        <w:footnoteRef/>
      </w:r>
      <w:r w:rsidRPr="0025338A">
        <w:rPr>
          <w:lang w:val="fr-FR"/>
        </w:rPr>
        <w:tab/>
        <w:t>Ibid</w:t>
      </w:r>
      <w:r>
        <w:rPr>
          <w:lang w:val="fr-FR"/>
        </w:rPr>
        <w:t>.</w:t>
      </w:r>
      <w:r w:rsidRPr="0025338A">
        <w:rPr>
          <w:lang w:val="fr-FR"/>
        </w:rPr>
        <w:t xml:space="preserve"> </w:t>
      </w:r>
    </w:p>
  </w:footnote>
  <w:footnote w:id="24">
    <w:p w14:paraId="0F9EA385" w14:textId="1746AD6A" w:rsidR="00AB15A6" w:rsidRPr="003A411E" w:rsidRDefault="00AB15A6" w:rsidP="0024002F">
      <w:pPr>
        <w:pStyle w:val="Notedebasdepage"/>
      </w:pPr>
      <w:r>
        <w:tab/>
      </w:r>
      <w:r w:rsidRPr="00E375EF">
        <w:rPr>
          <w:rStyle w:val="Appelnotedebasdep"/>
        </w:rPr>
        <w:footnoteRef/>
      </w:r>
      <w:r>
        <w:tab/>
        <w:t xml:space="preserve">Règles Nelson </w:t>
      </w:r>
      <w:r w:rsidRPr="003A411E">
        <w:t>Mandela, règles 6 à 10.</w:t>
      </w:r>
    </w:p>
  </w:footnote>
  <w:footnote w:id="25">
    <w:p w14:paraId="7C877C19" w14:textId="509A4E6A" w:rsidR="00AB15A6" w:rsidRPr="0025338A" w:rsidRDefault="00AB15A6" w:rsidP="008F1465">
      <w:pPr>
        <w:pStyle w:val="Notedebasdepage"/>
        <w:rPr>
          <w:lang w:val="fr-FR"/>
        </w:rPr>
      </w:pPr>
      <w:r w:rsidRPr="003A411E">
        <w:rPr>
          <w:lang w:val="fr-FR"/>
        </w:rPr>
        <w:tab/>
      </w:r>
      <w:r w:rsidRPr="00E375EF">
        <w:rPr>
          <w:rStyle w:val="Appelnotedebasdep"/>
        </w:rPr>
        <w:footnoteRef/>
      </w:r>
      <w:r w:rsidRPr="003A411E">
        <w:rPr>
          <w:lang w:val="fr-FR"/>
        </w:rPr>
        <w:tab/>
        <w:t>Ibid., règle 45, par. 2.</w:t>
      </w:r>
      <w:r w:rsidRPr="0025338A">
        <w:rPr>
          <w:lang w:val="fr-FR"/>
        </w:rPr>
        <w:t xml:space="preserve"> </w:t>
      </w:r>
    </w:p>
  </w:footnote>
  <w:footnote w:id="26">
    <w:p w14:paraId="74B0B6C0" w14:textId="53ADBF5E" w:rsidR="00AB15A6" w:rsidRPr="00FE219A" w:rsidRDefault="00AB15A6" w:rsidP="00312B4F">
      <w:pPr>
        <w:pStyle w:val="Notedebasdepage"/>
        <w:rPr>
          <w:lang w:val="fr-FR"/>
        </w:rPr>
      </w:pPr>
      <w:r w:rsidRPr="0025338A">
        <w:rPr>
          <w:lang w:val="fr-FR"/>
        </w:rPr>
        <w:tab/>
      </w:r>
      <w:r w:rsidRPr="00E375EF">
        <w:rPr>
          <w:rStyle w:val="Appelnotedebasdep"/>
        </w:rPr>
        <w:footnoteRef/>
      </w:r>
      <w:r>
        <w:t xml:space="preserve"> </w:t>
      </w:r>
      <w:r>
        <w:tab/>
      </w:r>
      <w:r>
        <w:tab/>
      </w:r>
      <w:r w:rsidRPr="00C90FF3">
        <w:t xml:space="preserve">La réponse </w:t>
      </w:r>
      <w:r>
        <w:t>doit</w:t>
      </w:r>
      <w:r w:rsidRPr="00C90FF3">
        <w:t xml:space="preserve"> être conforme aux lignes directrices concernant les documents devant être soumis aux organes créés en vertu d’instruments relatifs aux droits de l’homme établies par l’Assemblée générale. Voir les lettres adressées aux missions permanentes le 8 mai 2014.</w:t>
      </w:r>
    </w:p>
  </w:footnote>
  <w:footnote w:id="27">
    <w:p w14:paraId="3A5FE4B4" w14:textId="6CE72372" w:rsidR="00AB15A6" w:rsidRPr="00C90FF3" w:rsidRDefault="00AB15A6" w:rsidP="008F1465">
      <w:pPr>
        <w:pStyle w:val="Notedebasdepage"/>
        <w:rPr>
          <w:lang w:val="fr-FR"/>
        </w:rPr>
      </w:pPr>
      <w:r>
        <w:tab/>
      </w:r>
      <w:r w:rsidRPr="00E375EF">
        <w:rPr>
          <w:rStyle w:val="Appelnotedebasdep"/>
        </w:rPr>
        <w:footnoteRef/>
      </w:r>
      <w:r>
        <w:t xml:space="preserve"> </w:t>
      </w:r>
      <w:r>
        <w:tab/>
      </w:r>
      <w:r>
        <w:tab/>
      </w:r>
      <w:r w:rsidRPr="00C90FF3">
        <w:t>La politique du Sous-Comité concernant les représailles et les sanctions est décrite dans le document</w:t>
      </w:r>
      <w:r>
        <w:t xml:space="preserve"> </w:t>
      </w:r>
      <w:hyperlink r:id="rId3" w:history="1">
        <w:r w:rsidRPr="00E444C8">
          <w:rPr>
            <w:rStyle w:val="Lienhypertexte"/>
          </w:rPr>
          <w:t>CAT/OP/6/Rev.1</w:t>
        </w:r>
      </w:hyperlink>
      <w:r w:rsidRPr="00C90FF3">
        <w:t>.</w:t>
      </w:r>
    </w:p>
  </w:footnote>
  <w:footnote w:id="28">
    <w:p w14:paraId="0BD59819" w14:textId="68EC4DA0" w:rsidR="00AB15A6" w:rsidRPr="00C90FF3" w:rsidRDefault="00AB15A6" w:rsidP="009D3F30">
      <w:pPr>
        <w:pStyle w:val="Notedebasdepage"/>
        <w:rPr>
          <w:lang w:val="fr-FR"/>
        </w:rPr>
      </w:pPr>
      <w:r>
        <w:tab/>
      </w:r>
      <w:r w:rsidRPr="00E375EF">
        <w:rPr>
          <w:rStyle w:val="Appelnotedebasdep"/>
        </w:rPr>
        <w:footnoteRef/>
      </w:r>
      <w:r>
        <w:t xml:space="preserve"> </w:t>
      </w:r>
      <w:r>
        <w:tab/>
      </w:r>
      <w:r>
        <w:tab/>
      </w:r>
      <w:r w:rsidRPr="00C90FF3">
        <w:t xml:space="preserve">Voir le document </w:t>
      </w:r>
      <w:hyperlink r:id="rId4" w:history="1">
        <w:r w:rsidRPr="00E444C8">
          <w:rPr>
            <w:rStyle w:val="Lienhypertexte"/>
          </w:rPr>
          <w:t>CAT/OP/12/6</w:t>
        </w:r>
      </w:hyperlink>
      <w:r w:rsidRPr="00C90FF3">
        <w:t xml:space="preserve"> </w:t>
      </w:r>
      <w:r>
        <w:t>et</w:t>
      </w:r>
      <w:r w:rsidRPr="00C90FF3">
        <w:t xml:space="preserve"> </w:t>
      </w:r>
      <w:r w:rsidRPr="00443400">
        <w:t>l’observation générale n</w:t>
      </w:r>
      <w:r w:rsidRPr="00677254">
        <w:rPr>
          <w:vertAlign w:val="superscript"/>
        </w:rPr>
        <w:t>o</w:t>
      </w:r>
      <w:r w:rsidRPr="00443400">
        <w:t xml:space="preserve"> 2</w:t>
      </w:r>
      <w:r w:rsidRPr="00C90FF3">
        <w:t xml:space="preserve"> du Comité contre la torture.</w:t>
      </w:r>
    </w:p>
  </w:footnote>
  <w:footnote w:id="29">
    <w:p w14:paraId="1C38AE3B" w14:textId="0C1F67FC" w:rsidR="00AB15A6" w:rsidRPr="00D90339" w:rsidRDefault="00AB15A6" w:rsidP="00236E1F">
      <w:pPr>
        <w:pStyle w:val="Notedebasdepage"/>
        <w:rPr>
          <w:lang w:val="fr-FR"/>
        </w:rPr>
      </w:pPr>
      <w:r>
        <w:tab/>
      </w:r>
      <w:r w:rsidRPr="00E375EF">
        <w:rPr>
          <w:rStyle w:val="Appelnotedebasdep"/>
        </w:rPr>
        <w:footnoteRef/>
      </w:r>
      <w:r>
        <w:t xml:space="preserve"> </w:t>
      </w:r>
      <w:r>
        <w:tab/>
      </w:r>
      <w:r>
        <w:tab/>
      </w:r>
      <w:r w:rsidRPr="00D90339">
        <w:t xml:space="preserve">Le </w:t>
      </w:r>
      <w:r>
        <w:t xml:space="preserve">Burkina Faso </w:t>
      </w:r>
      <w:r w:rsidRPr="00D90339">
        <w:t xml:space="preserve">est invité à examiner la possibilité de </w:t>
      </w:r>
      <w:r w:rsidRPr="003A411E">
        <w:t>contacter le programme de renforcement des</w:t>
      </w:r>
      <w:r w:rsidR="00E375EF">
        <w:t> </w:t>
      </w:r>
      <w:r w:rsidRPr="003A411E">
        <w:t>capacités des organes conventionnels du Haut-Commissariat</w:t>
      </w:r>
      <w:r>
        <w:t xml:space="preserve"> aux droits de l’homme</w:t>
      </w:r>
      <w:r w:rsidRPr="00D90339">
        <w:t xml:space="preserve"> (registry@ohchr.org), qui pourrait faciliter ce dialogue. </w:t>
      </w:r>
      <w:r>
        <w:t>L</w:t>
      </w:r>
      <w:r w:rsidRPr="00D90339">
        <w:t>es coordonnées du Fonds spécial</w:t>
      </w:r>
      <w:r>
        <w:t xml:space="preserve"> créé par</w:t>
      </w:r>
      <w:r w:rsidR="00E375EF">
        <w:t> </w:t>
      </w:r>
      <w:r>
        <w:t>le</w:t>
      </w:r>
      <w:r w:rsidR="00E375EF">
        <w:t> </w:t>
      </w:r>
      <w:r>
        <w:t>Protocole facultatif</w:t>
      </w:r>
      <w:r w:rsidRPr="00D90339">
        <w:t xml:space="preserve"> </w:t>
      </w:r>
      <w:r>
        <w:t xml:space="preserve">sont disponibles </w:t>
      </w:r>
      <w:r w:rsidRPr="00D90339">
        <w:t xml:space="preserve">à l’adresse </w:t>
      </w:r>
      <w:r>
        <w:t>suivante </w:t>
      </w:r>
      <w:r w:rsidRPr="00D90339">
        <w:t>:</w:t>
      </w:r>
      <w:r w:rsidRPr="00091044">
        <w:t xml:space="preserve"> www.ohchr.org/FR/HRBodies/OPCAT/Fund/Pages/SpecialFund.aspx</w:t>
      </w:r>
      <w:r w:rsidRPr="00D903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75E0" w14:textId="127CE71E" w:rsidR="00AB15A6" w:rsidRPr="00E8190D" w:rsidRDefault="0018778D">
    <w:pPr>
      <w:pStyle w:val="En-tte"/>
      <w:rPr>
        <w:lang w:val="en-GB"/>
      </w:rPr>
    </w:pPr>
    <w:fldSimple w:instr=" TITLE  \* MERGEFORMAT ">
      <w:r w:rsidR="000D07AA">
        <w:t>CAT/OP/BFA/ROSP/1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BB4E" w14:textId="121D9525" w:rsidR="00AB15A6" w:rsidRPr="0016790E" w:rsidRDefault="004E58DF" w:rsidP="0016790E">
    <w:pPr>
      <w:pStyle w:val="En-tte"/>
      <w:jc w:val="right"/>
    </w:pPr>
    <w:fldSimple w:instr=" TITLE  \* MERGEFORMAT ">
      <w:r w:rsidR="000D07AA">
        <w:t>CAT/OP/BFA/ROSP/1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2748" w14:textId="77777777" w:rsidR="002E2B81" w:rsidRDefault="002E2B81" w:rsidP="005A7E4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A1EC2"/>
    <w:multiLevelType w:val="hybridMultilevel"/>
    <w:tmpl w:val="3F0AC570"/>
    <w:lvl w:ilvl="0" w:tplc="040C0001">
      <w:start w:val="1"/>
      <w:numFmt w:val="bullet"/>
      <w:lvlText w:val=""/>
      <w:lvlJc w:val="left"/>
      <w:pPr>
        <w:ind w:left="1859" w:hanging="360"/>
      </w:pPr>
      <w:rPr>
        <w:rFonts w:ascii="Symbol" w:hAnsi="Symbol" w:hint="default"/>
      </w:rPr>
    </w:lvl>
    <w:lvl w:ilvl="1" w:tplc="040C0003" w:tentative="1">
      <w:start w:val="1"/>
      <w:numFmt w:val="bullet"/>
      <w:lvlText w:val="o"/>
      <w:lvlJc w:val="left"/>
      <w:pPr>
        <w:ind w:left="2579" w:hanging="360"/>
      </w:pPr>
      <w:rPr>
        <w:rFonts w:ascii="Courier New" w:hAnsi="Courier New" w:cs="Courier New" w:hint="default"/>
      </w:rPr>
    </w:lvl>
    <w:lvl w:ilvl="2" w:tplc="040C0005" w:tentative="1">
      <w:start w:val="1"/>
      <w:numFmt w:val="bullet"/>
      <w:lvlText w:val=""/>
      <w:lvlJc w:val="left"/>
      <w:pPr>
        <w:ind w:left="3299" w:hanging="360"/>
      </w:pPr>
      <w:rPr>
        <w:rFonts w:ascii="Wingdings" w:hAnsi="Wingdings" w:hint="default"/>
      </w:rPr>
    </w:lvl>
    <w:lvl w:ilvl="3" w:tplc="040C0001" w:tentative="1">
      <w:start w:val="1"/>
      <w:numFmt w:val="bullet"/>
      <w:lvlText w:val=""/>
      <w:lvlJc w:val="left"/>
      <w:pPr>
        <w:ind w:left="4019" w:hanging="360"/>
      </w:pPr>
      <w:rPr>
        <w:rFonts w:ascii="Symbol" w:hAnsi="Symbol" w:hint="default"/>
      </w:rPr>
    </w:lvl>
    <w:lvl w:ilvl="4" w:tplc="040C0003" w:tentative="1">
      <w:start w:val="1"/>
      <w:numFmt w:val="bullet"/>
      <w:lvlText w:val="o"/>
      <w:lvlJc w:val="left"/>
      <w:pPr>
        <w:ind w:left="4739" w:hanging="360"/>
      </w:pPr>
      <w:rPr>
        <w:rFonts w:ascii="Courier New" w:hAnsi="Courier New" w:cs="Courier New" w:hint="default"/>
      </w:rPr>
    </w:lvl>
    <w:lvl w:ilvl="5" w:tplc="040C0005" w:tentative="1">
      <w:start w:val="1"/>
      <w:numFmt w:val="bullet"/>
      <w:lvlText w:val=""/>
      <w:lvlJc w:val="left"/>
      <w:pPr>
        <w:ind w:left="5459" w:hanging="360"/>
      </w:pPr>
      <w:rPr>
        <w:rFonts w:ascii="Wingdings" w:hAnsi="Wingdings" w:hint="default"/>
      </w:rPr>
    </w:lvl>
    <w:lvl w:ilvl="6" w:tplc="040C0001" w:tentative="1">
      <w:start w:val="1"/>
      <w:numFmt w:val="bullet"/>
      <w:lvlText w:val=""/>
      <w:lvlJc w:val="left"/>
      <w:pPr>
        <w:ind w:left="6179" w:hanging="360"/>
      </w:pPr>
      <w:rPr>
        <w:rFonts w:ascii="Symbol" w:hAnsi="Symbol" w:hint="default"/>
      </w:rPr>
    </w:lvl>
    <w:lvl w:ilvl="7" w:tplc="040C0003" w:tentative="1">
      <w:start w:val="1"/>
      <w:numFmt w:val="bullet"/>
      <w:lvlText w:val="o"/>
      <w:lvlJc w:val="left"/>
      <w:pPr>
        <w:ind w:left="6899" w:hanging="360"/>
      </w:pPr>
      <w:rPr>
        <w:rFonts w:ascii="Courier New" w:hAnsi="Courier New" w:cs="Courier New" w:hint="default"/>
      </w:rPr>
    </w:lvl>
    <w:lvl w:ilvl="8" w:tplc="040C0005" w:tentative="1">
      <w:start w:val="1"/>
      <w:numFmt w:val="bullet"/>
      <w:lvlText w:val=""/>
      <w:lvlJc w:val="left"/>
      <w:pPr>
        <w:ind w:left="7619" w:hanging="360"/>
      </w:pPr>
      <w:rPr>
        <w:rFonts w:ascii="Wingdings" w:hAnsi="Wingdings" w:hint="default"/>
      </w:rPr>
    </w:lvl>
  </w:abstractNum>
  <w:abstractNum w:abstractNumId="11" w15:restartNumberingAfterBreak="0">
    <w:nsid w:val="0A994F89"/>
    <w:multiLevelType w:val="hybridMultilevel"/>
    <w:tmpl w:val="F77E4A12"/>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7E215B"/>
    <w:multiLevelType w:val="hybridMultilevel"/>
    <w:tmpl w:val="BBC2774E"/>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DA5BFD"/>
    <w:multiLevelType w:val="hybridMultilevel"/>
    <w:tmpl w:val="7BFAB42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14215C5"/>
    <w:multiLevelType w:val="hybridMultilevel"/>
    <w:tmpl w:val="932ECA4E"/>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B06CA8"/>
    <w:multiLevelType w:val="hybridMultilevel"/>
    <w:tmpl w:val="50820134"/>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7372BB"/>
    <w:multiLevelType w:val="hybridMultilevel"/>
    <w:tmpl w:val="78725246"/>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292E9D"/>
    <w:multiLevelType w:val="hybridMultilevel"/>
    <w:tmpl w:val="F860FF08"/>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60249"/>
    <w:multiLevelType w:val="hybridMultilevel"/>
    <w:tmpl w:val="D1FE729C"/>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3A6A9C"/>
    <w:multiLevelType w:val="hybridMultilevel"/>
    <w:tmpl w:val="6828525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E917DFE"/>
    <w:multiLevelType w:val="hybridMultilevel"/>
    <w:tmpl w:val="AF641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16ADE"/>
    <w:multiLevelType w:val="hybridMultilevel"/>
    <w:tmpl w:val="37B69E42"/>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C86181"/>
    <w:multiLevelType w:val="hybridMultilevel"/>
    <w:tmpl w:val="CD223474"/>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2F5E7E"/>
    <w:multiLevelType w:val="hybridMultilevel"/>
    <w:tmpl w:val="AB08E08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3296294"/>
    <w:multiLevelType w:val="hybridMultilevel"/>
    <w:tmpl w:val="01347D10"/>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DB48D5"/>
    <w:multiLevelType w:val="hybridMultilevel"/>
    <w:tmpl w:val="9FAE56D6"/>
    <w:lvl w:ilvl="0" w:tplc="8D7EC30E">
      <w:start w:val="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7B3330"/>
    <w:multiLevelType w:val="hybridMultilevel"/>
    <w:tmpl w:val="CDC8F684"/>
    <w:lvl w:ilvl="0" w:tplc="8D7EC30E">
      <w:start w:val="10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F352017"/>
    <w:multiLevelType w:val="hybridMultilevel"/>
    <w:tmpl w:val="8556B8E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1BB6D06"/>
    <w:multiLevelType w:val="hybridMultilevel"/>
    <w:tmpl w:val="B26092F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8496087"/>
    <w:multiLevelType w:val="hybridMultilevel"/>
    <w:tmpl w:val="CCFEE13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161046352">
    <w:abstractNumId w:val="29"/>
  </w:num>
  <w:num w:numId="2" w16cid:durableId="163977407">
    <w:abstractNumId w:val="20"/>
  </w:num>
  <w:num w:numId="3" w16cid:durableId="351222302">
    <w:abstractNumId w:val="12"/>
  </w:num>
  <w:num w:numId="4" w16cid:durableId="1270814218">
    <w:abstractNumId w:val="8"/>
  </w:num>
  <w:num w:numId="5" w16cid:durableId="2059085822">
    <w:abstractNumId w:val="3"/>
  </w:num>
  <w:num w:numId="6" w16cid:durableId="688263166">
    <w:abstractNumId w:val="2"/>
  </w:num>
  <w:num w:numId="7" w16cid:durableId="539241884">
    <w:abstractNumId w:val="1"/>
  </w:num>
  <w:num w:numId="8" w16cid:durableId="2091078325">
    <w:abstractNumId w:val="0"/>
  </w:num>
  <w:num w:numId="9" w16cid:durableId="2072995232">
    <w:abstractNumId w:val="9"/>
  </w:num>
  <w:num w:numId="10" w16cid:durableId="15161271">
    <w:abstractNumId w:val="7"/>
  </w:num>
  <w:num w:numId="11" w16cid:durableId="288634932">
    <w:abstractNumId w:val="6"/>
  </w:num>
  <w:num w:numId="12" w16cid:durableId="515967214">
    <w:abstractNumId w:val="5"/>
  </w:num>
  <w:num w:numId="13" w16cid:durableId="1981809410">
    <w:abstractNumId w:val="4"/>
  </w:num>
  <w:num w:numId="14" w16cid:durableId="1929804975">
    <w:abstractNumId w:val="29"/>
  </w:num>
  <w:num w:numId="15" w16cid:durableId="398983347">
    <w:abstractNumId w:val="20"/>
  </w:num>
  <w:num w:numId="16" w16cid:durableId="681399924">
    <w:abstractNumId w:val="12"/>
  </w:num>
  <w:num w:numId="17" w16cid:durableId="1519927574">
    <w:abstractNumId w:val="29"/>
  </w:num>
  <w:num w:numId="18" w16cid:durableId="1857958159">
    <w:abstractNumId w:val="20"/>
  </w:num>
  <w:num w:numId="19" w16cid:durableId="1075398654">
    <w:abstractNumId w:val="12"/>
  </w:num>
  <w:num w:numId="20" w16cid:durableId="1439375041">
    <w:abstractNumId w:val="28"/>
  </w:num>
  <w:num w:numId="21" w16cid:durableId="2110275703">
    <w:abstractNumId w:val="27"/>
  </w:num>
  <w:num w:numId="22" w16cid:durableId="56436861">
    <w:abstractNumId w:val="18"/>
  </w:num>
  <w:num w:numId="23" w16cid:durableId="1290352949">
    <w:abstractNumId w:val="13"/>
  </w:num>
  <w:num w:numId="24" w16cid:durableId="1372609494">
    <w:abstractNumId w:val="23"/>
  </w:num>
  <w:num w:numId="25" w16cid:durableId="35129024">
    <w:abstractNumId w:val="15"/>
  </w:num>
  <w:num w:numId="26" w16cid:durableId="1731077138">
    <w:abstractNumId w:val="16"/>
  </w:num>
  <w:num w:numId="27" w16cid:durableId="654188690">
    <w:abstractNumId w:val="17"/>
  </w:num>
  <w:num w:numId="28" w16cid:durableId="309286371">
    <w:abstractNumId w:val="24"/>
  </w:num>
  <w:num w:numId="29" w16cid:durableId="314452883">
    <w:abstractNumId w:val="19"/>
  </w:num>
  <w:num w:numId="30" w16cid:durableId="1770735431">
    <w:abstractNumId w:val="26"/>
  </w:num>
  <w:num w:numId="31" w16cid:durableId="1040979359">
    <w:abstractNumId w:val="11"/>
  </w:num>
  <w:num w:numId="32" w16cid:durableId="618294202">
    <w:abstractNumId w:val="30"/>
  </w:num>
  <w:num w:numId="33" w16cid:durableId="307514372">
    <w:abstractNumId w:val="31"/>
  </w:num>
  <w:num w:numId="34" w16cid:durableId="394089639">
    <w:abstractNumId w:val="21"/>
  </w:num>
  <w:num w:numId="35" w16cid:durableId="307128340">
    <w:abstractNumId w:val="22"/>
  </w:num>
  <w:num w:numId="36" w16cid:durableId="1873112317">
    <w:abstractNumId w:val="32"/>
  </w:num>
  <w:num w:numId="37" w16cid:durableId="7372196">
    <w:abstractNumId w:val="14"/>
  </w:num>
  <w:num w:numId="38" w16cid:durableId="766580657">
    <w:abstractNumId w:val="25"/>
  </w:num>
  <w:num w:numId="39" w16cid:durableId="1506699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fr-FR" w:vendorID="64" w:dllVersion="6" w:nlCheck="1" w:checkStyle="0"/>
  <w:activeWritingStyle w:appName="MSWord" w:lang="fr-CH" w:vendorID="64" w:dllVersion="6" w:nlCheck="1" w:checkStyle="0"/>
  <w:activeWritingStyle w:appName="MSWord" w:lang="pt-BR" w:vendorID="64" w:dllVersion="6" w:nlCheck="1" w:checkStyle="0"/>
  <w:activeWritingStyle w:appName="MSWord" w:lang="es-ES"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ttachedTemplate r:id="rId1"/>
  <w:defaultTabStop w:val="567"/>
  <w:hyphenationZone w:val="425"/>
  <w:evenAndOddHeaders/>
  <w:characterSpacingControl w:val="doNotCompress"/>
  <w:hdrShapeDefaults>
    <o:shapedefaults v:ext="edit" spidmax="696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3E"/>
    <w:rsid w:val="00000709"/>
    <w:rsid w:val="000010F2"/>
    <w:rsid w:val="00023842"/>
    <w:rsid w:val="000305C6"/>
    <w:rsid w:val="00033437"/>
    <w:rsid w:val="00034AC0"/>
    <w:rsid w:val="00035AE4"/>
    <w:rsid w:val="00037DF1"/>
    <w:rsid w:val="00042385"/>
    <w:rsid w:val="00042E07"/>
    <w:rsid w:val="0007796D"/>
    <w:rsid w:val="00085FAE"/>
    <w:rsid w:val="00090AFB"/>
    <w:rsid w:val="00091044"/>
    <w:rsid w:val="000A25AC"/>
    <w:rsid w:val="000C2803"/>
    <w:rsid w:val="000C4CAA"/>
    <w:rsid w:val="000D07AA"/>
    <w:rsid w:val="000D7A1B"/>
    <w:rsid w:val="000F5F66"/>
    <w:rsid w:val="00101756"/>
    <w:rsid w:val="00111F2F"/>
    <w:rsid w:val="00114320"/>
    <w:rsid w:val="00115EE4"/>
    <w:rsid w:val="00130813"/>
    <w:rsid w:val="0014365E"/>
    <w:rsid w:val="0015180C"/>
    <w:rsid w:val="00152A13"/>
    <w:rsid w:val="001578F8"/>
    <w:rsid w:val="001678AD"/>
    <w:rsid w:val="0016790E"/>
    <w:rsid w:val="00170DE2"/>
    <w:rsid w:val="00176178"/>
    <w:rsid w:val="0018778D"/>
    <w:rsid w:val="001A6743"/>
    <w:rsid w:val="001C4BB8"/>
    <w:rsid w:val="001C679E"/>
    <w:rsid w:val="001D4CDF"/>
    <w:rsid w:val="001E59E4"/>
    <w:rsid w:val="001F525A"/>
    <w:rsid w:val="001F5F95"/>
    <w:rsid w:val="001F6ADA"/>
    <w:rsid w:val="002007DA"/>
    <w:rsid w:val="00206BA1"/>
    <w:rsid w:val="0021270D"/>
    <w:rsid w:val="00226CBA"/>
    <w:rsid w:val="00236E1F"/>
    <w:rsid w:val="0024002F"/>
    <w:rsid w:val="00242A26"/>
    <w:rsid w:val="0025338A"/>
    <w:rsid w:val="002629EC"/>
    <w:rsid w:val="0028091F"/>
    <w:rsid w:val="0028435D"/>
    <w:rsid w:val="00291B18"/>
    <w:rsid w:val="00297660"/>
    <w:rsid w:val="002A201C"/>
    <w:rsid w:val="002A50D4"/>
    <w:rsid w:val="002C4B28"/>
    <w:rsid w:val="002D1E21"/>
    <w:rsid w:val="002E2B81"/>
    <w:rsid w:val="002F16F6"/>
    <w:rsid w:val="00311719"/>
    <w:rsid w:val="00312B4F"/>
    <w:rsid w:val="00315603"/>
    <w:rsid w:val="00330D9D"/>
    <w:rsid w:val="00336479"/>
    <w:rsid w:val="00363FA3"/>
    <w:rsid w:val="003646B4"/>
    <w:rsid w:val="00364920"/>
    <w:rsid w:val="00364ABF"/>
    <w:rsid w:val="0037138F"/>
    <w:rsid w:val="0038425D"/>
    <w:rsid w:val="003932A4"/>
    <w:rsid w:val="00393FFB"/>
    <w:rsid w:val="003A411E"/>
    <w:rsid w:val="003A6DA3"/>
    <w:rsid w:val="003B0987"/>
    <w:rsid w:val="003B162B"/>
    <w:rsid w:val="003C5ECB"/>
    <w:rsid w:val="003C727E"/>
    <w:rsid w:val="003D6FD1"/>
    <w:rsid w:val="003E4D06"/>
    <w:rsid w:val="003E6DEF"/>
    <w:rsid w:val="00401968"/>
    <w:rsid w:val="00403B71"/>
    <w:rsid w:val="004074CF"/>
    <w:rsid w:val="004145EB"/>
    <w:rsid w:val="00424538"/>
    <w:rsid w:val="00425999"/>
    <w:rsid w:val="00431A07"/>
    <w:rsid w:val="00433D8C"/>
    <w:rsid w:val="00434A08"/>
    <w:rsid w:val="00443400"/>
    <w:rsid w:val="00444208"/>
    <w:rsid w:val="00446FE5"/>
    <w:rsid w:val="00452BCD"/>
    <w:rsid w:val="004549D0"/>
    <w:rsid w:val="0046621A"/>
    <w:rsid w:val="00472B88"/>
    <w:rsid w:val="00472C25"/>
    <w:rsid w:val="004C1363"/>
    <w:rsid w:val="004C41A9"/>
    <w:rsid w:val="004D0608"/>
    <w:rsid w:val="004D3FFC"/>
    <w:rsid w:val="004D6539"/>
    <w:rsid w:val="004E0A9C"/>
    <w:rsid w:val="004E58DF"/>
    <w:rsid w:val="004E6135"/>
    <w:rsid w:val="004F046A"/>
    <w:rsid w:val="004F7C99"/>
    <w:rsid w:val="0051120E"/>
    <w:rsid w:val="00513B3E"/>
    <w:rsid w:val="00520F66"/>
    <w:rsid w:val="00521CEE"/>
    <w:rsid w:val="005224E3"/>
    <w:rsid w:val="00523509"/>
    <w:rsid w:val="00532C89"/>
    <w:rsid w:val="00534B76"/>
    <w:rsid w:val="00545BFC"/>
    <w:rsid w:val="00553A1F"/>
    <w:rsid w:val="00573BE5"/>
    <w:rsid w:val="005766E4"/>
    <w:rsid w:val="00577779"/>
    <w:rsid w:val="005813F4"/>
    <w:rsid w:val="00586ED3"/>
    <w:rsid w:val="00587A52"/>
    <w:rsid w:val="0059371B"/>
    <w:rsid w:val="005970D5"/>
    <w:rsid w:val="005A0629"/>
    <w:rsid w:val="005A47D6"/>
    <w:rsid w:val="005A51D3"/>
    <w:rsid w:val="005A7E48"/>
    <w:rsid w:val="005B4B21"/>
    <w:rsid w:val="005B4E23"/>
    <w:rsid w:val="005F2438"/>
    <w:rsid w:val="005F3D6D"/>
    <w:rsid w:val="0061231B"/>
    <w:rsid w:val="00617360"/>
    <w:rsid w:val="00621144"/>
    <w:rsid w:val="006261D0"/>
    <w:rsid w:val="00631348"/>
    <w:rsid w:val="0063247C"/>
    <w:rsid w:val="006469B1"/>
    <w:rsid w:val="00651A31"/>
    <w:rsid w:val="00652C49"/>
    <w:rsid w:val="006549D2"/>
    <w:rsid w:val="00677254"/>
    <w:rsid w:val="00680F54"/>
    <w:rsid w:val="00686FD9"/>
    <w:rsid w:val="006978D3"/>
    <w:rsid w:val="006A2C77"/>
    <w:rsid w:val="006A2E1A"/>
    <w:rsid w:val="006C19E3"/>
    <w:rsid w:val="006C21A4"/>
    <w:rsid w:val="006C3A05"/>
    <w:rsid w:val="006C50F8"/>
    <w:rsid w:val="006C6763"/>
    <w:rsid w:val="006F156F"/>
    <w:rsid w:val="006F3F0F"/>
    <w:rsid w:val="007023ED"/>
    <w:rsid w:val="0071601D"/>
    <w:rsid w:val="007249FA"/>
    <w:rsid w:val="00727871"/>
    <w:rsid w:val="00730BAF"/>
    <w:rsid w:val="00737395"/>
    <w:rsid w:val="00741948"/>
    <w:rsid w:val="007432FB"/>
    <w:rsid w:val="00751F6F"/>
    <w:rsid w:val="007754DA"/>
    <w:rsid w:val="0078206D"/>
    <w:rsid w:val="00782504"/>
    <w:rsid w:val="00793F09"/>
    <w:rsid w:val="0079799D"/>
    <w:rsid w:val="007C5EB5"/>
    <w:rsid w:val="007E0A95"/>
    <w:rsid w:val="007F1441"/>
    <w:rsid w:val="007F3CB4"/>
    <w:rsid w:val="007F6495"/>
    <w:rsid w:val="007F7A60"/>
    <w:rsid w:val="00801694"/>
    <w:rsid w:val="0080684C"/>
    <w:rsid w:val="00807D21"/>
    <w:rsid w:val="008119D6"/>
    <w:rsid w:val="00814824"/>
    <w:rsid w:val="00817BA4"/>
    <w:rsid w:val="00820A0B"/>
    <w:rsid w:val="00821423"/>
    <w:rsid w:val="00837068"/>
    <w:rsid w:val="00840C6C"/>
    <w:rsid w:val="008509AD"/>
    <w:rsid w:val="00852C7E"/>
    <w:rsid w:val="00861003"/>
    <w:rsid w:val="00871C75"/>
    <w:rsid w:val="00874FCA"/>
    <w:rsid w:val="008776DC"/>
    <w:rsid w:val="0088718E"/>
    <w:rsid w:val="00893DBC"/>
    <w:rsid w:val="008A5479"/>
    <w:rsid w:val="008B2440"/>
    <w:rsid w:val="008B5FBD"/>
    <w:rsid w:val="008C2B05"/>
    <w:rsid w:val="008F0F3F"/>
    <w:rsid w:val="008F1465"/>
    <w:rsid w:val="008F2CB5"/>
    <w:rsid w:val="00915418"/>
    <w:rsid w:val="009233D9"/>
    <w:rsid w:val="00927EB8"/>
    <w:rsid w:val="009406A5"/>
    <w:rsid w:val="00964F01"/>
    <w:rsid w:val="009705C8"/>
    <w:rsid w:val="00977027"/>
    <w:rsid w:val="00982BB5"/>
    <w:rsid w:val="009B0F6B"/>
    <w:rsid w:val="009B3387"/>
    <w:rsid w:val="009C2C36"/>
    <w:rsid w:val="009C39A7"/>
    <w:rsid w:val="009C4D45"/>
    <w:rsid w:val="009C54CE"/>
    <w:rsid w:val="009C7184"/>
    <w:rsid w:val="009C7992"/>
    <w:rsid w:val="009D199D"/>
    <w:rsid w:val="009D3F30"/>
    <w:rsid w:val="009E5AFF"/>
    <w:rsid w:val="009F531E"/>
    <w:rsid w:val="00A05770"/>
    <w:rsid w:val="00A15A26"/>
    <w:rsid w:val="00A24C2E"/>
    <w:rsid w:val="00A324C5"/>
    <w:rsid w:val="00A34309"/>
    <w:rsid w:val="00A37C92"/>
    <w:rsid w:val="00A421AE"/>
    <w:rsid w:val="00A61B9C"/>
    <w:rsid w:val="00A64725"/>
    <w:rsid w:val="00A704A8"/>
    <w:rsid w:val="00A829CA"/>
    <w:rsid w:val="00A84366"/>
    <w:rsid w:val="00AA0CD3"/>
    <w:rsid w:val="00AB15A6"/>
    <w:rsid w:val="00AB1B55"/>
    <w:rsid w:val="00AB2E4E"/>
    <w:rsid w:val="00AC23A9"/>
    <w:rsid w:val="00AC35FC"/>
    <w:rsid w:val="00AD4C3D"/>
    <w:rsid w:val="00AE323C"/>
    <w:rsid w:val="00AE4862"/>
    <w:rsid w:val="00AF2EBF"/>
    <w:rsid w:val="00AF42DC"/>
    <w:rsid w:val="00AF7450"/>
    <w:rsid w:val="00B02A34"/>
    <w:rsid w:val="00B04A57"/>
    <w:rsid w:val="00B06D19"/>
    <w:rsid w:val="00B26A22"/>
    <w:rsid w:val="00B5104C"/>
    <w:rsid w:val="00B60DE7"/>
    <w:rsid w:val="00B637E6"/>
    <w:rsid w:val="00B814EE"/>
    <w:rsid w:val="00B85B6E"/>
    <w:rsid w:val="00B969B2"/>
    <w:rsid w:val="00BA41F4"/>
    <w:rsid w:val="00BA64E5"/>
    <w:rsid w:val="00BB20C8"/>
    <w:rsid w:val="00BC42F4"/>
    <w:rsid w:val="00BE49EE"/>
    <w:rsid w:val="00C02897"/>
    <w:rsid w:val="00C07494"/>
    <w:rsid w:val="00C11E12"/>
    <w:rsid w:val="00C13684"/>
    <w:rsid w:val="00C3033E"/>
    <w:rsid w:val="00C376C8"/>
    <w:rsid w:val="00C70215"/>
    <w:rsid w:val="00CA5CE1"/>
    <w:rsid w:val="00CB5784"/>
    <w:rsid w:val="00CC19A7"/>
    <w:rsid w:val="00CC1E66"/>
    <w:rsid w:val="00CD21C9"/>
    <w:rsid w:val="00CD2F4B"/>
    <w:rsid w:val="00CD3052"/>
    <w:rsid w:val="00CD326D"/>
    <w:rsid w:val="00CD7F9A"/>
    <w:rsid w:val="00CF4B00"/>
    <w:rsid w:val="00CF58B3"/>
    <w:rsid w:val="00CF733B"/>
    <w:rsid w:val="00D001BE"/>
    <w:rsid w:val="00D152DA"/>
    <w:rsid w:val="00D21E12"/>
    <w:rsid w:val="00D223E7"/>
    <w:rsid w:val="00D22842"/>
    <w:rsid w:val="00D238C6"/>
    <w:rsid w:val="00D36218"/>
    <w:rsid w:val="00D638DF"/>
    <w:rsid w:val="00D63AA3"/>
    <w:rsid w:val="00D66AEE"/>
    <w:rsid w:val="00D71196"/>
    <w:rsid w:val="00D73CA6"/>
    <w:rsid w:val="00D82CA0"/>
    <w:rsid w:val="00DB1831"/>
    <w:rsid w:val="00DD3BFD"/>
    <w:rsid w:val="00DD48CD"/>
    <w:rsid w:val="00DE1D41"/>
    <w:rsid w:val="00DF1F8D"/>
    <w:rsid w:val="00DF3188"/>
    <w:rsid w:val="00DF73E4"/>
    <w:rsid w:val="00DF75D7"/>
    <w:rsid w:val="00E14AF6"/>
    <w:rsid w:val="00E2401B"/>
    <w:rsid w:val="00E2431F"/>
    <w:rsid w:val="00E33C68"/>
    <w:rsid w:val="00E375EF"/>
    <w:rsid w:val="00E42D3D"/>
    <w:rsid w:val="00E444C8"/>
    <w:rsid w:val="00E45C08"/>
    <w:rsid w:val="00E47ECE"/>
    <w:rsid w:val="00E554A4"/>
    <w:rsid w:val="00E628E9"/>
    <w:rsid w:val="00E644B9"/>
    <w:rsid w:val="00E651B7"/>
    <w:rsid w:val="00E66A64"/>
    <w:rsid w:val="00E73C69"/>
    <w:rsid w:val="00E81545"/>
    <w:rsid w:val="00E8190D"/>
    <w:rsid w:val="00E83E93"/>
    <w:rsid w:val="00E8681C"/>
    <w:rsid w:val="00EA0D23"/>
    <w:rsid w:val="00EA3F83"/>
    <w:rsid w:val="00EA7101"/>
    <w:rsid w:val="00EB2B86"/>
    <w:rsid w:val="00EB48B2"/>
    <w:rsid w:val="00EC6F93"/>
    <w:rsid w:val="00EC7931"/>
    <w:rsid w:val="00EE6EA3"/>
    <w:rsid w:val="00F04CE9"/>
    <w:rsid w:val="00F108A0"/>
    <w:rsid w:val="00F129FB"/>
    <w:rsid w:val="00F13C9A"/>
    <w:rsid w:val="00F4301E"/>
    <w:rsid w:val="00F46950"/>
    <w:rsid w:val="00F561AD"/>
    <w:rsid w:val="00F62914"/>
    <w:rsid w:val="00F64BBF"/>
    <w:rsid w:val="00F654DF"/>
    <w:rsid w:val="00F660DF"/>
    <w:rsid w:val="00F73AB2"/>
    <w:rsid w:val="00F766BD"/>
    <w:rsid w:val="00F80956"/>
    <w:rsid w:val="00F85058"/>
    <w:rsid w:val="00F909F9"/>
    <w:rsid w:val="00F92D3C"/>
    <w:rsid w:val="00F95C08"/>
    <w:rsid w:val="00FA1F3F"/>
    <w:rsid w:val="00FB463A"/>
    <w:rsid w:val="00FB512C"/>
    <w:rsid w:val="00FB5CD7"/>
    <w:rsid w:val="00FC67B8"/>
    <w:rsid w:val="00FC6A11"/>
    <w:rsid w:val="00FF4530"/>
    <w:rsid w:val="00FF71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CDF3FA"/>
  <w15:docId w15:val="{EF089F3B-B5C3-405B-BFF0-38966437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4D6539"/>
    <w:pPr>
      <w:keepNext/>
      <w:keepLines/>
      <w:spacing w:after="0" w:line="240" w:lineRule="auto"/>
      <w:ind w:right="0"/>
      <w:jc w:val="left"/>
      <w:outlineLvl w:val="0"/>
    </w:pPr>
  </w:style>
  <w:style w:type="paragraph" w:styleId="Titre2">
    <w:name w:val="heading 2"/>
    <w:basedOn w:val="Normal"/>
    <w:next w:val="Normal"/>
    <w:link w:val="Titre2Car"/>
    <w:uiPriority w:val="99"/>
    <w:qFormat/>
    <w:rsid w:val="007432FB"/>
    <w:pPr>
      <w:outlineLvl w:val="1"/>
    </w:pPr>
  </w:style>
  <w:style w:type="paragraph" w:styleId="Titre3">
    <w:name w:val="heading 3"/>
    <w:basedOn w:val="Normal"/>
    <w:next w:val="Normal"/>
    <w:link w:val="Titre3Car"/>
    <w:uiPriority w:val="99"/>
    <w:qFormat/>
    <w:rsid w:val="007432FB"/>
    <w:pPr>
      <w:outlineLvl w:val="2"/>
    </w:pPr>
  </w:style>
  <w:style w:type="paragraph" w:styleId="Titre4">
    <w:name w:val="heading 4"/>
    <w:basedOn w:val="Normal"/>
    <w:next w:val="Normal"/>
    <w:link w:val="Titre4Car"/>
    <w:uiPriority w:val="99"/>
    <w:qFormat/>
    <w:rsid w:val="007432FB"/>
    <w:pPr>
      <w:outlineLvl w:val="3"/>
    </w:pPr>
  </w:style>
  <w:style w:type="paragraph" w:styleId="Titre5">
    <w:name w:val="heading 5"/>
    <w:basedOn w:val="Normal"/>
    <w:next w:val="Normal"/>
    <w:link w:val="Titre5Car"/>
    <w:uiPriority w:val="99"/>
    <w:qFormat/>
    <w:rsid w:val="007432FB"/>
    <w:pPr>
      <w:outlineLvl w:val="4"/>
    </w:pPr>
  </w:style>
  <w:style w:type="paragraph" w:styleId="Titre6">
    <w:name w:val="heading 6"/>
    <w:basedOn w:val="Normal"/>
    <w:next w:val="Normal"/>
    <w:link w:val="Titre6Car"/>
    <w:uiPriority w:val="99"/>
    <w:qFormat/>
    <w:rsid w:val="007432FB"/>
    <w:pPr>
      <w:outlineLvl w:val="5"/>
    </w:pPr>
  </w:style>
  <w:style w:type="paragraph" w:styleId="Titre7">
    <w:name w:val="heading 7"/>
    <w:basedOn w:val="Normal"/>
    <w:next w:val="Normal"/>
    <w:link w:val="Titre7Car"/>
    <w:uiPriority w:val="99"/>
    <w:qFormat/>
    <w:rsid w:val="007432FB"/>
    <w:pPr>
      <w:outlineLvl w:val="6"/>
    </w:pPr>
  </w:style>
  <w:style w:type="paragraph" w:styleId="Titre8">
    <w:name w:val="heading 8"/>
    <w:basedOn w:val="Normal"/>
    <w:next w:val="Normal"/>
    <w:link w:val="Titre8Car"/>
    <w:uiPriority w:val="99"/>
    <w:qFormat/>
    <w:rsid w:val="007432FB"/>
    <w:pPr>
      <w:outlineLvl w:val="7"/>
    </w:pPr>
  </w:style>
  <w:style w:type="paragraph" w:styleId="Titre9">
    <w:name w:val="heading 9"/>
    <w:basedOn w:val="Normal"/>
    <w:next w:val="Normal"/>
    <w:link w:val="Titre9Car"/>
    <w:uiPriority w:val="99"/>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4D6539"/>
    <w:pPr>
      <w:spacing w:line="240" w:lineRule="auto"/>
    </w:pPr>
    <w:rPr>
      <w:sz w:val="16"/>
    </w:rPr>
  </w:style>
  <w:style w:type="character" w:customStyle="1" w:styleId="PieddepageCar">
    <w:name w:val="Pied de page Car"/>
    <w:aliases w:val="3_G Car"/>
    <w:basedOn w:val="Policepardfaut"/>
    <w:link w:val="Pieddepage"/>
    <w:uiPriority w:val="99"/>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uiPriority w:val="99"/>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uiPriority w:val="99"/>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uiPriority w:val="99"/>
    <w:rsid w:val="004D6539"/>
    <w:pPr>
      <w:keepNext/>
      <w:keepLines/>
      <w:spacing w:before="240" w:after="240" w:line="580" w:lineRule="exact"/>
      <w:ind w:left="1134" w:right="1134"/>
    </w:pPr>
    <w:rPr>
      <w:b/>
      <w:sz w:val="56"/>
    </w:rPr>
  </w:style>
  <w:style w:type="paragraph" w:customStyle="1" w:styleId="SMG">
    <w:name w:val="__S_M_G"/>
    <w:basedOn w:val="Normal"/>
    <w:next w:val="Normal"/>
    <w:uiPriority w:val="99"/>
    <w:rsid w:val="004D6539"/>
    <w:pPr>
      <w:keepNext/>
      <w:keepLines/>
      <w:spacing w:before="240" w:after="240" w:line="420" w:lineRule="exact"/>
      <w:ind w:left="1134" w:right="1134"/>
    </w:pPr>
    <w:rPr>
      <w:b/>
      <w:sz w:val="40"/>
    </w:rPr>
  </w:style>
  <w:style w:type="paragraph" w:customStyle="1" w:styleId="SSG">
    <w:name w:val="__S_S_G"/>
    <w:basedOn w:val="Normal"/>
    <w:next w:val="Normal"/>
    <w:uiPriority w:val="99"/>
    <w:rsid w:val="004D6539"/>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4D6539"/>
    <w:pPr>
      <w:keepNext/>
      <w:keepLines/>
      <w:spacing w:before="240" w:after="240" w:line="420" w:lineRule="exact"/>
      <w:ind w:left="1134" w:right="1134"/>
    </w:pPr>
    <w:rPr>
      <w:b/>
      <w:sz w:val="40"/>
    </w:rPr>
  </w:style>
  <w:style w:type="paragraph" w:customStyle="1" w:styleId="Bullet1G">
    <w:name w:val="_Bullet 1_G"/>
    <w:basedOn w:val="Normal"/>
    <w:link w:val="Bullet1GCar"/>
    <w:uiPriority w:val="99"/>
    <w:qFormat/>
    <w:rsid w:val="004D6539"/>
    <w:pPr>
      <w:numPr>
        <w:numId w:val="17"/>
      </w:numPr>
      <w:spacing w:after="120"/>
      <w:ind w:right="1134"/>
      <w:jc w:val="both"/>
    </w:pPr>
  </w:style>
  <w:style w:type="paragraph" w:customStyle="1" w:styleId="Bullet2G">
    <w:name w:val="_Bullet 2_G"/>
    <w:basedOn w:val="Normal"/>
    <w:uiPriority w:val="99"/>
    <w:qFormat/>
    <w:rsid w:val="004D6539"/>
    <w:pPr>
      <w:numPr>
        <w:numId w:val="18"/>
      </w:numPr>
      <w:spacing w:after="120"/>
      <w:ind w:right="1134"/>
      <w:jc w:val="both"/>
    </w:pPr>
  </w:style>
  <w:style w:type="paragraph" w:customStyle="1" w:styleId="ParNoG">
    <w:name w:val="_ParNo_G"/>
    <w:basedOn w:val="Normal"/>
    <w:uiPriority w:val="99"/>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11E12"/>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4D6539"/>
    <w:rPr>
      <w:rFonts w:ascii="Times New Roman" w:hAnsi="Times New Roman"/>
      <w:sz w:val="18"/>
      <w:vertAlign w:val="superscript"/>
      <w:lang w:val="fr-CH"/>
    </w:rPr>
  </w:style>
  <w:style w:type="table" w:styleId="Grilledutableau">
    <w:name w:val="Table Grid"/>
    <w:basedOn w:val="TableauNormal"/>
    <w:uiPriority w:val="39"/>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iPriority w:val="99"/>
    <w:unhideWhenUsed/>
    <w:rsid w:val="004D6539"/>
    <w:rPr>
      <w:color w:val="0000FF"/>
      <w:u w:val="none"/>
    </w:rPr>
  </w:style>
  <w:style w:type="paragraph" w:styleId="Notedebasdepage">
    <w:name w:val="footnote text"/>
    <w:aliases w:val="5_G"/>
    <w:basedOn w:val="Normal"/>
    <w:link w:val="NotedebasdepageCar"/>
    <w:qFormat/>
    <w:rsid w:val="00C11E12"/>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C11E12"/>
    <w:rPr>
      <w:rFonts w:ascii="Times New Roman" w:hAnsi="Times New Roman" w:cs="Times New Roman"/>
      <w:sz w:val="18"/>
      <w:szCs w:val="20"/>
    </w:rPr>
  </w:style>
  <w:style w:type="paragraph" w:styleId="Notedefin">
    <w:name w:val="endnote text"/>
    <w:aliases w:val="2_G"/>
    <w:basedOn w:val="Notedebasdepage"/>
    <w:link w:val="NotedefinCar"/>
    <w:uiPriority w:val="99"/>
    <w:qFormat/>
    <w:rsid w:val="004D6539"/>
  </w:style>
  <w:style w:type="character" w:customStyle="1" w:styleId="NotedefinCar">
    <w:name w:val="Note de fin Car"/>
    <w:aliases w:val="2_G Car"/>
    <w:basedOn w:val="Policepardfaut"/>
    <w:link w:val="Notedefin"/>
    <w:uiPriority w:val="99"/>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4D6539"/>
    <w:rPr>
      <w:rFonts w:ascii="Times New Roman" w:hAnsi="Times New Roman"/>
      <w:b/>
      <w:sz w:val="18"/>
      <w:lang w:val="fr-CH"/>
    </w:rPr>
  </w:style>
  <w:style w:type="character" w:customStyle="1" w:styleId="Titre1Car">
    <w:name w:val="Titre 1 Car"/>
    <w:aliases w:val="Table_G Car"/>
    <w:basedOn w:val="Policepardfaut"/>
    <w:link w:val="Titre1"/>
    <w:uiPriority w:val="99"/>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9"/>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uiPriority w:val="99"/>
    <w:rsid w:val="007432FB"/>
    <w:rPr>
      <w:rFonts w:ascii="Times New Roman" w:eastAsiaTheme="minorHAnsi" w:hAnsi="Times New Roman" w:cs="Times New Roman"/>
      <w:b/>
      <w:sz w:val="28"/>
      <w:szCs w:val="20"/>
      <w:lang w:eastAsia="en-US"/>
    </w:rPr>
  </w:style>
  <w:style w:type="character" w:customStyle="1" w:styleId="H1GChar">
    <w:name w:val="_ H_1_G Char"/>
    <w:link w:val="H1G"/>
    <w:uiPriority w:val="99"/>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uiPriority w:val="99"/>
    <w:locked/>
    <w:rsid w:val="007432FB"/>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rsid w:val="008F1465"/>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rsid w:val="008F1465"/>
    <w:rPr>
      <w:rFonts w:ascii="Times New Roman" w:eastAsia="Times New Roman" w:hAnsi="Times New Roman" w:cs="Times New Roman"/>
      <w:sz w:val="20"/>
      <w:szCs w:val="20"/>
      <w:lang w:eastAsia="en-US"/>
    </w:rPr>
  </w:style>
  <w:style w:type="paragraph" w:styleId="Paragraphedeliste">
    <w:name w:val="List Paragraph"/>
    <w:basedOn w:val="Normal"/>
    <w:uiPriority w:val="34"/>
    <w:qFormat/>
    <w:rsid w:val="008F1465"/>
    <w:pPr>
      <w:kinsoku/>
      <w:overflowPunct/>
      <w:autoSpaceDE/>
      <w:autoSpaceDN/>
      <w:adjustRightInd/>
      <w:snapToGrid/>
      <w:ind w:left="720"/>
      <w:contextualSpacing/>
    </w:pPr>
    <w:rPr>
      <w:rFonts w:eastAsia="Times New Roman"/>
    </w:rPr>
  </w:style>
  <w:style w:type="character" w:styleId="lev">
    <w:name w:val="Strong"/>
    <w:basedOn w:val="Policepardfaut"/>
    <w:uiPriority w:val="99"/>
    <w:qFormat/>
    <w:rsid w:val="008F1465"/>
    <w:rPr>
      <w:b/>
      <w:bCs/>
    </w:rPr>
  </w:style>
  <w:style w:type="paragraph" w:customStyle="1" w:styleId="Default">
    <w:name w:val="Default"/>
    <w:uiPriority w:val="99"/>
    <w:rsid w:val="008F1465"/>
    <w:pPr>
      <w:autoSpaceDE w:val="0"/>
      <w:autoSpaceDN w:val="0"/>
      <w:adjustRightInd w:val="0"/>
      <w:spacing w:after="0" w:line="240" w:lineRule="auto"/>
    </w:pPr>
    <w:rPr>
      <w:rFonts w:ascii="Times New Roman" w:eastAsia="Times New Roman" w:hAnsi="Times New Roman" w:cs="Times New Roman"/>
      <w:color w:val="000000"/>
      <w:sz w:val="24"/>
      <w:szCs w:val="24"/>
      <w:lang w:val="en-GB" w:eastAsia="fr-FR"/>
    </w:rPr>
  </w:style>
  <w:style w:type="paragraph" w:customStyle="1" w:styleId="Listecouleur-Accent11">
    <w:name w:val="Liste couleur - Accent 11"/>
    <w:basedOn w:val="Normal"/>
    <w:uiPriority w:val="99"/>
    <w:rsid w:val="008F1465"/>
    <w:pPr>
      <w:suppressAutoHyphens w:val="0"/>
      <w:kinsoku/>
      <w:overflowPunct/>
      <w:autoSpaceDE/>
      <w:autoSpaceDN/>
      <w:adjustRightInd/>
      <w:snapToGrid/>
      <w:spacing w:line="240" w:lineRule="auto"/>
      <w:ind w:left="720"/>
    </w:pPr>
    <w:rPr>
      <w:rFonts w:eastAsia="SimSun"/>
      <w:sz w:val="24"/>
      <w:szCs w:val="24"/>
      <w:lang w:val="en-US" w:eastAsia="zh-CN"/>
    </w:rPr>
  </w:style>
  <w:style w:type="paragraph" w:customStyle="1" w:styleId="Paragraphedeliste1">
    <w:name w:val="Paragraphe de liste1"/>
    <w:basedOn w:val="Normal"/>
    <w:uiPriority w:val="99"/>
    <w:rsid w:val="008F1465"/>
    <w:pPr>
      <w:suppressAutoHyphens w:val="0"/>
      <w:kinsoku/>
      <w:overflowPunct/>
      <w:autoSpaceDE/>
      <w:autoSpaceDN/>
      <w:adjustRightInd/>
      <w:snapToGrid/>
      <w:spacing w:line="240" w:lineRule="auto"/>
      <w:ind w:left="720"/>
    </w:pPr>
    <w:rPr>
      <w:rFonts w:eastAsia="SimSun"/>
      <w:sz w:val="24"/>
      <w:szCs w:val="24"/>
      <w:lang w:val="fr-FR" w:eastAsia="fr-FR"/>
    </w:rPr>
  </w:style>
  <w:style w:type="character" w:customStyle="1" w:styleId="Bullet1GCar">
    <w:name w:val="_Bullet 1_G Car"/>
    <w:link w:val="Bullet1G"/>
    <w:uiPriority w:val="99"/>
    <w:locked/>
    <w:rsid w:val="008F1465"/>
    <w:rPr>
      <w:rFonts w:ascii="Times New Roman" w:eastAsiaTheme="minorHAnsi" w:hAnsi="Times New Roman" w:cs="Times New Roman"/>
      <w:sz w:val="20"/>
      <w:szCs w:val="20"/>
      <w:lang w:eastAsia="en-US"/>
    </w:rPr>
  </w:style>
  <w:style w:type="table" w:customStyle="1" w:styleId="TableGrid1">
    <w:name w:val="Table Grid1"/>
    <w:uiPriority w:val="99"/>
    <w:rsid w:val="008F146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8F146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uiPriority w:val="99"/>
    <w:rsid w:val="008F1465"/>
    <w:rPr>
      <w:lang w:val="fr-CH" w:eastAsia="en-US"/>
    </w:rPr>
  </w:style>
  <w:style w:type="character" w:styleId="Marquedecommentaire">
    <w:name w:val="annotation reference"/>
    <w:basedOn w:val="Policepardfaut"/>
    <w:uiPriority w:val="99"/>
    <w:semiHidden/>
    <w:rsid w:val="008F1465"/>
    <w:rPr>
      <w:sz w:val="16"/>
      <w:szCs w:val="16"/>
    </w:rPr>
  </w:style>
  <w:style w:type="paragraph" w:styleId="Objetducommentaire">
    <w:name w:val="annotation subject"/>
    <w:basedOn w:val="Commentaire"/>
    <w:next w:val="Commentaire"/>
    <w:link w:val="ObjetducommentaireCar"/>
    <w:uiPriority w:val="99"/>
    <w:semiHidden/>
    <w:rsid w:val="008F1465"/>
    <w:rPr>
      <w:rFonts w:eastAsia="SimSun"/>
      <w:b/>
      <w:bCs/>
    </w:rPr>
  </w:style>
  <w:style w:type="character" w:customStyle="1" w:styleId="ObjetducommentaireCar">
    <w:name w:val="Objet du commentaire Car"/>
    <w:basedOn w:val="CommentaireCar"/>
    <w:link w:val="Objetducommentaire"/>
    <w:uiPriority w:val="99"/>
    <w:semiHidden/>
    <w:rsid w:val="008F1465"/>
    <w:rPr>
      <w:rFonts w:ascii="Times New Roman" w:eastAsia="SimSun" w:hAnsi="Times New Roman" w:cs="Times New Roman"/>
      <w:b/>
      <w:bCs/>
      <w:sz w:val="20"/>
      <w:szCs w:val="20"/>
      <w:lang w:eastAsia="en-US"/>
    </w:rPr>
  </w:style>
  <w:style w:type="paragraph" w:styleId="Explorateurdedocuments">
    <w:name w:val="Document Map"/>
    <w:basedOn w:val="Normal"/>
    <w:link w:val="ExplorateurdedocumentsCar"/>
    <w:uiPriority w:val="99"/>
    <w:semiHidden/>
    <w:rsid w:val="008F1465"/>
    <w:pPr>
      <w:kinsoku/>
      <w:overflowPunct/>
      <w:autoSpaceDE/>
      <w:autoSpaceDN/>
      <w:adjustRightInd/>
      <w:snapToGrid/>
    </w:pPr>
    <w:rPr>
      <w:rFonts w:eastAsia="SimSun"/>
      <w:sz w:val="24"/>
      <w:szCs w:val="24"/>
    </w:rPr>
  </w:style>
  <w:style w:type="character" w:customStyle="1" w:styleId="ExplorateurdedocumentsCar">
    <w:name w:val="Explorateur de documents Car"/>
    <w:basedOn w:val="Policepardfaut"/>
    <w:link w:val="Explorateurdedocuments"/>
    <w:uiPriority w:val="99"/>
    <w:semiHidden/>
    <w:rsid w:val="008F1465"/>
    <w:rPr>
      <w:rFonts w:ascii="Times New Roman" w:eastAsia="SimSun" w:hAnsi="Times New Roman" w:cs="Times New Roman"/>
      <w:sz w:val="24"/>
      <w:szCs w:val="24"/>
      <w:lang w:eastAsia="en-US"/>
    </w:rPr>
  </w:style>
  <w:style w:type="character" w:styleId="Accentuation">
    <w:name w:val="Emphasis"/>
    <w:basedOn w:val="Policepardfaut"/>
    <w:uiPriority w:val="99"/>
    <w:qFormat/>
    <w:rsid w:val="008F1465"/>
    <w:rPr>
      <w:b/>
      <w:bCs/>
    </w:rPr>
  </w:style>
  <w:style w:type="character" w:customStyle="1" w:styleId="st1">
    <w:name w:val="st1"/>
    <w:uiPriority w:val="99"/>
    <w:rsid w:val="008F1465"/>
  </w:style>
  <w:style w:type="character" w:customStyle="1" w:styleId="st">
    <w:name w:val="st"/>
    <w:uiPriority w:val="99"/>
    <w:rsid w:val="008F1465"/>
  </w:style>
  <w:style w:type="paragraph" w:styleId="Sansinterligne">
    <w:name w:val="No Spacing"/>
    <w:uiPriority w:val="1"/>
    <w:qFormat/>
    <w:rsid w:val="008F1465"/>
    <w:pPr>
      <w:spacing w:after="0" w:line="240" w:lineRule="auto"/>
    </w:pPr>
    <w:rPr>
      <w:rFonts w:ascii="Calibri" w:eastAsia="SimSun" w:hAnsi="Calibri" w:cs="Calibri"/>
      <w:lang w:val="fr-FR" w:eastAsia="en-US"/>
    </w:rPr>
  </w:style>
  <w:style w:type="character" w:customStyle="1" w:styleId="shorttext">
    <w:name w:val="short_text"/>
    <w:uiPriority w:val="99"/>
    <w:rsid w:val="008F1465"/>
  </w:style>
  <w:style w:type="paragraph" w:styleId="NormalWeb">
    <w:name w:val="Normal (Web)"/>
    <w:basedOn w:val="Normal"/>
    <w:uiPriority w:val="99"/>
    <w:rsid w:val="008F1465"/>
    <w:pPr>
      <w:suppressAutoHyphens w:val="0"/>
      <w:kinsoku/>
      <w:overflowPunct/>
      <w:autoSpaceDE/>
      <w:autoSpaceDN/>
      <w:adjustRightInd/>
      <w:snapToGrid/>
      <w:spacing w:before="100" w:beforeAutospacing="1" w:after="100" w:afterAutospacing="1" w:line="240" w:lineRule="auto"/>
    </w:pPr>
    <w:rPr>
      <w:rFonts w:eastAsia="SimSun"/>
      <w:sz w:val="24"/>
      <w:szCs w:val="24"/>
      <w:lang w:val="en-GB" w:eastAsia="en-GB"/>
    </w:rPr>
  </w:style>
  <w:style w:type="character" w:customStyle="1" w:styleId="fullarticletexte">
    <w:name w:val="fullarticletexte"/>
    <w:uiPriority w:val="99"/>
    <w:rsid w:val="008F1465"/>
  </w:style>
  <w:style w:type="paragraph" w:styleId="Rvision">
    <w:name w:val="Revision"/>
    <w:hidden/>
    <w:uiPriority w:val="99"/>
    <w:semiHidden/>
    <w:rsid w:val="008F1465"/>
    <w:pPr>
      <w:spacing w:after="0" w:line="240" w:lineRule="auto"/>
    </w:pPr>
    <w:rPr>
      <w:rFonts w:ascii="Times New Roman" w:eastAsia="SimSun" w:hAnsi="Times New Roman" w:cs="Times New Roman"/>
      <w:sz w:val="20"/>
      <w:szCs w:val="20"/>
      <w:lang w:eastAsia="en-US"/>
    </w:rPr>
  </w:style>
  <w:style w:type="numbering" w:customStyle="1" w:styleId="Aucuneliste1">
    <w:name w:val="Aucune liste1"/>
    <w:next w:val="Aucuneliste"/>
    <w:uiPriority w:val="99"/>
    <w:semiHidden/>
    <w:unhideWhenUsed/>
    <w:rsid w:val="008F1465"/>
  </w:style>
  <w:style w:type="table" w:customStyle="1" w:styleId="Grilledutableau1">
    <w:name w:val="Grille du tableau1"/>
    <w:basedOn w:val="TableauNormal"/>
    <w:next w:val="Grilledutableau"/>
    <w:uiPriority w:val="39"/>
    <w:rsid w:val="008F146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uiPriority w:val="99"/>
    <w:rsid w:val="008F146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8F146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Textedelespacerserv">
    <w:name w:val="Placeholder Text"/>
    <w:basedOn w:val="Policepardfaut"/>
    <w:uiPriority w:val="99"/>
    <w:semiHidden/>
    <w:rsid w:val="00874FCA"/>
    <w:rPr>
      <w:color w:val="808080"/>
    </w:rPr>
  </w:style>
  <w:style w:type="character" w:styleId="Mentionnonrsolue">
    <w:name w:val="Unresolved Mention"/>
    <w:basedOn w:val="Policepardfaut"/>
    <w:uiPriority w:val="99"/>
    <w:semiHidden/>
    <w:unhideWhenUsed/>
    <w:rsid w:val="00E4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fr/CAT/C/BFA/CO/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ndocs.org/fr/CAT/OP/1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AT/OP/6/Rev.1" TargetMode="External"/><Relationship Id="rId2" Type="http://schemas.openxmlformats.org/officeDocument/2006/relationships/hyperlink" Target="http://undocs.org/fr/A/HRC/16/51" TargetMode="External"/><Relationship Id="rId1" Type="http://schemas.openxmlformats.org/officeDocument/2006/relationships/hyperlink" Target="http://undocs.org/fr/CAT/C/57/4" TargetMode="External"/><Relationship Id="rId4" Type="http://schemas.openxmlformats.org/officeDocument/2006/relationships/hyperlink" Target="http://undocs.org/fr/CAT/OP/1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CAEE5601AD22449055739FEFCCEB2D" ma:contentTypeVersion="0" ma:contentTypeDescription="Create a new document." ma:contentTypeScope="" ma:versionID="3605e51d451bbddbd46887f7fed7a0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4DBCF-F4CD-4CD6-9F14-79DEFBAA2E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A61135-991B-4C17-83F8-804C3029F08A}">
  <ds:schemaRefs>
    <ds:schemaRef ds:uri="http://schemas.openxmlformats.org/officeDocument/2006/bibliography"/>
  </ds:schemaRefs>
</ds:datastoreItem>
</file>

<file path=customXml/itemProps3.xml><?xml version="1.0" encoding="utf-8"?>
<ds:datastoreItem xmlns:ds="http://schemas.openxmlformats.org/officeDocument/2006/customXml" ds:itemID="{6DB36C25-FE3A-433A-86C6-EB629092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CC9250-5C6B-4DD1-954F-AE2D25116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23</Pages>
  <Words>10199</Words>
  <Characters>55893</Characters>
  <Application>Microsoft Office Word</Application>
  <DocSecurity>0</DocSecurity>
  <Lines>963</Lines>
  <Paragraphs>423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CAT/OP/BFA/ROSP/1</vt:lpstr>
      <vt:lpstr>CAT/OP/BFA/R.1</vt:lpstr>
    </vt:vector>
  </TitlesOfParts>
  <Company>DCM</Company>
  <LinksUpToDate>false</LinksUpToDate>
  <CharactersWithSpaces>65669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CAT/OP/BFA/ROSP/1</dc:title>
  <dc:subject>QRCODE</dc:subject>
  <dc:creator>DVX</dc:creator>
  <cp:keywords/>
  <dc:description/>
  <cp:lastModifiedBy>Nathalie Vittoz</cp:lastModifiedBy>
  <cp:revision>3</cp:revision>
  <cp:lastPrinted>2023-02-08T11:25:00Z</cp:lastPrinted>
  <dcterms:created xsi:type="dcterms:W3CDTF">2023-02-08T11:29:00Z</dcterms:created>
  <dcterms:modified xsi:type="dcterms:W3CDTF">2023-02-08T13:38:00Z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0x01010050CAEE5601AD22449055739FEFCCEB2D</vt:lpwstr>
  </property>
</Properties>
</file>