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43A9F51" w14:textId="77777777" w:rsidTr="002B7BC7">
        <w:trPr>
          <w:trHeight w:hRule="exact" w:val="851"/>
        </w:trPr>
        <w:tc>
          <w:tcPr>
            <w:tcW w:w="1276" w:type="dxa"/>
            <w:tcBorders>
              <w:bottom w:val="single" w:sz="4" w:space="0" w:color="auto"/>
            </w:tcBorders>
          </w:tcPr>
          <w:p w14:paraId="470691FD" w14:textId="77777777" w:rsidR="006F71EA" w:rsidRPr="00DB58B5" w:rsidRDefault="006F71EA" w:rsidP="008445B2"/>
        </w:tc>
        <w:tc>
          <w:tcPr>
            <w:tcW w:w="2268" w:type="dxa"/>
            <w:tcBorders>
              <w:bottom w:val="single" w:sz="4" w:space="0" w:color="auto"/>
            </w:tcBorders>
            <w:vAlign w:val="bottom"/>
          </w:tcPr>
          <w:p w14:paraId="621B5F2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1DC5D0" w14:textId="42C78AE5" w:rsidR="006F71EA" w:rsidRPr="00DB58B5" w:rsidRDefault="008445B2" w:rsidP="008445B2">
            <w:pPr>
              <w:jc w:val="right"/>
            </w:pPr>
            <w:r w:rsidRPr="008445B2">
              <w:rPr>
                <w:sz w:val="40"/>
              </w:rPr>
              <w:t>CCPR</w:t>
            </w:r>
            <w:r>
              <w:t>/C/BOL/RQ/4</w:t>
            </w:r>
          </w:p>
        </w:tc>
      </w:tr>
      <w:tr w:rsidR="006F71EA" w:rsidRPr="00DB58B5" w14:paraId="23D0A6B3" w14:textId="77777777" w:rsidTr="002B7BC7">
        <w:trPr>
          <w:trHeight w:hRule="exact" w:val="2835"/>
        </w:trPr>
        <w:tc>
          <w:tcPr>
            <w:tcW w:w="1276" w:type="dxa"/>
            <w:tcBorders>
              <w:top w:val="single" w:sz="4" w:space="0" w:color="auto"/>
              <w:bottom w:val="single" w:sz="12" w:space="0" w:color="auto"/>
            </w:tcBorders>
          </w:tcPr>
          <w:p w14:paraId="17FECFB4" w14:textId="77777777" w:rsidR="006F71EA" w:rsidRPr="00DB58B5" w:rsidRDefault="006F71EA" w:rsidP="002B7BC7">
            <w:pPr>
              <w:spacing w:before="120"/>
              <w:jc w:val="center"/>
            </w:pPr>
            <w:r>
              <w:rPr>
                <w:noProof/>
                <w:lang w:eastAsia="fr-CH"/>
              </w:rPr>
              <w:drawing>
                <wp:inline distT="0" distB="0" distL="0" distR="0" wp14:anchorId="1DF1AEB5" wp14:editId="5BC815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72E7BC" w14:textId="44D3E452" w:rsidR="006F71EA" w:rsidRPr="00AB51C8" w:rsidRDefault="006F71EA" w:rsidP="002B7BC7">
            <w:pPr>
              <w:spacing w:before="120" w:line="380" w:lineRule="exact"/>
              <w:rPr>
                <w:b/>
                <w:sz w:val="34"/>
                <w:szCs w:val="34"/>
              </w:rPr>
            </w:pPr>
            <w:r w:rsidRPr="00AB51C8">
              <w:rPr>
                <w:b/>
                <w:sz w:val="34"/>
                <w:szCs w:val="34"/>
              </w:rPr>
              <w:t>Pacte international relatif</w:t>
            </w:r>
            <w:r w:rsidR="008445B2">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7E73B2C3" w14:textId="77777777" w:rsidR="006F71EA" w:rsidRDefault="008445B2" w:rsidP="002B7BC7">
            <w:pPr>
              <w:spacing w:before="240"/>
            </w:pPr>
            <w:r>
              <w:t>Distr. générale</w:t>
            </w:r>
          </w:p>
          <w:p w14:paraId="68E19538" w14:textId="4284202C" w:rsidR="008445B2" w:rsidRDefault="008445B2" w:rsidP="008445B2">
            <w:pPr>
              <w:spacing w:line="240" w:lineRule="exact"/>
            </w:pPr>
            <w:r>
              <w:t>19 janvier 2022</w:t>
            </w:r>
          </w:p>
          <w:p w14:paraId="7C6A8BF9" w14:textId="77777777" w:rsidR="008445B2" w:rsidRDefault="008445B2" w:rsidP="008445B2">
            <w:pPr>
              <w:spacing w:line="240" w:lineRule="exact"/>
            </w:pPr>
            <w:r>
              <w:t>Français</w:t>
            </w:r>
          </w:p>
          <w:p w14:paraId="457305CF" w14:textId="77777777" w:rsidR="008445B2" w:rsidRDefault="008445B2" w:rsidP="008445B2">
            <w:pPr>
              <w:spacing w:line="240" w:lineRule="exact"/>
            </w:pPr>
            <w:r>
              <w:t>Original : espagnol</w:t>
            </w:r>
          </w:p>
          <w:p w14:paraId="4430EBBE" w14:textId="45006D1A" w:rsidR="008445B2" w:rsidRPr="00DB58B5" w:rsidRDefault="008445B2" w:rsidP="008445B2">
            <w:pPr>
              <w:spacing w:line="240" w:lineRule="exact"/>
            </w:pPr>
            <w:r>
              <w:t>Anglais, espagnol et français seulement</w:t>
            </w:r>
          </w:p>
        </w:tc>
      </w:tr>
    </w:tbl>
    <w:p w14:paraId="1697F03B" w14:textId="77777777" w:rsidR="006F71EA" w:rsidRDefault="006F71EA" w:rsidP="006F71EA">
      <w:pPr>
        <w:spacing w:before="120"/>
        <w:rPr>
          <w:b/>
          <w:sz w:val="24"/>
          <w:szCs w:val="24"/>
        </w:rPr>
      </w:pPr>
      <w:r w:rsidRPr="00DF3BF1">
        <w:rPr>
          <w:b/>
          <w:sz w:val="24"/>
          <w:szCs w:val="24"/>
        </w:rPr>
        <w:t>Comité des droits de l’homme</w:t>
      </w:r>
    </w:p>
    <w:p w14:paraId="440CEABA" w14:textId="77777777" w:rsidR="008445B2" w:rsidRPr="00952EC6" w:rsidRDefault="008445B2" w:rsidP="008445B2">
      <w:pPr>
        <w:rPr>
          <w:rFonts w:ascii="Segoe UI" w:hAnsi="Segoe UI" w:cs="Segoe UI"/>
          <w:sz w:val="18"/>
          <w:szCs w:val="18"/>
          <w:lang w:val="fr-FR"/>
        </w:rPr>
      </w:pPr>
      <w:r>
        <w:rPr>
          <w:b/>
          <w:bCs/>
          <w:lang w:val="fr-FR"/>
        </w:rPr>
        <w:t>134</w:t>
      </w:r>
      <w:r>
        <w:rPr>
          <w:b/>
          <w:bCs/>
          <w:vertAlign w:val="superscript"/>
          <w:lang w:val="fr-FR"/>
        </w:rPr>
        <w:t>e</w:t>
      </w:r>
      <w:r>
        <w:rPr>
          <w:b/>
          <w:bCs/>
          <w:lang w:val="fr-FR"/>
        </w:rPr>
        <w:t> session</w:t>
      </w:r>
      <w:r>
        <w:rPr>
          <w:lang w:val="fr-FR"/>
        </w:rPr>
        <w:t xml:space="preserve"> </w:t>
      </w:r>
    </w:p>
    <w:p w14:paraId="3E95B9B0" w14:textId="2C066936" w:rsidR="008445B2" w:rsidRPr="00952EC6" w:rsidRDefault="008445B2" w:rsidP="008445B2">
      <w:pPr>
        <w:rPr>
          <w:rFonts w:ascii="Segoe UI" w:hAnsi="Segoe UI" w:cs="Segoe UI"/>
          <w:sz w:val="18"/>
          <w:szCs w:val="18"/>
          <w:lang w:val="fr-FR"/>
        </w:rPr>
      </w:pPr>
      <w:r>
        <w:rPr>
          <w:lang w:val="fr-FR"/>
        </w:rPr>
        <w:t>28 février-25 mars 2022</w:t>
      </w:r>
    </w:p>
    <w:p w14:paraId="11015FCB" w14:textId="535D7B8D" w:rsidR="008445B2" w:rsidRPr="008445B2" w:rsidRDefault="008445B2" w:rsidP="008445B2">
      <w:pPr>
        <w:rPr>
          <w:rFonts w:ascii="Segoe UI" w:hAnsi="Segoe UI" w:cs="Segoe UI"/>
          <w:b/>
          <w:bCs/>
          <w:sz w:val="18"/>
          <w:szCs w:val="18"/>
          <w:lang w:val="fr-FR"/>
        </w:rPr>
      </w:pPr>
      <w:r w:rsidRPr="008445B2">
        <w:rPr>
          <w:b/>
          <w:bCs/>
          <w:lang w:val="fr-FR"/>
        </w:rPr>
        <w:t xml:space="preserve">Examen des rapports soumis par les États parties </w:t>
      </w:r>
      <w:r>
        <w:rPr>
          <w:b/>
          <w:bCs/>
          <w:lang w:val="fr-FR"/>
        </w:rPr>
        <w:br/>
      </w:r>
      <w:r w:rsidRPr="008445B2">
        <w:rPr>
          <w:b/>
          <w:bCs/>
          <w:lang w:val="fr-FR"/>
        </w:rPr>
        <w:t>en application de l’article 40 du Pacte</w:t>
      </w:r>
    </w:p>
    <w:p w14:paraId="7CC4B3D4" w14:textId="7B70C36E" w:rsidR="008445B2" w:rsidRPr="00D930C9" w:rsidRDefault="008445B2" w:rsidP="008445B2">
      <w:pPr>
        <w:pStyle w:val="HMG"/>
      </w:pPr>
      <w:r w:rsidRPr="008445B2">
        <w:rPr>
          <w:spacing w:val="3"/>
          <w:lang w:val="fr-FR"/>
        </w:rPr>
        <w:tab/>
      </w:r>
      <w:r w:rsidRPr="008445B2">
        <w:rPr>
          <w:spacing w:val="3"/>
          <w:lang w:val="fr-FR"/>
        </w:rPr>
        <w:tab/>
        <w:t xml:space="preserve">Réponses de l’État plurinational de Bolivie </w:t>
      </w:r>
      <w:r w:rsidRPr="008445B2">
        <w:rPr>
          <w:spacing w:val="3"/>
          <w:lang w:val="fr-FR"/>
        </w:rPr>
        <w:br/>
      </w:r>
      <w:r w:rsidRPr="008445B2">
        <w:rPr>
          <w:spacing w:val="-3"/>
          <w:lang w:val="fr-FR"/>
        </w:rPr>
        <w:t>à la liste de points concernant son quatrième</w:t>
      </w:r>
      <w:r>
        <w:rPr>
          <w:lang w:val="fr-FR"/>
        </w:rPr>
        <w:t xml:space="preserve"> rapport périodique</w:t>
      </w:r>
      <w:r w:rsidRPr="008445B2">
        <w:rPr>
          <w:rStyle w:val="Appelnotedebasdep"/>
          <w:b w:val="0"/>
          <w:bCs/>
          <w:sz w:val="20"/>
          <w:vertAlign w:val="baseline"/>
        </w:rPr>
        <w:footnoteReference w:customMarkFollows="1" w:id="2"/>
        <w:t>*</w:t>
      </w:r>
    </w:p>
    <w:p w14:paraId="6E58A26F" w14:textId="31EE27C3" w:rsidR="00E85C42" w:rsidRDefault="008445B2" w:rsidP="008445B2">
      <w:pPr>
        <w:pStyle w:val="SingleTxtG"/>
        <w:jc w:val="right"/>
        <w:rPr>
          <w:lang w:val="fr-FR"/>
        </w:rPr>
      </w:pPr>
      <w:r>
        <w:rPr>
          <w:lang w:val="fr-FR"/>
        </w:rPr>
        <w:t>[Date de réception : 21 décembre 2021]</w:t>
      </w:r>
    </w:p>
    <w:p w14:paraId="1878378A" w14:textId="6A0A8574" w:rsidR="008445B2" w:rsidRDefault="008445B2" w:rsidP="008445B2">
      <w:pPr>
        <w:pStyle w:val="SingleTxtG"/>
        <w:rPr>
          <w:lang w:val="fr-FR"/>
        </w:rPr>
      </w:pPr>
      <w:r>
        <w:rPr>
          <w:lang w:val="fr-FR"/>
        </w:rPr>
        <w:br w:type="page"/>
      </w:r>
    </w:p>
    <w:p w14:paraId="5A34D82E" w14:textId="47D7E4FF" w:rsidR="0081022C" w:rsidRPr="00D930C9" w:rsidRDefault="0081022C" w:rsidP="0081022C">
      <w:pPr>
        <w:pStyle w:val="HChG"/>
      </w:pPr>
      <w:r>
        <w:rPr>
          <w:lang w:val="fr-FR"/>
        </w:rPr>
        <w:lastRenderedPageBreak/>
        <w:tab/>
        <w:t>I.</w:t>
      </w:r>
      <w:r>
        <w:rPr>
          <w:lang w:val="fr-FR"/>
        </w:rPr>
        <w:tab/>
        <w:t>Introduction</w:t>
      </w:r>
    </w:p>
    <w:p w14:paraId="38565186" w14:textId="2EF682E8" w:rsidR="0081022C" w:rsidRPr="00D930C9" w:rsidRDefault="0081022C" w:rsidP="0081022C">
      <w:pPr>
        <w:pStyle w:val="SingleTxtG"/>
      </w:pPr>
      <w:r>
        <w:rPr>
          <w:lang w:val="fr-FR"/>
        </w:rPr>
        <w:t>1.</w:t>
      </w:r>
      <w:r>
        <w:rPr>
          <w:lang w:val="fr-FR"/>
        </w:rPr>
        <w:tab/>
        <w:t>La Bolivie a ratifié le Pacte international relatif aux droits civils et politiques par le décret suprême n</w:t>
      </w:r>
      <w:r>
        <w:rPr>
          <w:vertAlign w:val="superscript"/>
          <w:lang w:val="fr-FR"/>
        </w:rPr>
        <w:t>o</w:t>
      </w:r>
      <w:r>
        <w:rPr>
          <w:lang w:val="fr-FR"/>
        </w:rPr>
        <w:t> 18950 du 17 mai 1982 et l’a transposé en droit interne au moyen de la loi n</w:t>
      </w:r>
      <w:r>
        <w:rPr>
          <w:vertAlign w:val="superscript"/>
          <w:lang w:val="fr-FR"/>
        </w:rPr>
        <w:t>o</w:t>
      </w:r>
      <w:r>
        <w:rPr>
          <w:lang w:val="fr-FR"/>
        </w:rPr>
        <w:t> 2119 du 11 septembre 2000.</w:t>
      </w:r>
    </w:p>
    <w:p w14:paraId="62826256" w14:textId="77777777" w:rsidR="0081022C" w:rsidRPr="00D930C9" w:rsidRDefault="0081022C" w:rsidP="0081022C">
      <w:pPr>
        <w:pStyle w:val="SingleTxtG"/>
        <w:rPr>
          <w:spacing w:val="-4"/>
        </w:rPr>
      </w:pPr>
      <w:r>
        <w:rPr>
          <w:lang w:val="fr-FR"/>
        </w:rPr>
        <w:t>2.</w:t>
      </w:r>
      <w:r>
        <w:rPr>
          <w:lang w:val="fr-FR"/>
        </w:rPr>
        <w:tab/>
        <w:t>Comme les autres instruments internationaux relatifs aux droits de l’homme, le Pacte</w:t>
      </w:r>
      <w:r w:rsidRPr="00023A8B">
        <w:rPr>
          <w:lang w:val="fr-FR"/>
        </w:rPr>
        <w:t xml:space="preserve"> </w:t>
      </w:r>
      <w:r>
        <w:rPr>
          <w:lang w:val="fr-FR"/>
        </w:rPr>
        <w:t>fait partie du bloc de constitutionnalité. À ce titre, ces textes prévalent dans l’ordre juridique interne, conformément aux dispositions des articles 13 (par. II et IV), 256 et 410 (par. II) de la Constitution politique de l’État.</w:t>
      </w:r>
    </w:p>
    <w:p w14:paraId="3F036338" w14:textId="01F5D153" w:rsidR="0081022C" w:rsidRPr="00D930C9" w:rsidRDefault="0081022C" w:rsidP="0081022C">
      <w:pPr>
        <w:pStyle w:val="SingleTxtG"/>
      </w:pPr>
      <w:r>
        <w:rPr>
          <w:lang w:val="fr-FR"/>
        </w:rPr>
        <w:t>3.</w:t>
      </w:r>
      <w:r>
        <w:rPr>
          <w:lang w:val="fr-FR"/>
        </w:rPr>
        <w:tab/>
        <w:t>En application de l’article 40 du Pacte, l’État plurinational de Bolivie soumet ses réponses à la liste de points établie avant la soumission du quatrième rapport périodique de l’État plurinational de Bolivie, dans lesquelles il décrit les avancées législatives et les mesures prises pour appliquer les dispositions du Pacte et donner suite aux recommandations figurant dans les observations finales du Comité concernant le troisième rapport périodique de l’État plurinational de Bolivie (</w:t>
      </w:r>
      <w:hyperlink r:id="rId8" w:history="1">
        <w:r w:rsidRPr="004B1AC4">
          <w:rPr>
            <w:rStyle w:val="Lienhypertexte"/>
            <w:lang w:val="fr-FR"/>
          </w:rPr>
          <w:t>CCPR/C/BOL/CO/3</w:t>
        </w:r>
      </w:hyperlink>
      <w:r>
        <w:rPr>
          <w:lang w:val="fr-FR"/>
        </w:rPr>
        <w:t>) en date du 22 septembre 2011.</w:t>
      </w:r>
    </w:p>
    <w:p w14:paraId="00023D5B" w14:textId="2308DF31" w:rsidR="0081022C" w:rsidRPr="00D930C9" w:rsidRDefault="004B1AC4" w:rsidP="004B1AC4">
      <w:pPr>
        <w:pStyle w:val="HChG"/>
      </w:pPr>
      <w:r>
        <w:rPr>
          <w:lang w:val="fr-FR"/>
        </w:rPr>
        <w:tab/>
      </w:r>
      <w:r w:rsidR="0081022C">
        <w:rPr>
          <w:lang w:val="fr-FR"/>
        </w:rPr>
        <w:t>II.</w:t>
      </w:r>
      <w:r w:rsidR="0081022C">
        <w:rPr>
          <w:lang w:val="fr-FR"/>
        </w:rPr>
        <w:tab/>
        <w:t>Cadre constitutionnel et juridique de la mise en œuvre du</w:t>
      </w:r>
      <w:r>
        <w:rPr>
          <w:lang w:val="fr-FR"/>
        </w:rPr>
        <w:t> </w:t>
      </w:r>
      <w:r w:rsidR="0081022C">
        <w:rPr>
          <w:lang w:val="fr-FR"/>
        </w:rPr>
        <w:t>Pacte (art. 1</w:t>
      </w:r>
      <w:r w:rsidR="0081022C" w:rsidRPr="00175C73">
        <w:rPr>
          <w:vertAlign w:val="superscript"/>
          <w:lang w:val="fr-FR"/>
        </w:rPr>
        <w:t xml:space="preserve">er </w:t>
      </w:r>
      <w:r w:rsidR="0081022C">
        <w:rPr>
          <w:lang w:val="fr-FR"/>
        </w:rPr>
        <w:t>et 2)</w:t>
      </w:r>
    </w:p>
    <w:p w14:paraId="70F86FA6" w14:textId="1FD7153A" w:rsidR="0081022C" w:rsidRPr="00D930C9" w:rsidRDefault="0081022C" w:rsidP="004B1AC4">
      <w:pPr>
        <w:pStyle w:val="H23G"/>
      </w:pPr>
      <w:r>
        <w:rPr>
          <w:lang w:val="fr-FR"/>
        </w:rPr>
        <w:tab/>
        <w:t>1.</w:t>
      </w:r>
      <w:r>
        <w:rPr>
          <w:lang w:val="fr-FR"/>
        </w:rPr>
        <w:tab/>
        <w:t>Réponse au paragraphe 1 de la liste de points (</w:t>
      </w:r>
      <w:hyperlink r:id="rId9" w:history="1">
        <w:r w:rsidRPr="004B1AC4">
          <w:rPr>
            <w:rStyle w:val="Lienhypertexte"/>
            <w:lang w:val="fr-FR"/>
          </w:rPr>
          <w:t>CCPR/C/BOL/Q/4</w:t>
        </w:r>
      </w:hyperlink>
      <w:r>
        <w:rPr>
          <w:lang w:val="fr-FR"/>
        </w:rPr>
        <w:t>)</w:t>
      </w:r>
    </w:p>
    <w:p w14:paraId="05E017DD" w14:textId="77777777" w:rsidR="0081022C" w:rsidRPr="00D930C9" w:rsidRDefault="0081022C" w:rsidP="0081022C">
      <w:pPr>
        <w:pStyle w:val="SingleTxtG"/>
        <w:rPr>
          <w:rFonts w:eastAsia="Calibri"/>
        </w:rPr>
      </w:pPr>
      <w:r>
        <w:rPr>
          <w:lang w:val="fr-FR"/>
        </w:rPr>
        <w:t>4.</w:t>
      </w:r>
      <w:r>
        <w:rPr>
          <w:lang w:val="fr-FR"/>
        </w:rPr>
        <w:tab/>
        <w:t>Depuis la promulgation de la Constitution politique de l’État en 2009, la Bolivie s’est efforcée de mieux intégrer les dispositions internationales dans l’ordre constitutionnel interne, conformément à sa jurisprudence. En effet, l’article 410 (par. II) prévoit que le bloc de constitutionnalité englobe les conventions et traités internationaux relatifs aux droits de l’homme ainsi que les règles de droit communautaire ratifiés par le pays, dont le Pacte international relatif aux droits civils et politiques. Il convient également de souligner que la Constitution prévoit aux articles 13 (par. IV) et 256 (par. I) que les instruments internationaux relatifs aux droits de l’homme priment lorsqu’ils reconnaissent des droits plus favorables que ceux consacrés par la Constitution elle-même.</w:t>
      </w:r>
    </w:p>
    <w:p w14:paraId="4254776D" w14:textId="77777777" w:rsidR="004B1AC4" w:rsidRDefault="0081022C" w:rsidP="0081022C">
      <w:pPr>
        <w:pStyle w:val="SingleTxtG"/>
        <w:rPr>
          <w:rFonts w:eastAsia="Calibri"/>
          <w:lang w:val="fr-FR"/>
        </w:rPr>
      </w:pPr>
      <w:r>
        <w:rPr>
          <w:lang w:val="fr-FR"/>
        </w:rPr>
        <w:t>5.</w:t>
      </w:r>
      <w:r>
        <w:rPr>
          <w:lang w:val="fr-FR"/>
        </w:rPr>
        <w:tab/>
        <w:t>Dans son arrêt constitutionnel plurinational 110/2010-R du 10 mai 2010, le Tribunal constitutionnel a établi que les éléments normatifs et les décisions juridictionnelles émanant de ce système ne devaient pas s’entendre de manière isolée ou indépendante du système juridique interne. En effet, pour que la protection des droits fondamentaux soit effective, il faut nécessairement que l’ordre interne prévoie, dans ses textes, la portée et les effets des normes et décisions émanant du Système interaméricain de protection des droits de l’homme. À cet égard, il a estimé ce qui suit :</w:t>
      </w:r>
    </w:p>
    <w:p w14:paraId="287E5B2F" w14:textId="77777777" w:rsidR="004B1AC4" w:rsidRPr="004B1AC4" w:rsidRDefault="0081022C" w:rsidP="004B1AC4">
      <w:pPr>
        <w:pStyle w:val="SingleTxtG"/>
        <w:ind w:firstLine="567"/>
        <w:rPr>
          <w:rFonts w:eastAsia="Calibri"/>
          <w:i/>
          <w:iCs/>
          <w:lang w:val="fr-FR"/>
        </w:rPr>
      </w:pPr>
      <w:r w:rsidRPr="002319F5">
        <w:rPr>
          <w:lang w:val="fr-FR"/>
        </w:rPr>
        <w:t>« </w:t>
      </w:r>
      <w:r w:rsidRPr="004B1AC4">
        <w:rPr>
          <w:i/>
          <w:iCs/>
          <w:lang w:val="fr-FR"/>
        </w:rPr>
        <w:t>En effet, d’après la doctrine du bloc de constitutionnalité reconnue par l’article 410 de la Constitution politique de l’État, le bloc de constitutionnalité inclut les instruments internationaux relatifs aux droits de l’homme, parmi lesquels se trouve incontestablement le Pacte de San José de Costa Rica, également appelé Convention américaine relative aux droits de l’homme, qui a été ratifié par la Bolivie par la loi n</w:t>
      </w:r>
      <w:r w:rsidRPr="004B1AC4">
        <w:rPr>
          <w:i/>
          <w:iCs/>
          <w:vertAlign w:val="superscript"/>
          <w:lang w:val="fr-FR"/>
        </w:rPr>
        <w:t>o</w:t>
      </w:r>
      <w:r w:rsidRPr="004B1AC4">
        <w:rPr>
          <w:i/>
          <w:iCs/>
          <w:lang w:val="fr-FR"/>
        </w:rPr>
        <w:t> 1.599 du 18 octobre 1994. Ce texte, du fait de sa nature et de sa thématique, est protégé par le principe de primauté de la Constitution, axe structurant de la hiérarchie des normes qui prévaut en Bolivie.</w:t>
      </w:r>
    </w:p>
    <w:p w14:paraId="061B21FD" w14:textId="127CE801" w:rsidR="0081022C" w:rsidRPr="00D930C9" w:rsidRDefault="0081022C" w:rsidP="004B1AC4">
      <w:pPr>
        <w:pStyle w:val="SingleTxtG"/>
        <w:ind w:firstLine="567"/>
        <w:rPr>
          <w:rFonts w:eastAsia="Calibri"/>
        </w:rPr>
      </w:pPr>
      <w:r w:rsidRPr="004B1AC4">
        <w:rPr>
          <w:i/>
          <w:iCs/>
          <w:lang w:val="fr-FR"/>
        </w:rPr>
        <w:t>Le Pacte de San José de Costa Rica, qui fait partie du bloc de constitutionnalité, s’articule autour de trois grandes parties, étroitement liées entre elles : le préambule, une partie “dogmatique” et une partie “organique”. Plus précisément, comme la Cour interaméricaine des droits de l’homme est régie par le chapitre VIII dudit instrument, cet organe, et donc les décisions qui en émanent, font également partie de ce bloc de constitutionnalité, selon un critère d’interprétation constitutionnelle “systémique”.</w:t>
      </w:r>
      <w:r w:rsidRPr="002319F5">
        <w:rPr>
          <w:lang w:val="fr-FR"/>
        </w:rPr>
        <w:t> »</w:t>
      </w:r>
      <w:r w:rsidR="004B1AC4">
        <w:rPr>
          <w:lang w:val="fr-FR"/>
        </w:rPr>
        <w:t>.</w:t>
      </w:r>
    </w:p>
    <w:p w14:paraId="59F38C00" w14:textId="46A4FEEE" w:rsidR="0081022C" w:rsidRPr="00D930C9" w:rsidRDefault="0081022C" w:rsidP="0081022C">
      <w:pPr>
        <w:pStyle w:val="SingleTxtG"/>
        <w:rPr>
          <w:rFonts w:eastAsia="Calibri"/>
        </w:rPr>
      </w:pPr>
      <w:r>
        <w:rPr>
          <w:lang w:val="fr-FR"/>
        </w:rPr>
        <w:t>6.</w:t>
      </w:r>
      <w:r>
        <w:rPr>
          <w:lang w:val="fr-FR"/>
        </w:rPr>
        <w:tab/>
        <w:t xml:space="preserve">Le Tribunal a finalement conclu que, la Cour interaméricaine des droits de l’homme étant le garant ultime et suprême du respect des droits de l’homme sur le plan supranational, l’objet de sa compétence et les décisions qui émanent de son exercice sont essentiels pour garantir efficacement la validité de l’« État constitutionnel », aujourd’hui appelé « État de droit social et démocratique », dont l’un des axes principaux est précisément l’exercice des </w:t>
      </w:r>
      <w:r>
        <w:rPr>
          <w:lang w:val="fr-FR"/>
        </w:rPr>
        <w:lastRenderedPageBreak/>
        <w:t xml:space="preserve">droits de l’homme et l’existence de mécanismes efficaces pour les faire valoir. C’est la raison pour laquelle les arrêts de la Cour interaméricaine des droits de l’homme font désormais partie du bloc de constitutionnalité. Ils régissent non seulement le rôle des agents publics, mais également l’ensemble des normes infraconstitutionnelles en vigueur : « […] Dans ce contexte, il est incontestable que les arrêts de la CIDH, par leur nature et par leurs effets, </w:t>
      </w:r>
      <w:r w:rsidRPr="00EA7A0F">
        <w:rPr>
          <w:lang w:val="fr-FR"/>
        </w:rPr>
        <w:t xml:space="preserve">ne sont pas </w:t>
      </w:r>
      <w:r>
        <w:rPr>
          <w:lang w:val="fr-FR"/>
        </w:rPr>
        <w:t>de rang inférieur à la Constitution politique de l’État ni aux normes juridiques infraconstitutionnelles, mais font au contraire partie du bloc de constitutionnalité. Selon le principe de primauté de la Constitution qui s’applique aux normes faisant partie de ce bloc, ils forment donc le socle et éclairent l’ensemble de l’ordre juridique interne, lequel doit se conformer pleinement à leur contenu afin de consacrer le plein exercice de l’“État constitutionnel”, dans le cadre de la mise en œuvre du Système interaméricain de protection des droits de l’homme. »</w:t>
      </w:r>
      <w:r w:rsidR="004B1AC4">
        <w:rPr>
          <w:lang w:val="fr-FR"/>
        </w:rPr>
        <w:t>.</w:t>
      </w:r>
    </w:p>
    <w:p w14:paraId="6F4EB277" w14:textId="018B3221" w:rsidR="0081022C" w:rsidRPr="00D930C9" w:rsidRDefault="0081022C" w:rsidP="0081022C">
      <w:pPr>
        <w:pStyle w:val="SingleTxtG"/>
        <w:rPr>
          <w:rFonts w:eastAsia="Calibri"/>
        </w:rPr>
      </w:pPr>
      <w:r>
        <w:rPr>
          <w:lang w:val="fr-FR"/>
        </w:rPr>
        <w:t>7.</w:t>
      </w:r>
      <w:r>
        <w:rPr>
          <w:lang w:val="fr-FR"/>
        </w:rPr>
        <w:tab/>
        <w:t xml:space="preserve">Ainsi, dans son arrêt 0032/2019 du 9 juillet 2019, le Tribunal a établi que toutes les autorités publiques, dans les limites de leurs compétences, sont tenues de soumettre leurs actions à un contrôle de conventionnalité, à savoir d’examiner la conformité des normes nationales au regard du </w:t>
      </w:r>
      <w:r w:rsidRPr="00E810B2">
        <w:rPr>
          <w:lang w:val="fr-FR"/>
        </w:rPr>
        <w:t>« </w:t>
      </w:r>
      <w:r w:rsidRPr="000C32E4">
        <w:rPr>
          <w:i/>
          <w:iCs/>
          <w:lang w:val="fr-FR"/>
        </w:rPr>
        <w:t>corpus juris</w:t>
      </w:r>
      <w:r w:rsidRPr="00E810B2">
        <w:rPr>
          <w:lang w:val="fr-FR"/>
        </w:rPr>
        <w:t> »</w:t>
      </w:r>
      <w:r>
        <w:rPr>
          <w:lang w:val="fr-FR"/>
        </w:rPr>
        <w:t xml:space="preserve"> international des droits de l’homme, qui comprend aussi bien les traités internationaux relatifs aux droits de l’homme que des règles jurisprudentielles établies par les organes internationaux qui interprètent lesdits traités. Par</w:t>
      </w:r>
      <w:r w:rsidR="00E33DB8">
        <w:rPr>
          <w:lang w:val="fr-FR"/>
        </w:rPr>
        <w:t> </w:t>
      </w:r>
      <w:r>
        <w:rPr>
          <w:lang w:val="fr-FR"/>
        </w:rPr>
        <w:t>conséquent, au moment de définir l’obligation de procéder au contrôle de conventionnalité, le Tribunal a reconnu le caractère contraignant de la jurisprudence des organes créés en vertu d’un instrument international, notamment du Comité des droits de l’homme, établie dans leurs observations générales et leurs communications individuelles.</w:t>
      </w:r>
    </w:p>
    <w:p w14:paraId="39217099" w14:textId="77777777" w:rsidR="0081022C" w:rsidRPr="00D930C9" w:rsidRDefault="0081022C" w:rsidP="0081022C">
      <w:pPr>
        <w:pStyle w:val="SingleTxtG"/>
        <w:rPr>
          <w:rFonts w:eastAsia="Calibri"/>
        </w:rPr>
      </w:pPr>
      <w:r>
        <w:rPr>
          <w:lang w:val="fr-FR"/>
        </w:rPr>
        <w:t>8.</w:t>
      </w:r>
      <w:r>
        <w:rPr>
          <w:lang w:val="fr-FR"/>
        </w:rPr>
        <w:tab/>
      </w:r>
      <w:r w:rsidRPr="00E810B2">
        <w:rPr>
          <w:lang w:val="fr-FR"/>
        </w:rPr>
        <w:t>Compte tenu de ce qui précède, dans le cadre de sa compétence de contrôle tutélaire et normatif, le Tribunal constitutionnel plurinational a utilisé les constatations du Comité des droits de l</w:t>
      </w:r>
      <w:r>
        <w:rPr>
          <w:lang w:val="fr-FR"/>
        </w:rPr>
        <w:t>’</w:t>
      </w:r>
      <w:r w:rsidRPr="00E810B2">
        <w:rPr>
          <w:lang w:val="fr-FR"/>
        </w:rPr>
        <w:t>homme pour fonder ses décisions relatives à des cas précis, ainsi qu</w:t>
      </w:r>
      <w:r>
        <w:rPr>
          <w:lang w:val="fr-FR"/>
        </w:rPr>
        <w:t>’</w:t>
      </w:r>
      <w:r w:rsidRPr="00E810B2">
        <w:rPr>
          <w:lang w:val="fr-FR"/>
        </w:rPr>
        <w:t>à titre de référence.</w:t>
      </w:r>
      <w:r>
        <w:rPr>
          <w:lang w:val="fr-FR"/>
        </w:rPr>
        <w:t xml:space="preserve"> On trouvera ci-après les principaux exemples d’incorporation de la jurisprudence du Comité dans le travail juridictionnel du Tribunal constitutionnel plurinational :</w:t>
      </w:r>
    </w:p>
    <w:p w14:paraId="52E970AD" w14:textId="77777777" w:rsidR="0081022C" w:rsidRPr="00D930C9" w:rsidRDefault="0081022C" w:rsidP="00E33DB8">
      <w:pPr>
        <w:pStyle w:val="Bullet1G"/>
      </w:pPr>
      <w:r>
        <w:rPr>
          <w:lang w:val="fr-FR"/>
        </w:rPr>
        <w:t>Constatations du Comité utilisées comme fondement de décisions relatives à des cas précis :</w:t>
      </w:r>
    </w:p>
    <w:p w14:paraId="6094878B" w14:textId="5CF164F2" w:rsidR="0081022C" w:rsidRPr="00D930C9" w:rsidRDefault="0081022C" w:rsidP="00E33DB8">
      <w:pPr>
        <w:pStyle w:val="Bullet2G"/>
      </w:pPr>
      <w:r>
        <w:rPr>
          <w:lang w:val="fr-FR"/>
        </w:rPr>
        <w:t>Droit à une procédure régulière</w:t>
      </w:r>
      <w:r w:rsidRPr="00D930C9">
        <w:t> :</w:t>
      </w:r>
      <w:r>
        <w:rPr>
          <w:lang w:val="fr-FR"/>
        </w:rPr>
        <w:t xml:space="preserve"> arrêts 0480/2019-S2 du 9 juillet 2019, 2055/2012 du 16 octobre 2012 et 0432/2015-S2 du 29 avril 2015</w:t>
      </w:r>
      <w:r w:rsidR="00E33DB8">
        <w:rPr>
          <w:lang w:val="fr-FR"/>
        </w:rPr>
        <w:t> ;</w:t>
      </w:r>
    </w:p>
    <w:p w14:paraId="3D20D283" w14:textId="4C0D9856" w:rsidR="0081022C" w:rsidRPr="00D930C9" w:rsidRDefault="0081022C" w:rsidP="00E33DB8">
      <w:pPr>
        <w:pStyle w:val="Bullet2G"/>
      </w:pPr>
      <w:r>
        <w:rPr>
          <w:lang w:val="fr-FR"/>
        </w:rPr>
        <w:t>Liberté de résidence : arrêt 0024/2018 du 27 juin 2018</w:t>
      </w:r>
      <w:r w:rsidR="00E33DB8">
        <w:rPr>
          <w:lang w:val="fr-FR"/>
        </w:rPr>
        <w:t> ;</w:t>
      </w:r>
    </w:p>
    <w:p w14:paraId="2F38BE76" w14:textId="50F3862F" w:rsidR="0081022C" w:rsidRPr="00D930C9" w:rsidRDefault="0081022C" w:rsidP="00E33DB8">
      <w:pPr>
        <w:pStyle w:val="Bullet2G"/>
      </w:pPr>
      <w:r>
        <w:rPr>
          <w:lang w:val="fr-FR"/>
        </w:rPr>
        <w:t>Droits politiques : arrêt 0021/2019-S3 du 1</w:t>
      </w:r>
      <w:r>
        <w:rPr>
          <w:vertAlign w:val="superscript"/>
          <w:lang w:val="fr-FR"/>
        </w:rPr>
        <w:t>er</w:t>
      </w:r>
      <w:r>
        <w:rPr>
          <w:lang w:val="fr-FR"/>
        </w:rPr>
        <w:t> mars 2019</w:t>
      </w:r>
      <w:r w:rsidR="00E33DB8">
        <w:rPr>
          <w:lang w:val="fr-FR"/>
        </w:rPr>
        <w:t> ;</w:t>
      </w:r>
    </w:p>
    <w:p w14:paraId="2EEF8AA9" w14:textId="5C4B9F3C" w:rsidR="0081022C" w:rsidRPr="00D930C9" w:rsidRDefault="0081022C" w:rsidP="00E33DB8">
      <w:pPr>
        <w:pStyle w:val="Bullet2G"/>
      </w:pPr>
      <w:r>
        <w:rPr>
          <w:lang w:val="fr-FR"/>
        </w:rPr>
        <w:t>Peuples autochtones en situation d’isolement volontaire : arrêt 0014/2013-L du 20 février 2013</w:t>
      </w:r>
      <w:r w:rsidR="00E33DB8">
        <w:rPr>
          <w:lang w:val="fr-FR"/>
        </w:rPr>
        <w:t> ;</w:t>
      </w:r>
    </w:p>
    <w:p w14:paraId="36A74E69" w14:textId="77777777" w:rsidR="0081022C" w:rsidRPr="00D930C9" w:rsidRDefault="0081022C" w:rsidP="00E33DB8">
      <w:pPr>
        <w:pStyle w:val="Bullet2G"/>
      </w:pPr>
      <w:r>
        <w:rPr>
          <w:lang w:val="fr-FR"/>
        </w:rPr>
        <w:t>Indépendance de la magistrature : arrêt 0034/2020 du 25 novembre 2020.</w:t>
      </w:r>
    </w:p>
    <w:p w14:paraId="4B77E3E4" w14:textId="77777777" w:rsidR="0081022C" w:rsidRPr="00D930C9" w:rsidRDefault="0081022C" w:rsidP="00E33DB8">
      <w:pPr>
        <w:pStyle w:val="Bullet1G"/>
      </w:pPr>
      <w:r>
        <w:rPr>
          <w:lang w:val="fr-FR"/>
        </w:rPr>
        <w:t>Constatations du Comité citées à plusieurs reprises à titre de référence :</w:t>
      </w:r>
    </w:p>
    <w:p w14:paraId="516E822F" w14:textId="77504B7A" w:rsidR="0081022C" w:rsidRPr="00D930C9" w:rsidRDefault="0081022C" w:rsidP="00E33DB8">
      <w:pPr>
        <w:pStyle w:val="Bullet2G"/>
      </w:pPr>
      <w:r>
        <w:rPr>
          <w:lang w:val="fr-FR"/>
        </w:rPr>
        <w:t>Droit à l’égalité et à la non-discrimination : arrêt 1250/2012 du 20 septembre 2012</w:t>
      </w:r>
      <w:r w:rsidR="00E33DB8">
        <w:rPr>
          <w:lang w:val="fr-FR"/>
        </w:rPr>
        <w:t> ;</w:t>
      </w:r>
    </w:p>
    <w:p w14:paraId="1785358B" w14:textId="185CC2CD" w:rsidR="0081022C" w:rsidRPr="00D930C9" w:rsidRDefault="0081022C" w:rsidP="00E33DB8">
      <w:pPr>
        <w:pStyle w:val="Bullet2G"/>
      </w:pPr>
      <w:r>
        <w:rPr>
          <w:lang w:val="fr-FR"/>
        </w:rPr>
        <w:t>Traitement minimal des personnes privées de liberté : arrêt 0662/2013 du 31 mai 2013</w:t>
      </w:r>
      <w:r w:rsidR="00E33DB8">
        <w:rPr>
          <w:lang w:val="fr-FR"/>
        </w:rPr>
        <w:t> ;</w:t>
      </w:r>
    </w:p>
    <w:p w14:paraId="6C63E19F" w14:textId="05360A64" w:rsidR="0081022C" w:rsidRPr="00D930C9" w:rsidRDefault="0081022C" w:rsidP="00E33DB8">
      <w:pPr>
        <w:pStyle w:val="Bullet2G"/>
      </w:pPr>
      <w:r>
        <w:rPr>
          <w:lang w:val="fr-FR"/>
        </w:rPr>
        <w:t>Droit à une procédure régulière :</w:t>
      </w:r>
      <w:r w:rsidR="00E33DB8">
        <w:rPr>
          <w:lang w:val="fr-FR"/>
        </w:rPr>
        <w:t xml:space="preserve"> </w:t>
      </w:r>
      <w:r>
        <w:rPr>
          <w:lang w:val="fr-FR"/>
        </w:rPr>
        <w:t>arrêts 0028/2014 du 3 janvier 2014</w:t>
      </w:r>
      <w:r w:rsidRPr="005417DD">
        <w:rPr>
          <w:rStyle w:val="Appelnotedebasdep"/>
        </w:rPr>
        <w:footnoteReference w:id="3"/>
      </w:r>
      <w:r>
        <w:rPr>
          <w:lang w:val="fr-FR"/>
        </w:rPr>
        <w:t>, 0165/2019-S2 du 24 avril 2019</w:t>
      </w:r>
      <w:r w:rsidRPr="005417DD">
        <w:rPr>
          <w:rStyle w:val="Appelnotedebasdep"/>
        </w:rPr>
        <w:footnoteReference w:id="4"/>
      </w:r>
      <w:r>
        <w:rPr>
          <w:lang w:val="fr-FR"/>
        </w:rPr>
        <w:t xml:space="preserve"> (équité de la procédure) et 1512/2012 du 24 septembre 2012.</w:t>
      </w:r>
    </w:p>
    <w:p w14:paraId="4ED37F95" w14:textId="6BC8CAD9" w:rsidR="0081022C" w:rsidRPr="00D930C9" w:rsidRDefault="0081022C" w:rsidP="00E33DB8">
      <w:pPr>
        <w:pStyle w:val="Bullet2G"/>
      </w:pPr>
      <w:r>
        <w:rPr>
          <w:lang w:val="fr-FR"/>
        </w:rPr>
        <w:lastRenderedPageBreak/>
        <w:t>Liberté personnelle et de circulation : arrêts 0162/2018-S4 du 30 avril 2018</w:t>
      </w:r>
      <w:r w:rsidRPr="005417DD">
        <w:rPr>
          <w:rStyle w:val="Appelnotedebasdep"/>
        </w:rPr>
        <w:footnoteReference w:id="5"/>
      </w:r>
      <w:r>
        <w:rPr>
          <w:vertAlign w:val="superscript"/>
          <w:lang w:val="fr-FR"/>
        </w:rPr>
        <w:t xml:space="preserve"> </w:t>
      </w:r>
      <w:r>
        <w:rPr>
          <w:lang w:val="fr-FR"/>
        </w:rPr>
        <w:t>et 0514/2018-S4 du 12 septembre 2018</w:t>
      </w:r>
      <w:r w:rsidR="00E33DB8">
        <w:rPr>
          <w:lang w:val="fr-FR"/>
        </w:rPr>
        <w:t> ;</w:t>
      </w:r>
    </w:p>
    <w:p w14:paraId="22D2437C" w14:textId="77777777" w:rsidR="0081022C" w:rsidRPr="002014CD" w:rsidRDefault="0081022C" w:rsidP="00E33DB8">
      <w:pPr>
        <w:pStyle w:val="Bullet2G"/>
      </w:pPr>
      <w:r>
        <w:rPr>
          <w:lang w:val="fr-FR"/>
        </w:rPr>
        <w:t>Il convient également de souligner que l’Académie plurinationale d’études constitutionnelles du Tribunal constitutionnel plurinational (créée par le Code de procédure constitutionnelle) a organisé divers processus de renforcement des capacités internes et externes sur droits de l’homme ou en lien avec cette thématique. Les événements suivants ont eu lieu entre 2018 et 2021.</w:t>
      </w:r>
    </w:p>
    <w:p w14:paraId="7773A30B" w14:textId="4BCEED8C" w:rsidR="0081022C" w:rsidRPr="005E216F" w:rsidRDefault="0081022C" w:rsidP="00AA16F9">
      <w:pPr>
        <w:pStyle w:val="Bullet1G"/>
      </w:pPr>
      <w:r w:rsidRPr="005E216F">
        <w:rPr>
          <w:lang w:val="fr-FR"/>
        </w:rPr>
        <w:t>Année</w:t>
      </w:r>
      <w:r w:rsidR="00AA16F9" w:rsidRPr="005E216F">
        <w:rPr>
          <w:lang w:val="fr-FR"/>
        </w:rPr>
        <w:t xml:space="preserve"> </w:t>
      </w:r>
      <w:r w:rsidRPr="005E216F">
        <w:rPr>
          <w:lang w:val="fr-FR"/>
        </w:rPr>
        <w:t>2018 :</w:t>
      </w:r>
    </w:p>
    <w:p w14:paraId="2A42C346" w14:textId="71370FC5" w:rsidR="0081022C" w:rsidRPr="005E216F" w:rsidRDefault="0081022C" w:rsidP="00AA16F9">
      <w:pPr>
        <w:pStyle w:val="Bullet2G"/>
      </w:pPr>
      <w:r w:rsidRPr="005E216F">
        <w:rPr>
          <w:lang w:val="fr-FR"/>
        </w:rPr>
        <w:t>Conférence sur les conceptions de la théorie du droit, examinant en profondeur le respect des droits de l’homme</w:t>
      </w:r>
      <w:r w:rsidR="00AA16F9" w:rsidRPr="005E216F">
        <w:rPr>
          <w:lang w:val="fr-FR"/>
        </w:rPr>
        <w:t> ;</w:t>
      </w:r>
    </w:p>
    <w:p w14:paraId="5E4A2C05" w14:textId="60C101EA" w:rsidR="0081022C" w:rsidRPr="00D930C9" w:rsidRDefault="0081022C" w:rsidP="00AA16F9">
      <w:pPr>
        <w:pStyle w:val="Bullet2G"/>
      </w:pPr>
      <w:r w:rsidRPr="005E216F">
        <w:rPr>
          <w:lang w:val="fr-FR"/>
        </w:rPr>
        <w:t xml:space="preserve">Atelier sur les attributions du Tribunal constitutionnel plurinational, les droits fondamentaux et les garanties </w:t>
      </w:r>
      <w:r>
        <w:rPr>
          <w:lang w:val="fr-FR"/>
        </w:rPr>
        <w:t>constitutionnelles</w:t>
      </w:r>
      <w:r w:rsidR="00AA16F9">
        <w:rPr>
          <w:lang w:val="fr-FR"/>
        </w:rPr>
        <w:t> ;</w:t>
      </w:r>
    </w:p>
    <w:p w14:paraId="5E87A29E" w14:textId="0E966E06" w:rsidR="0081022C" w:rsidRPr="00D842DB" w:rsidRDefault="0081022C" w:rsidP="00AA16F9">
      <w:pPr>
        <w:pStyle w:val="Bullet2G"/>
      </w:pPr>
      <w:r w:rsidRPr="00D842DB">
        <w:rPr>
          <w:lang w:val="fr-FR"/>
        </w:rPr>
        <w:t>Sessions d’information sur le Tribunal constitutionnel plurinational, les droits fondamentaux, les garanties constitutionnelles et la juridiction autochtone paysanne »</w:t>
      </w:r>
      <w:r w:rsidR="00AA16F9" w:rsidRPr="00D842DB">
        <w:rPr>
          <w:lang w:val="fr-FR"/>
        </w:rPr>
        <w:t> ;</w:t>
      </w:r>
    </w:p>
    <w:p w14:paraId="14766955" w14:textId="22D0C3E0" w:rsidR="0081022C" w:rsidRPr="00D842DB" w:rsidRDefault="0081022C" w:rsidP="00AA16F9">
      <w:pPr>
        <w:pStyle w:val="Bullet2G"/>
      </w:pPr>
      <w:r w:rsidRPr="00D842DB">
        <w:rPr>
          <w:lang w:val="fr-FR"/>
        </w:rPr>
        <w:t>Sessions d’information sur le Tribunal constitutionnel plurinational, les droits fondamentaux, les garanties constitutionnelles et la juridiction autochtone paysanne »</w:t>
      </w:r>
      <w:r w:rsidR="00AA16F9" w:rsidRPr="00D842DB">
        <w:rPr>
          <w:lang w:val="fr-FR"/>
        </w:rPr>
        <w:t> ;</w:t>
      </w:r>
    </w:p>
    <w:p w14:paraId="1DB3A4DE" w14:textId="77777777" w:rsidR="0081022C" w:rsidRPr="00D930C9" w:rsidRDefault="0081022C" w:rsidP="00AA16F9">
      <w:pPr>
        <w:pStyle w:val="Bullet2G"/>
      </w:pPr>
      <w:r>
        <w:rPr>
          <w:lang w:val="fr-FR"/>
        </w:rPr>
        <w:t>Premier cycle de conférences portant sur le passage de l’état légal à l’état de droit constitutionnel : subsomption ou pondération, guaranisme judiciaire et droits fondamentaux.</w:t>
      </w:r>
    </w:p>
    <w:p w14:paraId="0FC89AF7" w14:textId="77777777" w:rsidR="0081022C" w:rsidRPr="002014CD" w:rsidRDefault="0081022C" w:rsidP="005B4E8E">
      <w:pPr>
        <w:pStyle w:val="Bullet1G"/>
      </w:pPr>
      <w:r>
        <w:rPr>
          <w:lang w:val="fr-FR"/>
        </w:rPr>
        <w:t>Année 2019 :</w:t>
      </w:r>
    </w:p>
    <w:p w14:paraId="1DED9FB1" w14:textId="77777777" w:rsidR="0081022C" w:rsidRPr="00D930C9" w:rsidRDefault="0081022C" w:rsidP="005B4E8E">
      <w:pPr>
        <w:pStyle w:val="Bullet2G"/>
        <w:rPr>
          <w:b/>
        </w:rPr>
      </w:pPr>
      <w:r>
        <w:rPr>
          <w:lang w:val="fr-FR"/>
        </w:rPr>
        <w:t>Conférence magistrale sur Bartolomé de las Casas et la genèse des droits de l’homme.</w:t>
      </w:r>
    </w:p>
    <w:p w14:paraId="4014185A" w14:textId="77777777" w:rsidR="0081022C" w:rsidRPr="00D930C9" w:rsidRDefault="0081022C" w:rsidP="005B4E8E">
      <w:pPr>
        <w:pStyle w:val="Bullet2G"/>
        <w:rPr>
          <w:b/>
        </w:rPr>
      </w:pPr>
      <w:r>
        <w:rPr>
          <w:lang w:val="fr-FR"/>
        </w:rPr>
        <w:t>Conférence magistrale sur les droits fondamentaux et la jurisprudence constitutionnelle pertinente du Tribunal constitutionnel concernant les personnes majeures.</w:t>
      </w:r>
    </w:p>
    <w:p w14:paraId="5DF7005F" w14:textId="77777777" w:rsidR="0081022C" w:rsidRPr="002014CD" w:rsidRDefault="0081022C" w:rsidP="005B4E8E">
      <w:pPr>
        <w:pStyle w:val="Bullet1G"/>
      </w:pPr>
      <w:r>
        <w:rPr>
          <w:lang w:val="fr-FR"/>
        </w:rPr>
        <w:t>Année 2020 :</w:t>
      </w:r>
    </w:p>
    <w:p w14:paraId="67D627E2" w14:textId="1B280429" w:rsidR="0081022C" w:rsidRPr="00D930C9" w:rsidRDefault="0081022C" w:rsidP="005B4E8E">
      <w:pPr>
        <w:pStyle w:val="Bullet2G"/>
      </w:pPr>
      <w:r>
        <w:rPr>
          <w:lang w:val="fr-FR"/>
        </w:rPr>
        <w:t>Conférence sur la culture du néoconstitutionnalisme et l’argumentation juridique</w:t>
      </w:r>
      <w:r w:rsidR="00CD26C3">
        <w:rPr>
          <w:lang w:val="fr-FR"/>
        </w:rPr>
        <w:t> ;</w:t>
      </w:r>
    </w:p>
    <w:p w14:paraId="1DC4EE1B" w14:textId="6208895B" w:rsidR="0081022C" w:rsidRPr="00D930C9" w:rsidRDefault="0081022C" w:rsidP="005B4E8E">
      <w:pPr>
        <w:pStyle w:val="Bullet2G"/>
      </w:pPr>
      <w:r>
        <w:rPr>
          <w:lang w:val="fr-FR"/>
        </w:rPr>
        <w:t>Séminaire international sur les droits de l’homme en temps de pandémie</w:t>
      </w:r>
      <w:r w:rsidR="00CD26C3">
        <w:rPr>
          <w:lang w:val="fr-FR"/>
        </w:rPr>
        <w:t> ;</w:t>
      </w:r>
    </w:p>
    <w:p w14:paraId="26EF55F4" w14:textId="77777777" w:rsidR="0081022C" w:rsidRPr="00D930C9" w:rsidRDefault="0081022C" w:rsidP="005B4E8E">
      <w:pPr>
        <w:pStyle w:val="Bullet2G"/>
      </w:pPr>
      <w:r>
        <w:rPr>
          <w:lang w:val="fr-FR"/>
        </w:rPr>
        <w:t>Quatrièmes Journées nationales sur le raisonnement probatoire, les droits fondamentaux et l’interprétation constitutionnelle.</w:t>
      </w:r>
    </w:p>
    <w:p w14:paraId="46C14ACE" w14:textId="77777777" w:rsidR="0081022C" w:rsidRPr="002014CD" w:rsidRDefault="0081022C" w:rsidP="005B4E8E">
      <w:pPr>
        <w:pStyle w:val="Bullet1G"/>
      </w:pPr>
      <w:r>
        <w:rPr>
          <w:lang w:val="fr-FR"/>
        </w:rPr>
        <w:t>Année 2021 :</w:t>
      </w:r>
    </w:p>
    <w:p w14:paraId="005FA086" w14:textId="6B23F1F6" w:rsidR="0081022C" w:rsidRPr="00D930C9" w:rsidRDefault="0081022C" w:rsidP="005B4E8E">
      <w:pPr>
        <w:pStyle w:val="Bullet2G"/>
      </w:pPr>
      <w:r>
        <w:rPr>
          <w:lang w:val="fr-FR"/>
        </w:rPr>
        <w:t>Cours virtuel gratuit sur les principes, les droits et les garanties constitutionnelles en matière de protection des personnes détenues</w:t>
      </w:r>
      <w:r w:rsidR="0065119B">
        <w:rPr>
          <w:lang w:val="fr-FR"/>
        </w:rPr>
        <w:t> ;</w:t>
      </w:r>
    </w:p>
    <w:p w14:paraId="6F9DE66E" w14:textId="4A622490" w:rsidR="0081022C" w:rsidRPr="00D930C9" w:rsidRDefault="0081022C" w:rsidP="005B4E8E">
      <w:pPr>
        <w:pStyle w:val="Bullet2G"/>
      </w:pPr>
      <w:r>
        <w:rPr>
          <w:lang w:val="fr-FR"/>
        </w:rPr>
        <w:t>Séminaire virtuel gratuit sur les instruments juridiques constitutionnels et jurisprudentiels en matière de protection des droits des enfants</w:t>
      </w:r>
      <w:r w:rsidR="0065119B">
        <w:rPr>
          <w:lang w:val="fr-FR"/>
        </w:rPr>
        <w:t> ;</w:t>
      </w:r>
    </w:p>
    <w:p w14:paraId="179DFB2F" w14:textId="34DE1D3A" w:rsidR="0081022C" w:rsidRPr="00D930C9" w:rsidRDefault="0081022C" w:rsidP="005B4E8E">
      <w:pPr>
        <w:pStyle w:val="Bullet2G"/>
      </w:pPr>
      <w:r>
        <w:rPr>
          <w:lang w:val="fr-FR"/>
        </w:rPr>
        <w:t>Cours spécialisé en interprétation constitutionnelle et raisonnement judiciaire : Congrès ibéro-américain de droit pénal et de procédure pénale sous l’angle constitutionnel</w:t>
      </w:r>
      <w:r w:rsidR="0065119B">
        <w:rPr>
          <w:lang w:val="fr-FR"/>
        </w:rPr>
        <w:t> ;</w:t>
      </w:r>
    </w:p>
    <w:p w14:paraId="22B9E742" w14:textId="08102CC5" w:rsidR="0081022C" w:rsidRPr="00D930C9" w:rsidRDefault="0081022C" w:rsidP="005B4E8E">
      <w:pPr>
        <w:pStyle w:val="Bullet2G"/>
      </w:pPr>
      <w:r>
        <w:rPr>
          <w:lang w:val="fr-FR"/>
        </w:rPr>
        <w:t>Cours virtuel sur l’</w:t>
      </w:r>
      <w:r w:rsidRPr="0065119B">
        <w:rPr>
          <w:i/>
          <w:iCs/>
          <w:lang w:val="fr-FR"/>
        </w:rPr>
        <w:t xml:space="preserve">habeas corpus </w:t>
      </w:r>
      <w:r>
        <w:rPr>
          <w:lang w:val="fr-FR"/>
        </w:rPr>
        <w:t xml:space="preserve">dans l’espace ibéro-américain : études comparatives à l’occasion des </w:t>
      </w:r>
      <w:r w:rsidR="0065119B">
        <w:rPr>
          <w:lang w:val="fr-FR"/>
        </w:rPr>
        <w:t xml:space="preserve">quarante-neuf </w:t>
      </w:r>
      <w:r>
        <w:rPr>
          <w:lang w:val="fr-FR"/>
        </w:rPr>
        <w:t xml:space="preserve">ans du recours en </w:t>
      </w:r>
      <w:r w:rsidRPr="00766A85">
        <w:rPr>
          <w:i/>
          <w:iCs/>
          <w:lang w:val="fr-FR"/>
        </w:rPr>
        <w:t>habeas corpus</w:t>
      </w:r>
      <w:r>
        <w:rPr>
          <w:lang w:val="fr-FR"/>
        </w:rPr>
        <w:t xml:space="preserve"> écrit sur du papier toilette par Reynaldo Peters Arzabe.</w:t>
      </w:r>
    </w:p>
    <w:p w14:paraId="50E996C2" w14:textId="4935B1AE" w:rsidR="0081022C" w:rsidRPr="00D930C9" w:rsidRDefault="0081022C" w:rsidP="0081022C">
      <w:pPr>
        <w:pStyle w:val="SingleTxtG"/>
        <w:rPr>
          <w:rFonts w:eastAsia="Calibri"/>
        </w:rPr>
      </w:pPr>
      <w:r>
        <w:rPr>
          <w:lang w:val="fr-FR"/>
        </w:rPr>
        <w:lastRenderedPageBreak/>
        <w:t>9.</w:t>
      </w:r>
      <w:r>
        <w:rPr>
          <w:lang w:val="fr-FR"/>
        </w:rPr>
        <w:tab/>
        <w:t>L’Unité de formation et de spécialisation, qui relève de l’École de la magistrature de l’État, a également fait des droits civils et politiques un élément central et transversal de ses programmes universitaires. Ce thème est abordé dans différents modules et unités d’apprentissage, notamment le programme d’études du premier cours de formation et de spécialisation juridique sur le système pénal ordinaire, dispensé de 2015 à 2017 (les</w:t>
      </w:r>
      <w:r w:rsidR="0065119B">
        <w:rPr>
          <w:lang w:val="fr-FR"/>
        </w:rPr>
        <w:t> </w:t>
      </w:r>
      <w:r>
        <w:rPr>
          <w:lang w:val="fr-FR"/>
        </w:rPr>
        <w:t>171 personnes diplômées à l’issue de ce cursus ont été affectées à des fonctions judiciaires par le Conseil de la magistrature), ainsi que le deuxième cours de formation et de spécialisation juridique sur le système pénal ordinaire (les 140 personnes diplômées à l’issue de ce cursus ont été affectées à des fonctions judiciaires).</w:t>
      </w:r>
    </w:p>
    <w:p w14:paraId="2C496AC4" w14:textId="77777777" w:rsidR="0081022C" w:rsidRPr="00D930C9" w:rsidRDefault="0081022C" w:rsidP="005B4E8E">
      <w:pPr>
        <w:pStyle w:val="H1G"/>
      </w:pPr>
      <w:r>
        <w:rPr>
          <w:lang w:val="fr-FR"/>
        </w:rPr>
        <w:t xml:space="preserve"> </w:t>
      </w:r>
      <w:r>
        <w:rPr>
          <w:lang w:val="fr-FR"/>
        </w:rPr>
        <w:tab/>
      </w:r>
      <w:r>
        <w:rPr>
          <w:lang w:val="fr-FR"/>
        </w:rPr>
        <w:tab/>
        <w:t>État d’exception (art. 4)</w:t>
      </w:r>
    </w:p>
    <w:p w14:paraId="1791B653" w14:textId="2BEE3495" w:rsidR="0081022C" w:rsidRPr="00D930C9" w:rsidRDefault="0081022C" w:rsidP="005B4E8E">
      <w:pPr>
        <w:pStyle w:val="H23G"/>
      </w:pPr>
      <w:r>
        <w:rPr>
          <w:lang w:val="fr-FR"/>
        </w:rPr>
        <w:tab/>
        <w:t>2.</w:t>
      </w:r>
      <w:r>
        <w:rPr>
          <w:lang w:val="fr-FR"/>
        </w:rPr>
        <w:tab/>
        <w:t>Réponse au paragraphe 2 de la liste de points</w:t>
      </w:r>
    </w:p>
    <w:p w14:paraId="4C0C4ED1" w14:textId="5322A70D" w:rsidR="0081022C" w:rsidRPr="00D930C9" w:rsidRDefault="0081022C" w:rsidP="0081022C">
      <w:pPr>
        <w:pStyle w:val="SingleTxtG"/>
        <w:rPr>
          <w:rFonts w:eastAsia="Calibri"/>
        </w:rPr>
      </w:pPr>
      <w:r>
        <w:rPr>
          <w:lang w:val="fr-FR"/>
        </w:rPr>
        <w:t>10.</w:t>
      </w:r>
      <w:r>
        <w:rPr>
          <w:lang w:val="fr-FR"/>
        </w:rPr>
        <w:tab/>
        <w:t>La Bolivie a adopté un cadre législatif interdisant clairement toute suspension, pendant un état d’exception, des droits énoncés à l’article 4 (par. 2) du Pacte. Ainsi, la Constitution politique de l’État plurinational de Bolivie, à l’article 137, dispose ce qui suit :</w:t>
      </w:r>
      <w:r>
        <w:rPr>
          <w:i/>
          <w:iCs/>
          <w:lang w:val="fr-FR"/>
        </w:rPr>
        <w:t xml:space="preserve"> </w:t>
      </w:r>
      <w:r w:rsidRPr="00101376">
        <w:rPr>
          <w:lang w:val="fr-FR"/>
        </w:rPr>
        <w:t>« En cas de danger pour la sécurité de l</w:t>
      </w:r>
      <w:r>
        <w:rPr>
          <w:lang w:val="fr-FR"/>
        </w:rPr>
        <w:t>’</w:t>
      </w:r>
      <w:r w:rsidRPr="00101376">
        <w:rPr>
          <w:lang w:val="fr-FR"/>
        </w:rPr>
        <w:t xml:space="preserve">État, de menace extérieure, de troubles internes ou de catastrophe naturelle, le Président </w:t>
      </w:r>
      <w:r>
        <w:rPr>
          <w:lang w:val="fr-FR"/>
        </w:rPr>
        <w:t>ou</w:t>
      </w:r>
      <w:r w:rsidR="0065119B">
        <w:rPr>
          <w:lang w:val="fr-FR"/>
        </w:rPr>
        <w:t xml:space="preserve"> </w:t>
      </w:r>
      <w:r>
        <w:rPr>
          <w:lang w:val="fr-FR"/>
        </w:rPr>
        <w:t xml:space="preserve">la Présidente </w:t>
      </w:r>
      <w:r w:rsidRPr="00101376">
        <w:rPr>
          <w:lang w:val="fr-FR"/>
        </w:rPr>
        <w:t>de l</w:t>
      </w:r>
      <w:r>
        <w:rPr>
          <w:lang w:val="fr-FR"/>
        </w:rPr>
        <w:t>’</w:t>
      </w:r>
      <w:r w:rsidRPr="00101376">
        <w:rPr>
          <w:lang w:val="fr-FR"/>
        </w:rPr>
        <w:t>État peut instaurer l</w:t>
      </w:r>
      <w:r>
        <w:rPr>
          <w:lang w:val="fr-FR"/>
        </w:rPr>
        <w:t>’</w:t>
      </w:r>
      <w:r w:rsidRPr="00101376">
        <w:rPr>
          <w:lang w:val="fr-FR"/>
        </w:rPr>
        <w:t>état d</w:t>
      </w:r>
      <w:r>
        <w:rPr>
          <w:lang w:val="fr-FR"/>
        </w:rPr>
        <w:t>’</w:t>
      </w:r>
      <w:r w:rsidRPr="00101376">
        <w:rPr>
          <w:lang w:val="fr-FR"/>
        </w:rPr>
        <w:t>exception sur tout ou partie du territoire, s</w:t>
      </w:r>
      <w:r>
        <w:rPr>
          <w:lang w:val="fr-FR"/>
        </w:rPr>
        <w:t>’</w:t>
      </w:r>
      <w:r w:rsidRPr="00101376">
        <w:rPr>
          <w:lang w:val="fr-FR"/>
        </w:rPr>
        <w:t>il y a lieu. La déclaration de l</w:t>
      </w:r>
      <w:r>
        <w:rPr>
          <w:lang w:val="fr-FR"/>
        </w:rPr>
        <w:t>’</w:t>
      </w:r>
      <w:r w:rsidRPr="00101376">
        <w:rPr>
          <w:lang w:val="fr-FR"/>
        </w:rPr>
        <w:t>état d</w:t>
      </w:r>
      <w:r>
        <w:rPr>
          <w:lang w:val="fr-FR"/>
        </w:rPr>
        <w:t>’</w:t>
      </w:r>
      <w:r w:rsidRPr="00101376">
        <w:rPr>
          <w:lang w:val="fr-FR"/>
        </w:rPr>
        <w:t>exception ne peut en aucun cas suspendre les garanties des droits ni les droits fondamentaux, le droit à une procédure régulière, le droit à l</w:t>
      </w:r>
      <w:r>
        <w:rPr>
          <w:lang w:val="fr-FR"/>
        </w:rPr>
        <w:t>’</w:t>
      </w:r>
      <w:r w:rsidRPr="00101376">
        <w:rPr>
          <w:lang w:val="fr-FR"/>
        </w:rPr>
        <w:t>information et les droits des personnes privées de liberté. »</w:t>
      </w:r>
      <w:r w:rsidR="0065119B">
        <w:rPr>
          <w:lang w:val="fr-FR"/>
        </w:rPr>
        <w:t>.</w:t>
      </w:r>
    </w:p>
    <w:p w14:paraId="0F387867" w14:textId="77777777" w:rsidR="0081022C" w:rsidRPr="00D930C9" w:rsidRDefault="0081022C" w:rsidP="005B4E8E">
      <w:pPr>
        <w:pStyle w:val="H1G"/>
      </w:pPr>
      <w:r>
        <w:rPr>
          <w:lang w:val="fr-FR"/>
        </w:rPr>
        <w:tab/>
      </w:r>
      <w:r>
        <w:rPr>
          <w:lang w:val="fr-FR"/>
        </w:rPr>
        <w:tab/>
        <w:t>Violations des droits de l’homme pendant la dictature (art. 2, 6 et 7)</w:t>
      </w:r>
    </w:p>
    <w:p w14:paraId="046FBE0B" w14:textId="77777777" w:rsidR="0081022C" w:rsidRPr="00D930C9" w:rsidRDefault="0081022C" w:rsidP="005B4E8E">
      <w:pPr>
        <w:pStyle w:val="H23G"/>
      </w:pPr>
      <w:r>
        <w:rPr>
          <w:lang w:val="fr-FR"/>
        </w:rPr>
        <w:tab/>
        <w:t>3.</w:t>
      </w:r>
      <w:r>
        <w:rPr>
          <w:lang w:val="fr-FR"/>
        </w:rPr>
        <w:tab/>
        <w:t>Réponse au paragraphe 3 de la liste de points</w:t>
      </w:r>
    </w:p>
    <w:p w14:paraId="4DDA6F6E" w14:textId="1E27E717" w:rsidR="0081022C" w:rsidRPr="00D930C9" w:rsidRDefault="0081022C" w:rsidP="0081022C">
      <w:pPr>
        <w:pStyle w:val="SingleTxtG"/>
        <w:rPr>
          <w:rFonts w:eastAsia="Calibri"/>
        </w:rPr>
      </w:pPr>
      <w:r>
        <w:rPr>
          <w:lang w:val="fr-FR"/>
        </w:rPr>
        <w:t>11.</w:t>
      </w:r>
      <w:r>
        <w:rPr>
          <w:lang w:val="fr-FR"/>
        </w:rPr>
        <w:tab/>
        <w:t xml:space="preserve">L’État bolivien, par l’intermédiaire des </w:t>
      </w:r>
      <w:r w:rsidRPr="00101376">
        <w:rPr>
          <w:lang w:val="fr-FR"/>
        </w:rPr>
        <w:t>Services du Procureur général de la Nation</w:t>
      </w:r>
      <w:r>
        <w:rPr>
          <w:lang w:val="fr-FR"/>
        </w:rPr>
        <w:t xml:space="preserve">, convoque régulièrement des réunions techniques de travail interinstitutions, entre le Bureau du Procureur général de la Nation et l’Institut d’expertise médico-légale. Ces deux entités coopèrent depuis 2018 autour des axes suivants : </w:t>
      </w:r>
      <w:r w:rsidRPr="007F6AEB">
        <w:rPr>
          <w:b/>
          <w:lang w:val="fr-FR"/>
        </w:rPr>
        <w:t>a)</w:t>
      </w:r>
      <w:r w:rsidR="0065119B">
        <w:rPr>
          <w:lang w:val="fr-FR"/>
        </w:rPr>
        <w:t> </w:t>
      </w:r>
      <w:r>
        <w:rPr>
          <w:lang w:val="fr-FR"/>
        </w:rPr>
        <w:t>enquête sur des faits de disparitions forcées</w:t>
      </w:r>
      <w:r w:rsidR="0065119B">
        <w:rPr>
          <w:lang w:val="fr-FR"/>
        </w:rPr>
        <w:t> </w:t>
      </w:r>
      <w:r>
        <w:rPr>
          <w:lang w:val="fr-FR"/>
        </w:rPr>
        <w:t xml:space="preserve">; </w:t>
      </w:r>
      <w:r>
        <w:rPr>
          <w:b/>
          <w:lang w:val="fr-FR"/>
        </w:rPr>
        <w:t>b)</w:t>
      </w:r>
      <w:r w:rsidR="0065119B">
        <w:rPr>
          <w:lang w:val="fr-FR"/>
        </w:rPr>
        <w:t> </w:t>
      </w:r>
      <w:r>
        <w:rPr>
          <w:lang w:val="fr-FR"/>
        </w:rPr>
        <w:t xml:space="preserve">localisation des personnes disparues ; </w:t>
      </w:r>
      <w:r>
        <w:rPr>
          <w:b/>
          <w:lang w:val="fr-FR"/>
        </w:rPr>
        <w:t>c)</w:t>
      </w:r>
      <w:r w:rsidR="0065119B">
        <w:rPr>
          <w:b/>
          <w:lang w:val="fr-FR"/>
        </w:rPr>
        <w:t> </w:t>
      </w:r>
      <w:r>
        <w:rPr>
          <w:lang w:val="fr-FR"/>
        </w:rPr>
        <w:t>identification des dépouilles.</w:t>
      </w:r>
    </w:p>
    <w:p w14:paraId="4FF1BB15" w14:textId="464F12B8" w:rsidR="0081022C" w:rsidRPr="00D930C9" w:rsidRDefault="0081022C" w:rsidP="0081022C">
      <w:pPr>
        <w:pStyle w:val="SingleTxtG"/>
        <w:rPr>
          <w:rFonts w:eastAsia="Calibri"/>
        </w:rPr>
      </w:pPr>
      <w:r>
        <w:rPr>
          <w:lang w:val="fr-FR"/>
        </w:rPr>
        <w:t>12.</w:t>
      </w:r>
      <w:r>
        <w:rPr>
          <w:lang w:val="fr-FR"/>
        </w:rPr>
        <w:tab/>
        <w:t xml:space="preserve">Après le rétablissement du Gouvernement constitutionnel en novembre 2020, le fonctionnement interne des </w:t>
      </w:r>
      <w:r w:rsidRPr="00101376">
        <w:rPr>
          <w:lang w:val="fr-FR"/>
        </w:rPr>
        <w:t>Services du Procureur général de la Nation</w:t>
      </w:r>
      <w:r>
        <w:rPr>
          <w:lang w:val="fr-FR"/>
        </w:rPr>
        <w:t xml:space="preserve"> a été restructuré. Des</w:t>
      </w:r>
      <w:r w:rsidR="0065119B">
        <w:rPr>
          <w:lang w:val="fr-FR"/>
        </w:rPr>
        <w:t> </w:t>
      </w:r>
      <w:r>
        <w:rPr>
          <w:lang w:val="fr-FR"/>
        </w:rPr>
        <w:t>réunions techniques interinstitutionnelles ont ainsi eu lieu les 29 janvier et 11 juin 2021 en présence de représentants des institutions suivantes : Ministère de la justice et de la transparence institutionnelle, Bureau du Procureur général de la Nation, parquet départemental de La</w:t>
      </w:r>
      <w:r w:rsidR="0065119B">
        <w:rPr>
          <w:lang w:val="fr-FR"/>
        </w:rPr>
        <w:t> </w:t>
      </w:r>
      <w:r>
        <w:rPr>
          <w:lang w:val="fr-FR"/>
        </w:rPr>
        <w:t>Paz, Institut d’expertise médico-légale, Service de prévention de la torture et Services du procureur général de la Nation. Elles ont permis d’élaborer un nouveau plan de travail, actuellement mis en œuvre, prévoyant les activités suivantes : 1.</w:t>
      </w:r>
      <w:r w:rsidR="0065119B">
        <w:rPr>
          <w:lang w:val="fr-FR"/>
        </w:rPr>
        <w:t> </w:t>
      </w:r>
      <w:r>
        <w:rPr>
          <w:lang w:val="fr-FR"/>
        </w:rPr>
        <w:t>préparation et présentation d’une proposition de modification du Code pénal concernant l’imprescriptibilité de l’action pénale pour les faits de disparition forcée ; 2.</w:t>
      </w:r>
      <w:r w:rsidR="0065119B">
        <w:rPr>
          <w:lang w:val="fr-FR"/>
        </w:rPr>
        <w:t> </w:t>
      </w:r>
      <w:r>
        <w:rPr>
          <w:lang w:val="fr-FR"/>
        </w:rPr>
        <w:t>suivi et coordination de la procédure relative à la disparition de Félix Melgar menée par le Service de prévention de la torture (actuel Mécanisme national de protection contre la torture) ; 3.</w:t>
      </w:r>
      <w:r w:rsidR="0065119B">
        <w:rPr>
          <w:lang w:val="fr-FR"/>
        </w:rPr>
        <w:t> </w:t>
      </w:r>
      <w:r>
        <w:rPr>
          <w:lang w:val="fr-FR"/>
        </w:rPr>
        <w:t>promotion de la viabilité du projet de renforcement de l’Institut d’expertise médico-légale par les Services du Procureur général de la Nation ; 4.</w:t>
      </w:r>
      <w:r w:rsidR="0065119B">
        <w:rPr>
          <w:lang w:val="fr-FR"/>
        </w:rPr>
        <w:t> </w:t>
      </w:r>
      <w:r>
        <w:rPr>
          <w:lang w:val="fr-FR"/>
        </w:rPr>
        <w:t>suivi des procédures. Sur la base des éléments de preuve présentés par Gladys Solón, mère de José Carlos Trujillo Oroza, les Services du procureur général de la Nation entreprendront des démarches auprès du Ministère des relations extérieures pour le suivi et la restitution des éléments de preuve.</w:t>
      </w:r>
    </w:p>
    <w:p w14:paraId="07A2F298" w14:textId="77777777" w:rsidR="0081022C" w:rsidRPr="00D930C9" w:rsidRDefault="0081022C" w:rsidP="0081022C">
      <w:pPr>
        <w:pStyle w:val="SingleTxtG"/>
        <w:rPr>
          <w:rFonts w:eastAsia="Calibri"/>
        </w:rPr>
      </w:pPr>
      <w:r>
        <w:rPr>
          <w:lang w:val="fr-FR"/>
        </w:rPr>
        <w:t>13.</w:t>
      </w:r>
      <w:r>
        <w:rPr>
          <w:lang w:val="fr-FR"/>
        </w:rPr>
        <w:tab/>
        <w:t>En résumé, les Services du Procureur général de la Nation mènent depuis 2018 un travail de coordination en organisant des réunions techniques de travail interinstitutions sur les disparitions forcées en Bolivie. Elles ont notamment pour but de favoriser des actions concrètes liées aux démarches internationales nécessaires pour élucider les disparitions de personnes survenues entre 1964 et 1982 et pour rechercher leurs dépouilles.</w:t>
      </w:r>
    </w:p>
    <w:p w14:paraId="11415C28" w14:textId="77777777" w:rsidR="0081022C" w:rsidRPr="00D930C9" w:rsidRDefault="0081022C" w:rsidP="0065119B">
      <w:pPr>
        <w:pStyle w:val="SingleTxtG"/>
        <w:keepNext/>
        <w:keepLines/>
        <w:rPr>
          <w:rFonts w:eastAsia="Calibri"/>
        </w:rPr>
      </w:pPr>
      <w:r>
        <w:rPr>
          <w:lang w:val="fr-FR"/>
        </w:rPr>
        <w:lastRenderedPageBreak/>
        <w:t>14.</w:t>
      </w:r>
      <w:r>
        <w:rPr>
          <w:lang w:val="fr-FR"/>
        </w:rPr>
        <w:tab/>
        <w:t>Par ailleurs, le ministère public a engagé trois procédures d’office conjointement avec les Services du Procureur général de la Nation et l’ancien Service de prévention de la torture pour enquêter sur le ou les auteurs de crimes de disparition forcée, afin que les responsables de violations des droits de l’homme pendant les régimes anticonstitutionnels de 1964 à 1982 soient punis.</w:t>
      </w:r>
    </w:p>
    <w:p w14:paraId="13792115" w14:textId="14EBB13D" w:rsidR="0081022C" w:rsidRPr="00D930C9" w:rsidRDefault="0081022C" w:rsidP="0081022C">
      <w:pPr>
        <w:pStyle w:val="SingleTxtG"/>
        <w:rPr>
          <w:rFonts w:eastAsia="Libre Baskerville"/>
        </w:rPr>
      </w:pPr>
      <w:r>
        <w:rPr>
          <w:lang w:val="fr-FR"/>
        </w:rPr>
        <w:t>15.</w:t>
      </w:r>
      <w:r>
        <w:rPr>
          <w:lang w:val="fr-FR"/>
        </w:rPr>
        <w:tab/>
        <w:t>La Commission de la vérité a été créée par la loi n</w:t>
      </w:r>
      <w:r>
        <w:rPr>
          <w:vertAlign w:val="superscript"/>
          <w:lang w:val="fr-FR"/>
        </w:rPr>
        <w:t>o</w:t>
      </w:r>
      <w:r>
        <w:rPr>
          <w:lang w:val="fr-FR"/>
        </w:rPr>
        <w:t> 879 du 23 décembre 2016. À la fin de son mandat, elle a produit son rapport final sur l’enquête menée en vue de faire la lumière sur les graves violations des droits de l’homme commises pour des motifs politiques et idéologiques en Bolivie du 4 novembre 1964 au 10 octobre 1982, à savoir des meurtres, des disparitions forcées, des tortures, des détentions arbitraires et des violences sexuelles. Le</w:t>
      </w:r>
      <w:r w:rsidR="0065119B">
        <w:rPr>
          <w:lang w:val="fr-FR"/>
        </w:rPr>
        <w:t> </w:t>
      </w:r>
      <w:r>
        <w:rPr>
          <w:lang w:val="fr-FR"/>
        </w:rPr>
        <w:t>rapport compte 11 tomes, et les conclusions et recommandations correspondantes figurent au tome IV.</w:t>
      </w:r>
    </w:p>
    <w:p w14:paraId="28F6DF19" w14:textId="74B0131E" w:rsidR="0081022C" w:rsidRPr="00D930C9" w:rsidRDefault="0081022C" w:rsidP="0081022C">
      <w:pPr>
        <w:pStyle w:val="SingleTxtG"/>
        <w:rPr>
          <w:rFonts w:eastAsia="Calibri"/>
        </w:rPr>
      </w:pPr>
      <w:r>
        <w:rPr>
          <w:lang w:val="fr-FR"/>
        </w:rPr>
        <w:t>16.</w:t>
      </w:r>
      <w:r>
        <w:rPr>
          <w:lang w:val="fr-FR"/>
        </w:rPr>
        <w:tab/>
        <w:t xml:space="preserve">Dans ce contexte, il convient de signaler que le rapport final élaboré par la Commission de la vérité a été soumis à la présidence de l’Assemblée législative plurinationale, au Bureau du Procureur général, aux Services du Procureur général de la Nation et du Bureau du Défenseur du peuple, avant d’être finalement porté à la connaissance du Président de l’État plurinational à l’occasion d’un événement public organisé le 22 mars </w:t>
      </w:r>
      <w:r w:rsidRPr="00D842DB">
        <w:rPr>
          <w:lang w:val="fr-FR"/>
        </w:rPr>
        <w:t xml:space="preserve">2021 à la Grande </w:t>
      </w:r>
      <w:r w:rsidR="00D842DB" w:rsidRPr="00D842DB">
        <w:rPr>
          <w:lang w:val="fr-FR"/>
        </w:rPr>
        <w:t>M</w:t>
      </w:r>
      <w:r w:rsidRPr="00D842DB">
        <w:rPr>
          <w:lang w:val="fr-FR"/>
        </w:rPr>
        <w:t>aison du peuple.</w:t>
      </w:r>
    </w:p>
    <w:p w14:paraId="21D98BF7" w14:textId="77777777" w:rsidR="0081022C" w:rsidRPr="00D930C9" w:rsidRDefault="0081022C" w:rsidP="0081022C">
      <w:pPr>
        <w:pStyle w:val="SingleTxtG"/>
        <w:rPr>
          <w:rFonts w:eastAsia="Calibri"/>
        </w:rPr>
      </w:pPr>
      <w:r>
        <w:rPr>
          <w:lang w:val="fr-FR"/>
        </w:rPr>
        <w:t>17.</w:t>
      </w:r>
      <w:r>
        <w:rPr>
          <w:lang w:val="fr-FR"/>
        </w:rPr>
        <w:tab/>
        <w:t>À cet égard, une fois la mission prévue par la loi portant création de la Commission de la vérité accomplie, et comme cette instance constitue selon l’arrêté ministériel n</w:t>
      </w:r>
      <w:r>
        <w:rPr>
          <w:vertAlign w:val="superscript"/>
          <w:lang w:val="fr-FR"/>
        </w:rPr>
        <w:t>o</w:t>
      </w:r>
      <w:r>
        <w:rPr>
          <w:lang w:val="fr-FR"/>
        </w:rPr>
        <w:t> 044/2021 du 22 avril 2021 une entité décentralisée du Ministère de la justice et de la transparence institutionnelle, la Direction des droits fondamentaux, qui relève du ministère susmentionné, a été chargée du suivi de la mise en œuvre des recommandations formulées dans le rapport final de la Commission de la vérité.</w:t>
      </w:r>
    </w:p>
    <w:p w14:paraId="31DB39F4" w14:textId="77777777" w:rsidR="0081022C" w:rsidRPr="00D930C9" w:rsidRDefault="0081022C" w:rsidP="0081022C">
      <w:pPr>
        <w:pStyle w:val="SingleTxtG"/>
        <w:rPr>
          <w:rFonts w:eastAsia="Calibri"/>
        </w:rPr>
      </w:pPr>
      <w:r>
        <w:rPr>
          <w:lang w:val="fr-FR"/>
        </w:rPr>
        <w:t>18.</w:t>
      </w:r>
      <w:r>
        <w:rPr>
          <w:lang w:val="fr-FR"/>
        </w:rPr>
        <w:tab/>
        <w:t>En application de l’arrêté ministériel susmentionné, il a été procédé à l’examen des conclusions et des recommandations figurant dans le rapport final. Elles sont réparties dans plus de 100 sections, assorties de suggestions concrètes d’action, auxquelles s’ajoutent 50 recommandations générales et 19 spécifiques, regroupées par domaine, avec mention des institutions chargées de leur mise en œuvre et de la réglementation correspondante. Un suivi est en cours auprès de toutes les instances publiques concernées par ces questions.</w:t>
      </w:r>
    </w:p>
    <w:p w14:paraId="424B1A76" w14:textId="77777777" w:rsidR="0081022C" w:rsidRPr="00D930C9" w:rsidRDefault="0081022C" w:rsidP="0081022C">
      <w:pPr>
        <w:pStyle w:val="SingleTxtG"/>
        <w:rPr>
          <w:rFonts w:eastAsia="Calibri"/>
        </w:rPr>
      </w:pPr>
      <w:r>
        <w:rPr>
          <w:lang w:val="fr-FR"/>
        </w:rPr>
        <w:t>19.</w:t>
      </w:r>
      <w:r>
        <w:rPr>
          <w:lang w:val="fr-FR"/>
        </w:rPr>
        <w:tab/>
        <w:t>S’agissant de la déclassification des archives militaires, il convient de préciser que le Ministère de la défense, dans son arrêté ministériel 31G émis le 19 mai 2009, a autorisé le commandant en chef des forces armées à faciliter l’accès des victimes des dictatures militaires et de leurs proches qui en expriment la volonté et en manifestent l’intérêt légitime aux archives publiques et à tous les dossiers et documents d’archives.</w:t>
      </w:r>
    </w:p>
    <w:p w14:paraId="5642EC05" w14:textId="77777777" w:rsidR="0081022C" w:rsidRPr="00D930C9" w:rsidRDefault="0081022C" w:rsidP="0081022C">
      <w:pPr>
        <w:pStyle w:val="SingleTxtG"/>
        <w:rPr>
          <w:rFonts w:eastAsia="Calibri"/>
        </w:rPr>
      </w:pPr>
      <w:r>
        <w:rPr>
          <w:lang w:val="fr-FR"/>
        </w:rPr>
        <w:t>20.</w:t>
      </w:r>
      <w:r>
        <w:rPr>
          <w:lang w:val="fr-FR"/>
        </w:rPr>
        <w:tab/>
        <w:t>De même, par l’ordonnance suprême 125/2010 du 1</w:t>
      </w:r>
      <w:r>
        <w:rPr>
          <w:vertAlign w:val="superscript"/>
          <w:lang w:val="fr-FR"/>
        </w:rPr>
        <w:t>er</w:t>
      </w:r>
      <w:r>
        <w:rPr>
          <w:lang w:val="fr-FR"/>
        </w:rPr>
        <w:t> avril 2010, le Tribunal suprême de justice a ordonné au commandant général des forces armées de l’État plurinational de Bolivie et à un représentant du ministère public de procéder à la déclassification des archives se trouvant dans le deuxième département de l’état-major et correspondant à la période allant de juin 1979 à décembre 1980, ainsi que du registre des entrées et des sorties de l’état-major de l’armée pour la période allant du 10 au 20 juillet 1980. Il lui a demandé de faire tenir des photocopies certifiées conformes au Tribunal suprême de justice afin que les faits puissent être élucidés.</w:t>
      </w:r>
    </w:p>
    <w:p w14:paraId="60655CC6" w14:textId="77777777" w:rsidR="0081022C" w:rsidRPr="00D930C9" w:rsidRDefault="0081022C" w:rsidP="0081022C">
      <w:pPr>
        <w:pStyle w:val="SingleTxtG"/>
        <w:rPr>
          <w:rFonts w:eastAsia="Calibri"/>
        </w:rPr>
      </w:pPr>
      <w:r>
        <w:rPr>
          <w:lang w:val="fr-FR"/>
        </w:rPr>
        <w:t>21.</w:t>
      </w:r>
      <w:r>
        <w:rPr>
          <w:lang w:val="fr-FR"/>
        </w:rPr>
        <w:tab/>
        <w:t>À cet égard, l’équipe technique de la Commission de la vérité a eu accès aux archives du deuxième département de l’état-major de l’armée. En outre, le Ministère des relations extérieures, la bibliothèque et les archives historiques de l’Assemblée législative plurinationale, le Tribunal suprême de justice et le Ministère de la justice et de la transparence institutionnelle ont également remis à la Commission des informations et des documents sur les violations des droits de l’homme qui ont servi à faire la lumière sur les faits.</w:t>
      </w:r>
    </w:p>
    <w:p w14:paraId="2BA4F36B" w14:textId="1D92EE56" w:rsidR="0081022C" w:rsidRPr="00D930C9" w:rsidRDefault="0081022C" w:rsidP="005B4E8E">
      <w:pPr>
        <w:pStyle w:val="H23G"/>
      </w:pPr>
      <w:r>
        <w:rPr>
          <w:lang w:val="fr-FR"/>
        </w:rPr>
        <w:tab/>
        <w:t>4.</w:t>
      </w:r>
      <w:r>
        <w:rPr>
          <w:lang w:val="fr-FR"/>
        </w:rPr>
        <w:tab/>
        <w:t>Réponse au paragraphe 4 de la liste de points</w:t>
      </w:r>
    </w:p>
    <w:p w14:paraId="721B2164" w14:textId="77777777" w:rsidR="0081022C" w:rsidRPr="00D930C9" w:rsidRDefault="0081022C" w:rsidP="0081022C">
      <w:pPr>
        <w:pStyle w:val="SingleTxtG"/>
      </w:pPr>
      <w:r>
        <w:rPr>
          <w:lang w:val="fr-FR"/>
        </w:rPr>
        <w:t>22.</w:t>
      </w:r>
      <w:r>
        <w:rPr>
          <w:lang w:val="fr-FR"/>
        </w:rPr>
        <w:tab/>
        <w:t>Conformément à la loi n</w:t>
      </w:r>
      <w:r>
        <w:rPr>
          <w:vertAlign w:val="superscript"/>
          <w:lang w:val="fr-FR"/>
        </w:rPr>
        <w:t>o</w:t>
      </w:r>
      <w:r>
        <w:rPr>
          <w:lang w:val="fr-FR"/>
        </w:rPr>
        <w:t> 2640 et aux normes connexes, une fois les demandes examinées, les bénéficiaires ont été sélectionnés. La législation prévoit également un réexamen de ces demandes.</w:t>
      </w:r>
    </w:p>
    <w:p w14:paraId="15DCEB26" w14:textId="7EE6F974" w:rsidR="0081022C" w:rsidRPr="00D930C9" w:rsidRDefault="0081022C" w:rsidP="0081022C">
      <w:pPr>
        <w:pStyle w:val="SingleTxtG"/>
      </w:pPr>
      <w:r>
        <w:rPr>
          <w:lang w:val="fr-FR"/>
        </w:rPr>
        <w:lastRenderedPageBreak/>
        <w:t>23.</w:t>
      </w:r>
      <w:r>
        <w:rPr>
          <w:lang w:val="fr-FR"/>
        </w:rPr>
        <w:tab/>
        <w:t>Le décret suprême n</w:t>
      </w:r>
      <w:r>
        <w:rPr>
          <w:vertAlign w:val="superscript"/>
          <w:lang w:val="fr-FR"/>
        </w:rPr>
        <w:t>o</w:t>
      </w:r>
      <w:r>
        <w:rPr>
          <w:lang w:val="fr-FR"/>
        </w:rPr>
        <w:t> 1211 du 1</w:t>
      </w:r>
      <w:r>
        <w:rPr>
          <w:vertAlign w:val="superscript"/>
          <w:lang w:val="fr-FR"/>
        </w:rPr>
        <w:t>er</w:t>
      </w:r>
      <w:r>
        <w:rPr>
          <w:lang w:val="fr-FR"/>
        </w:rPr>
        <w:t> mai 2012 porte adoption de la liste officielle des 1</w:t>
      </w:r>
      <w:r w:rsidR="00742328">
        <w:rPr>
          <w:lang w:val="fr-FR"/>
        </w:rPr>
        <w:t> </w:t>
      </w:r>
      <w:r>
        <w:rPr>
          <w:lang w:val="fr-FR"/>
        </w:rPr>
        <w:t>714 bénéficiaires, reconnus comme victimes de violences policières pendant la période allant du 4 novembre 1964 au 10 octobre 1982. Dans ce contexte, en application de l’arrêté ministériel n</w:t>
      </w:r>
      <w:r>
        <w:rPr>
          <w:vertAlign w:val="superscript"/>
          <w:lang w:val="fr-FR"/>
        </w:rPr>
        <w:t>o</w:t>
      </w:r>
      <w:r>
        <w:rPr>
          <w:lang w:val="fr-FR"/>
        </w:rPr>
        <w:t> 083/2012 du 16 mai 2012, le Ministère de la justice de l’époque a approuvé l’octroi d’indemnités individuelles à hauteur de 20 % seulement du montant qui devait être versé aux 1 714 bénéficiaires que compte la liste officielle et définitive établie par la Commission technique de qualification, aujourd’hui disparue.</w:t>
      </w:r>
    </w:p>
    <w:p w14:paraId="5735C0FC" w14:textId="260E4640" w:rsidR="0081022C" w:rsidRPr="00D930C9" w:rsidRDefault="0081022C" w:rsidP="0081022C">
      <w:pPr>
        <w:pStyle w:val="SingleTxtG"/>
      </w:pPr>
      <w:r>
        <w:rPr>
          <w:lang w:val="fr-FR"/>
        </w:rPr>
        <w:t>24.</w:t>
      </w:r>
      <w:r>
        <w:rPr>
          <w:lang w:val="fr-FR"/>
        </w:rPr>
        <w:tab/>
        <w:t>L’Unité d’appui à la gestion des services sociaux, qui relève du Ministère de la Présidence, a procédé au versement de 20 % des indemnités à 1</w:t>
      </w:r>
      <w:r w:rsidR="00742328">
        <w:rPr>
          <w:lang w:val="fr-FR"/>
        </w:rPr>
        <w:t> </w:t>
      </w:r>
      <w:r>
        <w:rPr>
          <w:lang w:val="fr-FR"/>
        </w:rPr>
        <w:t>567</w:t>
      </w:r>
      <w:r w:rsidR="00742328">
        <w:rPr>
          <w:lang w:val="fr-FR"/>
        </w:rPr>
        <w:t> </w:t>
      </w:r>
      <w:r>
        <w:rPr>
          <w:lang w:val="fr-FR"/>
        </w:rPr>
        <w:t>bénéficiaires. Il reste donc à payer 147 personnes, versement qui sera effectué par l’intermédiaire de l’entité en question. La gestion des 80 % du montant total accordé qui doit encore être versé a été confiée à une coordination interministérielle et une norme juridique est en cours d’élaboration afin de pérenniser ce dispositif.</w:t>
      </w:r>
    </w:p>
    <w:p w14:paraId="44395585" w14:textId="782839E3" w:rsidR="0081022C" w:rsidRPr="00D930C9" w:rsidRDefault="0081022C" w:rsidP="0081022C">
      <w:pPr>
        <w:pStyle w:val="SingleTxtG"/>
      </w:pPr>
      <w:r>
        <w:rPr>
          <w:lang w:val="fr-FR"/>
        </w:rPr>
        <w:t>25.</w:t>
      </w:r>
      <w:r>
        <w:rPr>
          <w:lang w:val="fr-FR"/>
        </w:rPr>
        <w:tab/>
        <w:t>En matière de services de santé, l’État plurinational de Bolivie a entamé la mise en place d’un système de santé universel, public et gratuit pour la population, en adoptant la loi sur le système de santé unifié. On estime que le système unique de santé bénéficiera dans un premier temps à près de 51 % de la population (5,8 millions de personnes), qui n’était jusque</w:t>
      </w:r>
      <w:r w:rsidR="00175548">
        <w:rPr>
          <w:lang w:val="fr-FR"/>
        </w:rPr>
        <w:noBreakHyphen/>
      </w:r>
      <w:r>
        <w:rPr>
          <w:lang w:val="fr-FR"/>
        </w:rPr>
        <w:t>là protégée par aucune forme d’assurance maladie.</w:t>
      </w:r>
    </w:p>
    <w:p w14:paraId="66929E37" w14:textId="77777777" w:rsidR="0081022C" w:rsidRPr="00D930C9" w:rsidRDefault="0081022C" w:rsidP="0081022C">
      <w:pPr>
        <w:pStyle w:val="SingleTxtG"/>
      </w:pPr>
      <w:r>
        <w:rPr>
          <w:lang w:val="fr-FR"/>
        </w:rPr>
        <w:t>26.</w:t>
      </w:r>
      <w:r>
        <w:rPr>
          <w:lang w:val="fr-FR"/>
        </w:rPr>
        <w:tab/>
        <w:t>Dans la pratique, le système unique de santé a permis de réglementer le système de santé. Les patients y accèdent pour des soins de santé primaires et un système de référence et de contre-référence permet d’évaluer la pertinence de chaque cas en fonction de la capacité d’intervention de l’établissement. En outre, pendant cette période de pandémie, il a permis d’offrir une couverture maladie à la population non protégée, en garantissant l’accès à un diagnostic rapide et à un traitement gratuit, incluant les frais de soins intensifs et de médicaments.</w:t>
      </w:r>
    </w:p>
    <w:p w14:paraId="21CC8816" w14:textId="77777777" w:rsidR="0081022C" w:rsidRPr="00D930C9" w:rsidRDefault="0081022C" w:rsidP="005B4E8E">
      <w:pPr>
        <w:pStyle w:val="H1G"/>
        <w:rPr>
          <w:rFonts w:eastAsia="Calibri"/>
        </w:rPr>
      </w:pPr>
      <w:r>
        <w:rPr>
          <w:lang w:val="fr-FR"/>
        </w:rPr>
        <w:tab/>
      </w:r>
      <w:r>
        <w:rPr>
          <w:lang w:val="fr-FR"/>
        </w:rPr>
        <w:tab/>
        <w:t>Non-discrimination (art. 2, 3, 17, 26 et 27)</w:t>
      </w:r>
    </w:p>
    <w:p w14:paraId="3E8D813E" w14:textId="77777777" w:rsidR="0081022C" w:rsidRPr="00D930C9" w:rsidRDefault="0081022C" w:rsidP="005B4E8E">
      <w:pPr>
        <w:pStyle w:val="H23G"/>
      </w:pPr>
      <w:r>
        <w:rPr>
          <w:lang w:val="fr-FR"/>
        </w:rPr>
        <w:tab/>
        <w:t>5.</w:t>
      </w:r>
      <w:r>
        <w:rPr>
          <w:lang w:val="fr-FR"/>
        </w:rPr>
        <w:tab/>
        <w:t>Réponse au paragraphe 5 de la liste de points</w:t>
      </w:r>
    </w:p>
    <w:p w14:paraId="55A40BC7" w14:textId="77777777" w:rsidR="0081022C" w:rsidRPr="00D930C9" w:rsidRDefault="0081022C" w:rsidP="0081022C">
      <w:pPr>
        <w:pStyle w:val="SingleTxtG"/>
        <w:rPr>
          <w:rFonts w:eastAsia="Calibri"/>
        </w:rPr>
      </w:pPr>
      <w:r>
        <w:rPr>
          <w:lang w:val="fr-FR"/>
        </w:rPr>
        <w:t>27.</w:t>
      </w:r>
      <w:r>
        <w:rPr>
          <w:lang w:val="fr-FR"/>
        </w:rPr>
        <w:tab/>
        <w:t>Concernant le Plan multisectoriel de l’État plurinational de Bolivie contre le racisme, conformément au principe d’égalité de rémunération, l’État encourage l’intégration des femmes dans le marché du travail, à rémunération égale pour un travail de valeur égale à celui des hommes. La situation et les conditions de travail des travailleuses sont contrôlées pour veiller au respect de ce principe.</w:t>
      </w:r>
    </w:p>
    <w:p w14:paraId="1164AC7C" w14:textId="77777777" w:rsidR="0081022C" w:rsidRPr="00D930C9" w:rsidRDefault="0081022C" w:rsidP="0081022C">
      <w:pPr>
        <w:pStyle w:val="SingleTxtG"/>
        <w:rPr>
          <w:rFonts w:eastAsia="Calibri"/>
        </w:rPr>
      </w:pPr>
      <w:r>
        <w:rPr>
          <w:lang w:val="fr-FR"/>
        </w:rPr>
        <w:t>28.</w:t>
      </w:r>
      <w:r>
        <w:rPr>
          <w:lang w:val="fr-FR"/>
        </w:rPr>
        <w:tab/>
        <w:t>Des vérifications sont également réalisées en matière d’élimination du travail forcé et d’élimination progressive du travail des enfants, avec l’aide des directions chargées de l’équité de genre et du racisme et de la discrimination, ainsi que des inspections du travail, afin de garantir le respect des droits fondamentaux inaliénables des travailleuses.</w:t>
      </w:r>
    </w:p>
    <w:p w14:paraId="5E39C6B2" w14:textId="77777777" w:rsidR="0081022C" w:rsidRPr="00D930C9" w:rsidRDefault="0081022C" w:rsidP="0081022C">
      <w:pPr>
        <w:pStyle w:val="SingleTxtG"/>
        <w:rPr>
          <w:rFonts w:eastAsia="Calibri"/>
        </w:rPr>
      </w:pPr>
      <w:r>
        <w:rPr>
          <w:lang w:val="fr-FR"/>
        </w:rPr>
        <w:t>29.</w:t>
      </w:r>
      <w:r>
        <w:rPr>
          <w:lang w:val="fr-FR"/>
        </w:rPr>
        <w:tab/>
        <w:t>Par ailleurs, le décret suprême n</w:t>
      </w:r>
      <w:r>
        <w:rPr>
          <w:vertAlign w:val="superscript"/>
          <w:lang w:val="fr-FR"/>
        </w:rPr>
        <w:t>o</w:t>
      </w:r>
      <w:r>
        <w:rPr>
          <w:lang w:val="fr-FR"/>
        </w:rPr>
        <w:t> 4401 du 26 novembre 2020 a pour objectif d’encourager les mesures en faveur de l’égalité d’accès aux emplois et de l’égalité de rémunération et de traitement pour les femmes et les hommes, afin de contribuer à l’élimination de l’écart salarial entre femmes et hommes.</w:t>
      </w:r>
    </w:p>
    <w:p w14:paraId="69887699" w14:textId="77777777" w:rsidR="0081022C" w:rsidRPr="00D930C9" w:rsidRDefault="0081022C" w:rsidP="0081022C">
      <w:pPr>
        <w:pStyle w:val="SingleTxtG"/>
        <w:rPr>
          <w:rFonts w:eastAsia="Calibri"/>
        </w:rPr>
      </w:pPr>
      <w:r>
        <w:rPr>
          <w:lang w:val="fr-FR"/>
        </w:rPr>
        <w:t>30.</w:t>
      </w:r>
      <w:r>
        <w:rPr>
          <w:lang w:val="fr-FR"/>
        </w:rPr>
        <w:tab/>
        <w:t>L’Unité des droits fondamentaux du Ministère du travail, de l’emploi et de la prévoyance sociale, par l’intermédiaire de sa Direction spécialisée dans la lutte contre le racisme et la discrimination, développe des actions de sensibilisation aux droits du travail en application du principe de non-discrimination des travailleuses de milieu rural ou urbain, afin de réduire l’écart d’accès à des débouchés professionnels dépourvus de violence.</w:t>
      </w:r>
    </w:p>
    <w:p w14:paraId="333AC6EA" w14:textId="76010CDE" w:rsidR="0081022C" w:rsidRPr="00D930C9" w:rsidRDefault="0081022C" w:rsidP="0081022C">
      <w:pPr>
        <w:pStyle w:val="SingleTxtG"/>
        <w:rPr>
          <w:rFonts w:eastAsia="Calibri"/>
        </w:rPr>
      </w:pPr>
      <w:r>
        <w:rPr>
          <w:lang w:val="fr-FR"/>
        </w:rPr>
        <w:t>31.</w:t>
      </w:r>
      <w:r>
        <w:rPr>
          <w:lang w:val="fr-FR"/>
        </w:rPr>
        <w:tab/>
        <w:t>Le Ministère a également émis l’arrêté ministériel 196/2021 portant création de la procédure de signalement de harcèlement au travail et prévoyant des inspections du travail périodiques, ainsi que le traitement des dénonciations de licenciements abusifs ou de non</w:t>
      </w:r>
      <w:r w:rsidR="002042D0">
        <w:rPr>
          <w:lang w:val="fr-FR"/>
        </w:rPr>
        <w:noBreakHyphen/>
      </w:r>
      <w:r>
        <w:rPr>
          <w:lang w:val="fr-FR"/>
        </w:rPr>
        <w:t>versement de salaires, de primes et d’indemnités.</w:t>
      </w:r>
    </w:p>
    <w:p w14:paraId="70EDD818" w14:textId="77777777" w:rsidR="0081022C" w:rsidRPr="00D930C9" w:rsidRDefault="0081022C" w:rsidP="0081022C">
      <w:pPr>
        <w:pStyle w:val="SingleTxtG"/>
        <w:rPr>
          <w:rFonts w:eastAsia="Calibri"/>
        </w:rPr>
      </w:pPr>
      <w:r>
        <w:rPr>
          <w:lang w:val="fr-FR"/>
        </w:rPr>
        <w:t>32.</w:t>
      </w:r>
      <w:r>
        <w:rPr>
          <w:lang w:val="fr-FR"/>
        </w:rPr>
        <w:tab/>
        <w:t xml:space="preserve">Le Ministère du travail, de l’emploi et de la prévoyance sociale a aussi créé des bureaux mobiles temporaires qui se déplacent dans les zones éloignées pour faire valoir les droits des travailleurs et des travailleuses : ils reçoivent les plaintes, procèdent à des </w:t>
      </w:r>
      <w:r>
        <w:rPr>
          <w:lang w:val="fr-FR"/>
        </w:rPr>
        <w:lastRenderedPageBreak/>
        <w:t>inspections, organisent des entretiens, diffusent des informations et dispensent des formations sur l’application des droits en matière de travail destinées aux adolescents, aux jeunes, aux parents et au grand public.</w:t>
      </w:r>
    </w:p>
    <w:p w14:paraId="6F880FCB" w14:textId="77777777" w:rsidR="0081022C" w:rsidRPr="00D930C9" w:rsidRDefault="0081022C" w:rsidP="0081022C">
      <w:pPr>
        <w:pStyle w:val="SingleTxtG"/>
        <w:rPr>
          <w:rFonts w:eastAsia="Calibri"/>
        </w:rPr>
      </w:pPr>
      <w:r>
        <w:rPr>
          <w:lang w:val="fr-FR"/>
        </w:rPr>
        <w:t>33.</w:t>
      </w:r>
      <w:r>
        <w:rPr>
          <w:lang w:val="fr-FR"/>
        </w:rPr>
        <w:tab/>
        <w:t>Concernant les plaintes reçues sur des cas de discrimination fondée sur le genre, le Vice-Ministère de l’égalité des chances a recensé les cas de meurtres et d’homicides de personnes appartenant à la communauté LGBTI signalés par département.</w:t>
      </w:r>
    </w:p>
    <w:p w14:paraId="51D2E158" w14:textId="77777777" w:rsidR="0081022C" w:rsidRPr="00C24248" w:rsidRDefault="0081022C" w:rsidP="005B4E8E">
      <w:pPr>
        <w:pStyle w:val="H23G"/>
      </w:pPr>
      <w:r>
        <w:rPr>
          <w:lang w:val="fr-FR"/>
        </w:rPr>
        <w:tab/>
        <w:t>Département de Cochabamba</w:t>
      </w:r>
    </w:p>
    <w:tbl>
      <w:tblPr>
        <w:tblW w:w="9636" w:type="dxa"/>
        <w:tblLayout w:type="fixed"/>
        <w:tblCellMar>
          <w:left w:w="0" w:type="dxa"/>
          <w:right w:w="0" w:type="dxa"/>
        </w:tblCellMar>
        <w:tblLook w:val="04A0" w:firstRow="1" w:lastRow="0" w:firstColumn="1" w:lastColumn="0" w:noHBand="0" w:noVBand="1"/>
      </w:tblPr>
      <w:tblGrid>
        <w:gridCol w:w="340"/>
        <w:gridCol w:w="1119"/>
        <w:gridCol w:w="907"/>
        <w:gridCol w:w="1260"/>
        <w:gridCol w:w="1533"/>
        <w:gridCol w:w="1070"/>
        <w:gridCol w:w="1162"/>
        <w:gridCol w:w="962"/>
        <w:gridCol w:w="1283"/>
      </w:tblGrid>
      <w:tr w:rsidR="005B4E8E" w:rsidRPr="005B4E8E" w14:paraId="3550522D" w14:textId="77777777" w:rsidTr="005B4E8E">
        <w:trPr>
          <w:tblHeader/>
        </w:trPr>
        <w:tc>
          <w:tcPr>
            <w:tcW w:w="340" w:type="dxa"/>
            <w:tcBorders>
              <w:top w:val="single" w:sz="4" w:space="0" w:color="auto"/>
              <w:bottom w:val="single" w:sz="12" w:space="0" w:color="auto"/>
            </w:tcBorders>
            <w:shd w:val="clear" w:color="auto" w:fill="auto"/>
            <w:vAlign w:val="bottom"/>
          </w:tcPr>
          <w:p w14:paraId="221BDDE3" w14:textId="77777777" w:rsidR="0081022C" w:rsidRPr="005B4E8E" w:rsidRDefault="0081022C" w:rsidP="005B4E8E">
            <w:pPr>
              <w:spacing w:before="80" w:after="80" w:line="200" w:lineRule="exact"/>
              <w:ind w:right="113"/>
              <w:rPr>
                <w:i/>
                <w:sz w:val="16"/>
              </w:rPr>
            </w:pPr>
            <w:r w:rsidRPr="005B4E8E">
              <w:rPr>
                <w:i/>
                <w:sz w:val="16"/>
                <w:lang w:val="fr-FR"/>
              </w:rPr>
              <w:t>N</w:t>
            </w:r>
            <w:r w:rsidRPr="005B4E8E">
              <w:rPr>
                <w:i/>
                <w:sz w:val="16"/>
                <w:vertAlign w:val="superscript"/>
                <w:lang w:val="fr-FR"/>
              </w:rPr>
              <w:t>o</w:t>
            </w:r>
          </w:p>
        </w:tc>
        <w:tc>
          <w:tcPr>
            <w:tcW w:w="1119" w:type="dxa"/>
            <w:tcBorders>
              <w:top w:val="single" w:sz="4" w:space="0" w:color="auto"/>
              <w:bottom w:val="single" w:sz="12" w:space="0" w:color="auto"/>
            </w:tcBorders>
            <w:shd w:val="clear" w:color="auto" w:fill="auto"/>
            <w:vAlign w:val="bottom"/>
          </w:tcPr>
          <w:p w14:paraId="221C1D0A" w14:textId="77777777" w:rsidR="0081022C" w:rsidRPr="005B4E8E" w:rsidRDefault="0081022C" w:rsidP="005B4E8E">
            <w:pPr>
              <w:spacing w:before="80" w:after="80" w:line="200" w:lineRule="exact"/>
              <w:ind w:right="113"/>
              <w:rPr>
                <w:i/>
                <w:sz w:val="16"/>
              </w:rPr>
            </w:pPr>
            <w:r w:rsidRPr="005B4E8E">
              <w:rPr>
                <w:i/>
                <w:sz w:val="16"/>
                <w:lang w:val="fr-FR"/>
              </w:rPr>
              <w:t xml:space="preserve">Victime </w:t>
            </w:r>
          </w:p>
        </w:tc>
        <w:tc>
          <w:tcPr>
            <w:tcW w:w="907" w:type="dxa"/>
            <w:tcBorders>
              <w:top w:val="single" w:sz="4" w:space="0" w:color="auto"/>
              <w:bottom w:val="single" w:sz="12" w:space="0" w:color="auto"/>
            </w:tcBorders>
            <w:shd w:val="clear" w:color="auto" w:fill="auto"/>
            <w:vAlign w:val="bottom"/>
          </w:tcPr>
          <w:p w14:paraId="2B92DEBA" w14:textId="77777777" w:rsidR="0081022C" w:rsidRPr="005B4E8E" w:rsidRDefault="0081022C" w:rsidP="005B4E8E">
            <w:pPr>
              <w:spacing w:before="80" w:after="80" w:line="200" w:lineRule="exact"/>
              <w:ind w:right="113"/>
              <w:rPr>
                <w:i/>
                <w:sz w:val="16"/>
              </w:rPr>
            </w:pPr>
            <w:r w:rsidRPr="005B4E8E">
              <w:rPr>
                <w:i/>
                <w:sz w:val="16"/>
                <w:lang w:val="fr-FR"/>
              </w:rPr>
              <w:t xml:space="preserve">Date </w:t>
            </w:r>
          </w:p>
        </w:tc>
        <w:tc>
          <w:tcPr>
            <w:tcW w:w="1260" w:type="dxa"/>
            <w:tcBorders>
              <w:top w:val="single" w:sz="4" w:space="0" w:color="auto"/>
              <w:bottom w:val="single" w:sz="12" w:space="0" w:color="auto"/>
            </w:tcBorders>
            <w:shd w:val="clear" w:color="auto" w:fill="auto"/>
            <w:vAlign w:val="bottom"/>
          </w:tcPr>
          <w:p w14:paraId="3C775419" w14:textId="27D6D807" w:rsidR="0081022C" w:rsidRPr="005B4E8E" w:rsidRDefault="0081022C" w:rsidP="005B4E8E">
            <w:pPr>
              <w:spacing w:before="80" w:after="80" w:line="200" w:lineRule="exact"/>
              <w:ind w:right="113"/>
              <w:rPr>
                <w:i/>
                <w:sz w:val="16"/>
              </w:rPr>
            </w:pPr>
            <w:r w:rsidRPr="005B4E8E">
              <w:rPr>
                <w:i/>
                <w:sz w:val="16"/>
                <w:lang w:val="fr-FR"/>
              </w:rPr>
              <w:t>Description de</w:t>
            </w:r>
            <w:r w:rsidR="00BB4B50">
              <w:rPr>
                <w:i/>
                <w:sz w:val="16"/>
                <w:lang w:val="fr-FR"/>
              </w:rPr>
              <w:t>s </w:t>
            </w:r>
            <w:r w:rsidRPr="005B4E8E">
              <w:rPr>
                <w:i/>
                <w:sz w:val="16"/>
                <w:lang w:val="fr-FR"/>
              </w:rPr>
              <w:t>faits</w:t>
            </w:r>
          </w:p>
        </w:tc>
        <w:tc>
          <w:tcPr>
            <w:tcW w:w="1533" w:type="dxa"/>
            <w:tcBorders>
              <w:top w:val="single" w:sz="4" w:space="0" w:color="auto"/>
              <w:bottom w:val="single" w:sz="12" w:space="0" w:color="auto"/>
            </w:tcBorders>
            <w:shd w:val="clear" w:color="auto" w:fill="auto"/>
            <w:vAlign w:val="bottom"/>
          </w:tcPr>
          <w:p w14:paraId="48E20458" w14:textId="77777777" w:rsidR="0081022C" w:rsidRPr="005B4E8E" w:rsidRDefault="0081022C" w:rsidP="005B4E8E">
            <w:pPr>
              <w:spacing w:before="80" w:after="80" w:line="200" w:lineRule="exact"/>
              <w:ind w:right="113"/>
              <w:rPr>
                <w:i/>
                <w:sz w:val="16"/>
              </w:rPr>
            </w:pPr>
            <w:r w:rsidRPr="005B4E8E">
              <w:rPr>
                <w:i/>
                <w:sz w:val="16"/>
                <w:lang w:val="fr-FR"/>
              </w:rPr>
              <w:t>N</w:t>
            </w:r>
            <w:r w:rsidRPr="005B4E8E">
              <w:rPr>
                <w:i/>
                <w:sz w:val="16"/>
                <w:vertAlign w:val="superscript"/>
                <w:lang w:val="fr-FR"/>
              </w:rPr>
              <w:t>o</w:t>
            </w:r>
            <w:r w:rsidRPr="005B4E8E">
              <w:rPr>
                <w:i/>
                <w:sz w:val="16"/>
                <w:lang w:val="fr-FR"/>
              </w:rPr>
              <w:t xml:space="preserve"> de l’affaire</w:t>
            </w:r>
          </w:p>
        </w:tc>
        <w:tc>
          <w:tcPr>
            <w:tcW w:w="1070" w:type="dxa"/>
            <w:tcBorders>
              <w:top w:val="single" w:sz="4" w:space="0" w:color="auto"/>
              <w:bottom w:val="single" w:sz="12" w:space="0" w:color="auto"/>
            </w:tcBorders>
            <w:shd w:val="clear" w:color="auto" w:fill="auto"/>
            <w:vAlign w:val="bottom"/>
          </w:tcPr>
          <w:p w14:paraId="21CD85D4" w14:textId="77777777" w:rsidR="0081022C" w:rsidRPr="005B4E8E" w:rsidRDefault="0081022C" w:rsidP="005B4E8E">
            <w:pPr>
              <w:spacing w:before="80" w:after="80" w:line="200" w:lineRule="exact"/>
              <w:ind w:right="113"/>
              <w:rPr>
                <w:i/>
                <w:sz w:val="16"/>
              </w:rPr>
            </w:pPr>
            <w:r w:rsidRPr="005B4E8E">
              <w:rPr>
                <w:i/>
                <w:sz w:val="16"/>
                <w:lang w:val="fr-FR"/>
              </w:rPr>
              <w:t>Type d’infraction</w:t>
            </w:r>
          </w:p>
        </w:tc>
        <w:tc>
          <w:tcPr>
            <w:tcW w:w="1162" w:type="dxa"/>
            <w:tcBorders>
              <w:top w:val="single" w:sz="4" w:space="0" w:color="auto"/>
              <w:bottom w:val="single" w:sz="12" w:space="0" w:color="auto"/>
            </w:tcBorders>
            <w:shd w:val="clear" w:color="auto" w:fill="auto"/>
            <w:vAlign w:val="bottom"/>
          </w:tcPr>
          <w:p w14:paraId="6493D208" w14:textId="77777777" w:rsidR="0081022C" w:rsidRPr="005B4E8E" w:rsidRDefault="0081022C" w:rsidP="005B4E8E">
            <w:pPr>
              <w:spacing w:before="80" w:after="80" w:line="200" w:lineRule="exact"/>
              <w:ind w:right="113"/>
              <w:rPr>
                <w:i/>
                <w:sz w:val="16"/>
              </w:rPr>
            </w:pPr>
            <w:r w:rsidRPr="005B4E8E">
              <w:rPr>
                <w:i/>
                <w:sz w:val="16"/>
                <w:lang w:val="fr-FR"/>
              </w:rPr>
              <w:t>Étape</w:t>
            </w:r>
          </w:p>
        </w:tc>
        <w:tc>
          <w:tcPr>
            <w:tcW w:w="962" w:type="dxa"/>
            <w:tcBorders>
              <w:top w:val="single" w:sz="4" w:space="0" w:color="auto"/>
              <w:bottom w:val="single" w:sz="12" w:space="0" w:color="auto"/>
            </w:tcBorders>
            <w:shd w:val="clear" w:color="auto" w:fill="auto"/>
            <w:vAlign w:val="bottom"/>
          </w:tcPr>
          <w:p w14:paraId="15ED69B4" w14:textId="77777777" w:rsidR="0081022C" w:rsidRPr="005B4E8E" w:rsidRDefault="0081022C" w:rsidP="005B4E8E">
            <w:pPr>
              <w:spacing w:before="80" w:after="80" w:line="200" w:lineRule="exact"/>
              <w:ind w:right="113"/>
              <w:rPr>
                <w:i/>
                <w:sz w:val="16"/>
              </w:rPr>
            </w:pPr>
            <w:r w:rsidRPr="005B4E8E">
              <w:rPr>
                <w:i/>
                <w:sz w:val="16"/>
                <w:lang w:val="fr-FR"/>
              </w:rPr>
              <w:t>État</w:t>
            </w:r>
          </w:p>
        </w:tc>
        <w:tc>
          <w:tcPr>
            <w:tcW w:w="1283" w:type="dxa"/>
            <w:tcBorders>
              <w:top w:val="single" w:sz="4" w:space="0" w:color="auto"/>
              <w:bottom w:val="single" w:sz="12" w:space="0" w:color="auto"/>
            </w:tcBorders>
            <w:shd w:val="clear" w:color="auto" w:fill="auto"/>
            <w:vAlign w:val="bottom"/>
          </w:tcPr>
          <w:p w14:paraId="4FFCEE57" w14:textId="77777777" w:rsidR="0081022C" w:rsidRPr="005B4E8E" w:rsidRDefault="0081022C" w:rsidP="005B4E8E">
            <w:pPr>
              <w:spacing w:before="80" w:after="80" w:line="200" w:lineRule="exact"/>
              <w:ind w:right="113"/>
              <w:rPr>
                <w:i/>
                <w:sz w:val="16"/>
              </w:rPr>
            </w:pPr>
            <w:r w:rsidRPr="005B4E8E">
              <w:rPr>
                <w:i/>
                <w:sz w:val="16"/>
                <w:lang w:val="fr-FR"/>
              </w:rPr>
              <w:t>Commentaires</w:t>
            </w:r>
          </w:p>
        </w:tc>
      </w:tr>
      <w:tr w:rsidR="005B4E8E" w:rsidRPr="005B4E8E" w14:paraId="5F25619F" w14:textId="77777777" w:rsidTr="005B4E8E">
        <w:trPr>
          <w:trHeight w:hRule="exact" w:val="113"/>
          <w:tblHeader/>
        </w:trPr>
        <w:tc>
          <w:tcPr>
            <w:tcW w:w="340" w:type="dxa"/>
            <w:tcBorders>
              <w:top w:val="single" w:sz="12" w:space="0" w:color="auto"/>
            </w:tcBorders>
            <w:shd w:val="clear" w:color="auto" w:fill="auto"/>
          </w:tcPr>
          <w:p w14:paraId="0199F3B2" w14:textId="77777777" w:rsidR="005B4E8E" w:rsidRPr="005B4E8E" w:rsidRDefault="005B4E8E" w:rsidP="005B4E8E">
            <w:pPr>
              <w:spacing w:before="40" w:after="120"/>
              <w:ind w:right="113"/>
              <w:rPr>
                <w:lang w:val="fr-FR"/>
              </w:rPr>
            </w:pPr>
          </w:p>
        </w:tc>
        <w:tc>
          <w:tcPr>
            <w:tcW w:w="1119" w:type="dxa"/>
            <w:tcBorders>
              <w:top w:val="single" w:sz="12" w:space="0" w:color="auto"/>
            </w:tcBorders>
            <w:shd w:val="clear" w:color="auto" w:fill="auto"/>
          </w:tcPr>
          <w:p w14:paraId="0A26A1F9" w14:textId="77777777" w:rsidR="005B4E8E" w:rsidRPr="005B4E8E" w:rsidRDefault="005B4E8E" w:rsidP="005B4E8E">
            <w:pPr>
              <w:spacing w:before="40" w:after="120"/>
              <w:ind w:right="113"/>
              <w:rPr>
                <w:lang w:val="fr-FR"/>
              </w:rPr>
            </w:pPr>
          </w:p>
        </w:tc>
        <w:tc>
          <w:tcPr>
            <w:tcW w:w="907" w:type="dxa"/>
            <w:tcBorders>
              <w:top w:val="single" w:sz="12" w:space="0" w:color="auto"/>
            </w:tcBorders>
            <w:shd w:val="clear" w:color="auto" w:fill="auto"/>
          </w:tcPr>
          <w:p w14:paraId="07208AAE" w14:textId="77777777" w:rsidR="005B4E8E" w:rsidRPr="005B4E8E" w:rsidRDefault="005B4E8E" w:rsidP="005B4E8E">
            <w:pPr>
              <w:spacing w:before="40" w:after="120"/>
              <w:ind w:right="113"/>
              <w:rPr>
                <w:lang w:val="fr-FR"/>
              </w:rPr>
            </w:pPr>
          </w:p>
        </w:tc>
        <w:tc>
          <w:tcPr>
            <w:tcW w:w="1260" w:type="dxa"/>
            <w:tcBorders>
              <w:top w:val="single" w:sz="12" w:space="0" w:color="auto"/>
            </w:tcBorders>
            <w:shd w:val="clear" w:color="auto" w:fill="auto"/>
          </w:tcPr>
          <w:p w14:paraId="0674DD30" w14:textId="77777777" w:rsidR="005B4E8E" w:rsidRPr="005B4E8E" w:rsidRDefault="005B4E8E" w:rsidP="005B4E8E">
            <w:pPr>
              <w:spacing w:before="40" w:after="120"/>
              <w:ind w:right="113"/>
              <w:rPr>
                <w:lang w:val="fr-FR"/>
              </w:rPr>
            </w:pPr>
          </w:p>
        </w:tc>
        <w:tc>
          <w:tcPr>
            <w:tcW w:w="1533" w:type="dxa"/>
            <w:tcBorders>
              <w:top w:val="single" w:sz="12" w:space="0" w:color="auto"/>
            </w:tcBorders>
            <w:shd w:val="clear" w:color="auto" w:fill="auto"/>
          </w:tcPr>
          <w:p w14:paraId="4C563D76" w14:textId="77777777" w:rsidR="005B4E8E" w:rsidRPr="005B4E8E" w:rsidRDefault="005B4E8E" w:rsidP="005B4E8E">
            <w:pPr>
              <w:spacing w:before="40" w:after="120"/>
              <w:ind w:right="113"/>
              <w:rPr>
                <w:lang w:val="fr-FR"/>
              </w:rPr>
            </w:pPr>
          </w:p>
        </w:tc>
        <w:tc>
          <w:tcPr>
            <w:tcW w:w="1070" w:type="dxa"/>
            <w:tcBorders>
              <w:top w:val="single" w:sz="12" w:space="0" w:color="auto"/>
            </w:tcBorders>
            <w:shd w:val="clear" w:color="auto" w:fill="auto"/>
          </w:tcPr>
          <w:p w14:paraId="2380B0D9" w14:textId="77777777" w:rsidR="005B4E8E" w:rsidRPr="005B4E8E" w:rsidRDefault="005B4E8E" w:rsidP="005B4E8E">
            <w:pPr>
              <w:spacing w:before="40" w:after="120"/>
              <w:ind w:right="113"/>
              <w:rPr>
                <w:lang w:val="fr-FR"/>
              </w:rPr>
            </w:pPr>
          </w:p>
        </w:tc>
        <w:tc>
          <w:tcPr>
            <w:tcW w:w="1162" w:type="dxa"/>
            <w:tcBorders>
              <w:top w:val="single" w:sz="12" w:space="0" w:color="auto"/>
            </w:tcBorders>
            <w:shd w:val="clear" w:color="auto" w:fill="auto"/>
          </w:tcPr>
          <w:p w14:paraId="1B0D2FE1" w14:textId="77777777" w:rsidR="005B4E8E" w:rsidRPr="005B4E8E" w:rsidRDefault="005B4E8E" w:rsidP="005B4E8E">
            <w:pPr>
              <w:spacing w:before="40" w:after="120"/>
              <w:ind w:right="113"/>
              <w:rPr>
                <w:lang w:val="fr-FR"/>
              </w:rPr>
            </w:pPr>
          </w:p>
        </w:tc>
        <w:tc>
          <w:tcPr>
            <w:tcW w:w="962" w:type="dxa"/>
            <w:tcBorders>
              <w:top w:val="single" w:sz="12" w:space="0" w:color="auto"/>
            </w:tcBorders>
            <w:shd w:val="clear" w:color="auto" w:fill="auto"/>
          </w:tcPr>
          <w:p w14:paraId="63F2834F" w14:textId="77777777" w:rsidR="005B4E8E" w:rsidRPr="005B4E8E" w:rsidRDefault="005B4E8E" w:rsidP="005B4E8E">
            <w:pPr>
              <w:spacing w:before="40" w:after="120"/>
              <w:ind w:right="113"/>
              <w:rPr>
                <w:lang w:val="fr-FR"/>
              </w:rPr>
            </w:pPr>
          </w:p>
        </w:tc>
        <w:tc>
          <w:tcPr>
            <w:tcW w:w="1283" w:type="dxa"/>
            <w:tcBorders>
              <w:top w:val="single" w:sz="12" w:space="0" w:color="auto"/>
            </w:tcBorders>
            <w:shd w:val="clear" w:color="auto" w:fill="auto"/>
          </w:tcPr>
          <w:p w14:paraId="69A44CDB" w14:textId="77777777" w:rsidR="005B4E8E" w:rsidRPr="005B4E8E" w:rsidRDefault="005B4E8E" w:rsidP="005B4E8E">
            <w:pPr>
              <w:spacing w:before="40" w:after="120"/>
              <w:ind w:right="113"/>
              <w:rPr>
                <w:lang w:val="fr-FR"/>
              </w:rPr>
            </w:pPr>
          </w:p>
        </w:tc>
      </w:tr>
      <w:tr w:rsidR="005B4E8E" w:rsidRPr="005B4E8E" w14:paraId="0F36CD46" w14:textId="77777777" w:rsidTr="005B4E8E">
        <w:tc>
          <w:tcPr>
            <w:tcW w:w="340" w:type="dxa"/>
            <w:shd w:val="clear" w:color="auto" w:fill="auto"/>
          </w:tcPr>
          <w:p w14:paraId="08A0673C" w14:textId="77777777" w:rsidR="0081022C" w:rsidRPr="005B4E8E" w:rsidRDefault="0081022C" w:rsidP="005B4E8E">
            <w:pPr>
              <w:spacing w:before="40" w:after="120"/>
              <w:ind w:right="113"/>
            </w:pPr>
            <w:r w:rsidRPr="005B4E8E">
              <w:rPr>
                <w:lang w:val="fr-FR"/>
              </w:rPr>
              <w:t>1.</w:t>
            </w:r>
          </w:p>
        </w:tc>
        <w:tc>
          <w:tcPr>
            <w:tcW w:w="1119" w:type="dxa"/>
            <w:shd w:val="clear" w:color="auto" w:fill="auto"/>
          </w:tcPr>
          <w:p w14:paraId="0CA52950" w14:textId="77777777" w:rsidR="0081022C" w:rsidRPr="005B4E8E" w:rsidRDefault="0081022C" w:rsidP="005B4E8E">
            <w:pPr>
              <w:spacing w:before="40" w:after="120"/>
              <w:ind w:right="113"/>
            </w:pPr>
            <w:r w:rsidRPr="005B4E8E">
              <w:rPr>
                <w:lang w:val="fr-FR"/>
              </w:rPr>
              <w:t>Alessandra Ferreti</w:t>
            </w:r>
          </w:p>
        </w:tc>
        <w:tc>
          <w:tcPr>
            <w:tcW w:w="907" w:type="dxa"/>
            <w:shd w:val="clear" w:color="auto" w:fill="auto"/>
          </w:tcPr>
          <w:p w14:paraId="372EA49A" w14:textId="77777777" w:rsidR="0081022C" w:rsidRPr="005B4E8E" w:rsidRDefault="0081022C" w:rsidP="005B4E8E">
            <w:pPr>
              <w:spacing w:before="40" w:after="120"/>
              <w:ind w:right="113"/>
            </w:pPr>
            <w:r w:rsidRPr="005B4E8E">
              <w:rPr>
                <w:lang w:val="fr-FR"/>
              </w:rPr>
              <w:t>06/02/21</w:t>
            </w:r>
          </w:p>
        </w:tc>
        <w:tc>
          <w:tcPr>
            <w:tcW w:w="1260" w:type="dxa"/>
            <w:shd w:val="clear" w:color="auto" w:fill="auto"/>
          </w:tcPr>
          <w:p w14:paraId="136D66D0" w14:textId="0BBE8F6D" w:rsidR="0081022C" w:rsidRPr="005B4E8E" w:rsidRDefault="0081022C" w:rsidP="005B4E8E">
            <w:pPr>
              <w:spacing w:before="40" w:after="120"/>
              <w:ind w:right="113"/>
            </w:pPr>
            <w:r w:rsidRPr="005B4E8E">
              <w:rPr>
                <w:lang w:val="fr-FR"/>
              </w:rPr>
              <w:t>Femme trans asphyxiée par</w:t>
            </w:r>
            <w:r w:rsidR="00BB4B50">
              <w:rPr>
                <w:lang w:val="fr-FR"/>
              </w:rPr>
              <w:t> </w:t>
            </w:r>
            <w:r w:rsidRPr="005B4E8E">
              <w:rPr>
                <w:lang w:val="fr-FR"/>
              </w:rPr>
              <w:t>un client</w:t>
            </w:r>
          </w:p>
        </w:tc>
        <w:tc>
          <w:tcPr>
            <w:tcW w:w="1533" w:type="dxa"/>
            <w:shd w:val="clear" w:color="auto" w:fill="auto"/>
          </w:tcPr>
          <w:p w14:paraId="670DFC3F" w14:textId="77777777" w:rsidR="0081022C" w:rsidRPr="005B4E8E" w:rsidRDefault="0081022C" w:rsidP="005B4E8E">
            <w:pPr>
              <w:spacing w:before="40" w:after="120"/>
              <w:ind w:right="113"/>
            </w:pPr>
            <w:r w:rsidRPr="005B4E8E">
              <w:rPr>
                <w:lang w:val="fr-FR"/>
              </w:rPr>
              <w:t>30110200000000</w:t>
            </w:r>
          </w:p>
        </w:tc>
        <w:tc>
          <w:tcPr>
            <w:tcW w:w="1070" w:type="dxa"/>
            <w:shd w:val="clear" w:color="auto" w:fill="auto"/>
          </w:tcPr>
          <w:p w14:paraId="1E92F00E" w14:textId="77777777" w:rsidR="0081022C" w:rsidRPr="005B4E8E" w:rsidRDefault="0081022C" w:rsidP="005B4E8E">
            <w:pPr>
              <w:spacing w:before="40" w:after="120"/>
              <w:ind w:right="113"/>
            </w:pPr>
            <w:r w:rsidRPr="005B4E8E">
              <w:rPr>
                <w:lang w:val="fr-FR"/>
              </w:rPr>
              <w:t>Meurtre, art. 252</w:t>
            </w:r>
          </w:p>
        </w:tc>
        <w:tc>
          <w:tcPr>
            <w:tcW w:w="1162" w:type="dxa"/>
            <w:shd w:val="clear" w:color="auto" w:fill="auto"/>
          </w:tcPr>
          <w:p w14:paraId="06100389" w14:textId="77777777" w:rsidR="0081022C" w:rsidRPr="005B4E8E" w:rsidRDefault="0081022C" w:rsidP="005B4E8E">
            <w:pPr>
              <w:spacing w:before="40" w:after="120"/>
              <w:ind w:right="113"/>
            </w:pPr>
            <w:r w:rsidRPr="005B4E8E">
              <w:rPr>
                <w:lang w:val="fr-FR"/>
              </w:rPr>
              <w:t>Préliminaire</w:t>
            </w:r>
          </w:p>
        </w:tc>
        <w:tc>
          <w:tcPr>
            <w:tcW w:w="962" w:type="dxa"/>
            <w:shd w:val="clear" w:color="auto" w:fill="auto"/>
          </w:tcPr>
          <w:p w14:paraId="2F6445F5" w14:textId="77777777" w:rsidR="0081022C" w:rsidRPr="005B4E8E" w:rsidRDefault="0081022C" w:rsidP="005B4E8E">
            <w:pPr>
              <w:spacing w:before="40" w:after="120"/>
              <w:ind w:right="113"/>
            </w:pPr>
            <w:r w:rsidRPr="005B4E8E">
              <w:rPr>
                <w:lang w:val="fr-FR"/>
              </w:rPr>
              <w:t>Affaire ouverte</w:t>
            </w:r>
          </w:p>
        </w:tc>
        <w:tc>
          <w:tcPr>
            <w:tcW w:w="1283" w:type="dxa"/>
            <w:shd w:val="clear" w:color="auto" w:fill="auto"/>
          </w:tcPr>
          <w:p w14:paraId="34DCA1C5" w14:textId="77777777" w:rsidR="0081022C" w:rsidRPr="005B4E8E" w:rsidRDefault="0081022C" w:rsidP="005B4E8E">
            <w:pPr>
              <w:spacing w:before="40" w:after="120"/>
              <w:ind w:right="113"/>
            </w:pPr>
            <w:r w:rsidRPr="005B4E8E">
              <w:rPr>
                <w:lang w:val="fr-FR"/>
              </w:rPr>
              <w:t>Complément d’enquête 22/02/21 (60 jours)</w:t>
            </w:r>
          </w:p>
        </w:tc>
      </w:tr>
      <w:tr w:rsidR="005B4E8E" w:rsidRPr="005B4E8E" w14:paraId="3EDA4CA7" w14:textId="77777777" w:rsidTr="005B4E8E">
        <w:tc>
          <w:tcPr>
            <w:tcW w:w="340" w:type="dxa"/>
            <w:tcBorders>
              <w:bottom w:val="single" w:sz="12" w:space="0" w:color="auto"/>
            </w:tcBorders>
            <w:shd w:val="clear" w:color="auto" w:fill="auto"/>
          </w:tcPr>
          <w:p w14:paraId="446DAD94" w14:textId="77777777" w:rsidR="0081022C" w:rsidRPr="005B4E8E" w:rsidRDefault="0081022C" w:rsidP="005B4E8E">
            <w:pPr>
              <w:spacing w:before="40" w:after="120"/>
              <w:ind w:right="113"/>
            </w:pPr>
            <w:r w:rsidRPr="005B4E8E">
              <w:rPr>
                <w:lang w:val="fr-FR"/>
              </w:rPr>
              <w:t>2.</w:t>
            </w:r>
          </w:p>
        </w:tc>
        <w:tc>
          <w:tcPr>
            <w:tcW w:w="1119" w:type="dxa"/>
            <w:tcBorders>
              <w:bottom w:val="single" w:sz="12" w:space="0" w:color="auto"/>
            </w:tcBorders>
            <w:shd w:val="clear" w:color="auto" w:fill="auto"/>
          </w:tcPr>
          <w:p w14:paraId="3EA8D49E" w14:textId="77777777" w:rsidR="0081022C" w:rsidRPr="005B4E8E" w:rsidRDefault="0081022C" w:rsidP="005B4E8E">
            <w:pPr>
              <w:spacing w:before="40" w:after="120"/>
              <w:ind w:right="113"/>
            </w:pPr>
            <w:r w:rsidRPr="005B4E8E">
              <w:rPr>
                <w:lang w:val="fr-FR"/>
              </w:rPr>
              <w:t>Trois femmes transgenres</w:t>
            </w:r>
          </w:p>
        </w:tc>
        <w:tc>
          <w:tcPr>
            <w:tcW w:w="907" w:type="dxa"/>
            <w:tcBorders>
              <w:bottom w:val="single" w:sz="12" w:space="0" w:color="auto"/>
            </w:tcBorders>
            <w:shd w:val="clear" w:color="auto" w:fill="auto"/>
          </w:tcPr>
          <w:p w14:paraId="6DF180AC" w14:textId="77777777" w:rsidR="0081022C" w:rsidRPr="005B4E8E" w:rsidRDefault="0081022C" w:rsidP="005B4E8E">
            <w:pPr>
              <w:spacing w:before="40" w:after="120"/>
              <w:ind w:right="113"/>
            </w:pPr>
            <w:r w:rsidRPr="005B4E8E">
              <w:rPr>
                <w:lang w:val="fr-FR"/>
              </w:rPr>
              <w:t>10/05/13</w:t>
            </w:r>
          </w:p>
        </w:tc>
        <w:tc>
          <w:tcPr>
            <w:tcW w:w="1260" w:type="dxa"/>
            <w:tcBorders>
              <w:bottom w:val="single" w:sz="12" w:space="0" w:color="auto"/>
            </w:tcBorders>
            <w:shd w:val="clear" w:color="auto" w:fill="auto"/>
          </w:tcPr>
          <w:p w14:paraId="64E22711" w14:textId="77777777" w:rsidR="0081022C" w:rsidRPr="005B4E8E" w:rsidRDefault="0081022C" w:rsidP="005B4E8E">
            <w:pPr>
              <w:spacing w:before="40" w:after="120"/>
              <w:ind w:right="113"/>
            </w:pPr>
            <w:r w:rsidRPr="005B4E8E">
              <w:rPr>
                <w:lang w:val="fr-FR"/>
              </w:rPr>
              <w:t>Agressées par un chauffeur de taxi</w:t>
            </w:r>
          </w:p>
        </w:tc>
        <w:tc>
          <w:tcPr>
            <w:tcW w:w="1533" w:type="dxa"/>
            <w:tcBorders>
              <w:bottom w:val="single" w:sz="12" w:space="0" w:color="auto"/>
            </w:tcBorders>
            <w:shd w:val="clear" w:color="auto" w:fill="auto"/>
          </w:tcPr>
          <w:p w14:paraId="53019642" w14:textId="77777777" w:rsidR="0081022C" w:rsidRPr="005B4E8E" w:rsidRDefault="0081022C" w:rsidP="005B4E8E">
            <w:pPr>
              <w:spacing w:before="40" w:after="120"/>
              <w:ind w:right="113"/>
            </w:pPr>
            <w:r w:rsidRPr="005B4E8E">
              <w:rPr>
                <w:lang w:val="fr-FR"/>
              </w:rPr>
              <w:t>Int. 79/2013</w:t>
            </w:r>
          </w:p>
        </w:tc>
        <w:tc>
          <w:tcPr>
            <w:tcW w:w="1070" w:type="dxa"/>
            <w:tcBorders>
              <w:bottom w:val="single" w:sz="12" w:space="0" w:color="auto"/>
            </w:tcBorders>
            <w:shd w:val="clear" w:color="auto" w:fill="auto"/>
          </w:tcPr>
          <w:p w14:paraId="7EEE4F12" w14:textId="5BBEC69C" w:rsidR="0081022C" w:rsidRPr="005B4E8E" w:rsidRDefault="0081022C" w:rsidP="005B4E8E">
            <w:pPr>
              <w:spacing w:before="40" w:after="120"/>
              <w:ind w:right="113"/>
            </w:pPr>
            <w:r w:rsidRPr="005B4E8E">
              <w:rPr>
                <w:lang w:val="fr-FR"/>
              </w:rPr>
              <w:t>Lésions corporelles graves et légères, vol</w:t>
            </w:r>
            <w:r w:rsidR="00BB4B50">
              <w:rPr>
                <w:lang w:val="fr-FR"/>
              </w:rPr>
              <w:t> </w:t>
            </w:r>
            <w:r w:rsidRPr="005B4E8E">
              <w:rPr>
                <w:lang w:val="fr-FR"/>
              </w:rPr>
              <w:t>aggravé</w:t>
            </w:r>
          </w:p>
          <w:p w14:paraId="175C515D" w14:textId="77777777" w:rsidR="0081022C" w:rsidRPr="005B4E8E" w:rsidRDefault="0081022C" w:rsidP="005B4E8E">
            <w:pPr>
              <w:spacing w:before="40" w:after="120"/>
              <w:ind w:right="113"/>
            </w:pPr>
            <w:r w:rsidRPr="005B4E8E">
              <w:rPr>
                <w:lang w:val="fr-FR"/>
              </w:rPr>
              <w:t>Art. 271, 332 Code pénal</w:t>
            </w:r>
          </w:p>
        </w:tc>
        <w:tc>
          <w:tcPr>
            <w:tcW w:w="1162" w:type="dxa"/>
            <w:tcBorders>
              <w:bottom w:val="single" w:sz="12" w:space="0" w:color="auto"/>
            </w:tcBorders>
            <w:shd w:val="clear" w:color="auto" w:fill="auto"/>
          </w:tcPr>
          <w:p w14:paraId="4BAA1EF2" w14:textId="77777777" w:rsidR="0081022C" w:rsidRPr="005B4E8E" w:rsidRDefault="0081022C" w:rsidP="005B4E8E">
            <w:pPr>
              <w:spacing w:before="40" w:after="120"/>
              <w:ind w:right="113"/>
            </w:pPr>
            <w:r w:rsidRPr="005B4E8E">
              <w:rPr>
                <w:lang w:val="fr-FR"/>
              </w:rPr>
              <w:t>Procédure sommaire terminée</w:t>
            </w:r>
          </w:p>
        </w:tc>
        <w:tc>
          <w:tcPr>
            <w:tcW w:w="962" w:type="dxa"/>
            <w:tcBorders>
              <w:bottom w:val="single" w:sz="12" w:space="0" w:color="auto"/>
            </w:tcBorders>
            <w:shd w:val="clear" w:color="auto" w:fill="auto"/>
          </w:tcPr>
          <w:p w14:paraId="587212AA" w14:textId="77777777" w:rsidR="0081022C" w:rsidRPr="005B4E8E" w:rsidRDefault="0081022C" w:rsidP="005B4E8E">
            <w:pPr>
              <w:spacing w:before="40" w:after="120"/>
              <w:ind w:right="113"/>
            </w:pPr>
            <w:r w:rsidRPr="005B4E8E">
              <w:rPr>
                <w:lang w:val="fr-FR"/>
              </w:rPr>
              <w:t>Affaire close</w:t>
            </w:r>
          </w:p>
        </w:tc>
        <w:tc>
          <w:tcPr>
            <w:tcW w:w="1283" w:type="dxa"/>
            <w:tcBorders>
              <w:bottom w:val="single" w:sz="12" w:space="0" w:color="auto"/>
            </w:tcBorders>
            <w:shd w:val="clear" w:color="auto" w:fill="auto"/>
          </w:tcPr>
          <w:p w14:paraId="2B42DB0D" w14:textId="77777777" w:rsidR="0081022C" w:rsidRPr="005B4E8E" w:rsidRDefault="0081022C" w:rsidP="005B4E8E">
            <w:pPr>
              <w:spacing w:before="40" w:after="120"/>
              <w:ind w:right="113"/>
            </w:pPr>
            <w:r w:rsidRPr="005B4E8E">
              <w:rPr>
                <w:lang w:val="fr-FR"/>
              </w:rPr>
              <w:t>Terminé</w:t>
            </w:r>
          </w:p>
        </w:tc>
      </w:tr>
    </w:tbl>
    <w:p w14:paraId="57BB6EB8" w14:textId="77777777" w:rsidR="0081022C" w:rsidRPr="00C24248" w:rsidRDefault="0081022C" w:rsidP="005B4E8E">
      <w:pPr>
        <w:pStyle w:val="H23G"/>
      </w:pPr>
      <w:r>
        <w:rPr>
          <w:lang w:val="fr-FR"/>
        </w:rPr>
        <w:tab/>
        <w:t>Département de Santa Cruz</w:t>
      </w:r>
    </w:p>
    <w:tbl>
      <w:tblPr>
        <w:tblW w:w="9636" w:type="dxa"/>
        <w:tblLayout w:type="fixed"/>
        <w:tblCellMar>
          <w:left w:w="0" w:type="dxa"/>
          <w:right w:w="0" w:type="dxa"/>
        </w:tblCellMar>
        <w:tblLook w:val="04A0" w:firstRow="1" w:lastRow="0" w:firstColumn="1" w:lastColumn="0" w:noHBand="0" w:noVBand="1"/>
      </w:tblPr>
      <w:tblGrid>
        <w:gridCol w:w="336"/>
        <w:gridCol w:w="1133"/>
        <w:gridCol w:w="896"/>
        <w:gridCol w:w="1261"/>
        <w:gridCol w:w="1526"/>
        <w:gridCol w:w="1063"/>
        <w:gridCol w:w="1358"/>
        <w:gridCol w:w="953"/>
        <w:gridCol w:w="1110"/>
      </w:tblGrid>
      <w:tr w:rsidR="005B4E8E" w:rsidRPr="005B4E8E" w14:paraId="0B4277C5" w14:textId="77777777" w:rsidTr="00BB4B50">
        <w:trPr>
          <w:tblHeader/>
        </w:trPr>
        <w:tc>
          <w:tcPr>
            <w:tcW w:w="336" w:type="dxa"/>
            <w:tcBorders>
              <w:top w:val="single" w:sz="4" w:space="0" w:color="auto"/>
              <w:bottom w:val="single" w:sz="12" w:space="0" w:color="auto"/>
            </w:tcBorders>
            <w:shd w:val="clear" w:color="auto" w:fill="auto"/>
            <w:vAlign w:val="bottom"/>
          </w:tcPr>
          <w:p w14:paraId="4C9370B2" w14:textId="77777777" w:rsidR="0081022C" w:rsidRPr="005B4E8E" w:rsidRDefault="0081022C" w:rsidP="005B4E8E">
            <w:pPr>
              <w:spacing w:before="80" w:after="80" w:line="200" w:lineRule="exact"/>
              <w:ind w:right="113"/>
              <w:rPr>
                <w:i/>
                <w:sz w:val="16"/>
              </w:rPr>
            </w:pPr>
            <w:r w:rsidRPr="005B4E8E">
              <w:rPr>
                <w:i/>
                <w:sz w:val="16"/>
                <w:lang w:val="fr-FR"/>
              </w:rPr>
              <w:t>N</w:t>
            </w:r>
            <w:r w:rsidRPr="005B4E8E">
              <w:rPr>
                <w:i/>
                <w:sz w:val="16"/>
                <w:vertAlign w:val="superscript"/>
                <w:lang w:val="fr-FR"/>
              </w:rPr>
              <w:t>o</w:t>
            </w:r>
          </w:p>
        </w:tc>
        <w:tc>
          <w:tcPr>
            <w:tcW w:w="1133" w:type="dxa"/>
            <w:tcBorders>
              <w:top w:val="single" w:sz="4" w:space="0" w:color="auto"/>
              <w:bottom w:val="single" w:sz="12" w:space="0" w:color="auto"/>
            </w:tcBorders>
            <w:shd w:val="clear" w:color="auto" w:fill="auto"/>
            <w:vAlign w:val="bottom"/>
          </w:tcPr>
          <w:p w14:paraId="4F572D10" w14:textId="77777777" w:rsidR="0081022C" w:rsidRPr="005B4E8E" w:rsidRDefault="0081022C" w:rsidP="005B4E8E">
            <w:pPr>
              <w:spacing w:before="80" w:after="80" w:line="200" w:lineRule="exact"/>
              <w:ind w:right="113"/>
              <w:rPr>
                <w:i/>
                <w:sz w:val="16"/>
              </w:rPr>
            </w:pPr>
            <w:r w:rsidRPr="005B4E8E">
              <w:rPr>
                <w:i/>
                <w:sz w:val="16"/>
                <w:lang w:val="fr-FR"/>
              </w:rPr>
              <w:t xml:space="preserve">Victime </w:t>
            </w:r>
          </w:p>
        </w:tc>
        <w:tc>
          <w:tcPr>
            <w:tcW w:w="896" w:type="dxa"/>
            <w:tcBorders>
              <w:top w:val="single" w:sz="4" w:space="0" w:color="auto"/>
              <w:bottom w:val="single" w:sz="12" w:space="0" w:color="auto"/>
            </w:tcBorders>
            <w:shd w:val="clear" w:color="auto" w:fill="auto"/>
            <w:vAlign w:val="bottom"/>
          </w:tcPr>
          <w:p w14:paraId="5E6894D4" w14:textId="77777777" w:rsidR="0081022C" w:rsidRPr="005B4E8E" w:rsidRDefault="0081022C" w:rsidP="005B4E8E">
            <w:pPr>
              <w:spacing w:before="80" w:after="80" w:line="200" w:lineRule="exact"/>
              <w:ind w:right="113"/>
              <w:rPr>
                <w:i/>
                <w:sz w:val="16"/>
              </w:rPr>
            </w:pPr>
            <w:r w:rsidRPr="005B4E8E">
              <w:rPr>
                <w:i/>
                <w:sz w:val="16"/>
                <w:lang w:val="fr-FR"/>
              </w:rPr>
              <w:t xml:space="preserve">Date </w:t>
            </w:r>
          </w:p>
        </w:tc>
        <w:tc>
          <w:tcPr>
            <w:tcW w:w="1261" w:type="dxa"/>
            <w:tcBorders>
              <w:top w:val="single" w:sz="4" w:space="0" w:color="auto"/>
              <w:bottom w:val="single" w:sz="12" w:space="0" w:color="auto"/>
            </w:tcBorders>
            <w:shd w:val="clear" w:color="auto" w:fill="auto"/>
            <w:vAlign w:val="bottom"/>
          </w:tcPr>
          <w:p w14:paraId="6D2276EF" w14:textId="74A326D3" w:rsidR="0081022C" w:rsidRPr="005B4E8E" w:rsidRDefault="0081022C" w:rsidP="005B4E8E">
            <w:pPr>
              <w:spacing w:before="80" w:after="80" w:line="200" w:lineRule="exact"/>
              <w:ind w:right="113"/>
              <w:rPr>
                <w:i/>
                <w:sz w:val="16"/>
              </w:rPr>
            </w:pPr>
            <w:r w:rsidRPr="005B4E8E">
              <w:rPr>
                <w:i/>
                <w:sz w:val="16"/>
                <w:lang w:val="fr-FR"/>
              </w:rPr>
              <w:t>Description des</w:t>
            </w:r>
            <w:r w:rsidR="00BB4B50">
              <w:rPr>
                <w:i/>
                <w:sz w:val="16"/>
                <w:lang w:val="fr-FR"/>
              </w:rPr>
              <w:t> </w:t>
            </w:r>
            <w:r w:rsidRPr="005B4E8E">
              <w:rPr>
                <w:i/>
                <w:sz w:val="16"/>
                <w:lang w:val="fr-FR"/>
              </w:rPr>
              <w:t>faits</w:t>
            </w:r>
          </w:p>
        </w:tc>
        <w:tc>
          <w:tcPr>
            <w:tcW w:w="1526" w:type="dxa"/>
            <w:tcBorders>
              <w:top w:val="single" w:sz="4" w:space="0" w:color="auto"/>
              <w:bottom w:val="single" w:sz="12" w:space="0" w:color="auto"/>
            </w:tcBorders>
            <w:shd w:val="clear" w:color="auto" w:fill="auto"/>
            <w:vAlign w:val="bottom"/>
          </w:tcPr>
          <w:p w14:paraId="5E399A92" w14:textId="77777777" w:rsidR="0081022C" w:rsidRPr="005B4E8E" w:rsidRDefault="0081022C" w:rsidP="005B4E8E">
            <w:pPr>
              <w:spacing w:before="80" w:after="80" w:line="200" w:lineRule="exact"/>
              <w:ind w:right="113"/>
              <w:rPr>
                <w:i/>
                <w:sz w:val="16"/>
              </w:rPr>
            </w:pPr>
            <w:r w:rsidRPr="005B4E8E">
              <w:rPr>
                <w:i/>
                <w:sz w:val="16"/>
                <w:lang w:val="fr-FR"/>
              </w:rPr>
              <w:t>N</w:t>
            </w:r>
            <w:r w:rsidRPr="005B4E8E">
              <w:rPr>
                <w:i/>
                <w:sz w:val="16"/>
                <w:vertAlign w:val="superscript"/>
                <w:lang w:val="fr-FR"/>
              </w:rPr>
              <w:t>o</w:t>
            </w:r>
            <w:r w:rsidRPr="005B4E8E">
              <w:rPr>
                <w:i/>
                <w:sz w:val="16"/>
                <w:lang w:val="fr-FR"/>
              </w:rPr>
              <w:t xml:space="preserve"> de l’affaire</w:t>
            </w:r>
          </w:p>
        </w:tc>
        <w:tc>
          <w:tcPr>
            <w:tcW w:w="1063" w:type="dxa"/>
            <w:tcBorders>
              <w:top w:val="single" w:sz="4" w:space="0" w:color="auto"/>
              <w:bottom w:val="single" w:sz="12" w:space="0" w:color="auto"/>
            </w:tcBorders>
            <w:shd w:val="clear" w:color="auto" w:fill="auto"/>
            <w:vAlign w:val="bottom"/>
          </w:tcPr>
          <w:p w14:paraId="62EBB4AB" w14:textId="77777777" w:rsidR="0081022C" w:rsidRPr="005B4E8E" w:rsidRDefault="0081022C" w:rsidP="005B4E8E">
            <w:pPr>
              <w:spacing w:before="80" w:after="80" w:line="200" w:lineRule="exact"/>
              <w:ind w:right="113"/>
              <w:rPr>
                <w:i/>
                <w:sz w:val="16"/>
              </w:rPr>
            </w:pPr>
            <w:r w:rsidRPr="005B4E8E">
              <w:rPr>
                <w:i/>
                <w:sz w:val="16"/>
                <w:lang w:val="fr-FR"/>
              </w:rPr>
              <w:t>Type d’infraction</w:t>
            </w:r>
          </w:p>
        </w:tc>
        <w:tc>
          <w:tcPr>
            <w:tcW w:w="1358" w:type="dxa"/>
            <w:tcBorders>
              <w:top w:val="single" w:sz="4" w:space="0" w:color="auto"/>
              <w:bottom w:val="single" w:sz="12" w:space="0" w:color="auto"/>
            </w:tcBorders>
            <w:shd w:val="clear" w:color="auto" w:fill="auto"/>
            <w:vAlign w:val="bottom"/>
          </w:tcPr>
          <w:p w14:paraId="077EF7F7" w14:textId="77777777" w:rsidR="0081022C" w:rsidRPr="005B4E8E" w:rsidRDefault="0081022C" w:rsidP="005B4E8E">
            <w:pPr>
              <w:spacing w:before="80" w:after="80" w:line="200" w:lineRule="exact"/>
              <w:ind w:right="113"/>
              <w:rPr>
                <w:i/>
                <w:sz w:val="16"/>
              </w:rPr>
            </w:pPr>
            <w:r w:rsidRPr="005B4E8E">
              <w:rPr>
                <w:i/>
                <w:sz w:val="16"/>
                <w:lang w:val="fr-FR"/>
              </w:rPr>
              <w:t>Étape</w:t>
            </w:r>
          </w:p>
        </w:tc>
        <w:tc>
          <w:tcPr>
            <w:tcW w:w="953" w:type="dxa"/>
            <w:tcBorders>
              <w:top w:val="single" w:sz="4" w:space="0" w:color="auto"/>
              <w:bottom w:val="single" w:sz="12" w:space="0" w:color="auto"/>
            </w:tcBorders>
            <w:shd w:val="clear" w:color="auto" w:fill="auto"/>
            <w:vAlign w:val="bottom"/>
          </w:tcPr>
          <w:p w14:paraId="2CFB6B2A" w14:textId="77777777" w:rsidR="0081022C" w:rsidRPr="005B4E8E" w:rsidRDefault="0081022C" w:rsidP="005B4E8E">
            <w:pPr>
              <w:spacing w:before="80" w:after="80" w:line="200" w:lineRule="exact"/>
              <w:ind w:right="113"/>
              <w:rPr>
                <w:i/>
                <w:sz w:val="16"/>
              </w:rPr>
            </w:pPr>
            <w:r w:rsidRPr="005B4E8E">
              <w:rPr>
                <w:i/>
                <w:sz w:val="16"/>
                <w:lang w:val="fr-FR"/>
              </w:rPr>
              <w:t>État</w:t>
            </w:r>
          </w:p>
        </w:tc>
        <w:tc>
          <w:tcPr>
            <w:tcW w:w="1110" w:type="dxa"/>
            <w:tcBorders>
              <w:top w:val="single" w:sz="4" w:space="0" w:color="auto"/>
              <w:bottom w:val="single" w:sz="12" w:space="0" w:color="auto"/>
            </w:tcBorders>
            <w:shd w:val="clear" w:color="auto" w:fill="auto"/>
            <w:vAlign w:val="bottom"/>
          </w:tcPr>
          <w:p w14:paraId="444AF915" w14:textId="77777777" w:rsidR="0081022C" w:rsidRPr="005B4E8E" w:rsidRDefault="0081022C" w:rsidP="005B4E8E">
            <w:pPr>
              <w:spacing w:before="80" w:after="80" w:line="200" w:lineRule="exact"/>
              <w:ind w:right="113"/>
              <w:rPr>
                <w:i/>
                <w:sz w:val="16"/>
              </w:rPr>
            </w:pPr>
            <w:r w:rsidRPr="005B4E8E">
              <w:rPr>
                <w:i/>
                <w:sz w:val="16"/>
                <w:lang w:val="fr-FR"/>
              </w:rPr>
              <w:t>Commentaires</w:t>
            </w:r>
          </w:p>
        </w:tc>
      </w:tr>
      <w:tr w:rsidR="005B4E8E" w:rsidRPr="005B4E8E" w14:paraId="36E00C1D" w14:textId="77777777" w:rsidTr="00BB4B50">
        <w:trPr>
          <w:trHeight w:hRule="exact" w:val="113"/>
          <w:tblHeader/>
        </w:trPr>
        <w:tc>
          <w:tcPr>
            <w:tcW w:w="336" w:type="dxa"/>
            <w:tcBorders>
              <w:top w:val="single" w:sz="12" w:space="0" w:color="auto"/>
            </w:tcBorders>
            <w:shd w:val="clear" w:color="auto" w:fill="auto"/>
          </w:tcPr>
          <w:p w14:paraId="232FE04F" w14:textId="77777777" w:rsidR="005B4E8E" w:rsidRPr="005B4E8E" w:rsidRDefault="005B4E8E" w:rsidP="005B4E8E">
            <w:pPr>
              <w:spacing w:before="40" w:after="120"/>
              <w:ind w:right="113"/>
              <w:rPr>
                <w:lang w:val="fr-FR"/>
              </w:rPr>
            </w:pPr>
          </w:p>
        </w:tc>
        <w:tc>
          <w:tcPr>
            <w:tcW w:w="1133" w:type="dxa"/>
            <w:tcBorders>
              <w:top w:val="single" w:sz="12" w:space="0" w:color="auto"/>
            </w:tcBorders>
            <w:shd w:val="clear" w:color="auto" w:fill="auto"/>
          </w:tcPr>
          <w:p w14:paraId="7EBCFDBA" w14:textId="77777777" w:rsidR="005B4E8E" w:rsidRPr="005B4E8E" w:rsidRDefault="005B4E8E" w:rsidP="005B4E8E">
            <w:pPr>
              <w:spacing w:before="40" w:after="120"/>
              <w:ind w:right="113"/>
              <w:rPr>
                <w:lang w:val="fr-FR"/>
              </w:rPr>
            </w:pPr>
          </w:p>
        </w:tc>
        <w:tc>
          <w:tcPr>
            <w:tcW w:w="896" w:type="dxa"/>
            <w:tcBorders>
              <w:top w:val="single" w:sz="12" w:space="0" w:color="auto"/>
            </w:tcBorders>
            <w:shd w:val="clear" w:color="auto" w:fill="auto"/>
          </w:tcPr>
          <w:p w14:paraId="335ED044" w14:textId="77777777" w:rsidR="005B4E8E" w:rsidRPr="005B4E8E" w:rsidRDefault="005B4E8E" w:rsidP="005B4E8E">
            <w:pPr>
              <w:spacing w:before="40" w:after="120"/>
              <w:ind w:right="113"/>
              <w:rPr>
                <w:lang w:val="fr-FR"/>
              </w:rPr>
            </w:pPr>
          </w:p>
        </w:tc>
        <w:tc>
          <w:tcPr>
            <w:tcW w:w="1261" w:type="dxa"/>
            <w:tcBorders>
              <w:top w:val="single" w:sz="12" w:space="0" w:color="auto"/>
            </w:tcBorders>
            <w:shd w:val="clear" w:color="auto" w:fill="auto"/>
          </w:tcPr>
          <w:p w14:paraId="576898BE" w14:textId="77777777" w:rsidR="005B4E8E" w:rsidRPr="005B4E8E" w:rsidRDefault="005B4E8E" w:rsidP="005B4E8E">
            <w:pPr>
              <w:spacing w:before="40" w:after="120"/>
              <w:ind w:right="113"/>
              <w:rPr>
                <w:lang w:val="fr-FR"/>
              </w:rPr>
            </w:pPr>
          </w:p>
        </w:tc>
        <w:tc>
          <w:tcPr>
            <w:tcW w:w="1526" w:type="dxa"/>
            <w:tcBorders>
              <w:top w:val="single" w:sz="12" w:space="0" w:color="auto"/>
            </w:tcBorders>
            <w:shd w:val="clear" w:color="auto" w:fill="auto"/>
          </w:tcPr>
          <w:p w14:paraId="62B89B45" w14:textId="77777777" w:rsidR="005B4E8E" w:rsidRPr="005B4E8E" w:rsidRDefault="005B4E8E" w:rsidP="005B4E8E">
            <w:pPr>
              <w:spacing w:before="40" w:after="120"/>
              <w:ind w:right="113"/>
              <w:rPr>
                <w:lang w:val="fr-FR"/>
              </w:rPr>
            </w:pPr>
          </w:p>
        </w:tc>
        <w:tc>
          <w:tcPr>
            <w:tcW w:w="1063" w:type="dxa"/>
            <w:tcBorders>
              <w:top w:val="single" w:sz="12" w:space="0" w:color="auto"/>
            </w:tcBorders>
            <w:shd w:val="clear" w:color="auto" w:fill="auto"/>
          </w:tcPr>
          <w:p w14:paraId="5F2995A2" w14:textId="77777777" w:rsidR="005B4E8E" w:rsidRPr="005B4E8E" w:rsidRDefault="005B4E8E" w:rsidP="005B4E8E">
            <w:pPr>
              <w:spacing w:before="40" w:after="120"/>
              <w:ind w:right="113"/>
              <w:rPr>
                <w:lang w:val="fr-FR"/>
              </w:rPr>
            </w:pPr>
          </w:p>
        </w:tc>
        <w:tc>
          <w:tcPr>
            <w:tcW w:w="1358" w:type="dxa"/>
            <w:tcBorders>
              <w:top w:val="single" w:sz="12" w:space="0" w:color="auto"/>
            </w:tcBorders>
            <w:shd w:val="clear" w:color="auto" w:fill="auto"/>
          </w:tcPr>
          <w:p w14:paraId="595E5373" w14:textId="77777777" w:rsidR="005B4E8E" w:rsidRPr="005B4E8E" w:rsidRDefault="005B4E8E" w:rsidP="005B4E8E">
            <w:pPr>
              <w:spacing w:before="40" w:after="120"/>
              <w:ind w:right="113"/>
              <w:rPr>
                <w:lang w:val="fr-FR"/>
              </w:rPr>
            </w:pPr>
          </w:p>
        </w:tc>
        <w:tc>
          <w:tcPr>
            <w:tcW w:w="953" w:type="dxa"/>
            <w:tcBorders>
              <w:top w:val="single" w:sz="12" w:space="0" w:color="auto"/>
            </w:tcBorders>
            <w:shd w:val="clear" w:color="auto" w:fill="auto"/>
          </w:tcPr>
          <w:p w14:paraId="12B43653" w14:textId="77777777" w:rsidR="005B4E8E" w:rsidRPr="005B4E8E" w:rsidRDefault="005B4E8E" w:rsidP="005B4E8E">
            <w:pPr>
              <w:spacing w:before="40" w:after="120"/>
              <w:ind w:right="113"/>
              <w:rPr>
                <w:lang w:val="fr-FR"/>
              </w:rPr>
            </w:pPr>
          </w:p>
        </w:tc>
        <w:tc>
          <w:tcPr>
            <w:tcW w:w="1110" w:type="dxa"/>
            <w:tcBorders>
              <w:top w:val="single" w:sz="12" w:space="0" w:color="auto"/>
            </w:tcBorders>
            <w:shd w:val="clear" w:color="auto" w:fill="auto"/>
          </w:tcPr>
          <w:p w14:paraId="2694D5EF" w14:textId="77777777" w:rsidR="005B4E8E" w:rsidRPr="005B4E8E" w:rsidRDefault="005B4E8E" w:rsidP="005B4E8E">
            <w:pPr>
              <w:spacing w:before="40" w:after="120"/>
              <w:ind w:right="113"/>
              <w:rPr>
                <w:lang w:val="fr-FR"/>
              </w:rPr>
            </w:pPr>
          </w:p>
        </w:tc>
      </w:tr>
      <w:tr w:rsidR="005B4E8E" w:rsidRPr="005B4E8E" w14:paraId="702D71AD" w14:textId="77777777" w:rsidTr="00BB4B50">
        <w:tc>
          <w:tcPr>
            <w:tcW w:w="336" w:type="dxa"/>
            <w:shd w:val="clear" w:color="auto" w:fill="auto"/>
          </w:tcPr>
          <w:p w14:paraId="28F80AA8" w14:textId="77777777" w:rsidR="0081022C" w:rsidRPr="005B4E8E" w:rsidRDefault="0081022C" w:rsidP="005B4E8E">
            <w:pPr>
              <w:spacing w:before="40" w:after="120"/>
              <w:ind w:right="113"/>
            </w:pPr>
            <w:r w:rsidRPr="005B4E8E">
              <w:rPr>
                <w:lang w:val="fr-FR"/>
              </w:rPr>
              <w:t>1.</w:t>
            </w:r>
          </w:p>
        </w:tc>
        <w:tc>
          <w:tcPr>
            <w:tcW w:w="1133" w:type="dxa"/>
            <w:shd w:val="clear" w:color="auto" w:fill="auto"/>
          </w:tcPr>
          <w:p w14:paraId="4EBD9517" w14:textId="77777777" w:rsidR="0081022C" w:rsidRPr="005B4E8E" w:rsidRDefault="0081022C" w:rsidP="005B4E8E">
            <w:pPr>
              <w:spacing w:before="40" w:after="120"/>
              <w:ind w:right="113"/>
            </w:pPr>
            <w:r w:rsidRPr="005B4E8E">
              <w:rPr>
                <w:lang w:val="fr-FR"/>
              </w:rPr>
              <w:t>Carla Suarez</w:t>
            </w:r>
          </w:p>
        </w:tc>
        <w:tc>
          <w:tcPr>
            <w:tcW w:w="896" w:type="dxa"/>
            <w:shd w:val="clear" w:color="auto" w:fill="auto"/>
          </w:tcPr>
          <w:p w14:paraId="5A0D66D3" w14:textId="77777777" w:rsidR="0081022C" w:rsidRPr="005B4E8E" w:rsidRDefault="0081022C" w:rsidP="005B4E8E">
            <w:pPr>
              <w:spacing w:before="40" w:after="120"/>
              <w:ind w:right="113"/>
            </w:pPr>
            <w:r w:rsidRPr="005B4E8E">
              <w:rPr>
                <w:lang w:val="fr-FR"/>
              </w:rPr>
              <w:t>24/03/16</w:t>
            </w:r>
          </w:p>
        </w:tc>
        <w:tc>
          <w:tcPr>
            <w:tcW w:w="1261" w:type="dxa"/>
            <w:shd w:val="clear" w:color="auto" w:fill="auto"/>
          </w:tcPr>
          <w:p w14:paraId="4F2E93D4" w14:textId="77777777" w:rsidR="0081022C" w:rsidRPr="005B4E8E" w:rsidRDefault="0081022C" w:rsidP="005B4E8E">
            <w:pPr>
              <w:spacing w:before="40" w:after="120"/>
              <w:ind w:right="113"/>
            </w:pPr>
            <w:r w:rsidRPr="005B4E8E">
              <w:rPr>
                <w:lang w:val="fr-FR"/>
              </w:rPr>
              <w:t>Femme transgenre torturée au bord de la lagune de Buena Vista</w:t>
            </w:r>
          </w:p>
        </w:tc>
        <w:tc>
          <w:tcPr>
            <w:tcW w:w="1526" w:type="dxa"/>
            <w:shd w:val="clear" w:color="auto" w:fill="auto"/>
          </w:tcPr>
          <w:p w14:paraId="48EA0A6D" w14:textId="77777777" w:rsidR="0081022C" w:rsidRPr="005B4E8E" w:rsidRDefault="0081022C" w:rsidP="005B4E8E">
            <w:pPr>
              <w:spacing w:before="40" w:after="120"/>
              <w:ind w:right="113"/>
            </w:pPr>
            <w:r w:rsidRPr="005B4E8E">
              <w:rPr>
                <w:lang w:val="fr-FR"/>
              </w:rPr>
              <w:t>Affaire 122/2016</w:t>
            </w:r>
          </w:p>
          <w:p w14:paraId="559ECC57" w14:textId="77777777" w:rsidR="0081022C" w:rsidRPr="005B4E8E" w:rsidRDefault="0081022C" w:rsidP="005B4E8E">
            <w:pPr>
              <w:spacing w:before="40" w:after="120"/>
              <w:ind w:right="113"/>
            </w:pPr>
            <w:r w:rsidRPr="005B4E8E">
              <w:rPr>
                <w:lang w:val="fr-FR"/>
              </w:rPr>
              <w:t>FELCC</w:t>
            </w:r>
          </w:p>
          <w:p w14:paraId="48121027" w14:textId="77777777" w:rsidR="0081022C" w:rsidRPr="005B4E8E" w:rsidRDefault="0081022C" w:rsidP="005B4E8E">
            <w:pPr>
              <w:spacing w:before="40" w:after="120"/>
              <w:ind w:right="113"/>
            </w:pPr>
            <w:r w:rsidRPr="005B4E8E">
              <w:rPr>
                <w:lang w:val="fr-FR"/>
              </w:rPr>
              <w:t>Province d’Ichilo</w:t>
            </w:r>
          </w:p>
        </w:tc>
        <w:tc>
          <w:tcPr>
            <w:tcW w:w="1063" w:type="dxa"/>
            <w:shd w:val="clear" w:color="auto" w:fill="auto"/>
          </w:tcPr>
          <w:p w14:paraId="78028D3E" w14:textId="77777777" w:rsidR="0081022C" w:rsidRPr="005B4E8E" w:rsidRDefault="0081022C" w:rsidP="005B4E8E">
            <w:pPr>
              <w:spacing w:before="40" w:after="120"/>
              <w:ind w:right="113"/>
            </w:pPr>
            <w:r w:rsidRPr="005B4E8E">
              <w:rPr>
                <w:lang w:val="fr-FR"/>
              </w:rPr>
              <w:t>Homicide, art. 251</w:t>
            </w:r>
          </w:p>
        </w:tc>
        <w:tc>
          <w:tcPr>
            <w:tcW w:w="1358" w:type="dxa"/>
            <w:shd w:val="clear" w:color="auto" w:fill="auto"/>
          </w:tcPr>
          <w:p w14:paraId="14F18501" w14:textId="77777777" w:rsidR="0081022C" w:rsidRPr="005B4E8E" w:rsidRDefault="0081022C" w:rsidP="005B4E8E">
            <w:pPr>
              <w:spacing w:before="40" w:after="120"/>
              <w:ind w:right="113"/>
            </w:pPr>
            <w:r w:rsidRPr="005B4E8E">
              <w:rPr>
                <w:lang w:val="fr-FR"/>
              </w:rPr>
              <w:t xml:space="preserve">Décision de rejet </w:t>
            </w:r>
          </w:p>
        </w:tc>
        <w:tc>
          <w:tcPr>
            <w:tcW w:w="953" w:type="dxa"/>
            <w:shd w:val="clear" w:color="auto" w:fill="auto"/>
          </w:tcPr>
          <w:p w14:paraId="1088260C" w14:textId="064674FC" w:rsidR="0081022C" w:rsidRPr="005B4E8E" w:rsidRDefault="0081022C" w:rsidP="005B4E8E">
            <w:pPr>
              <w:spacing w:before="40" w:after="120"/>
              <w:ind w:right="113"/>
            </w:pPr>
            <w:r w:rsidRPr="005B4E8E">
              <w:rPr>
                <w:lang w:val="fr-FR"/>
              </w:rPr>
              <w:t>Rejet</w:t>
            </w:r>
          </w:p>
        </w:tc>
        <w:tc>
          <w:tcPr>
            <w:tcW w:w="1110" w:type="dxa"/>
            <w:shd w:val="clear" w:color="auto" w:fill="auto"/>
          </w:tcPr>
          <w:p w14:paraId="5228540E" w14:textId="77777777" w:rsidR="0081022C" w:rsidRPr="005B4E8E" w:rsidRDefault="0081022C" w:rsidP="005B4E8E">
            <w:pPr>
              <w:spacing w:before="40" w:after="120"/>
              <w:ind w:right="113"/>
            </w:pPr>
          </w:p>
        </w:tc>
      </w:tr>
      <w:tr w:rsidR="005B4E8E" w:rsidRPr="005B4E8E" w14:paraId="56DC927C" w14:textId="77777777" w:rsidTr="00BB4B50">
        <w:tc>
          <w:tcPr>
            <w:tcW w:w="336" w:type="dxa"/>
            <w:shd w:val="clear" w:color="auto" w:fill="auto"/>
          </w:tcPr>
          <w:p w14:paraId="1A6EFCD3" w14:textId="77777777" w:rsidR="0081022C" w:rsidRPr="005B4E8E" w:rsidRDefault="0081022C" w:rsidP="005B4E8E">
            <w:pPr>
              <w:spacing w:before="40" w:after="120"/>
              <w:ind w:right="113"/>
            </w:pPr>
            <w:r w:rsidRPr="005B4E8E">
              <w:rPr>
                <w:lang w:val="fr-FR"/>
              </w:rPr>
              <w:t>2.</w:t>
            </w:r>
          </w:p>
        </w:tc>
        <w:tc>
          <w:tcPr>
            <w:tcW w:w="1133" w:type="dxa"/>
            <w:shd w:val="clear" w:color="auto" w:fill="auto"/>
          </w:tcPr>
          <w:p w14:paraId="2EE5F19C" w14:textId="77777777" w:rsidR="0081022C" w:rsidRPr="005B4E8E" w:rsidRDefault="0081022C" w:rsidP="005B4E8E">
            <w:pPr>
              <w:spacing w:before="40" w:after="120"/>
              <w:ind w:right="113"/>
            </w:pPr>
            <w:r w:rsidRPr="005B4E8E">
              <w:rPr>
                <w:lang w:val="fr-FR"/>
              </w:rPr>
              <w:t>Dayana Zarate</w:t>
            </w:r>
          </w:p>
        </w:tc>
        <w:tc>
          <w:tcPr>
            <w:tcW w:w="896" w:type="dxa"/>
            <w:shd w:val="clear" w:color="auto" w:fill="auto"/>
          </w:tcPr>
          <w:p w14:paraId="4672C809" w14:textId="77777777" w:rsidR="0081022C" w:rsidRPr="005B4E8E" w:rsidRDefault="0081022C" w:rsidP="005B4E8E">
            <w:pPr>
              <w:spacing w:before="40" w:after="120"/>
              <w:ind w:right="113"/>
            </w:pPr>
            <w:r w:rsidRPr="005B4E8E">
              <w:rPr>
                <w:lang w:val="fr-FR"/>
              </w:rPr>
              <w:t>01/04/16</w:t>
            </w:r>
          </w:p>
        </w:tc>
        <w:tc>
          <w:tcPr>
            <w:tcW w:w="1261" w:type="dxa"/>
            <w:shd w:val="clear" w:color="auto" w:fill="auto"/>
          </w:tcPr>
          <w:p w14:paraId="3C70DD5B" w14:textId="7B14DE44" w:rsidR="0081022C" w:rsidRPr="005B4E8E" w:rsidRDefault="0081022C" w:rsidP="005B4E8E">
            <w:pPr>
              <w:spacing w:before="40" w:after="120"/>
              <w:ind w:right="113"/>
            </w:pPr>
            <w:r w:rsidRPr="005B4E8E">
              <w:rPr>
                <w:lang w:val="fr-FR"/>
              </w:rPr>
              <w:t>Femme transgenre morte les pieds et mains liés à un juke</w:t>
            </w:r>
            <w:r w:rsidR="00BB4B50">
              <w:rPr>
                <w:lang w:val="fr-FR"/>
              </w:rPr>
              <w:noBreakHyphen/>
            </w:r>
            <w:r w:rsidRPr="005B4E8E">
              <w:rPr>
                <w:lang w:val="fr-FR"/>
              </w:rPr>
              <w:t>box</w:t>
            </w:r>
          </w:p>
        </w:tc>
        <w:tc>
          <w:tcPr>
            <w:tcW w:w="1526" w:type="dxa"/>
            <w:shd w:val="clear" w:color="auto" w:fill="auto"/>
          </w:tcPr>
          <w:p w14:paraId="50E8CEF7" w14:textId="77777777" w:rsidR="0081022C" w:rsidRPr="005B4E8E" w:rsidRDefault="0081022C" w:rsidP="005B4E8E">
            <w:pPr>
              <w:spacing w:before="40" w:after="120"/>
              <w:ind w:right="113"/>
            </w:pPr>
            <w:r w:rsidRPr="005B4E8E">
              <w:rPr>
                <w:lang w:val="fr-FR"/>
              </w:rPr>
              <w:t>FISSCZ1602422</w:t>
            </w:r>
          </w:p>
        </w:tc>
        <w:tc>
          <w:tcPr>
            <w:tcW w:w="1063" w:type="dxa"/>
            <w:shd w:val="clear" w:color="auto" w:fill="auto"/>
          </w:tcPr>
          <w:p w14:paraId="0E58AA95" w14:textId="77777777" w:rsidR="0081022C" w:rsidRPr="005B4E8E" w:rsidRDefault="0081022C" w:rsidP="005B4E8E">
            <w:pPr>
              <w:spacing w:before="40" w:after="120"/>
              <w:ind w:right="113"/>
            </w:pPr>
            <w:r w:rsidRPr="005B4E8E">
              <w:rPr>
                <w:lang w:val="fr-FR"/>
              </w:rPr>
              <w:t>Meurtre, art. 252</w:t>
            </w:r>
          </w:p>
        </w:tc>
        <w:tc>
          <w:tcPr>
            <w:tcW w:w="1358" w:type="dxa"/>
            <w:shd w:val="clear" w:color="auto" w:fill="auto"/>
          </w:tcPr>
          <w:p w14:paraId="7A94C93A" w14:textId="7EDEC21F" w:rsidR="0081022C" w:rsidRPr="005B4E8E" w:rsidRDefault="0081022C" w:rsidP="005B4E8E">
            <w:pPr>
              <w:spacing w:before="40" w:after="120"/>
              <w:ind w:right="113"/>
            </w:pPr>
            <w:r w:rsidRPr="005B4E8E">
              <w:rPr>
                <w:lang w:val="fr-FR"/>
              </w:rPr>
              <w:t xml:space="preserve">Condamnation à une peine de </w:t>
            </w:r>
            <w:r w:rsidR="00BB4B50">
              <w:rPr>
                <w:lang w:val="fr-FR"/>
              </w:rPr>
              <w:t xml:space="preserve">trente </w:t>
            </w:r>
            <w:r w:rsidRPr="005B4E8E">
              <w:rPr>
                <w:lang w:val="fr-FR"/>
              </w:rPr>
              <w:t xml:space="preserve">ans de prison sans possibilité de </w:t>
            </w:r>
            <w:r w:rsidRPr="00BB4B50">
              <w:rPr>
                <w:spacing w:val="-2"/>
                <w:lang w:val="fr-FR"/>
              </w:rPr>
              <w:t>remise de peine</w:t>
            </w:r>
          </w:p>
        </w:tc>
        <w:tc>
          <w:tcPr>
            <w:tcW w:w="953" w:type="dxa"/>
            <w:shd w:val="clear" w:color="auto" w:fill="auto"/>
          </w:tcPr>
          <w:p w14:paraId="38F8B1A1" w14:textId="77777777" w:rsidR="0081022C" w:rsidRPr="005B4E8E" w:rsidRDefault="0081022C" w:rsidP="005B4E8E">
            <w:pPr>
              <w:spacing w:before="40" w:after="120"/>
              <w:ind w:right="113"/>
            </w:pPr>
            <w:r w:rsidRPr="005B4E8E">
              <w:rPr>
                <w:lang w:val="fr-FR"/>
              </w:rPr>
              <w:t>Jugement exécutoire</w:t>
            </w:r>
          </w:p>
        </w:tc>
        <w:tc>
          <w:tcPr>
            <w:tcW w:w="1110" w:type="dxa"/>
            <w:shd w:val="clear" w:color="auto" w:fill="auto"/>
          </w:tcPr>
          <w:p w14:paraId="37C33532" w14:textId="77777777" w:rsidR="0081022C" w:rsidRPr="005B4E8E" w:rsidRDefault="0081022C" w:rsidP="005B4E8E">
            <w:pPr>
              <w:spacing w:before="40" w:after="120"/>
              <w:ind w:right="113"/>
            </w:pPr>
          </w:p>
        </w:tc>
      </w:tr>
      <w:tr w:rsidR="005B4E8E" w:rsidRPr="005B4E8E" w14:paraId="2617601F" w14:textId="77777777" w:rsidTr="00BB4B50">
        <w:tc>
          <w:tcPr>
            <w:tcW w:w="336" w:type="dxa"/>
            <w:tcBorders>
              <w:bottom w:val="single" w:sz="12" w:space="0" w:color="auto"/>
            </w:tcBorders>
            <w:shd w:val="clear" w:color="auto" w:fill="auto"/>
          </w:tcPr>
          <w:p w14:paraId="66EC7849" w14:textId="77777777" w:rsidR="0081022C" w:rsidRPr="005B4E8E" w:rsidRDefault="0081022C" w:rsidP="005B4E8E">
            <w:pPr>
              <w:spacing w:before="40" w:after="120"/>
              <w:ind w:right="113"/>
            </w:pPr>
            <w:r w:rsidRPr="005B4E8E">
              <w:rPr>
                <w:lang w:val="fr-FR"/>
              </w:rPr>
              <w:t>3.</w:t>
            </w:r>
          </w:p>
        </w:tc>
        <w:tc>
          <w:tcPr>
            <w:tcW w:w="1133" w:type="dxa"/>
            <w:tcBorders>
              <w:bottom w:val="single" w:sz="12" w:space="0" w:color="auto"/>
            </w:tcBorders>
            <w:shd w:val="clear" w:color="auto" w:fill="auto"/>
          </w:tcPr>
          <w:p w14:paraId="18CF6F2D" w14:textId="77777777" w:rsidR="0081022C" w:rsidRPr="005B4E8E" w:rsidRDefault="0081022C" w:rsidP="005B4E8E">
            <w:pPr>
              <w:spacing w:before="40" w:after="120"/>
              <w:ind w:right="113"/>
            </w:pPr>
            <w:r w:rsidRPr="005B4E8E">
              <w:rPr>
                <w:lang w:val="fr-FR"/>
              </w:rPr>
              <w:t>Luisa Durán</w:t>
            </w:r>
          </w:p>
        </w:tc>
        <w:tc>
          <w:tcPr>
            <w:tcW w:w="896" w:type="dxa"/>
            <w:tcBorders>
              <w:bottom w:val="single" w:sz="12" w:space="0" w:color="auto"/>
            </w:tcBorders>
            <w:shd w:val="clear" w:color="auto" w:fill="auto"/>
          </w:tcPr>
          <w:p w14:paraId="68E8BEFA" w14:textId="77777777" w:rsidR="0081022C" w:rsidRPr="005B4E8E" w:rsidRDefault="0081022C" w:rsidP="005B4E8E">
            <w:pPr>
              <w:spacing w:before="40" w:after="120"/>
              <w:ind w:right="113"/>
            </w:pPr>
            <w:r w:rsidRPr="005B4E8E">
              <w:rPr>
                <w:lang w:val="fr-FR"/>
              </w:rPr>
              <w:t>06/10/12</w:t>
            </w:r>
          </w:p>
        </w:tc>
        <w:tc>
          <w:tcPr>
            <w:tcW w:w="1261" w:type="dxa"/>
            <w:tcBorders>
              <w:bottom w:val="single" w:sz="12" w:space="0" w:color="auto"/>
            </w:tcBorders>
            <w:shd w:val="clear" w:color="auto" w:fill="auto"/>
          </w:tcPr>
          <w:p w14:paraId="43F36E69" w14:textId="12CD5F8B" w:rsidR="0081022C" w:rsidRPr="005B4E8E" w:rsidRDefault="0081022C" w:rsidP="005B4E8E">
            <w:pPr>
              <w:spacing w:before="40" w:after="120"/>
              <w:ind w:right="113"/>
            </w:pPr>
            <w:r w:rsidRPr="005B4E8E">
              <w:rPr>
                <w:lang w:val="fr-FR"/>
              </w:rPr>
              <w:t>Femme transgenre ayant reçu 52 coups de</w:t>
            </w:r>
            <w:r w:rsidR="00BB4B50">
              <w:rPr>
                <w:lang w:val="fr-FR"/>
              </w:rPr>
              <w:t> </w:t>
            </w:r>
            <w:r w:rsidRPr="005B4E8E">
              <w:rPr>
                <w:lang w:val="fr-FR"/>
              </w:rPr>
              <w:t>couteau</w:t>
            </w:r>
          </w:p>
        </w:tc>
        <w:tc>
          <w:tcPr>
            <w:tcW w:w="1526" w:type="dxa"/>
            <w:tcBorders>
              <w:bottom w:val="single" w:sz="12" w:space="0" w:color="auto"/>
            </w:tcBorders>
            <w:shd w:val="clear" w:color="auto" w:fill="auto"/>
          </w:tcPr>
          <w:p w14:paraId="6CDF9A11" w14:textId="77777777" w:rsidR="0081022C" w:rsidRPr="00BB4B50" w:rsidRDefault="0081022C" w:rsidP="005B4E8E">
            <w:pPr>
              <w:spacing w:before="40" w:after="120"/>
              <w:ind w:right="113"/>
              <w:rPr>
                <w:spacing w:val="-6"/>
              </w:rPr>
            </w:pPr>
            <w:r w:rsidRPr="00BB4B50">
              <w:rPr>
                <w:spacing w:val="-6"/>
                <w:lang w:val="fr-FR"/>
              </w:rPr>
              <w:t>SCZ TUS1200001</w:t>
            </w:r>
          </w:p>
        </w:tc>
        <w:tc>
          <w:tcPr>
            <w:tcW w:w="1063" w:type="dxa"/>
            <w:tcBorders>
              <w:bottom w:val="single" w:sz="12" w:space="0" w:color="auto"/>
            </w:tcBorders>
            <w:shd w:val="clear" w:color="auto" w:fill="auto"/>
          </w:tcPr>
          <w:p w14:paraId="59267BE7" w14:textId="77777777" w:rsidR="0081022C" w:rsidRPr="005B4E8E" w:rsidRDefault="0081022C" w:rsidP="005B4E8E">
            <w:pPr>
              <w:spacing w:before="40" w:after="120"/>
              <w:ind w:right="113"/>
            </w:pPr>
            <w:r w:rsidRPr="005B4E8E">
              <w:rPr>
                <w:lang w:val="fr-FR"/>
              </w:rPr>
              <w:t>Meurtre, art. 252</w:t>
            </w:r>
          </w:p>
        </w:tc>
        <w:tc>
          <w:tcPr>
            <w:tcW w:w="1358" w:type="dxa"/>
            <w:tcBorders>
              <w:bottom w:val="single" w:sz="12" w:space="0" w:color="auto"/>
            </w:tcBorders>
            <w:shd w:val="clear" w:color="auto" w:fill="auto"/>
          </w:tcPr>
          <w:p w14:paraId="346C4554" w14:textId="77777777" w:rsidR="0081022C" w:rsidRPr="005B4E8E" w:rsidRDefault="0081022C" w:rsidP="005B4E8E">
            <w:pPr>
              <w:spacing w:before="40" w:after="120"/>
              <w:ind w:right="113"/>
            </w:pPr>
            <w:r w:rsidRPr="005B4E8E">
              <w:rPr>
                <w:lang w:val="fr-FR"/>
              </w:rPr>
              <w:t>Décision de rejet</w:t>
            </w:r>
          </w:p>
        </w:tc>
        <w:tc>
          <w:tcPr>
            <w:tcW w:w="953" w:type="dxa"/>
            <w:tcBorders>
              <w:bottom w:val="single" w:sz="12" w:space="0" w:color="auto"/>
            </w:tcBorders>
            <w:shd w:val="clear" w:color="auto" w:fill="auto"/>
          </w:tcPr>
          <w:p w14:paraId="38AC7D62" w14:textId="77777777" w:rsidR="0081022C" w:rsidRPr="005B4E8E" w:rsidRDefault="0081022C" w:rsidP="005B4E8E">
            <w:pPr>
              <w:spacing w:before="40" w:after="120"/>
              <w:ind w:right="113"/>
            </w:pPr>
            <w:r w:rsidRPr="005B4E8E">
              <w:rPr>
                <w:lang w:val="fr-FR"/>
              </w:rPr>
              <w:t>Rejeté</w:t>
            </w:r>
          </w:p>
        </w:tc>
        <w:tc>
          <w:tcPr>
            <w:tcW w:w="1110" w:type="dxa"/>
            <w:tcBorders>
              <w:bottom w:val="single" w:sz="12" w:space="0" w:color="auto"/>
            </w:tcBorders>
            <w:shd w:val="clear" w:color="auto" w:fill="auto"/>
          </w:tcPr>
          <w:p w14:paraId="4C52F896" w14:textId="77777777" w:rsidR="0081022C" w:rsidRPr="005B4E8E" w:rsidRDefault="0081022C" w:rsidP="005B4E8E">
            <w:pPr>
              <w:spacing w:before="40" w:after="120"/>
              <w:ind w:right="113"/>
            </w:pPr>
          </w:p>
        </w:tc>
      </w:tr>
    </w:tbl>
    <w:p w14:paraId="69CF3FA1" w14:textId="2CC936C4" w:rsidR="0081022C" w:rsidRPr="00C24248" w:rsidRDefault="0081022C" w:rsidP="002D7BE8">
      <w:pPr>
        <w:pStyle w:val="H23G"/>
      </w:pPr>
      <w:r>
        <w:rPr>
          <w:lang w:val="fr-FR"/>
        </w:rPr>
        <w:lastRenderedPageBreak/>
        <w:tab/>
        <w:t>Ville d’El</w:t>
      </w:r>
      <w:r w:rsidR="002D7BE8">
        <w:rPr>
          <w:lang w:val="fr-FR"/>
        </w:rPr>
        <w:t> </w:t>
      </w:r>
      <w:r>
        <w:rPr>
          <w:lang w:val="fr-FR"/>
        </w:rPr>
        <w:t>Alto</w:t>
      </w:r>
    </w:p>
    <w:tbl>
      <w:tblPr>
        <w:tblW w:w="9637" w:type="dxa"/>
        <w:tblLayout w:type="fixed"/>
        <w:tblCellMar>
          <w:left w:w="0" w:type="dxa"/>
          <w:right w:w="0" w:type="dxa"/>
        </w:tblCellMar>
        <w:tblLook w:val="04A0" w:firstRow="1" w:lastRow="0" w:firstColumn="1" w:lastColumn="0" w:noHBand="0" w:noVBand="1"/>
      </w:tblPr>
      <w:tblGrid>
        <w:gridCol w:w="304"/>
        <w:gridCol w:w="1074"/>
        <w:gridCol w:w="978"/>
        <w:gridCol w:w="1467"/>
        <w:gridCol w:w="1665"/>
        <w:gridCol w:w="1016"/>
        <w:gridCol w:w="971"/>
        <w:gridCol w:w="1092"/>
        <w:gridCol w:w="1070"/>
      </w:tblGrid>
      <w:tr w:rsidR="0081022C" w:rsidRPr="005B4E8E" w14:paraId="646AA2A8" w14:textId="77777777" w:rsidTr="002D7BE8">
        <w:trPr>
          <w:tblHeader/>
        </w:trPr>
        <w:tc>
          <w:tcPr>
            <w:tcW w:w="304" w:type="dxa"/>
            <w:tcBorders>
              <w:top w:val="single" w:sz="4" w:space="0" w:color="auto"/>
              <w:bottom w:val="single" w:sz="12" w:space="0" w:color="auto"/>
            </w:tcBorders>
            <w:shd w:val="clear" w:color="auto" w:fill="auto"/>
            <w:vAlign w:val="bottom"/>
          </w:tcPr>
          <w:p w14:paraId="4EC8F06F" w14:textId="77777777" w:rsidR="0081022C" w:rsidRPr="002D7BE8" w:rsidRDefault="0081022C" w:rsidP="002D7BE8">
            <w:pPr>
              <w:keepNext/>
              <w:keepLines/>
              <w:spacing w:before="80" w:after="80" w:line="200" w:lineRule="exact"/>
              <w:ind w:right="113"/>
              <w:rPr>
                <w:i/>
                <w:sz w:val="16"/>
              </w:rPr>
            </w:pPr>
            <w:r w:rsidRPr="002D7BE8">
              <w:rPr>
                <w:i/>
                <w:sz w:val="16"/>
                <w:lang w:val="fr-FR"/>
              </w:rPr>
              <w:t>N</w:t>
            </w:r>
            <w:r w:rsidRPr="002D7BE8">
              <w:rPr>
                <w:i/>
                <w:sz w:val="16"/>
                <w:vertAlign w:val="superscript"/>
                <w:lang w:val="fr-FR"/>
              </w:rPr>
              <w:t>o</w:t>
            </w:r>
          </w:p>
        </w:tc>
        <w:tc>
          <w:tcPr>
            <w:tcW w:w="1074" w:type="dxa"/>
            <w:tcBorders>
              <w:top w:val="single" w:sz="4" w:space="0" w:color="auto"/>
              <w:bottom w:val="single" w:sz="12" w:space="0" w:color="auto"/>
            </w:tcBorders>
            <w:shd w:val="clear" w:color="auto" w:fill="auto"/>
            <w:vAlign w:val="bottom"/>
          </w:tcPr>
          <w:p w14:paraId="0DBCB036" w14:textId="77777777" w:rsidR="0081022C" w:rsidRPr="002D7BE8" w:rsidRDefault="0081022C" w:rsidP="002D7BE8">
            <w:pPr>
              <w:keepNext/>
              <w:keepLines/>
              <w:spacing w:before="80" w:after="80" w:line="200" w:lineRule="exact"/>
              <w:ind w:right="113"/>
              <w:rPr>
                <w:i/>
                <w:sz w:val="16"/>
              </w:rPr>
            </w:pPr>
            <w:r w:rsidRPr="002D7BE8">
              <w:rPr>
                <w:i/>
                <w:sz w:val="16"/>
                <w:lang w:val="fr-FR"/>
              </w:rPr>
              <w:t xml:space="preserve">Victime </w:t>
            </w:r>
          </w:p>
        </w:tc>
        <w:tc>
          <w:tcPr>
            <w:tcW w:w="978" w:type="dxa"/>
            <w:tcBorders>
              <w:top w:val="single" w:sz="4" w:space="0" w:color="auto"/>
              <w:bottom w:val="single" w:sz="12" w:space="0" w:color="auto"/>
            </w:tcBorders>
            <w:shd w:val="clear" w:color="auto" w:fill="auto"/>
            <w:vAlign w:val="bottom"/>
          </w:tcPr>
          <w:p w14:paraId="1AC0D1F3" w14:textId="77777777" w:rsidR="0081022C" w:rsidRPr="002D7BE8" w:rsidRDefault="0081022C" w:rsidP="002D7BE8">
            <w:pPr>
              <w:keepNext/>
              <w:keepLines/>
              <w:spacing w:before="80" w:after="80" w:line="200" w:lineRule="exact"/>
              <w:ind w:right="113"/>
              <w:rPr>
                <w:i/>
                <w:sz w:val="16"/>
              </w:rPr>
            </w:pPr>
            <w:r w:rsidRPr="002D7BE8">
              <w:rPr>
                <w:i/>
                <w:sz w:val="16"/>
                <w:lang w:val="fr-FR"/>
              </w:rPr>
              <w:t xml:space="preserve">Date </w:t>
            </w:r>
          </w:p>
        </w:tc>
        <w:tc>
          <w:tcPr>
            <w:tcW w:w="1467" w:type="dxa"/>
            <w:tcBorders>
              <w:top w:val="single" w:sz="4" w:space="0" w:color="auto"/>
              <w:bottom w:val="single" w:sz="12" w:space="0" w:color="auto"/>
            </w:tcBorders>
            <w:shd w:val="clear" w:color="auto" w:fill="auto"/>
            <w:vAlign w:val="bottom"/>
          </w:tcPr>
          <w:p w14:paraId="724311F2" w14:textId="77777777" w:rsidR="0081022C" w:rsidRPr="002D7BE8" w:rsidRDefault="0081022C" w:rsidP="002D7BE8">
            <w:pPr>
              <w:keepNext/>
              <w:keepLines/>
              <w:spacing w:before="80" w:after="80" w:line="200" w:lineRule="exact"/>
              <w:ind w:right="113"/>
              <w:rPr>
                <w:i/>
                <w:sz w:val="16"/>
              </w:rPr>
            </w:pPr>
            <w:r w:rsidRPr="002D7BE8">
              <w:rPr>
                <w:i/>
                <w:sz w:val="16"/>
                <w:lang w:val="fr-FR"/>
              </w:rPr>
              <w:t>Description des faits</w:t>
            </w:r>
          </w:p>
        </w:tc>
        <w:tc>
          <w:tcPr>
            <w:tcW w:w="1665" w:type="dxa"/>
            <w:tcBorders>
              <w:top w:val="single" w:sz="4" w:space="0" w:color="auto"/>
              <w:bottom w:val="single" w:sz="12" w:space="0" w:color="auto"/>
            </w:tcBorders>
            <w:shd w:val="clear" w:color="auto" w:fill="auto"/>
            <w:vAlign w:val="bottom"/>
          </w:tcPr>
          <w:p w14:paraId="1214535F" w14:textId="77777777" w:rsidR="0081022C" w:rsidRPr="002D7BE8" w:rsidRDefault="0081022C" w:rsidP="002D7BE8">
            <w:pPr>
              <w:keepNext/>
              <w:keepLines/>
              <w:spacing w:before="80" w:after="80" w:line="200" w:lineRule="exact"/>
              <w:ind w:right="113"/>
              <w:rPr>
                <w:i/>
                <w:sz w:val="16"/>
              </w:rPr>
            </w:pPr>
            <w:r w:rsidRPr="002D7BE8">
              <w:rPr>
                <w:i/>
                <w:sz w:val="16"/>
                <w:lang w:val="fr-FR"/>
              </w:rPr>
              <w:t>N</w:t>
            </w:r>
            <w:r w:rsidRPr="002D7BE8">
              <w:rPr>
                <w:i/>
                <w:sz w:val="16"/>
                <w:vertAlign w:val="superscript"/>
                <w:lang w:val="fr-FR"/>
              </w:rPr>
              <w:t>o</w:t>
            </w:r>
            <w:r w:rsidRPr="002D7BE8">
              <w:rPr>
                <w:i/>
                <w:sz w:val="16"/>
                <w:lang w:val="fr-FR"/>
              </w:rPr>
              <w:t xml:space="preserve"> de l’affaire</w:t>
            </w:r>
          </w:p>
        </w:tc>
        <w:tc>
          <w:tcPr>
            <w:tcW w:w="1016" w:type="dxa"/>
            <w:tcBorders>
              <w:top w:val="single" w:sz="4" w:space="0" w:color="auto"/>
              <w:bottom w:val="single" w:sz="12" w:space="0" w:color="auto"/>
            </w:tcBorders>
            <w:shd w:val="clear" w:color="auto" w:fill="auto"/>
            <w:vAlign w:val="bottom"/>
          </w:tcPr>
          <w:p w14:paraId="30CF3110" w14:textId="77777777" w:rsidR="0081022C" w:rsidRPr="002D7BE8" w:rsidRDefault="0081022C" w:rsidP="002D7BE8">
            <w:pPr>
              <w:keepNext/>
              <w:keepLines/>
              <w:spacing w:before="80" w:after="80" w:line="200" w:lineRule="exact"/>
              <w:ind w:right="113"/>
              <w:rPr>
                <w:i/>
                <w:sz w:val="16"/>
              </w:rPr>
            </w:pPr>
            <w:r w:rsidRPr="002D7BE8">
              <w:rPr>
                <w:i/>
                <w:sz w:val="16"/>
                <w:lang w:val="fr-FR"/>
              </w:rPr>
              <w:t>Type d’infraction</w:t>
            </w:r>
          </w:p>
        </w:tc>
        <w:tc>
          <w:tcPr>
            <w:tcW w:w="971" w:type="dxa"/>
            <w:tcBorders>
              <w:top w:val="single" w:sz="4" w:space="0" w:color="auto"/>
              <w:bottom w:val="single" w:sz="12" w:space="0" w:color="auto"/>
            </w:tcBorders>
            <w:shd w:val="clear" w:color="auto" w:fill="auto"/>
            <w:vAlign w:val="bottom"/>
          </w:tcPr>
          <w:p w14:paraId="179A0C94" w14:textId="77777777" w:rsidR="0081022C" w:rsidRPr="002D7BE8" w:rsidRDefault="0081022C" w:rsidP="002D7BE8">
            <w:pPr>
              <w:keepNext/>
              <w:keepLines/>
              <w:spacing w:before="80" w:after="80" w:line="200" w:lineRule="exact"/>
              <w:ind w:right="113"/>
              <w:rPr>
                <w:i/>
                <w:sz w:val="16"/>
              </w:rPr>
            </w:pPr>
            <w:r w:rsidRPr="002D7BE8">
              <w:rPr>
                <w:i/>
                <w:sz w:val="16"/>
                <w:lang w:val="fr-FR"/>
              </w:rPr>
              <w:t>Étape</w:t>
            </w:r>
          </w:p>
        </w:tc>
        <w:tc>
          <w:tcPr>
            <w:tcW w:w="1092" w:type="dxa"/>
            <w:tcBorders>
              <w:top w:val="single" w:sz="4" w:space="0" w:color="auto"/>
              <w:bottom w:val="single" w:sz="12" w:space="0" w:color="auto"/>
            </w:tcBorders>
            <w:shd w:val="clear" w:color="auto" w:fill="auto"/>
            <w:vAlign w:val="bottom"/>
          </w:tcPr>
          <w:p w14:paraId="0BE15479" w14:textId="77777777" w:rsidR="0081022C" w:rsidRPr="002D7BE8" w:rsidRDefault="0081022C" w:rsidP="002D7BE8">
            <w:pPr>
              <w:keepNext/>
              <w:keepLines/>
              <w:spacing w:before="80" w:after="80" w:line="200" w:lineRule="exact"/>
              <w:ind w:right="113"/>
              <w:rPr>
                <w:i/>
                <w:sz w:val="16"/>
              </w:rPr>
            </w:pPr>
            <w:r w:rsidRPr="002D7BE8">
              <w:rPr>
                <w:i/>
                <w:sz w:val="16"/>
                <w:lang w:val="fr-FR"/>
              </w:rPr>
              <w:t>État</w:t>
            </w:r>
          </w:p>
        </w:tc>
        <w:tc>
          <w:tcPr>
            <w:tcW w:w="1070" w:type="dxa"/>
            <w:tcBorders>
              <w:top w:val="single" w:sz="4" w:space="0" w:color="auto"/>
              <w:bottom w:val="single" w:sz="12" w:space="0" w:color="auto"/>
            </w:tcBorders>
            <w:shd w:val="clear" w:color="auto" w:fill="auto"/>
            <w:vAlign w:val="bottom"/>
          </w:tcPr>
          <w:p w14:paraId="5E725D1A" w14:textId="77777777" w:rsidR="0081022C" w:rsidRPr="005B4E8E" w:rsidRDefault="0081022C" w:rsidP="002D7BE8">
            <w:pPr>
              <w:keepNext/>
              <w:keepLines/>
              <w:spacing w:before="80" w:after="80" w:line="200" w:lineRule="exact"/>
              <w:ind w:right="113"/>
              <w:rPr>
                <w:i/>
                <w:sz w:val="16"/>
              </w:rPr>
            </w:pPr>
            <w:r w:rsidRPr="002D7BE8">
              <w:rPr>
                <w:i/>
                <w:sz w:val="16"/>
                <w:lang w:val="fr-FR"/>
              </w:rPr>
              <w:t>Commentaires</w:t>
            </w:r>
          </w:p>
        </w:tc>
      </w:tr>
      <w:tr w:rsidR="005B4E8E" w:rsidRPr="005B4E8E" w14:paraId="4C23A15E" w14:textId="77777777" w:rsidTr="002D7BE8">
        <w:trPr>
          <w:trHeight w:hRule="exact" w:val="113"/>
          <w:tblHeader/>
        </w:trPr>
        <w:tc>
          <w:tcPr>
            <w:tcW w:w="304" w:type="dxa"/>
            <w:tcBorders>
              <w:top w:val="single" w:sz="12" w:space="0" w:color="auto"/>
            </w:tcBorders>
            <w:shd w:val="clear" w:color="auto" w:fill="auto"/>
          </w:tcPr>
          <w:p w14:paraId="5ED438F1" w14:textId="77777777" w:rsidR="005B4E8E" w:rsidRPr="005B4E8E" w:rsidRDefault="005B4E8E" w:rsidP="002D7BE8">
            <w:pPr>
              <w:keepNext/>
              <w:keepLines/>
              <w:spacing w:before="40" w:after="120"/>
              <w:ind w:right="113"/>
              <w:rPr>
                <w:lang w:val="fr-FR"/>
              </w:rPr>
            </w:pPr>
          </w:p>
        </w:tc>
        <w:tc>
          <w:tcPr>
            <w:tcW w:w="1074" w:type="dxa"/>
            <w:tcBorders>
              <w:top w:val="single" w:sz="12" w:space="0" w:color="auto"/>
            </w:tcBorders>
            <w:shd w:val="clear" w:color="auto" w:fill="auto"/>
          </w:tcPr>
          <w:p w14:paraId="0E994D85" w14:textId="77777777" w:rsidR="005B4E8E" w:rsidRPr="005B4E8E" w:rsidRDefault="005B4E8E" w:rsidP="002D7BE8">
            <w:pPr>
              <w:keepNext/>
              <w:keepLines/>
              <w:spacing w:before="40" w:after="120"/>
              <w:ind w:right="113"/>
              <w:rPr>
                <w:lang w:val="fr-FR"/>
              </w:rPr>
            </w:pPr>
          </w:p>
        </w:tc>
        <w:tc>
          <w:tcPr>
            <w:tcW w:w="978" w:type="dxa"/>
            <w:tcBorders>
              <w:top w:val="single" w:sz="12" w:space="0" w:color="auto"/>
            </w:tcBorders>
            <w:shd w:val="clear" w:color="auto" w:fill="auto"/>
          </w:tcPr>
          <w:p w14:paraId="2A3FA43C" w14:textId="77777777" w:rsidR="005B4E8E" w:rsidRPr="005B4E8E" w:rsidRDefault="005B4E8E" w:rsidP="002D7BE8">
            <w:pPr>
              <w:keepNext/>
              <w:keepLines/>
              <w:spacing w:before="40" w:after="120"/>
              <w:ind w:right="113"/>
              <w:rPr>
                <w:lang w:val="fr-FR"/>
              </w:rPr>
            </w:pPr>
          </w:p>
        </w:tc>
        <w:tc>
          <w:tcPr>
            <w:tcW w:w="1467" w:type="dxa"/>
            <w:tcBorders>
              <w:top w:val="single" w:sz="12" w:space="0" w:color="auto"/>
            </w:tcBorders>
            <w:shd w:val="clear" w:color="auto" w:fill="auto"/>
          </w:tcPr>
          <w:p w14:paraId="668C5F1F" w14:textId="77777777" w:rsidR="005B4E8E" w:rsidRPr="005B4E8E" w:rsidRDefault="005B4E8E" w:rsidP="002D7BE8">
            <w:pPr>
              <w:keepNext/>
              <w:keepLines/>
              <w:spacing w:before="40" w:after="120"/>
              <w:ind w:right="113"/>
              <w:rPr>
                <w:lang w:val="fr-FR"/>
              </w:rPr>
            </w:pPr>
          </w:p>
        </w:tc>
        <w:tc>
          <w:tcPr>
            <w:tcW w:w="1665" w:type="dxa"/>
            <w:tcBorders>
              <w:top w:val="single" w:sz="12" w:space="0" w:color="auto"/>
            </w:tcBorders>
            <w:shd w:val="clear" w:color="auto" w:fill="auto"/>
          </w:tcPr>
          <w:p w14:paraId="322A137C" w14:textId="77777777" w:rsidR="005B4E8E" w:rsidRPr="005B4E8E" w:rsidRDefault="005B4E8E" w:rsidP="002D7BE8">
            <w:pPr>
              <w:keepNext/>
              <w:keepLines/>
              <w:spacing w:before="40" w:after="120"/>
              <w:ind w:right="113"/>
              <w:rPr>
                <w:lang w:val="fr-FR"/>
              </w:rPr>
            </w:pPr>
          </w:p>
        </w:tc>
        <w:tc>
          <w:tcPr>
            <w:tcW w:w="1016" w:type="dxa"/>
            <w:tcBorders>
              <w:top w:val="single" w:sz="12" w:space="0" w:color="auto"/>
            </w:tcBorders>
            <w:shd w:val="clear" w:color="auto" w:fill="auto"/>
          </w:tcPr>
          <w:p w14:paraId="133A531E" w14:textId="77777777" w:rsidR="005B4E8E" w:rsidRPr="005B4E8E" w:rsidRDefault="005B4E8E" w:rsidP="002D7BE8">
            <w:pPr>
              <w:keepNext/>
              <w:keepLines/>
              <w:spacing w:before="40" w:after="120"/>
              <w:ind w:right="113"/>
              <w:rPr>
                <w:lang w:val="fr-FR"/>
              </w:rPr>
            </w:pPr>
          </w:p>
        </w:tc>
        <w:tc>
          <w:tcPr>
            <w:tcW w:w="971" w:type="dxa"/>
            <w:tcBorders>
              <w:top w:val="single" w:sz="12" w:space="0" w:color="auto"/>
            </w:tcBorders>
            <w:shd w:val="clear" w:color="auto" w:fill="auto"/>
          </w:tcPr>
          <w:p w14:paraId="3F935BEC" w14:textId="77777777" w:rsidR="005B4E8E" w:rsidRPr="005B4E8E" w:rsidRDefault="005B4E8E" w:rsidP="002D7BE8">
            <w:pPr>
              <w:keepNext/>
              <w:keepLines/>
              <w:spacing w:before="40" w:after="120"/>
              <w:ind w:right="113"/>
              <w:rPr>
                <w:lang w:val="fr-FR"/>
              </w:rPr>
            </w:pPr>
          </w:p>
        </w:tc>
        <w:tc>
          <w:tcPr>
            <w:tcW w:w="1092" w:type="dxa"/>
            <w:tcBorders>
              <w:top w:val="single" w:sz="12" w:space="0" w:color="auto"/>
            </w:tcBorders>
            <w:shd w:val="clear" w:color="auto" w:fill="auto"/>
          </w:tcPr>
          <w:p w14:paraId="133A4527" w14:textId="77777777" w:rsidR="005B4E8E" w:rsidRPr="005B4E8E" w:rsidRDefault="005B4E8E" w:rsidP="002D7BE8">
            <w:pPr>
              <w:keepNext/>
              <w:keepLines/>
              <w:spacing w:before="40" w:after="120"/>
              <w:ind w:right="113"/>
              <w:rPr>
                <w:lang w:val="fr-FR"/>
              </w:rPr>
            </w:pPr>
          </w:p>
        </w:tc>
        <w:tc>
          <w:tcPr>
            <w:tcW w:w="1070" w:type="dxa"/>
            <w:tcBorders>
              <w:top w:val="single" w:sz="12" w:space="0" w:color="auto"/>
            </w:tcBorders>
            <w:shd w:val="clear" w:color="auto" w:fill="auto"/>
          </w:tcPr>
          <w:p w14:paraId="3D7BA988" w14:textId="77777777" w:rsidR="005B4E8E" w:rsidRPr="005B4E8E" w:rsidRDefault="005B4E8E" w:rsidP="002D7BE8">
            <w:pPr>
              <w:keepNext/>
              <w:keepLines/>
              <w:spacing w:before="40" w:after="120"/>
              <w:ind w:right="113"/>
              <w:rPr>
                <w:lang w:val="fr-FR"/>
              </w:rPr>
            </w:pPr>
          </w:p>
        </w:tc>
      </w:tr>
      <w:tr w:rsidR="0081022C" w:rsidRPr="005B4E8E" w14:paraId="78A4BA39" w14:textId="77777777" w:rsidTr="002D7BE8">
        <w:tc>
          <w:tcPr>
            <w:tcW w:w="304" w:type="dxa"/>
            <w:shd w:val="clear" w:color="auto" w:fill="auto"/>
          </w:tcPr>
          <w:p w14:paraId="4F55A8E0" w14:textId="77777777" w:rsidR="0081022C" w:rsidRPr="005B4E8E" w:rsidRDefault="0081022C" w:rsidP="002D7BE8">
            <w:pPr>
              <w:keepNext/>
              <w:keepLines/>
              <w:spacing w:before="40" w:after="120"/>
              <w:ind w:right="113"/>
            </w:pPr>
            <w:r w:rsidRPr="005B4E8E">
              <w:rPr>
                <w:lang w:val="fr-FR"/>
              </w:rPr>
              <w:t>1.</w:t>
            </w:r>
          </w:p>
        </w:tc>
        <w:tc>
          <w:tcPr>
            <w:tcW w:w="1074" w:type="dxa"/>
            <w:shd w:val="clear" w:color="auto" w:fill="auto"/>
          </w:tcPr>
          <w:p w14:paraId="243C85B9" w14:textId="77777777" w:rsidR="0081022C" w:rsidRPr="005B4E8E" w:rsidRDefault="0081022C" w:rsidP="002D7BE8">
            <w:pPr>
              <w:keepNext/>
              <w:keepLines/>
              <w:spacing w:before="40" w:after="120"/>
              <w:ind w:right="113"/>
            </w:pPr>
            <w:r w:rsidRPr="005B4E8E">
              <w:rPr>
                <w:lang w:val="fr-FR"/>
              </w:rPr>
              <w:t>Litzy Hurtado</w:t>
            </w:r>
          </w:p>
        </w:tc>
        <w:tc>
          <w:tcPr>
            <w:tcW w:w="978" w:type="dxa"/>
            <w:shd w:val="clear" w:color="auto" w:fill="auto"/>
          </w:tcPr>
          <w:p w14:paraId="40E2D6B6" w14:textId="77777777" w:rsidR="0081022C" w:rsidRPr="005B4E8E" w:rsidRDefault="0081022C" w:rsidP="002D7BE8">
            <w:pPr>
              <w:keepNext/>
              <w:keepLines/>
              <w:spacing w:before="40" w:after="120"/>
              <w:ind w:right="113"/>
            </w:pPr>
            <w:r w:rsidRPr="005B4E8E">
              <w:rPr>
                <w:lang w:val="fr-FR"/>
              </w:rPr>
              <w:t>23/12/18</w:t>
            </w:r>
          </w:p>
        </w:tc>
        <w:tc>
          <w:tcPr>
            <w:tcW w:w="1467" w:type="dxa"/>
            <w:shd w:val="clear" w:color="auto" w:fill="auto"/>
          </w:tcPr>
          <w:p w14:paraId="5953C90D" w14:textId="3B5079BA" w:rsidR="0081022C" w:rsidRPr="005B4E8E" w:rsidRDefault="0081022C" w:rsidP="002D7BE8">
            <w:pPr>
              <w:keepNext/>
              <w:keepLines/>
              <w:spacing w:before="40" w:after="120"/>
              <w:ind w:right="113"/>
            </w:pPr>
            <w:r w:rsidRPr="005B4E8E">
              <w:rPr>
                <w:lang w:val="fr-FR"/>
              </w:rPr>
              <w:t>Femme transgenre agressée et blessée à la poitrine avec un</w:t>
            </w:r>
            <w:r w:rsidR="002D7BE8">
              <w:rPr>
                <w:lang w:val="fr-FR"/>
              </w:rPr>
              <w:t> </w:t>
            </w:r>
            <w:r w:rsidRPr="005B4E8E">
              <w:rPr>
                <w:lang w:val="fr-FR"/>
              </w:rPr>
              <w:t>tournevis</w:t>
            </w:r>
          </w:p>
        </w:tc>
        <w:tc>
          <w:tcPr>
            <w:tcW w:w="1665" w:type="dxa"/>
            <w:shd w:val="clear" w:color="auto" w:fill="auto"/>
          </w:tcPr>
          <w:p w14:paraId="7E54D5C1" w14:textId="77777777" w:rsidR="0081022C" w:rsidRPr="005B4E8E" w:rsidRDefault="0081022C" w:rsidP="002D7BE8">
            <w:pPr>
              <w:keepNext/>
              <w:keepLines/>
              <w:spacing w:before="40" w:after="120"/>
              <w:ind w:right="113"/>
            </w:pPr>
            <w:r w:rsidRPr="005B4E8E">
              <w:rPr>
                <w:lang w:val="fr-FR"/>
              </w:rPr>
              <w:t>EAL1811787</w:t>
            </w:r>
          </w:p>
        </w:tc>
        <w:tc>
          <w:tcPr>
            <w:tcW w:w="1016" w:type="dxa"/>
            <w:shd w:val="clear" w:color="auto" w:fill="auto"/>
          </w:tcPr>
          <w:p w14:paraId="17994BBF" w14:textId="77777777" w:rsidR="0081022C" w:rsidRPr="005B4E8E" w:rsidRDefault="0081022C" w:rsidP="002D7BE8">
            <w:pPr>
              <w:keepNext/>
              <w:keepLines/>
              <w:spacing w:before="40" w:after="120"/>
              <w:ind w:right="113"/>
            </w:pPr>
            <w:r w:rsidRPr="005B4E8E">
              <w:rPr>
                <w:lang w:val="fr-FR"/>
              </w:rPr>
              <w:t>Homicide, art. 251</w:t>
            </w:r>
          </w:p>
        </w:tc>
        <w:tc>
          <w:tcPr>
            <w:tcW w:w="971" w:type="dxa"/>
            <w:shd w:val="clear" w:color="auto" w:fill="auto"/>
          </w:tcPr>
          <w:p w14:paraId="6EFB90F6" w14:textId="77777777" w:rsidR="0081022C" w:rsidRPr="005B4E8E" w:rsidRDefault="0081022C" w:rsidP="002D7BE8">
            <w:pPr>
              <w:keepNext/>
              <w:keepLines/>
              <w:spacing w:before="40" w:after="120"/>
              <w:ind w:right="113"/>
            </w:pPr>
            <w:r w:rsidRPr="005B4E8E">
              <w:rPr>
                <w:lang w:val="fr-FR"/>
              </w:rPr>
              <w:t>Mise en accusation formelle</w:t>
            </w:r>
          </w:p>
        </w:tc>
        <w:tc>
          <w:tcPr>
            <w:tcW w:w="1092" w:type="dxa"/>
            <w:shd w:val="clear" w:color="auto" w:fill="auto"/>
          </w:tcPr>
          <w:p w14:paraId="43F51E82" w14:textId="77777777" w:rsidR="0081022C" w:rsidRPr="005B4E8E" w:rsidRDefault="0081022C" w:rsidP="002D7BE8">
            <w:pPr>
              <w:keepNext/>
              <w:keepLines/>
              <w:spacing w:before="40" w:after="120"/>
              <w:ind w:right="113"/>
            </w:pPr>
            <w:r w:rsidRPr="005B4E8E">
              <w:rPr>
                <w:lang w:val="fr-FR"/>
              </w:rPr>
              <w:t>Procès</w:t>
            </w:r>
          </w:p>
        </w:tc>
        <w:tc>
          <w:tcPr>
            <w:tcW w:w="1070" w:type="dxa"/>
            <w:shd w:val="clear" w:color="auto" w:fill="auto"/>
          </w:tcPr>
          <w:p w14:paraId="2DA045DB" w14:textId="77777777" w:rsidR="0081022C" w:rsidRPr="005B4E8E" w:rsidRDefault="0081022C" w:rsidP="002D7BE8">
            <w:pPr>
              <w:keepNext/>
              <w:keepLines/>
              <w:spacing w:before="40" w:after="120"/>
              <w:ind w:right="113"/>
            </w:pPr>
          </w:p>
        </w:tc>
      </w:tr>
      <w:tr w:rsidR="0081022C" w:rsidRPr="005B4E8E" w14:paraId="2525334B" w14:textId="77777777" w:rsidTr="002D7BE8">
        <w:tc>
          <w:tcPr>
            <w:tcW w:w="304" w:type="dxa"/>
            <w:tcBorders>
              <w:bottom w:val="single" w:sz="12" w:space="0" w:color="auto"/>
            </w:tcBorders>
            <w:shd w:val="clear" w:color="auto" w:fill="auto"/>
          </w:tcPr>
          <w:p w14:paraId="62890A7A" w14:textId="77777777" w:rsidR="0081022C" w:rsidRPr="005B4E8E" w:rsidRDefault="0081022C" w:rsidP="005B4E8E">
            <w:pPr>
              <w:spacing w:before="40" w:after="120"/>
              <w:ind w:right="113"/>
            </w:pPr>
            <w:r w:rsidRPr="005B4E8E">
              <w:rPr>
                <w:lang w:val="fr-FR"/>
              </w:rPr>
              <w:t>2.</w:t>
            </w:r>
          </w:p>
        </w:tc>
        <w:tc>
          <w:tcPr>
            <w:tcW w:w="1074" w:type="dxa"/>
            <w:tcBorders>
              <w:bottom w:val="single" w:sz="12" w:space="0" w:color="auto"/>
            </w:tcBorders>
            <w:shd w:val="clear" w:color="auto" w:fill="auto"/>
          </w:tcPr>
          <w:p w14:paraId="3E63C835" w14:textId="77777777" w:rsidR="0081022C" w:rsidRPr="005B4E8E" w:rsidRDefault="0081022C" w:rsidP="005B4E8E">
            <w:pPr>
              <w:spacing w:before="40" w:after="120"/>
              <w:ind w:right="113"/>
            </w:pPr>
            <w:r w:rsidRPr="005B4E8E">
              <w:rPr>
                <w:lang w:val="fr-FR"/>
              </w:rPr>
              <w:t>Gabriela Ramírez</w:t>
            </w:r>
          </w:p>
        </w:tc>
        <w:tc>
          <w:tcPr>
            <w:tcW w:w="978" w:type="dxa"/>
            <w:tcBorders>
              <w:bottom w:val="single" w:sz="12" w:space="0" w:color="auto"/>
            </w:tcBorders>
            <w:shd w:val="clear" w:color="auto" w:fill="auto"/>
          </w:tcPr>
          <w:p w14:paraId="15046396" w14:textId="77777777" w:rsidR="0081022C" w:rsidRPr="005B4E8E" w:rsidRDefault="0081022C" w:rsidP="005B4E8E">
            <w:pPr>
              <w:spacing w:before="40" w:after="120"/>
              <w:ind w:right="113"/>
            </w:pPr>
            <w:r w:rsidRPr="005B4E8E">
              <w:rPr>
                <w:lang w:val="fr-FR"/>
              </w:rPr>
              <w:t>22/10/20</w:t>
            </w:r>
          </w:p>
        </w:tc>
        <w:tc>
          <w:tcPr>
            <w:tcW w:w="1467" w:type="dxa"/>
            <w:tcBorders>
              <w:bottom w:val="single" w:sz="12" w:space="0" w:color="auto"/>
            </w:tcBorders>
            <w:shd w:val="clear" w:color="auto" w:fill="auto"/>
          </w:tcPr>
          <w:p w14:paraId="646D2C29" w14:textId="7E0DC228" w:rsidR="0081022C" w:rsidRPr="005B4E8E" w:rsidRDefault="0081022C" w:rsidP="005B4E8E">
            <w:pPr>
              <w:spacing w:before="40" w:after="120"/>
              <w:ind w:right="113"/>
            </w:pPr>
            <w:r w:rsidRPr="005B4E8E">
              <w:rPr>
                <w:lang w:val="fr-FR"/>
              </w:rPr>
              <w:t>Femme transgenre ayant reçu 18 coups de couteau dans un hôtel de Villa Adela (El</w:t>
            </w:r>
            <w:r w:rsidR="002D7BE8">
              <w:rPr>
                <w:lang w:val="fr-FR"/>
              </w:rPr>
              <w:t> </w:t>
            </w:r>
            <w:r w:rsidRPr="005B4E8E">
              <w:rPr>
                <w:lang w:val="fr-FR"/>
              </w:rPr>
              <w:t>Alto)</w:t>
            </w:r>
          </w:p>
        </w:tc>
        <w:tc>
          <w:tcPr>
            <w:tcW w:w="1665" w:type="dxa"/>
            <w:tcBorders>
              <w:bottom w:val="single" w:sz="12" w:space="0" w:color="auto"/>
            </w:tcBorders>
            <w:shd w:val="clear" w:color="auto" w:fill="auto"/>
          </w:tcPr>
          <w:p w14:paraId="4B44035A" w14:textId="77777777" w:rsidR="0081022C" w:rsidRPr="005B4E8E" w:rsidRDefault="0081022C" w:rsidP="005B4E8E">
            <w:pPr>
              <w:spacing w:before="40" w:after="120"/>
              <w:ind w:right="113"/>
            </w:pPr>
            <w:r w:rsidRPr="005B4E8E">
              <w:rPr>
                <w:lang w:val="fr-FR"/>
              </w:rPr>
              <w:t>201502022004212</w:t>
            </w:r>
          </w:p>
        </w:tc>
        <w:tc>
          <w:tcPr>
            <w:tcW w:w="1016" w:type="dxa"/>
            <w:tcBorders>
              <w:bottom w:val="single" w:sz="12" w:space="0" w:color="auto"/>
            </w:tcBorders>
            <w:shd w:val="clear" w:color="auto" w:fill="auto"/>
          </w:tcPr>
          <w:p w14:paraId="0B41611A" w14:textId="77777777" w:rsidR="0081022C" w:rsidRPr="005B4E8E" w:rsidRDefault="0081022C" w:rsidP="005B4E8E">
            <w:pPr>
              <w:spacing w:before="40" w:after="120"/>
              <w:ind w:right="113"/>
            </w:pPr>
            <w:r w:rsidRPr="005B4E8E">
              <w:rPr>
                <w:lang w:val="fr-FR"/>
              </w:rPr>
              <w:t>Meurtre, art. 252</w:t>
            </w:r>
          </w:p>
        </w:tc>
        <w:tc>
          <w:tcPr>
            <w:tcW w:w="971" w:type="dxa"/>
            <w:tcBorders>
              <w:bottom w:val="single" w:sz="12" w:space="0" w:color="auto"/>
            </w:tcBorders>
            <w:shd w:val="clear" w:color="auto" w:fill="auto"/>
          </w:tcPr>
          <w:p w14:paraId="6636C7E8" w14:textId="77777777" w:rsidR="0081022C" w:rsidRPr="005B4E8E" w:rsidRDefault="0081022C" w:rsidP="005B4E8E">
            <w:pPr>
              <w:spacing w:before="40" w:after="120"/>
              <w:ind w:right="113"/>
            </w:pPr>
            <w:r w:rsidRPr="005B4E8E">
              <w:rPr>
                <w:lang w:val="fr-FR"/>
              </w:rPr>
              <w:t>Mise en examen formelle</w:t>
            </w:r>
          </w:p>
        </w:tc>
        <w:tc>
          <w:tcPr>
            <w:tcW w:w="1092" w:type="dxa"/>
            <w:tcBorders>
              <w:bottom w:val="single" w:sz="12" w:space="0" w:color="auto"/>
            </w:tcBorders>
            <w:shd w:val="clear" w:color="auto" w:fill="auto"/>
          </w:tcPr>
          <w:p w14:paraId="5EA00897" w14:textId="77777777" w:rsidR="0081022C" w:rsidRPr="005B4E8E" w:rsidRDefault="0081022C" w:rsidP="005B4E8E">
            <w:pPr>
              <w:spacing w:before="40" w:after="120"/>
              <w:ind w:right="113"/>
            </w:pPr>
            <w:r w:rsidRPr="005B4E8E">
              <w:rPr>
                <w:lang w:val="fr-FR"/>
              </w:rPr>
              <w:t>Préparatoire</w:t>
            </w:r>
          </w:p>
        </w:tc>
        <w:tc>
          <w:tcPr>
            <w:tcW w:w="1070" w:type="dxa"/>
            <w:tcBorders>
              <w:bottom w:val="single" w:sz="12" w:space="0" w:color="auto"/>
            </w:tcBorders>
            <w:shd w:val="clear" w:color="auto" w:fill="auto"/>
          </w:tcPr>
          <w:p w14:paraId="3C76659E" w14:textId="77777777" w:rsidR="0081022C" w:rsidRPr="005B4E8E" w:rsidRDefault="0081022C" w:rsidP="005B4E8E">
            <w:pPr>
              <w:spacing w:before="40" w:after="120"/>
              <w:ind w:right="113"/>
            </w:pPr>
          </w:p>
        </w:tc>
      </w:tr>
    </w:tbl>
    <w:p w14:paraId="1F2D965F" w14:textId="77777777" w:rsidR="0081022C" w:rsidRPr="00D930C9" w:rsidRDefault="0081022C" w:rsidP="005B4E8E">
      <w:pPr>
        <w:pStyle w:val="H1G"/>
        <w:rPr>
          <w:rFonts w:eastAsia="Calibri"/>
        </w:rPr>
      </w:pPr>
      <w:r>
        <w:rPr>
          <w:lang w:val="fr-FR"/>
        </w:rPr>
        <w:tab/>
      </w:r>
      <w:r>
        <w:rPr>
          <w:lang w:val="fr-FR"/>
        </w:rPr>
        <w:tab/>
        <w:t>Égalité entre hommes et femmes (art. 2, 3, 25 et 26)</w:t>
      </w:r>
    </w:p>
    <w:p w14:paraId="32EE70FC" w14:textId="7D88A3A7" w:rsidR="0081022C" w:rsidRPr="00D930C9" w:rsidRDefault="0081022C" w:rsidP="005B4E8E">
      <w:pPr>
        <w:pStyle w:val="H23G"/>
      </w:pPr>
      <w:r>
        <w:rPr>
          <w:lang w:val="fr-FR"/>
        </w:rPr>
        <w:tab/>
        <w:t>6.</w:t>
      </w:r>
      <w:r>
        <w:rPr>
          <w:lang w:val="fr-FR"/>
        </w:rPr>
        <w:tab/>
        <w:t>Réponse au paragraphe 6 de la liste de points</w:t>
      </w:r>
    </w:p>
    <w:p w14:paraId="00714F6A" w14:textId="77777777" w:rsidR="0081022C" w:rsidRPr="00D930C9" w:rsidRDefault="0081022C" w:rsidP="0081022C">
      <w:pPr>
        <w:pStyle w:val="SingleTxtG"/>
        <w:rPr>
          <w:rFonts w:eastAsia="Calibri"/>
        </w:rPr>
      </w:pPr>
      <w:r>
        <w:rPr>
          <w:lang w:val="fr-FR"/>
        </w:rPr>
        <w:t>34.</w:t>
      </w:r>
      <w:r>
        <w:rPr>
          <w:lang w:val="fr-FR"/>
        </w:rPr>
        <w:tab/>
        <w:t>Le Plan multisectoriel en faveur de l’élimination des schémas patriarcaux et du droit des femmes à vivre bien est entré en vigueur en application de la décision CSIPVLV n</w:t>
      </w:r>
      <w:r w:rsidRPr="00590A0B">
        <w:rPr>
          <w:vertAlign w:val="superscript"/>
          <w:lang w:val="fr-FR"/>
        </w:rPr>
        <w:t>o</w:t>
      </w:r>
      <w:r>
        <w:rPr>
          <w:lang w:val="fr-FR"/>
        </w:rPr>
        <w:t> 001/2017 du 27 juillet 2017, adoptée lors de la cinquième séance ordinaire du Conseil sectoriel et intersectoriel pour une vie sans violence. En vigueur jusqu’à l’année 2020, il est actuellement au stade d’évaluation, qui vise à recueillir les résultats obtenus et les enseignements tirés en vue de mettre en œuvre un nouveau plan de coordination avec tous les acteurs concernés pour les cinq prochaines années, afin d’obtenir de meilleurs résultats. À ce jour, pour ce qui est de la condition féminine, des résultats ont été obtenus dans des domaines correspondant aux priorités des femmes, à donc à leurs revendications.</w:t>
      </w:r>
    </w:p>
    <w:p w14:paraId="16003D26" w14:textId="77777777" w:rsidR="0081022C" w:rsidRPr="00D930C9" w:rsidRDefault="0081022C" w:rsidP="0081022C">
      <w:pPr>
        <w:pStyle w:val="SingleTxtG"/>
        <w:rPr>
          <w:rFonts w:eastAsia="Calibri"/>
        </w:rPr>
      </w:pPr>
      <w:r>
        <w:rPr>
          <w:lang w:val="fr-FR"/>
        </w:rPr>
        <w:t>35.</w:t>
      </w:r>
      <w:r>
        <w:rPr>
          <w:lang w:val="fr-FR"/>
        </w:rPr>
        <w:tab/>
        <w:t>L’Organe électoral plurinational fournit des informations sur les mesures prises pour accroître la représentation des femmes, en particulier des femmes autochtones et des femmes afrodescendantes. La loi n</w:t>
      </w:r>
      <w:r>
        <w:rPr>
          <w:vertAlign w:val="superscript"/>
          <w:lang w:val="fr-FR"/>
        </w:rPr>
        <w:t>o</w:t>
      </w:r>
      <w:r>
        <w:rPr>
          <w:lang w:val="fr-FR"/>
        </w:rPr>
        <w:t> 1096 relative aux organisations politiques, aux termes de laquelle toutes les organisations politiques doivent prévoir dans leurs statuts un dispositif d’élimination des schémas patriarcaux, a été promulguée. L’équivalence et l’égalité des chances doivent notamment être garanties grâce à la représentation égale des femmes et des hommes dans la structure de l’organisation politique à tous les niveaux et instances de décision et de délibération. Des mécanismes en faveur de la participation effective des femmes, des jeunes et des nations et peuples autochtones paysans doivent aussi être présents.</w:t>
      </w:r>
    </w:p>
    <w:p w14:paraId="223691A8" w14:textId="77777777" w:rsidR="0081022C" w:rsidRPr="00D930C9" w:rsidRDefault="0081022C" w:rsidP="0081022C">
      <w:pPr>
        <w:pStyle w:val="SingleTxtG"/>
        <w:rPr>
          <w:rFonts w:eastAsia="Calibri"/>
        </w:rPr>
      </w:pPr>
      <w:r>
        <w:rPr>
          <w:lang w:val="fr-FR"/>
        </w:rPr>
        <w:t>36.</w:t>
      </w:r>
      <w:r>
        <w:rPr>
          <w:lang w:val="fr-FR"/>
        </w:rPr>
        <w:tab/>
        <w:t>D’autres règles sont en place : le règlement relatif à l’inscription et à l’enregistrement des candidatures aux élections législatives de 2020, ainsi qu’un règlement pour les élections de 2021, qui établissent des critères de parité et d’alternance ; le règlement relatif aux fautes électorales et aux sanctions liées au harcèlement et à la violence politique ; le règlement relatif à la réception des démissions et des plaintes pour harcèlement et violence politique à l’égard de femmes candidates, élues ou exerçant des fonctions politiques publiques.</w:t>
      </w:r>
    </w:p>
    <w:p w14:paraId="227E9783" w14:textId="77777777" w:rsidR="0081022C" w:rsidRPr="00D930C9" w:rsidRDefault="0081022C" w:rsidP="0081022C">
      <w:pPr>
        <w:pStyle w:val="SingleTxtG"/>
        <w:rPr>
          <w:rFonts w:eastAsia="Calibri"/>
        </w:rPr>
      </w:pPr>
      <w:r>
        <w:rPr>
          <w:lang w:val="fr-FR"/>
        </w:rPr>
        <w:t>37.</w:t>
      </w:r>
      <w:r>
        <w:rPr>
          <w:lang w:val="fr-FR"/>
        </w:rPr>
        <w:tab/>
        <w:t>Parmi les mesures et actions de communication entreprises en 2018, cinq enquêtes ont été menées sur des questions liées à la démocratie paritaire et à la complémentarité entre les femmes et les hommes autochtones paysans ; en 2019, des ressources de communication ont été mises au point pour promouvoir la participation politique des femmes.</w:t>
      </w:r>
    </w:p>
    <w:p w14:paraId="6D8744A2" w14:textId="77777777" w:rsidR="0081022C" w:rsidRPr="00D930C9" w:rsidRDefault="0081022C" w:rsidP="0081022C">
      <w:pPr>
        <w:pStyle w:val="SingleTxtG"/>
      </w:pPr>
      <w:r>
        <w:rPr>
          <w:lang w:val="fr-FR"/>
        </w:rPr>
        <w:t>38.</w:t>
      </w:r>
      <w:r>
        <w:rPr>
          <w:lang w:val="fr-FR"/>
        </w:rPr>
        <w:tab/>
        <w:t>Concernant l’Observatoire de la parité démocratique, des actions de communication ont été menées en 2020 pour promouvoir les droits politiques des femmes, tant dans le cadre des élections législatives 2020 que dans celui des élections des responsables politiques départementaux, régionaux et municipaux 2021.</w:t>
      </w:r>
    </w:p>
    <w:p w14:paraId="7960DA58" w14:textId="77777777" w:rsidR="0081022C" w:rsidRPr="00D930C9" w:rsidRDefault="0081022C" w:rsidP="0081022C">
      <w:pPr>
        <w:pStyle w:val="SingleTxtG"/>
      </w:pPr>
      <w:r>
        <w:rPr>
          <w:lang w:val="fr-FR"/>
        </w:rPr>
        <w:t>39.</w:t>
      </w:r>
      <w:r>
        <w:rPr>
          <w:lang w:val="fr-FR"/>
        </w:rPr>
        <w:tab/>
        <w:t>Des activités de sensibilisation ont aussi été menées en vue de renforcer l’exercice des droits politiques des femmes.</w:t>
      </w:r>
    </w:p>
    <w:p w14:paraId="13A56253" w14:textId="77777777" w:rsidR="0081022C" w:rsidRPr="00D930C9" w:rsidRDefault="0081022C" w:rsidP="0081022C">
      <w:pPr>
        <w:pStyle w:val="SingleTxtG"/>
        <w:rPr>
          <w:rFonts w:eastAsia="Calibri"/>
        </w:rPr>
      </w:pPr>
      <w:r>
        <w:rPr>
          <w:lang w:val="fr-FR"/>
        </w:rPr>
        <w:lastRenderedPageBreak/>
        <w:t>40.</w:t>
      </w:r>
      <w:r>
        <w:rPr>
          <w:lang w:val="fr-FR"/>
        </w:rPr>
        <w:tab/>
        <w:t>En ce qui concerne les cas signalés de harcèlement et de violence politique contre les femmes, 91 plaintes ont été enregistrées en 2018 ; 21 en 2019 ; 20 en 2020 ; et 22 en 2021. Entre 2016 et octobre 2021, 360 démissions ont été enregistrées, dont 43 pour harcèlement et violence politique.</w:t>
      </w:r>
    </w:p>
    <w:p w14:paraId="4AB9C379" w14:textId="77777777" w:rsidR="0081022C" w:rsidRPr="00D930C9" w:rsidRDefault="0081022C" w:rsidP="0081022C">
      <w:pPr>
        <w:pStyle w:val="SingleTxtG"/>
        <w:rPr>
          <w:rFonts w:eastAsia="Calibri"/>
        </w:rPr>
      </w:pPr>
      <w:r>
        <w:rPr>
          <w:lang w:val="fr-FR"/>
        </w:rPr>
        <w:t>41.</w:t>
      </w:r>
      <w:r>
        <w:rPr>
          <w:lang w:val="fr-FR"/>
        </w:rPr>
        <w:tab/>
        <w:t>La Direction générale chargée de la prévention et de l’élimination de toute forme de violence fondée sur le genre et sur les différences de génération a eu connaissance de sept cas de harcèlement politique en 2021. Conformément aux dispositions de l’article 9 du décret suprême n</w:t>
      </w:r>
      <w:r>
        <w:rPr>
          <w:vertAlign w:val="superscript"/>
          <w:lang w:val="fr-FR"/>
        </w:rPr>
        <w:t>o</w:t>
      </w:r>
      <w:r>
        <w:rPr>
          <w:lang w:val="fr-FR"/>
        </w:rPr>
        <w:t> 2935 du 5 octobre 2016 portant règlement d’application de la loi n</w:t>
      </w:r>
      <w:r>
        <w:rPr>
          <w:vertAlign w:val="superscript"/>
          <w:lang w:val="fr-FR"/>
        </w:rPr>
        <w:t>o</w:t>
      </w:r>
      <w:r>
        <w:rPr>
          <w:lang w:val="fr-FR"/>
        </w:rPr>
        <w:t> 243 contre le harcèlement et la violence politique à l’égard des femmes, chacune des plaintes fait l’objet d’un suivi.</w:t>
      </w:r>
    </w:p>
    <w:p w14:paraId="538CD112" w14:textId="1E9E91CB" w:rsidR="0081022C" w:rsidRPr="00D930C9" w:rsidRDefault="0081022C" w:rsidP="005B4E8E">
      <w:pPr>
        <w:pStyle w:val="H1G"/>
      </w:pPr>
      <w:r>
        <w:rPr>
          <w:lang w:val="fr-FR"/>
        </w:rPr>
        <w:tab/>
      </w:r>
      <w:r>
        <w:rPr>
          <w:lang w:val="fr-FR"/>
        </w:rPr>
        <w:tab/>
        <w:t>Violence à l’égard des femmes, y</w:t>
      </w:r>
      <w:r w:rsidR="005B4E8E">
        <w:rPr>
          <w:lang w:val="fr-FR"/>
        </w:rPr>
        <w:t> </w:t>
      </w:r>
      <w:r>
        <w:rPr>
          <w:lang w:val="fr-FR"/>
        </w:rPr>
        <w:t xml:space="preserve">compris violence familiale </w:t>
      </w:r>
      <w:r w:rsidR="005B4E8E">
        <w:rPr>
          <w:lang w:val="fr-FR"/>
        </w:rPr>
        <w:br/>
      </w:r>
      <w:r>
        <w:rPr>
          <w:lang w:val="fr-FR"/>
        </w:rPr>
        <w:t>(art. 2, 3, 6, 7, 14, 24 et 26)</w:t>
      </w:r>
    </w:p>
    <w:p w14:paraId="5C3D90C1" w14:textId="4A7F84FC" w:rsidR="0081022C" w:rsidRPr="00D930C9" w:rsidRDefault="0081022C" w:rsidP="005B4E8E">
      <w:pPr>
        <w:pStyle w:val="H23G"/>
      </w:pPr>
      <w:r>
        <w:rPr>
          <w:lang w:val="fr-FR"/>
        </w:rPr>
        <w:tab/>
        <w:t>7.</w:t>
      </w:r>
      <w:r>
        <w:rPr>
          <w:lang w:val="fr-FR"/>
        </w:rPr>
        <w:tab/>
        <w:t>Réponse au paragraphe 7 de la liste de points</w:t>
      </w:r>
    </w:p>
    <w:p w14:paraId="40E72790" w14:textId="77777777" w:rsidR="0081022C" w:rsidRPr="00D930C9" w:rsidRDefault="0081022C" w:rsidP="0081022C">
      <w:pPr>
        <w:pStyle w:val="SingleTxtG"/>
      </w:pPr>
      <w:r>
        <w:rPr>
          <w:lang w:val="fr-FR"/>
        </w:rPr>
        <w:t>42.</w:t>
      </w:r>
      <w:r>
        <w:rPr>
          <w:lang w:val="fr-FR"/>
        </w:rPr>
        <w:tab/>
        <w:t>Conformément aux dispositions des directives pour l’élaboration du budget, adoptées par arrêté biministériel n</w:t>
      </w:r>
      <w:r w:rsidRPr="00414232">
        <w:rPr>
          <w:vertAlign w:val="superscript"/>
          <w:lang w:val="fr-FR"/>
        </w:rPr>
        <w:t>o</w:t>
      </w:r>
      <w:r>
        <w:rPr>
          <w:lang w:val="fr-FR"/>
        </w:rPr>
        <w:t> 07 du 24 juin 2016 du Ministère de la planification du développement et du Ministère de l’économie et des finances publiques, afin de comparer les investissements réalisés ces trois dernières années par les gouvernements départementaux autonomes et les gouvernements municipaux autonomes en application de la loi n</w:t>
      </w:r>
      <w:r>
        <w:rPr>
          <w:vertAlign w:val="superscript"/>
          <w:lang w:val="fr-FR"/>
        </w:rPr>
        <w:t>o</w:t>
      </w:r>
      <w:r>
        <w:rPr>
          <w:lang w:val="fr-FR"/>
        </w:rPr>
        <w:t> 348 et du décret suprême n</w:t>
      </w:r>
      <w:r>
        <w:rPr>
          <w:vertAlign w:val="superscript"/>
          <w:lang w:val="fr-FR"/>
        </w:rPr>
        <w:t>o</w:t>
      </w:r>
      <w:r>
        <w:rPr>
          <w:lang w:val="fr-FR"/>
        </w:rPr>
        <w:t> 2145, le budget alloué au Programme 25 sur la promotion et les politiques destinées aux groupes vulnérables et aux femmes a été analysé.</w:t>
      </w:r>
    </w:p>
    <w:p w14:paraId="462921C2" w14:textId="4EAD6201" w:rsidR="0081022C" w:rsidRPr="0076146C" w:rsidRDefault="0081022C" w:rsidP="0076146C">
      <w:pPr>
        <w:pStyle w:val="H23G"/>
        <w:ind w:left="0" w:right="0" w:firstLine="0"/>
        <w:rPr>
          <w:lang w:val="fr-FR"/>
        </w:rPr>
      </w:pPr>
      <w:r w:rsidRPr="005B4E8E">
        <w:rPr>
          <w:b w:val="0"/>
          <w:bCs/>
          <w:lang w:val="fr-FR"/>
        </w:rPr>
        <w:t>Tableau 1</w:t>
      </w:r>
      <w:r w:rsidR="005B4E8E">
        <w:rPr>
          <w:rFonts w:eastAsia="Calibri"/>
        </w:rPr>
        <w:t xml:space="preserve"> </w:t>
      </w:r>
      <w:r w:rsidR="005B4E8E">
        <w:rPr>
          <w:rFonts w:eastAsia="Calibri"/>
        </w:rPr>
        <w:br/>
      </w:r>
      <w:r w:rsidRPr="005B4E8E">
        <w:rPr>
          <w:spacing w:val="-2"/>
          <w:lang w:val="fr-FR"/>
        </w:rPr>
        <w:t>Budget des gouvernements départementaux autonomes dans le cadre du Programme 25</w:t>
      </w:r>
      <w:r>
        <w:rPr>
          <w:lang w:val="fr-FR"/>
        </w:rPr>
        <w:t xml:space="preserve"> sur la promotion </w:t>
      </w:r>
      <w:r w:rsidR="0076146C">
        <w:rPr>
          <w:lang w:val="fr-FR"/>
        </w:rPr>
        <w:br/>
      </w:r>
      <w:r>
        <w:rPr>
          <w:lang w:val="fr-FR"/>
        </w:rPr>
        <w:t>et les politiques destinées aux groupes vulnérables, 2018-2020 (bolivianos)</w:t>
      </w:r>
    </w:p>
    <w:tbl>
      <w:tblPr>
        <w:tblW w:w="9637" w:type="dxa"/>
        <w:tblLayout w:type="fixed"/>
        <w:tblCellMar>
          <w:left w:w="0" w:type="dxa"/>
          <w:right w:w="0" w:type="dxa"/>
        </w:tblCellMar>
        <w:tblLook w:val="04A0" w:firstRow="1" w:lastRow="0" w:firstColumn="1" w:lastColumn="0" w:noHBand="0" w:noVBand="1"/>
      </w:tblPr>
      <w:tblGrid>
        <w:gridCol w:w="956"/>
        <w:gridCol w:w="1114"/>
        <w:gridCol w:w="938"/>
        <w:gridCol w:w="560"/>
        <w:gridCol w:w="1066"/>
        <w:gridCol w:w="923"/>
        <w:gridCol w:w="622"/>
        <w:gridCol w:w="1071"/>
        <w:gridCol w:w="923"/>
        <w:gridCol w:w="520"/>
        <w:gridCol w:w="944"/>
      </w:tblGrid>
      <w:tr w:rsidR="000A0F51" w:rsidRPr="005B4E8E" w14:paraId="4500655E" w14:textId="77777777" w:rsidTr="000A0F51">
        <w:trPr>
          <w:tblHeader/>
        </w:trPr>
        <w:tc>
          <w:tcPr>
            <w:tcW w:w="956" w:type="dxa"/>
            <w:vMerge w:val="restart"/>
            <w:tcBorders>
              <w:top w:val="single" w:sz="4" w:space="0" w:color="auto"/>
              <w:bottom w:val="single" w:sz="12" w:space="0" w:color="auto"/>
            </w:tcBorders>
            <w:shd w:val="clear" w:color="auto" w:fill="auto"/>
            <w:noWrap/>
            <w:vAlign w:val="bottom"/>
            <w:hideMark/>
          </w:tcPr>
          <w:p w14:paraId="3300E904" w14:textId="77777777" w:rsidR="000A0F51" w:rsidRPr="000A0F51" w:rsidRDefault="000A0F51" w:rsidP="005B4E8E">
            <w:pPr>
              <w:suppressAutoHyphens w:val="0"/>
              <w:spacing w:before="80" w:after="80" w:line="200" w:lineRule="exact"/>
              <w:rPr>
                <w:i/>
                <w:sz w:val="16"/>
              </w:rPr>
            </w:pPr>
            <w:r w:rsidRPr="000A0F51">
              <w:rPr>
                <w:i/>
                <w:sz w:val="16"/>
                <w:lang w:val="fr-FR"/>
              </w:rPr>
              <w:t>Département</w:t>
            </w:r>
          </w:p>
        </w:tc>
        <w:tc>
          <w:tcPr>
            <w:tcW w:w="2612" w:type="dxa"/>
            <w:gridSpan w:val="3"/>
            <w:tcBorders>
              <w:top w:val="single" w:sz="4" w:space="0" w:color="auto"/>
              <w:bottom w:val="single" w:sz="4" w:space="0" w:color="auto"/>
              <w:right w:val="single" w:sz="12" w:space="0" w:color="FFFFFF" w:themeColor="background1"/>
            </w:tcBorders>
            <w:shd w:val="clear" w:color="auto" w:fill="auto"/>
            <w:noWrap/>
            <w:vAlign w:val="bottom"/>
            <w:hideMark/>
          </w:tcPr>
          <w:p w14:paraId="44F81A9D" w14:textId="77777777" w:rsidR="000A0F51" w:rsidRPr="000A0F51" w:rsidRDefault="000A0F51" w:rsidP="000A0F51">
            <w:pPr>
              <w:suppressAutoHyphens w:val="0"/>
              <w:spacing w:before="80" w:after="80" w:line="200" w:lineRule="exact"/>
              <w:jc w:val="center"/>
              <w:rPr>
                <w:i/>
                <w:sz w:val="16"/>
              </w:rPr>
            </w:pPr>
            <w:r w:rsidRPr="000A0F51">
              <w:rPr>
                <w:i/>
                <w:sz w:val="16"/>
                <w:lang w:val="fr-FR"/>
              </w:rPr>
              <w:t>2018</w:t>
            </w:r>
          </w:p>
        </w:tc>
        <w:tc>
          <w:tcPr>
            <w:tcW w:w="2611" w:type="dxa"/>
            <w:gridSpan w:val="3"/>
            <w:tcBorders>
              <w:top w:val="single" w:sz="4" w:space="0" w:color="auto"/>
              <w:left w:val="single" w:sz="12" w:space="0" w:color="FFFFFF" w:themeColor="background1"/>
              <w:bottom w:val="single" w:sz="4" w:space="0" w:color="auto"/>
              <w:right w:val="single" w:sz="12" w:space="0" w:color="FFFFFF" w:themeColor="background1"/>
            </w:tcBorders>
            <w:shd w:val="clear" w:color="auto" w:fill="auto"/>
            <w:noWrap/>
            <w:vAlign w:val="bottom"/>
            <w:hideMark/>
          </w:tcPr>
          <w:p w14:paraId="7D21E2E8" w14:textId="77777777" w:rsidR="000A0F51" w:rsidRPr="000A0F51" w:rsidRDefault="000A0F51" w:rsidP="000A0F51">
            <w:pPr>
              <w:suppressAutoHyphens w:val="0"/>
              <w:spacing w:before="80" w:after="80" w:line="200" w:lineRule="exact"/>
              <w:jc w:val="center"/>
              <w:rPr>
                <w:i/>
                <w:sz w:val="16"/>
              </w:rPr>
            </w:pPr>
            <w:r w:rsidRPr="000A0F51">
              <w:rPr>
                <w:i/>
                <w:sz w:val="16"/>
                <w:lang w:val="fr-FR"/>
              </w:rPr>
              <w:t>2019</w:t>
            </w:r>
          </w:p>
        </w:tc>
        <w:tc>
          <w:tcPr>
            <w:tcW w:w="2514" w:type="dxa"/>
            <w:gridSpan w:val="3"/>
            <w:tcBorders>
              <w:top w:val="single" w:sz="4" w:space="0" w:color="auto"/>
              <w:left w:val="single" w:sz="12" w:space="0" w:color="FFFFFF" w:themeColor="background1"/>
              <w:bottom w:val="single" w:sz="4" w:space="0" w:color="auto"/>
              <w:right w:val="single" w:sz="12" w:space="0" w:color="FFFFFF" w:themeColor="background1"/>
            </w:tcBorders>
            <w:shd w:val="clear" w:color="auto" w:fill="auto"/>
            <w:noWrap/>
            <w:vAlign w:val="bottom"/>
            <w:hideMark/>
          </w:tcPr>
          <w:p w14:paraId="180AD160" w14:textId="77777777" w:rsidR="000A0F51" w:rsidRPr="000A0F51" w:rsidRDefault="000A0F51" w:rsidP="000A0F51">
            <w:pPr>
              <w:suppressAutoHyphens w:val="0"/>
              <w:spacing w:before="80" w:after="80" w:line="200" w:lineRule="exact"/>
              <w:jc w:val="center"/>
              <w:rPr>
                <w:i/>
                <w:sz w:val="16"/>
              </w:rPr>
            </w:pPr>
            <w:r w:rsidRPr="000A0F51">
              <w:rPr>
                <w:i/>
                <w:sz w:val="16"/>
                <w:lang w:val="fr-FR"/>
              </w:rPr>
              <w:t>2020</w:t>
            </w:r>
          </w:p>
        </w:tc>
        <w:tc>
          <w:tcPr>
            <w:tcW w:w="944" w:type="dxa"/>
            <w:vMerge w:val="restart"/>
            <w:tcBorders>
              <w:top w:val="single" w:sz="4" w:space="0" w:color="auto"/>
              <w:left w:val="single" w:sz="12" w:space="0" w:color="FFFFFF" w:themeColor="background1"/>
            </w:tcBorders>
            <w:shd w:val="clear" w:color="auto" w:fill="auto"/>
            <w:noWrap/>
            <w:vAlign w:val="bottom"/>
            <w:hideMark/>
          </w:tcPr>
          <w:p w14:paraId="720F0359" w14:textId="77777777" w:rsidR="000A0F51" w:rsidRPr="005B4E8E" w:rsidRDefault="000A0F51" w:rsidP="000A0F51">
            <w:pPr>
              <w:suppressAutoHyphens w:val="0"/>
              <w:spacing w:before="80" w:after="80" w:line="200" w:lineRule="exact"/>
              <w:jc w:val="right"/>
              <w:rPr>
                <w:i/>
                <w:sz w:val="16"/>
              </w:rPr>
            </w:pPr>
            <w:r w:rsidRPr="005B4E8E">
              <w:rPr>
                <w:i/>
                <w:sz w:val="16"/>
                <w:lang w:val="fr-FR"/>
              </w:rPr>
              <w:t>Exécution moyenne</w:t>
            </w:r>
          </w:p>
        </w:tc>
      </w:tr>
      <w:tr w:rsidR="000A0F51" w:rsidRPr="005B4E8E" w14:paraId="195AA105" w14:textId="77777777" w:rsidTr="000A0F51">
        <w:trPr>
          <w:tblHeader/>
        </w:trPr>
        <w:tc>
          <w:tcPr>
            <w:tcW w:w="956" w:type="dxa"/>
            <w:vMerge/>
            <w:tcBorders>
              <w:top w:val="single" w:sz="12" w:space="0" w:color="auto"/>
              <w:bottom w:val="single" w:sz="12" w:space="0" w:color="auto"/>
            </w:tcBorders>
            <w:shd w:val="clear" w:color="auto" w:fill="auto"/>
            <w:vAlign w:val="bottom"/>
            <w:hideMark/>
          </w:tcPr>
          <w:p w14:paraId="3B3DA0B0" w14:textId="77777777" w:rsidR="000A0F51" w:rsidRPr="000A0F51" w:rsidRDefault="000A0F51" w:rsidP="005B4E8E">
            <w:pPr>
              <w:suppressAutoHyphens w:val="0"/>
              <w:spacing w:before="40" w:after="40" w:line="220" w:lineRule="exact"/>
              <w:rPr>
                <w:sz w:val="18"/>
              </w:rPr>
            </w:pPr>
          </w:p>
        </w:tc>
        <w:tc>
          <w:tcPr>
            <w:tcW w:w="1114" w:type="dxa"/>
            <w:tcBorders>
              <w:top w:val="single" w:sz="4" w:space="0" w:color="auto"/>
              <w:bottom w:val="single" w:sz="12" w:space="0" w:color="auto"/>
            </w:tcBorders>
            <w:shd w:val="clear" w:color="auto" w:fill="auto"/>
            <w:noWrap/>
            <w:vAlign w:val="bottom"/>
            <w:hideMark/>
          </w:tcPr>
          <w:p w14:paraId="464A5C19" w14:textId="33AF4A71"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Dépenses inscrites au</w:t>
            </w:r>
            <w:r w:rsidR="0076146C">
              <w:rPr>
                <w:i/>
                <w:kern w:val="14"/>
                <w:sz w:val="16"/>
                <w:lang w:val="fr-FR"/>
              </w:rPr>
              <w:t> </w:t>
            </w:r>
            <w:r w:rsidRPr="000A0F51">
              <w:rPr>
                <w:i/>
                <w:kern w:val="14"/>
                <w:sz w:val="16"/>
                <w:lang w:val="fr-FR"/>
              </w:rPr>
              <w:t>budget</w:t>
            </w:r>
          </w:p>
        </w:tc>
        <w:tc>
          <w:tcPr>
            <w:tcW w:w="938" w:type="dxa"/>
            <w:tcBorders>
              <w:top w:val="single" w:sz="4" w:space="0" w:color="auto"/>
              <w:bottom w:val="single" w:sz="12" w:space="0" w:color="auto"/>
            </w:tcBorders>
            <w:shd w:val="clear" w:color="auto" w:fill="auto"/>
            <w:vAlign w:val="bottom"/>
            <w:hideMark/>
          </w:tcPr>
          <w:p w14:paraId="2DBC14F5" w14:textId="77777777"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Exécuté</w:t>
            </w:r>
          </w:p>
        </w:tc>
        <w:tc>
          <w:tcPr>
            <w:tcW w:w="560" w:type="dxa"/>
            <w:tcBorders>
              <w:top w:val="single" w:sz="4" w:space="0" w:color="auto"/>
              <w:bottom w:val="single" w:sz="12" w:space="0" w:color="auto"/>
              <w:right w:val="single" w:sz="12" w:space="0" w:color="FFFFFF" w:themeColor="background1"/>
            </w:tcBorders>
            <w:shd w:val="clear" w:color="auto" w:fill="auto"/>
            <w:vAlign w:val="bottom"/>
            <w:hideMark/>
          </w:tcPr>
          <w:p w14:paraId="237CC7BC" w14:textId="77777777"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w:t>
            </w:r>
          </w:p>
        </w:tc>
        <w:tc>
          <w:tcPr>
            <w:tcW w:w="1066" w:type="dxa"/>
            <w:tcBorders>
              <w:top w:val="single" w:sz="4" w:space="0" w:color="auto"/>
              <w:left w:val="single" w:sz="12" w:space="0" w:color="FFFFFF" w:themeColor="background1"/>
              <w:bottom w:val="single" w:sz="12" w:space="0" w:color="auto"/>
            </w:tcBorders>
            <w:shd w:val="clear" w:color="auto" w:fill="auto"/>
            <w:noWrap/>
            <w:vAlign w:val="bottom"/>
            <w:hideMark/>
          </w:tcPr>
          <w:p w14:paraId="05072AC7" w14:textId="2800B2AE"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Dépenses inscrites au budget</w:t>
            </w:r>
          </w:p>
        </w:tc>
        <w:tc>
          <w:tcPr>
            <w:tcW w:w="923" w:type="dxa"/>
            <w:tcBorders>
              <w:top w:val="single" w:sz="4" w:space="0" w:color="auto"/>
              <w:bottom w:val="single" w:sz="12" w:space="0" w:color="auto"/>
            </w:tcBorders>
            <w:shd w:val="clear" w:color="auto" w:fill="auto"/>
            <w:vAlign w:val="bottom"/>
            <w:hideMark/>
          </w:tcPr>
          <w:p w14:paraId="7F00BF99" w14:textId="77777777"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Exécuté</w:t>
            </w:r>
          </w:p>
        </w:tc>
        <w:tc>
          <w:tcPr>
            <w:tcW w:w="622" w:type="dxa"/>
            <w:tcBorders>
              <w:top w:val="single" w:sz="4" w:space="0" w:color="auto"/>
              <w:bottom w:val="single" w:sz="12" w:space="0" w:color="auto"/>
              <w:right w:val="single" w:sz="12" w:space="0" w:color="FFFFFF" w:themeColor="background1"/>
            </w:tcBorders>
            <w:shd w:val="clear" w:color="auto" w:fill="auto"/>
            <w:vAlign w:val="bottom"/>
            <w:hideMark/>
          </w:tcPr>
          <w:p w14:paraId="5AC35055" w14:textId="77777777"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w:t>
            </w:r>
          </w:p>
        </w:tc>
        <w:tc>
          <w:tcPr>
            <w:tcW w:w="1071" w:type="dxa"/>
            <w:tcBorders>
              <w:top w:val="single" w:sz="4" w:space="0" w:color="auto"/>
              <w:left w:val="single" w:sz="12" w:space="0" w:color="FFFFFF" w:themeColor="background1"/>
              <w:bottom w:val="single" w:sz="12" w:space="0" w:color="auto"/>
            </w:tcBorders>
            <w:shd w:val="clear" w:color="auto" w:fill="auto"/>
            <w:noWrap/>
            <w:vAlign w:val="bottom"/>
            <w:hideMark/>
          </w:tcPr>
          <w:p w14:paraId="11EDC18C" w14:textId="14DF9F69"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Dépenses inscrites au</w:t>
            </w:r>
            <w:r w:rsidR="0076146C">
              <w:rPr>
                <w:i/>
                <w:kern w:val="14"/>
                <w:sz w:val="16"/>
                <w:lang w:val="fr-FR"/>
              </w:rPr>
              <w:t> </w:t>
            </w:r>
            <w:r w:rsidRPr="000A0F51">
              <w:rPr>
                <w:i/>
                <w:kern w:val="14"/>
                <w:sz w:val="16"/>
                <w:lang w:val="fr-FR"/>
              </w:rPr>
              <w:t>budget</w:t>
            </w:r>
          </w:p>
        </w:tc>
        <w:tc>
          <w:tcPr>
            <w:tcW w:w="923" w:type="dxa"/>
            <w:tcBorders>
              <w:top w:val="single" w:sz="4" w:space="0" w:color="auto"/>
              <w:bottom w:val="single" w:sz="12" w:space="0" w:color="auto"/>
            </w:tcBorders>
            <w:shd w:val="clear" w:color="auto" w:fill="auto"/>
            <w:vAlign w:val="bottom"/>
            <w:hideMark/>
          </w:tcPr>
          <w:p w14:paraId="6926C437" w14:textId="77777777"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Exécuté</w:t>
            </w:r>
          </w:p>
        </w:tc>
        <w:tc>
          <w:tcPr>
            <w:tcW w:w="520" w:type="dxa"/>
            <w:tcBorders>
              <w:top w:val="single" w:sz="4" w:space="0" w:color="auto"/>
              <w:bottom w:val="single" w:sz="12" w:space="0" w:color="auto"/>
              <w:right w:val="single" w:sz="12" w:space="0" w:color="FFFFFF" w:themeColor="background1"/>
            </w:tcBorders>
            <w:shd w:val="clear" w:color="auto" w:fill="auto"/>
            <w:vAlign w:val="bottom"/>
            <w:hideMark/>
          </w:tcPr>
          <w:p w14:paraId="0F426034" w14:textId="77777777" w:rsidR="000A0F51" w:rsidRPr="000A0F51" w:rsidRDefault="000A0F51" w:rsidP="000A0F51">
            <w:pPr>
              <w:suppressAutoHyphens w:val="0"/>
              <w:spacing w:before="80" w:after="80" w:line="200" w:lineRule="exact"/>
              <w:jc w:val="right"/>
              <w:rPr>
                <w:i/>
                <w:kern w:val="14"/>
                <w:sz w:val="16"/>
              </w:rPr>
            </w:pPr>
            <w:r w:rsidRPr="000A0F51">
              <w:rPr>
                <w:i/>
                <w:kern w:val="14"/>
                <w:sz w:val="16"/>
                <w:lang w:val="fr-FR"/>
              </w:rPr>
              <w:t>%</w:t>
            </w:r>
          </w:p>
        </w:tc>
        <w:tc>
          <w:tcPr>
            <w:tcW w:w="944" w:type="dxa"/>
            <w:vMerge/>
            <w:tcBorders>
              <w:left w:val="single" w:sz="12" w:space="0" w:color="FFFFFF" w:themeColor="background1"/>
              <w:bottom w:val="single" w:sz="12" w:space="0" w:color="auto"/>
            </w:tcBorders>
            <w:shd w:val="clear" w:color="auto" w:fill="auto"/>
            <w:vAlign w:val="bottom"/>
            <w:hideMark/>
          </w:tcPr>
          <w:p w14:paraId="007165CA" w14:textId="77777777" w:rsidR="000A0F51" w:rsidRPr="000A0F51" w:rsidRDefault="000A0F51" w:rsidP="000A0F51">
            <w:pPr>
              <w:suppressAutoHyphens w:val="0"/>
              <w:spacing w:before="80" w:after="80" w:line="200" w:lineRule="exact"/>
              <w:jc w:val="center"/>
              <w:rPr>
                <w:i/>
                <w:spacing w:val="4"/>
                <w:w w:val="103"/>
                <w:kern w:val="14"/>
                <w:sz w:val="16"/>
              </w:rPr>
            </w:pPr>
          </w:p>
        </w:tc>
      </w:tr>
      <w:tr w:rsidR="000A0F51" w:rsidRPr="005B4E8E" w14:paraId="50BE9F38" w14:textId="77777777" w:rsidTr="000A0F51">
        <w:tc>
          <w:tcPr>
            <w:tcW w:w="956" w:type="dxa"/>
            <w:tcBorders>
              <w:top w:val="single" w:sz="12" w:space="0" w:color="auto"/>
            </w:tcBorders>
            <w:shd w:val="clear" w:color="auto" w:fill="auto"/>
            <w:hideMark/>
          </w:tcPr>
          <w:p w14:paraId="44DFFDDB" w14:textId="77777777" w:rsidR="0081022C" w:rsidRPr="005B4E8E" w:rsidRDefault="0081022C" w:rsidP="005B4E8E">
            <w:pPr>
              <w:suppressAutoHyphens w:val="0"/>
              <w:spacing w:before="40" w:after="40" w:line="220" w:lineRule="exact"/>
              <w:rPr>
                <w:sz w:val="18"/>
              </w:rPr>
            </w:pPr>
            <w:r w:rsidRPr="005B4E8E">
              <w:rPr>
                <w:sz w:val="18"/>
                <w:lang w:val="fr-FR"/>
              </w:rPr>
              <w:t>Chuquisaca</w:t>
            </w:r>
          </w:p>
        </w:tc>
        <w:tc>
          <w:tcPr>
            <w:tcW w:w="1114" w:type="dxa"/>
            <w:tcBorders>
              <w:top w:val="single" w:sz="12" w:space="0" w:color="auto"/>
            </w:tcBorders>
            <w:shd w:val="clear" w:color="auto" w:fill="auto"/>
            <w:vAlign w:val="bottom"/>
            <w:hideMark/>
          </w:tcPr>
          <w:p w14:paraId="601A9303" w14:textId="77777777" w:rsidR="0081022C" w:rsidRPr="005B4E8E" w:rsidRDefault="0081022C" w:rsidP="005B4E8E">
            <w:pPr>
              <w:suppressAutoHyphens w:val="0"/>
              <w:spacing w:before="40" w:after="40" w:line="220" w:lineRule="exact"/>
              <w:jc w:val="right"/>
              <w:rPr>
                <w:sz w:val="18"/>
              </w:rPr>
            </w:pPr>
            <w:r w:rsidRPr="005B4E8E">
              <w:rPr>
                <w:sz w:val="18"/>
                <w:lang w:val="fr-FR"/>
              </w:rPr>
              <w:t>717 020</w:t>
            </w:r>
          </w:p>
        </w:tc>
        <w:tc>
          <w:tcPr>
            <w:tcW w:w="938" w:type="dxa"/>
            <w:tcBorders>
              <w:top w:val="single" w:sz="12" w:space="0" w:color="auto"/>
            </w:tcBorders>
            <w:shd w:val="clear" w:color="auto" w:fill="auto"/>
            <w:vAlign w:val="bottom"/>
            <w:hideMark/>
          </w:tcPr>
          <w:p w14:paraId="7686B127" w14:textId="77777777" w:rsidR="0081022C" w:rsidRPr="005B4E8E" w:rsidRDefault="0081022C" w:rsidP="005B4E8E">
            <w:pPr>
              <w:suppressAutoHyphens w:val="0"/>
              <w:spacing w:before="40" w:after="40" w:line="220" w:lineRule="exact"/>
              <w:jc w:val="right"/>
              <w:rPr>
                <w:sz w:val="18"/>
              </w:rPr>
            </w:pPr>
            <w:r w:rsidRPr="005B4E8E">
              <w:rPr>
                <w:sz w:val="18"/>
                <w:lang w:val="fr-FR"/>
              </w:rPr>
              <w:t>191 205</w:t>
            </w:r>
          </w:p>
        </w:tc>
        <w:tc>
          <w:tcPr>
            <w:tcW w:w="560" w:type="dxa"/>
            <w:tcBorders>
              <w:top w:val="single" w:sz="12" w:space="0" w:color="auto"/>
            </w:tcBorders>
            <w:shd w:val="clear" w:color="auto" w:fill="auto"/>
            <w:noWrap/>
            <w:vAlign w:val="bottom"/>
            <w:hideMark/>
          </w:tcPr>
          <w:p w14:paraId="284727EB" w14:textId="77777777" w:rsidR="0081022C" w:rsidRPr="005B4E8E" w:rsidRDefault="0081022C" w:rsidP="005B4E8E">
            <w:pPr>
              <w:suppressAutoHyphens w:val="0"/>
              <w:spacing w:before="40" w:after="40" w:line="220" w:lineRule="exact"/>
              <w:jc w:val="right"/>
              <w:rPr>
                <w:sz w:val="18"/>
              </w:rPr>
            </w:pPr>
            <w:r w:rsidRPr="005B4E8E">
              <w:rPr>
                <w:sz w:val="18"/>
                <w:lang w:val="fr-FR"/>
              </w:rPr>
              <w:t>26,67</w:t>
            </w:r>
          </w:p>
        </w:tc>
        <w:tc>
          <w:tcPr>
            <w:tcW w:w="1066" w:type="dxa"/>
            <w:tcBorders>
              <w:top w:val="single" w:sz="12" w:space="0" w:color="auto"/>
            </w:tcBorders>
            <w:shd w:val="clear" w:color="auto" w:fill="auto"/>
            <w:vAlign w:val="bottom"/>
            <w:hideMark/>
          </w:tcPr>
          <w:p w14:paraId="4CD33ADC" w14:textId="77777777" w:rsidR="0081022C" w:rsidRPr="005B4E8E" w:rsidRDefault="0081022C" w:rsidP="005B4E8E">
            <w:pPr>
              <w:suppressAutoHyphens w:val="0"/>
              <w:spacing w:before="40" w:after="40" w:line="220" w:lineRule="exact"/>
              <w:jc w:val="right"/>
              <w:rPr>
                <w:sz w:val="18"/>
              </w:rPr>
            </w:pPr>
            <w:r w:rsidRPr="005B4E8E">
              <w:rPr>
                <w:sz w:val="18"/>
                <w:lang w:val="fr-FR"/>
              </w:rPr>
              <w:t>728 488</w:t>
            </w:r>
          </w:p>
        </w:tc>
        <w:tc>
          <w:tcPr>
            <w:tcW w:w="923" w:type="dxa"/>
            <w:tcBorders>
              <w:top w:val="single" w:sz="12" w:space="0" w:color="auto"/>
            </w:tcBorders>
            <w:shd w:val="clear" w:color="auto" w:fill="auto"/>
            <w:vAlign w:val="bottom"/>
            <w:hideMark/>
          </w:tcPr>
          <w:p w14:paraId="5E85F79E" w14:textId="77777777" w:rsidR="0081022C" w:rsidRPr="005B4E8E" w:rsidRDefault="0081022C" w:rsidP="005B4E8E">
            <w:pPr>
              <w:suppressAutoHyphens w:val="0"/>
              <w:spacing w:before="40" w:after="40" w:line="220" w:lineRule="exact"/>
              <w:jc w:val="right"/>
              <w:rPr>
                <w:sz w:val="18"/>
              </w:rPr>
            </w:pPr>
            <w:r w:rsidRPr="005B4E8E">
              <w:rPr>
                <w:sz w:val="18"/>
                <w:lang w:val="fr-FR"/>
              </w:rPr>
              <w:t>390 043</w:t>
            </w:r>
          </w:p>
        </w:tc>
        <w:tc>
          <w:tcPr>
            <w:tcW w:w="622" w:type="dxa"/>
            <w:tcBorders>
              <w:top w:val="single" w:sz="12" w:space="0" w:color="auto"/>
            </w:tcBorders>
            <w:shd w:val="clear" w:color="auto" w:fill="auto"/>
            <w:noWrap/>
            <w:vAlign w:val="bottom"/>
            <w:hideMark/>
          </w:tcPr>
          <w:p w14:paraId="54793F3D" w14:textId="77777777" w:rsidR="0081022C" w:rsidRPr="005B4E8E" w:rsidRDefault="0081022C" w:rsidP="005B4E8E">
            <w:pPr>
              <w:suppressAutoHyphens w:val="0"/>
              <w:spacing w:before="40" w:after="40" w:line="220" w:lineRule="exact"/>
              <w:jc w:val="right"/>
              <w:rPr>
                <w:sz w:val="18"/>
              </w:rPr>
            </w:pPr>
            <w:r w:rsidRPr="005B4E8E">
              <w:rPr>
                <w:sz w:val="18"/>
                <w:lang w:val="fr-FR"/>
              </w:rPr>
              <w:t>53,54</w:t>
            </w:r>
          </w:p>
        </w:tc>
        <w:tc>
          <w:tcPr>
            <w:tcW w:w="1071" w:type="dxa"/>
            <w:tcBorders>
              <w:top w:val="single" w:sz="12" w:space="0" w:color="auto"/>
            </w:tcBorders>
            <w:shd w:val="clear" w:color="auto" w:fill="auto"/>
            <w:vAlign w:val="bottom"/>
            <w:hideMark/>
          </w:tcPr>
          <w:p w14:paraId="4A7BF501" w14:textId="77777777" w:rsidR="0081022C" w:rsidRPr="005B4E8E" w:rsidRDefault="0081022C" w:rsidP="005B4E8E">
            <w:pPr>
              <w:suppressAutoHyphens w:val="0"/>
              <w:spacing w:before="40" w:after="40" w:line="220" w:lineRule="exact"/>
              <w:jc w:val="right"/>
              <w:rPr>
                <w:sz w:val="18"/>
              </w:rPr>
            </w:pPr>
            <w:r w:rsidRPr="005B4E8E">
              <w:rPr>
                <w:sz w:val="18"/>
                <w:lang w:val="fr-FR"/>
              </w:rPr>
              <w:t>881 341</w:t>
            </w:r>
          </w:p>
        </w:tc>
        <w:tc>
          <w:tcPr>
            <w:tcW w:w="923" w:type="dxa"/>
            <w:tcBorders>
              <w:top w:val="single" w:sz="12" w:space="0" w:color="auto"/>
            </w:tcBorders>
            <w:shd w:val="clear" w:color="auto" w:fill="auto"/>
            <w:vAlign w:val="bottom"/>
            <w:hideMark/>
          </w:tcPr>
          <w:p w14:paraId="10730C25" w14:textId="77777777" w:rsidR="0081022C" w:rsidRPr="005B4E8E" w:rsidRDefault="0081022C" w:rsidP="005B4E8E">
            <w:pPr>
              <w:suppressAutoHyphens w:val="0"/>
              <w:spacing w:before="40" w:after="40" w:line="220" w:lineRule="exact"/>
              <w:jc w:val="right"/>
              <w:rPr>
                <w:sz w:val="18"/>
              </w:rPr>
            </w:pPr>
            <w:r w:rsidRPr="005B4E8E">
              <w:rPr>
                <w:sz w:val="18"/>
                <w:lang w:val="fr-FR"/>
              </w:rPr>
              <w:t>741 151</w:t>
            </w:r>
          </w:p>
        </w:tc>
        <w:tc>
          <w:tcPr>
            <w:tcW w:w="520" w:type="dxa"/>
            <w:tcBorders>
              <w:top w:val="single" w:sz="12" w:space="0" w:color="auto"/>
            </w:tcBorders>
            <w:shd w:val="clear" w:color="auto" w:fill="auto"/>
            <w:noWrap/>
            <w:vAlign w:val="bottom"/>
            <w:hideMark/>
          </w:tcPr>
          <w:p w14:paraId="28A5A6AF" w14:textId="77777777" w:rsidR="0081022C" w:rsidRPr="005B4E8E" w:rsidRDefault="0081022C" w:rsidP="005B4E8E">
            <w:pPr>
              <w:suppressAutoHyphens w:val="0"/>
              <w:spacing w:before="40" w:after="40" w:line="220" w:lineRule="exact"/>
              <w:jc w:val="right"/>
              <w:rPr>
                <w:sz w:val="18"/>
              </w:rPr>
            </w:pPr>
            <w:r w:rsidRPr="005B4E8E">
              <w:rPr>
                <w:sz w:val="18"/>
                <w:lang w:val="fr-FR"/>
              </w:rPr>
              <w:t>84,09</w:t>
            </w:r>
          </w:p>
        </w:tc>
        <w:tc>
          <w:tcPr>
            <w:tcW w:w="944" w:type="dxa"/>
            <w:tcBorders>
              <w:top w:val="single" w:sz="12" w:space="0" w:color="auto"/>
            </w:tcBorders>
            <w:shd w:val="clear" w:color="auto" w:fill="auto"/>
            <w:vAlign w:val="bottom"/>
            <w:hideMark/>
          </w:tcPr>
          <w:p w14:paraId="75F846BC" w14:textId="77777777" w:rsidR="0081022C" w:rsidRPr="005B4E8E" w:rsidRDefault="0081022C" w:rsidP="005B4E8E">
            <w:pPr>
              <w:suppressAutoHyphens w:val="0"/>
              <w:spacing w:before="40" w:after="40" w:line="220" w:lineRule="exact"/>
              <w:jc w:val="right"/>
              <w:rPr>
                <w:sz w:val="18"/>
              </w:rPr>
            </w:pPr>
            <w:r w:rsidRPr="005B4E8E">
              <w:rPr>
                <w:sz w:val="18"/>
                <w:lang w:val="fr-FR"/>
              </w:rPr>
              <w:t>440 799</w:t>
            </w:r>
          </w:p>
        </w:tc>
      </w:tr>
      <w:tr w:rsidR="000A0F51" w:rsidRPr="005B4E8E" w14:paraId="54A74DAE" w14:textId="77777777" w:rsidTr="000A0F51">
        <w:tc>
          <w:tcPr>
            <w:tcW w:w="956" w:type="dxa"/>
            <w:shd w:val="clear" w:color="auto" w:fill="auto"/>
            <w:hideMark/>
          </w:tcPr>
          <w:p w14:paraId="3BEF0A2D" w14:textId="77777777" w:rsidR="0081022C" w:rsidRPr="005B4E8E" w:rsidRDefault="0081022C" w:rsidP="005B4E8E">
            <w:pPr>
              <w:suppressAutoHyphens w:val="0"/>
              <w:spacing w:before="40" w:after="40" w:line="220" w:lineRule="exact"/>
              <w:rPr>
                <w:sz w:val="18"/>
              </w:rPr>
            </w:pPr>
            <w:r w:rsidRPr="005B4E8E">
              <w:rPr>
                <w:sz w:val="18"/>
                <w:lang w:val="fr-FR"/>
              </w:rPr>
              <w:t>La Paz</w:t>
            </w:r>
          </w:p>
        </w:tc>
        <w:tc>
          <w:tcPr>
            <w:tcW w:w="1114" w:type="dxa"/>
            <w:shd w:val="clear" w:color="auto" w:fill="auto"/>
            <w:vAlign w:val="bottom"/>
            <w:hideMark/>
          </w:tcPr>
          <w:p w14:paraId="5C662A3A" w14:textId="77777777" w:rsidR="0081022C" w:rsidRPr="005B4E8E" w:rsidRDefault="0081022C" w:rsidP="005B4E8E">
            <w:pPr>
              <w:suppressAutoHyphens w:val="0"/>
              <w:spacing w:before="40" w:after="40" w:line="220" w:lineRule="exact"/>
              <w:jc w:val="right"/>
              <w:rPr>
                <w:sz w:val="18"/>
              </w:rPr>
            </w:pPr>
            <w:r w:rsidRPr="005B4E8E">
              <w:rPr>
                <w:sz w:val="18"/>
                <w:lang w:val="fr-FR"/>
              </w:rPr>
              <w:t>717 020</w:t>
            </w:r>
          </w:p>
        </w:tc>
        <w:tc>
          <w:tcPr>
            <w:tcW w:w="938" w:type="dxa"/>
            <w:shd w:val="clear" w:color="auto" w:fill="auto"/>
            <w:vAlign w:val="bottom"/>
            <w:hideMark/>
          </w:tcPr>
          <w:p w14:paraId="566ED0A8" w14:textId="77777777" w:rsidR="0081022C" w:rsidRPr="005B4E8E" w:rsidRDefault="0081022C" w:rsidP="005B4E8E">
            <w:pPr>
              <w:suppressAutoHyphens w:val="0"/>
              <w:spacing w:before="40" w:after="40" w:line="220" w:lineRule="exact"/>
              <w:jc w:val="right"/>
              <w:rPr>
                <w:sz w:val="18"/>
              </w:rPr>
            </w:pPr>
            <w:r w:rsidRPr="005B4E8E">
              <w:rPr>
                <w:sz w:val="18"/>
                <w:lang w:val="fr-FR"/>
              </w:rPr>
              <w:t>615 690</w:t>
            </w:r>
          </w:p>
        </w:tc>
        <w:tc>
          <w:tcPr>
            <w:tcW w:w="560" w:type="dxa"/>
            <w:shd w:val="clear" w:color="auto" w:fill="auto"/>
            <w:noWrap/>
            <w:vAlign w:val="bottom"/>
            <w:hideMark/>
          </w:tcPr>
          <w:p w14:paraId="744791D9" w14:textId="77777777" w:rsidR="0081022C" w:rsidRPr="005B4E8E" w:rsidRDefault="0081022C" w:rsidP="005B4E8E">
            <w:pPr>
              <w:suppressAutoHyphens w:val="0"/>
              <w:spacing w:before="40" w:after="40" w:line="220" w:lineRule="exact"/>
              <w:jc w:val="right"/>
              <w:rPr>
                <w:sz w:val="18"/>
              </w:rPr>
            </w:pPr>
            <w:r w:rsidRPr="005B4E8E">
              <w:rPr>
                <w:sz w:val="18"/>
                <w:lang w:val="fr-FR"/>
              </w:rPr>
              <w:t>85,87</w:t>
            </w:r>
          </w:p>
        </w:tc>
        <w:tc>
          <w:tcPr>
            <w:tcW w:w="1066" w:type="dxa"/>
            <w:shd w:val="clear" w:color="auto" w:fill="auto"/>
            <w:vAlign w:val="bottom"/>
            <w:hideMark/>
          </w:tcPr>
          <w:p w14:paraId="78B32358" w14:textId="77777777" w:rsidR="0081022C" w:rsidRPr="005B4E8E" w:rsidRDefault="0081022C" w:rsidP="005B4E8E">
            <w:pPr>
              <w:suppressAutoHyphens w:val="0"/>
              <w:spacing w:before="40" w:after="40" w:line="220" w:lineRule="exact"/>
              <w:jc w:val="right"/>
              <w:rPr>
                <w:sz w:val="18"/>
              </w:rPr>
            </w:pPr>
            <w:r w:rsidRPr="005B4E8E">
              <w:rPr>
                <w:sz w:val="18"/>
                <w:lang w:val="fr-FR"/>
              </w:rPr>
              <w:t>728 488</w:t>
            </w:r>
          </w:p>
        </w:tc>
        <w:tc>
          <w:tcPr>
            <w:tcW w:w="923" w:type="dxa"/>
            <w:shd w:val="clear" w:color="auto" w:fill="auto"/>
            <w:vAlign w:val="bottom"/>
            <w:hideMark/>
          </w:tcPr>
          <w:p w14:paraId="0B5FEE5E" w14:textId="77777777" w:rsidR="0081022C" w:rsidRPr="005B4E8E" w:rsidRDefault="0081022C" w:rsidP="005B4E8E">
            <w:pPr>
              <w:suppressAutoHyphens w:val="0"/>
              <w:spacing w:before="40" w:after="40" w:line="220" w:lineRule="exact"/>
              <w:jc w:val="right"/>
              <w:rPr>
                <w:sz w:val="18"/>
              </w:rPr>
            </w:pPr>
            <w:r w:rsidRPr="005B4E8E">
              <w:rPr>
                <w:sz w:val="18"/>
                <w:lang w:val="fr-FR"/>
              </w:rPr>
              <w:t>706 023</w:t>
            </w:r>
          </w:p>
        </w:tc>
        <w:tc>
          <w:tcPr>
            <w:tcW w:w="622" w:type="dxa"/>
            <w:shd w:val="clear" w:color="auto" w:fill="auto"/>
            <w:noWrap/>
            <w:vAlign w:val="bottom"/>
            <w:hideMark/>
          </w:tcPr>
          <w:p w14:paraId="7A484850" w14:textId="77777777" w:rsidR="0081022C" w:rsidRPr="005B4E8E" w:rsidRDefault="0081022C" w:rsidP="005B4E8E">
            <w:pPr>
              <w:suppressAutoHyphens w:val="0"/>
              <w:spacing w:before="40" w:after="40" w:line="220" w:lineRule="exact"/>
              <w:jc w:val="right"/>
              <w:rPr>
                <w:sz w:val="18"/>
              </w:rPr>
            </w:pPr>
            <w:r w:rsidRPr="005B4E8E">
              <w:rPr>
                <w:sz w:val="18"/>
                <w:lang w:val="fr-FR"/>
              </w:rPr>
              <w:t>96,92</w:t>
            </w:r>
          </w:p>
        </w:tc>
        <w:tc>
          <w:tcPr>
            <w:tcW w:w="1071" w:type="dxa"/>
            <w:shd w:val="clear" w:color="auto" w:fill="auto"/>
            <w:vAlign w:val="bottom"/>
            <w:hideMark/>
          </w:tcPr>
          <w:p w14:paraId="420B1FCC" w14:textId="77777777" w:rsidR="0081022C" w:rsidRPr="005B4E8E" w:rsidRDefault="0081022C" w:rsidP="005B4E8E">
            <w:pPr>
              <w:suppressAutoHyphens w:val="0"/>
              <w:spacing w:before="40" w:after="40" w:line="220" w:lineRule="exact"/>
              <w:jc w:val="right"/>
              <w:rPr>
                <w:sz w:val="18"/>
              </w:rPr>
            </w:pPr>
            <w:r w:rsidRPr="005B4E8E">
              <w:rPr>
                <w:sz w:val="18"/>
                <w:lang w:val="fr-FR"/>
              </w:rPr>
              <w:t>881 341</w:t>
            </w:r>
          </w:p>
        </w:tc>
        <w:tc>
          <w:tcPr>
            <w:tcW w:w="923" w:type="dxa"/>
            <w:shd w:val="clear" w:color="auto" w:fill="auto"/>
            <w:vAlign w:val="bottom"/>
            <w:hideMark/>
          </w:tcPr>
          <w:p w14:paraId="3FCF9CF7" w14:textId="77777777" w:rsidR="0081022C" w:rsidRPr="005B4E8E" w:rsidRDefault="0081022C" w:rsidP="005B4E8E">
            <w:pPr>
              <w:suppressAutoHyphens w:val="0"/>
              <w:spacing w:before="40" w:after="40" w:line="220" w:lineRule="exact"/>
              <w:jc w:val="right"/>
              <w:rPr>
                <w:sz w:val="18"/>
              </w:rPr>
            </w:pPr>
            <w:r w:rsidRPr="005B4E8E">
              <w:rPr>
                <w:sz w:val="18"/>
                <w:lang w:val="fr-FR"/>
              </w:rPr>
              <w:t>836 912</w:t>
            </w:r>
          </w:p>
        </w:tc>
        <w:tc>
          <w:tcPr>
            <w:tcW w:w="520" w:type="dxa"/>
            <w:shd w:val="clear" w:color="auto" w:fill="auto"/>
            <w:noWrap/>
            <w:vAlign w:val="bottom"/>
            <w:hideMark/>
          </w:tcPr>
          <w:p w14:paraId="1AC590FD" w14:textId="77777777" w:rsidR="0081022C" w:rsidRPr="005B4E8E" w:rsidRDefault="0081022C" w:rsidP="005B4E8E">
            <w:pPr>
              <w:suppressAutoHyphens w:val="0"/>
              <w:spacing w:before="40" w:after="40" w:line="220" w:lineRule="exact"/>
              <w:jc w:val="right"/>
              <w:rPr>
                <w:sz w:val="18"/>
              </w:rPr>
            </w:pPr>
            <w:r w:rsidRPr="005B4E8E">
              <w:rPr>
                <w:sz w:val="18"/>
                <w:lang w:val="fr-FR"/>
              </w:rPr>
              <w:t>94,96</w:t>
            </w:r>
          </w:p>
        </w:tc>
        <w:tc>
          <w:tcPr>
            <w:tcW w:w="944" w:type="dxa"/>
            <w:shd w:val="clear" w:color="auto" w:fill="auto"/>
            <w:vAlign w:val="bottom"/>
            <w:hideMark/>
          </w:tcPr>
          <w:p w14:paraId="28580AE9" w14:textId="77777777" w:rsidR="0081022C" w:rsidRPr="005B4E8E" w:rsidRDefault="0081022C" w:rsidP="005B4E8E">
            <w:pPr>
              <w:suppressAutoHyphens w:val="0"/>
              <w:spacing w:before="40" w:after="40" w:line="220" w:lineRule="exact"/>
              <w:jc w:val="right"/>
              <w:rPr>
                <w:sz w:val="18"/>
              </w:rPr>
            </w:pPr>
            <w:r w:rsidRPr="005B4E8E">
              <w:rPr>
                <w:sz w:val="18"/>
                <w:lang w:val="fr-FR"/>
              </w:rPr>
              <w:t>719 542</w:t>
            </w:r>
          </w:p>
        </w:tc>
      </w:tr>
      <w:tr w:rsidR="000A0F51" w:rsidRPr="005B4E8E" w14:paraId="4DFE2841" w14:textId="77777777" w:rsidTr="000A0F51">
        <w:tc>
          <w:tcPr>
            <w:tcW w:w="956" w:type="dxa"/>
            <w:shd w:val="clear" w:color="auto" w:fill="auto"/>
            <w:hideMark/>
          </w:tcPr>
          <w:p w14:paraId="315BFF87" w14:textId="77777777" w:rsidR="0081022C" w:rsidRPr="005B4E8E" w:rsidRDefault="0081022C" w:rsidP="005B4E8E">
            <w:pPr>
              <w:suppressAutoHyphens w:val="0"/>
              <w:spacing w:before="40" w:after="40" w:line="220" w:lineRule="exact"/>
              <w:rPr>
                <w:sz w:val="18"/>
              </w:rPr>
            </w:pPr>
            <w:r w:rsidRPr="005B4E8E">
              <w:rPr>
                <w:sz w:val="18"/>
                <w:lang w:val="fr-FR"/>
              </w:rPr>
              <w:t>Cochabamba</w:t>
            </w:r>
          </w:p>
        </w:tc>
        <w:tc>
          <w:tcPr>
            <w:tcW w:w="1114" w:type="dxa"/>
            <w:shd w:val="clear" w:color="auto" w:fill="auto"/>
            <w:vAlign w:val="bottom"/>
            <w:hideMark/>
          </w:tcPr>
          <w:p w14:paraId="3166A66D" w14:textId="77777777" w:rsidR="0081022C" w:rsidRPr="005B4E8E" w:rsidRDefault="0081022C" w:rsidP="005B4E8E">
            <w:pPr>
              <w:suppressAutoHyphens w:val="0"/>
              <w:spacing w:before="40" w:after="40" w:line="220" w:lineRule="exact"/>
              <w:jc w:val="right"/>
              <w:rPr>
                <w:sz w:val="18"/>
              </w:rPr>
            </w:pPr>
            <w:r w:rsidRPr="005B4E8E">
              <w:rPr>
                <w:sz w:val="18"/>
                <w:lang w:val="fr-FR"/>
              </w:rPr>
              <w:t>717 020</w:t>
            </w:r>
          </w:p>
        </w:tc>
        <w:tc>
          <w:tcPr>
            <w:tcW w:w="938" w:type="dxa"/>
            <w:shd w:val="clear" w:color="auto" w:fill="auto"/>
            <w:vAlign w:val="bottom"/>
            <w:hideMark/>
          </w:tcPr>
          <w:p w14:paraId="4A0B68E8" w14:textId="77777777" w:rsidR="0081022C" w:rsidRPr="005B4E8E" w:rsidRDefault="0081022C" w:rsidP="005B4E8E">
            <w:pPr>
              <w:suppressAutoHyphens w:val="0"/>
              <w:spacing w:before="40" w:after="40" w:line="220" w:lineRule="exact"/>
              <w:jc w:val="right"/>
              <w:rPr>
                <w:sz w:val="18"/>
              </w:rPr>
            </w:pPr>
            <w:r w:rsidRPr="005B4E8E">
              <w:rPr>
                <w:sz w:val="18"/>
                <w:lang w:val="fr-FR"/>
              </w:rPr>
              <w:t>668 430</w:t>
            </w:r>
          </w:p>
        </w:tc>
        <w:tc>
          <w:tcPr>
            <w:tcW w:w="560" w:type="dxa"/>
            <w:shd w:val="clear" w:color="auto" w:fill="auto"/>
            <w:noWrap/>
            <w:vAlign w:val="bottom"/>
            <w:hideMark/>
          </w:tcPr>
          <w:p w14:paraId="32C466CC" w14:textId="77777777" w:rsidR="0081022C" w:rsidRPr="005B4E8E" w:rsidRDefault="0081022C" w:rsidP="005B4E8E">
            <w:pPr>
              <w:suppressAutoHyphens w:val="0"/>
              <w:spacing w:before="40" w:after="40" w:line="220" w:lineRule="exact"/>
              <w:jc w:val="right"/>
              <w:rPr>
                <w:sz w:val="18"/>
              </w:rPr>
            </w:pPr>
            <w:r w:rsidRPr="005B4E8E">
              <w:rPr>
                <w:sz w:val="18"/>
                <w:lang w:val="fr-FR"/>
              </w:rPr>
              <w:t>93,22</w:t>
            </w:r>
          </w:p>
        </w:tc>
        <w:tc>
          <w:tcPr>
            <w:tcW w:w="1066" w:type="dxa"/>
            <w:shd w:val="clear" w:color="auto" w:fill="auto"/>
            <w:vAlign w:val="bottom"/>
            <w:hideMark/>
          </w:tcPr>
          <w:p w14:paraId="33A863C5" w14:textId="77777777" w:rsidR="0081022C" w:rsidRPr="005B4E8E" w:rsidRDefault="0081022C" w:rsidP="005B4E8E">
            <w:pPr>
              <w:suppressAutoHyphens w:val="0"/>
              <w:spacing w:before="40" w:after="40" w:line="220" w:lineRule="exact"/>
              <w:jc w:val="right"/>
              <w:rPr>
                <w:sz w:val="18"/>
              </w:rPr>
            </w:pPr>
            <w:r w:rsidRPr="005B4E8E">
              <w:rPr>
                <w:sz w:val="18"/>
                <w:lang w:val="fr-FR"/>
              </w:rPr>
              <w:t>728 488</w:t>
            </w:r>
          </w:p>
        </w:tc>
        <w:tc>
          <w:tcPr>
            <w:tcW w:w="923" w:type="dxa"/>
            <w:shd w:val="clear" w:color="auto" w:fill="auto"/>
            <w:vAlign w:val="bottom"/>
            <w:hideMark/>
          </w:tcPr>
          <w:p w14:paraId="5E08573A" w14:textId="77777777" w:rsidR="0081022C" w:rsidRPr="005B4E8E" w:rsidRDefault="0081022C" w:rsidP="005B4E8E">
            <w:pPr>
              <w:suppressAutoHyphens w:val="0"/>
              <w:spacing w:before="40" w:after="40" w:line="220" w:lineRule="exact"/>
              <w:jc w:val="right"/>
              <w:rPr>
                <w:sz w:val="18"/>
              </w:rPr>
            </w:pPr>
            <w:r w:rsidRPr="005B4E8E">
              <w:rPr>
                <w:sz w:val="18"/>
                <w:lang w:val="fr-FR"/>
              </w:rPr>
              <w:t>700 207</w:t>
            </w:r>
          </w:p>
        </w:tc>
        <w:tc>
          <w:tcPr>
            <w:tcW w:w="622" w:type="dxa"/>
            <w:shd w:val="clear" w:color="auto" w:fill="auto"/>
            <w:noWrap/>
            <w:vAlign w:val="bottom"/>
            <w:hideMark/>
          </w:tcPr>
          <w:p w14:paraId="01074409" w14:textId="77777777" w:rsidR="0081022C" w:rsidRPr="005B4E8E" w:rsidRDefault="0081022C" w:rsidP="005B4E8E">
            <w:pPr>
              <w:suppressAutoHyphens w:val="0"/>
              <w:spacing w:before="40" w:after="40" w:line="220" w:lineRule="exact"/>
              <w:jc w:val="right"/>
              <w:rPr>
                <w:sz w:val="18"/>
              </w:rPr>
            </w:pPr>
            <w:r w:rsidRPr="005B4E8E">
              <w:rPr>
                <w:sz w:val="18"/>
                <w:lang w:val="fr-FR"/>
              </w:rPr>
              <w:t>96,12</w:t>
            </w:r>
          </w:p>
        </w:tc>
        <w:tc>
          <w:tcPr>
            <w:tcW w:w="1071" w:type="dxa"/>
            <w:shd w:val="clear" w:color="auto" w:fill="auto"/>
            <w:vAlign w:val="bottom"/>
            <w:hideMark/>
          </w:tcPr>
          <w:p w14:paraId="0EC9B955" w14:textId="77777777" w:rsidR="0081022C" w:rsidRPr="005B4E8E" w:rsidRDefault="0081022C" w:rsidP="005B4E8E">
            <w:pPr>
              <w:suppressAutoHyphens w:val="0"/>
              <w:spacing w:before="40" w:after="40" w:line="220" w:lineRule="exact"/>
              <w:jc w:val="right"/>
              <w:rPr>
                <w:sz w:val="18"/>
              </w:rPr>
            </w:pPr>
            <w:r w:rsidRPr="005B4E8E">
              <w:rPr>
                <w:sz w:val="18"/>
                <w:lang w:val="fr-FR"/>
              </w:rPr>
              <w:t>587 561</w:t>
            </w:r>
          </w:p>
        </w:tc>
        <w:tc>
          <w:tcPr>
            <w:tcW w:w="923" w:type="dxa"/>
            <w:shd w:val="clear" w:color="auto" w:fill="auto"/>
            <w:vAlign w:val="bottom"/>
            <w:hideMark/>
          </w:tcPr>
          <w:p w14:paraId="6BD79DDC" w14:textId="77777777" w:rsidR="0081022C" w:rsidRPr="005B4E8E" w:rsidRDefault="0081022C" w:rsidP="005B4E8E">
            <w:pPr>
              <w:suppressAutoHyphens w:val="0"/>
              <w:spacing w:before="40" w:after="40" w:line="220" w:lineRule="exact"/>
              <w:jc w:val="right"/>
              <w:rPr>
                <w:sz w:val="18"/>
              </w:rPr>
            </w:pPr>
            <w:r w:rsidRPr="005B4E8E">
              <w:rPr>
                <w:sz w:val="18"/>
                <w:lang w:val="fr-FR"/>
              </w:rPr>
              <w:t>547 238</w:t>
            </w:r>
          </w:p>
        </w:tc>
        <w:tc>
          <w:tcPr>
            <w:tcW w:w="520" w:type="dxa"/>
            <w:shd w:val="clear" w:color="auto" w:fill="auto"/>
            <w:noWrap/>
            <w:vAlign w:val="bottom"/>
            <w:hideMark/>
          </w:tcPr>
          <w:p w14:paraId="49CFFE2A" w14:textId="77777777" w:rsidR="0081022C" w:rsidRPr="005B4E8E" w:rsidRDefault="0081022C" w:rsidP="005B4E8E">
            <w:pPr>
              <w:suppressAutoHyphens w:val="0"/>
              <w:spacing w:before="40" w:after="40" w:line="220" w:lineRule="exact"/>
              <w:jc w:val="right"/>
              <w:rPr>
                <w:sz w:val="18"/>
              </w:rPr>
            </w:pPr>
            <w:r w:rsidRPr="005B4E8E">
              <w:rPr>
                <w:sz w:val="18"/>
                <w:lang w:val="fr-FR"/>
              </w:rPr>
              <w:t>93,14</w:t>
            </w:r>
          </w:p>
        </w:tc>
        <w:tc>
          <w:tcPr>
            <w:tcW w:w="944" w:type="dxa"/>
            <w:shd w:val="clear" w:color="auto" w:fill="auto"/>
            <w:vAlign w:val="bottom"/>
            <w:hideMark/>
          </w:tcPr>
          <w:p w14:paraId="4B566F71" w14:textId="77777777" w:rsidR="0081022C" w:rsidRPr="005B4E8E" w:rsidRDefault="0081022C" w:rsidP="005B4E8E">
            <w:pPr>
              <w:suppressAutoHyphens w:val="0"/>
              <w:spacing w:before="40" w:after="40" w:line="220" w:lineRule="exact"/>
              <w:jc w:val="right"/>
              <w:rPr>
                <w:sz w:val="18"/>
              </w:rPr>
            </w:pPr>
            <w:r w:rsidRPr="005B4E8E">
              <w:rPr>
                <w:sz w:val="18"/>
                <w:lang w:val="fr-FR"/>
              </w:rPr>
              <w:t>638 625</w:t>
            </w:r>
          </w:p>
        </w:tc>
      </w:tr>
      <w:tr w:rsidR="000A0F51" w:rsidRPr="005B4E8E" w14:paraId="336FA10C" w14:textId="77777777" w:rsidTr="000A0F51">
        <w:tc>
          <w:tcPr>
            <w:tcW w:w="956" w:type="dxa"/>
            <w:shd w:val="clear" w:color="auto" w:fill="auto"/>
            <w:hideMark/>
          </w:tcPr>
          <w:p w14:paraId="2A5B162A" w14:textId="77777777" w:rsidR="0081022C" w:rsidRPr="005B4E8E" w:rsidRDefault="0081022C" w:rsidP="005B4E8E">
            <w:pPr>
              <w:suppressAutoHyphens w:val="0"/>
              <w:spacing w:before="40" w:after="40" w:line="220" w:lineRule="exact"/>
              <w:rPr>
                <w:sz w:val="18"/>
              </w:rPr>
            </w:pPr>
            <w:r w:rsidRPr="005B4E8E">
              <w:rPr>
                <w:sz w:val="18"/>
                <w:lang w:val="fr-FR"/>
              </w:rPr>
              <w:t>Oruro</w:t>
            </w:r>
          </w:p>
        </w:tc>
        <w:tc>
          <w:tcPr>
            <w:tcW w:w="1114" w:type="dxa"/>
            <w:shd w:val="clear" w:color="auto" w:fill="auto"/>
            <w:vAlign w:val="bottom"/>
            <w:hideMark/>
          </w:tcPr>
          <w:p w14:paraId="036E06DA" w14:textId="77777777" w:rsidR="0081022C" w:rsidRPr="005B4E8E" w:rsidRDefault="0081022C" w:rsidP="005B4E8E">
            <w:pPr>
              <w:suppressAutoHyphens w:val="0"/>
              <w:spacing w:before="40" w:after="40" w:line="220" w:lineRule="exact"/>
              <w:jc w:val="right"/>
              <w:rPr>
                <w:sz w:val="18"/>
              </w:rPr>
            </w:pPr>
            <w:r w:rsidRPr="005B4E8E">
              <w:rPr>
                <w:sz w:val="18"/>
                <w:lang w:val="fr-FR"/>
              </w:rPr>
              <w:t>684 478</w:t>
            </w:r>
          </w:p>
        </w:tc>
        <w:tc>
          <w:tcPr>
            <w:tcW w:w="938" w:type="dxa"/>
            <w:shd w:val="clear" w:color="auto" w:fill="auto"/>
            <w:vAlign w:val="bottom"/>
            <w:hideMark/>
          </w:tcPr>
          <w:p w14:paraId="2F099883" w14:textId="77777777" w:rsidR="0081022C" w:rsidRPr="005B4E8E" w:rsidRDefault="0081022C" w:rsidP="005B4E8E">
            <w:pPr>
              <w:suppressAutoHyphens w:val="0"/>
              <w:spacing w:before="40" w:after="40" w:line="220" w:lineRule="exact"/>
              <w:jc w:val="right"/>
              <w:rPr>
                <w:sz w:val="18"/>
              </w:rPr>
            </w:pPr>
            <w:r w:rsidRPr="005B4E8E">
              <w:rPr>
                <w:sz w:val="18"/>
                <w:lang w:val="fr-FR"/>
              </w:rPr>
              <w:t>0</w:t>
            </w:r>
          </w:p>
        </w:tc>
        <w:tc>
          <w:tcPr>
            <w:tcW w:w="560" w:type="dxa"/>
            <w:shd w:val="clear" w:color="auto" w:fill="auto"/>
            <w:noWrap/>
            <w:vAlign w:val="bottom"/>
            <w:hideMark/>
          </w:tcPr>
          <w:p w14:paraId="1E2C9FBA" w14:textId="77777777" w:rsidR="0081022C" w:rsidRPr="005B4E8E" w:rsidRDefault="0081022C" w:rsidP="005B4E8E">
            <w:pPr>
              <w:suppressAutoHyphens w:val="0"/>
              <w:spacing w:before="40" w:after="40" w:line="220" w:lineRule="exact"/>
              <w:jc w:val="right"/>
              <w:rPr>
                <w:sz w:val="18"/>
              </w:rPr>
            </w:pPr>
            <w:r w:rsidRPr="005B4E8E">
              <w:rPr>
                <w:sz w:val="18"/>
                <w:lang w:val="fr-FR"/>
              </w:rPr>
              <w:t>0,00</w:t>
            </w:r>
          </w:p>
        </w:tc>
        <w:tc>
          <w:tcPr>
            <w:tcW w:w="1066" w:type="dxa"/>
            <w:shd w:val="clear" w:color="auto" w:fill="auto"/>
            <w:vAlign w:val="bottom"/>
            <w:hideMark/>
          </w:tcPr>
          <w:p w14:paraId="30F856A6" w14:textId="77777777" w:rsidR="0081022C" w:rsidRPr="005B4E8E" w:rsidRDefault="0081022C" w:rsidP="005B4E8E">
            <w:pPr>
              <w:suppressAutoHyphens w:val="0"/>
              <w:spacing w:before="40" w:after="40" w:line="220" w:lineRule="exact"/>
              <w:jc w:val="right"/>
              <w:rPr>
                <w:sz w:val="18"/>
              </w:rPr>
            </w:pPr>
            <w:r w:rsidRPr="005B4E8E">
              <w:rPr>
                <w:sz w:val="18"/>
                <w:lang w:val="fr-FR"/>
              </w:rPr>
              <w:t>2.847 100</w:t>
            </w:r>
          </w:p>
        </w:tc>
        <w:tc>
          <w:tcPr>
            <w:tcW w:w="923" w:type="dxa"/>
            <w:shd w:val="clear" w:color="auto" w:fill="auto"/>
            <w:vAlign w:val="bottom"/>
            <w:hideMark/>
          </w:tcPr>
          <w:p w14:paraId="4220DAFF" w14:textId="77777777" w:rsidR="0081022C" w:rsidRPr="005B4E8E" w:rsidRDefault="0081022C" w:rsidP="005B4E8E">
            <w:pPr>
              <w:suppressAutoHyphens w:val="0"/>
              <w:spacing w:before="40" w:after="40" w:line="220" w:lineRule="exact"/>
              <w:jc w:val="right"/>
              <w:rPr>
                <w:sz w:val="18"/>
              </w:rPr>
            </w:pPr>
            <w:r w:rsidRPr="005B4E8E">
              <w:rPr>
                <w:sz w:val="18"/>
                <w:lang w:val="fr-FR"/>
              </w:rPr>
              <w:t>0</w:t>
            </w:r>
          </w:p>
        </w:tc>
        <w:tc>
          <w:tcPr>
            <w:tcW w:w="622" w:type="dxa"/>
            <w:shd w:val="clear" w:color="auto" w:fill="auto"/>
            <w:noWrap/>
            <w:vAlign w:val="bottom"/>
            <w:hideMark/>
          </w:tcPr>
          <w:p w14:paraId="017E476D" w14:textId="77777777" w:rsidR="0081022C" w:rsidRPr="005B4E8E" w:rsidRDefault="0081022C" w:rsidP="005B4E8E">
            <w:pPr>
              <w:suppressAutoHyphens w:val="0"/>
              <w:spacing w:before="40" w:after="40" w:line="220" w:lineRule="exact"/>
              <w:jc w:val="right"/>
              <w:rPr>
                <w:sz w:val="18"/>
              </w:rPr>
            </w:pPr>
            <w:r w:rsidRPr="005B4E8E">
              <w:rPr>
                <w:sz w:val="18"/>
                <w:lang w:val="fr-FR"/>
              </w:rPr>
              <w:t>0,00</w:t>
            </w:r>
          </w:p>
        </w:tc>
        <w:tc>
          <w:tcPr>
            <w:tcW w:w="1071" w:type="dxa"/>
            <w:shd w:val="clear" w:color="auto" w:fill="auto"/>
            <w:vAlign w:val="bottom"/>
            <w:hideMark/>
          </w:tcPr>
          <w:p w14:paraId="6486CB74" w14:textId="77777777" w:rsidR="0081022C" w:rsidRPr="005B4E8E" w:rsidRDefault="0081022C" w:rsidP="005B4E8E">
            <w:pPr>
              <w:suppressAutoHyphens w:val="0"/>
              <w:spacing w:before="40" w:after="40" w:line="220" w:lineRule="exact"/>
              <w:jc w:val="right"/>
              <w:rPr>
                <w:sz w:val="18"/>
              </w:rPr>
            </w:pPr>
            <w:r w:rsidRPr="005B4E8E">
              <w:rPr>
                <w:sz w:val="18"/>
                <w:lang w:val="fr-FR"/>
              </w:rPr>
              <w:t>2 544 000</w:t>
            </w:r>
          </w:p>
        </w:tc>
        <w:tc>
          <w:tcPr>
            <w:tcW w:w="923" w:type="dxa"/>
            <w:shd w:val="clear" w:color="auto" w:fill="auto"/>
            <w:vAlign w:val="bottom"/>
            <w:hideMark/>
          </w:tcPr>
          <w:p w14:paraId="22381D73" w14:textId="77777777" w:rsidR="0081022C" w:rsidRPr="005B4E8E" w:rsidRDefault="0081022C" w:rsidP="005B4E8E">
            <w:pPr>
              <w:suppressAutoHyphens w:val="0"/>
              <w:spacing w:before="40" w:after="40" w:line="220" w:lineRule="exact"/>
              <w:jc w:val="right"/>
              <w:rPr>
                <w:sz w:val="18"/>
              </w:rPr>
            </w:pPr>
            <w:r w:rsidRPr="005B4E8E">
              <w:rPr>
                <w:sz w:val="18"/>
                <w:lang w:val="fr-FR"/>
              </w:rPr>
              <w:t>0</w:t>
            </w:r>
          </w:p>
        </w:tc>
        <w:tc>
          <w:tcPr>
            <w:tcW w:w="520" w:type="dxa"/>
            <w:shd w:val="clear" w:color="auto" w:fill="auto"/>
            <w:noWrap/>
            <w:vAlign w:val="bottom"/>
            <w:hideMark/>
          </w:tcPr>
          <w:p w14:paraId="5DCE90D4" w14:textId="77777777" w:rsidR="0081022C" w:rsidRPr="005B4E8E" w:rsidRDefault="0081022C" w:rsidP="005B4E8E">
            <w:pPr>
              <w:suppressAutoHyphens w:val="0"/>
              <w:spacing w:before="40" w:after="40" w:line="220" w:lineRule="exact"/>
              <w:jc w:val="right"/>
              <w:rPr>
                <w:sz w:val="18"/>
              </w:rPr>
            </w:pPr>
            <w:r w:rsidRPr="005B4E8E">
              <w:rPr>
                <w:sz w:val="18"/>
                <w:lang w:val="fr-FR"/>
              </w:rPr>
              <w:t>0,00</w:t>
            </w:r>
          </w:p>
        </w:tc>
        <w:tc>
          <w:tcPr>
            <w:tcW w:w="944" w:type="dxa"/>
            <w:shd w:val="clear" w:color="auto" w:fill="auto"/>
            <w:vAlign w:val="bottom"/>
            <w:hideMark/>
          </w:tcPr>
          <w:p w14:paraId="5896FCDD" w14:textId="77777777" w:rsidR="0081022C" w:rsidRPr="005B4E8E" w:rsidRDefault="0081022C" w:rsidP="005B4E8E">
            <w:pPr>
              <w:suppressAutoHyphens w:val="0"/>
              <w:spacing w:before="40" w:after="40" w:line="220" w:lineRule="exact"/>
              <w:jc w:val="right"/>
              <w:rPr>
                <w:sz w:val="18"/>
              </w:rPr>
            </w:pPr>
            <w:r w:rsidRPr="005B4E8E">
              <w:rPr>
                <w:sz w:val="18"/>
                <w:lang w:val="fr-FR"/>
              </w:rPr>
              <w:t>0</w:t>
            </w:r>
          </w:p>
        </w:tc>
      </w:tr>
      <w:tr w:rsidR="000A0F51" w:rsidRPr="005B4E8E" w14:paraId="786BD272" w14:textId="77777777" w:rsidTr="000A0F51">
        <w:tc>
          <w:tcPr>
            <w:tcW w:w="956" w:type="dxa"/>
            <w:shd w:val="clear" w:color="auto" w:fill="auto"/>
            <w:hideMark/>
          </w:tcPr>
          <w:p w14:paraId="5C821F60" w14:textId="77777777" w:rsidR="0081022C" w:rsidRPr="005B4E8E" w:rsidRDefault="0081022C" w:rsidP="005B4E8E">
            <w:pPr>
              <w:suppressAutoHyphens w:val="0"/>
              <w:spacing w:before="40" w:after="40" w:line="220" w:lineRule="exact"/>
              <w:rPr>
                <w:sz w:val="18"/>
              </w:rPr>
            </w:pPr>
            <w:r w:rsidRPr="005B4E8E">
              <w:rPr>
                <w:sz w:val="18"/>
                <w:lang w:val="fr-FR"/>
              </w:rPr>
              <w:t>Potosí</w:t>
            </w:r>
          </w:p>
        </w:tc>
        <w:tc>
          <w:tcPr>
            <w:tcW w:w="1114" w:type="dxa"/>
            <w:shd w:val="clear" w:color="auto" w:fill="auto"/>
            <w:vAlign w:val="bottom"/>
            <w:hideMark/>
          </w:tcPr>
          <w:p w14:paraId="06FA93CC" w14:textId="77777777" w:rsidR="0081022C" w:rsidRPr="005B4E8E" w:rsidRDefault="0081022C" w:rsidP="005B4E8E">
            <w:pPr>
              <w:suppressAutoHyphens w:val="0"/>
              <w:spacing w:before="40" w:after="40" w:line="220" w:lineRule="exact"/>
              <w:jc w:val="right"/>
              <w:rPr>
                <w:sz w:val="18"/>
              </w:rPr>
            </w:pPr>
            <w:r w:rsidRPr="005B4E8E">
              <w:rPr>
                <w:sz w:val="18"/>
                <w:lang w:val="fr-FR"/>
              </w:rPr>
              <w:t>1 185 919</w:t>
            </w:r>
          </w:p>
        </w:tc>
        <w:tc>
          <w:tcPr>
            <w:tcW w:w="938" w:type="dxa"/>
            <w:shd w:val="clear" w:color="auto" w:fill="auto"/>
            <w:vAlign w:val="bottom"/>
            <w:hideMark/>
          </w:tcPr>
          <w:p w14:paraId="5604BE7E" w14:textId="77777777" w:rsidR="0081022C" w:rsidRPr="005B4E8E" w:rsidRDefault="0081022C" w:rsidP="005B4E8E">
            <w:pPr>
              <w:suppressAutoHyphens w:val="0"/>
              <w:spacing w:before="40" w:after="40" w:line="220" w:lineRule="exact"/>
              <w:jc w:val="right"/>
              <w:rPr>
                <w:sz w:val="18"/>
              </w:rPr>
            </w:pPr>
            <w:r w:rsidRPr="005B4E8E">
              <w:rPr>
                <w:sz w:val="18"/>
                <w:lang w:val="fr-FR"/>
              </w:rPr>
              <w:t>240 410</w:t>
            </w:r>
          </w:p>
        </w:tc>
        <w:tc>
          <w:tcPr>
            <w:tcW w:w="560" w:type="dxa"/>
            <w:shd w:val="clear" w:color="auto" w:fill="auto"/>
            <w:noWrap/>
            <w:vAlign w:val="bottom"/>
            <w:hideMark/>
          </w:tcPr>
          <w:p w14:paraId="0F0CC942" w14:textId="77777777" w:rsidR="0081022C" w:rsidRPr="005B4E8E" w:rsidRDefault="0081022C" w:rsidP="005B4E8E">
            <w:pPr>
              <w:suppressAutoHyphens w:val="0"/>
              <w:spacing w:before="40" w:after="40" w:line="220" w:lineRule="exact"/>
              <w:jc w:val="right"/>
              <w:rPr>
                <w:sz w:val="18"/>
              </w:rPr>
            </w:pPr>
            <w:r w:rsidRPr="005B4E8E">
              <w:rPr>
                <w:sz w:val="18"/>
                <w:lang w:val="fr-FR"/>
              </w:rPr>
              <w:t>20,27</w:t>
            </w:r>
          </w:p>
        </w:tc>
        <w:tc>
          <w:tcPr>
            <w:tcW w:w="1066" w:type="dxa"/>
            <w:shd w:val="clear" w:color="auto" w:fill="auto"/>
            <w:vAlign w:val="bottom"/>
            <w:hideMark/>
          </w:tcPr>
          <w:p w14:paraId="7891A883" w14:textId="77777777" w:rsidR="0081022C" w:rsidRPr="005B4E8E" w:rsidRDefault="0081022C" w:rsidP="005B4E8E">
            <w:pPr>
              <w:suppressAutoHyphens w:val="0"/>
              <w:spacing w:before="40" w:after="40" w:line="220" w:lineRule="exact"/>
              <w:jc w:val="right"/>
              <w:rPr>
                <w:sz w:val="18"/>
              </w:rPr>
            </w:pPr>
            <w:r w:rsidRPr="005B4E8E">
              <w:rPr>
                <w:sz w:val="18"/>
                <w:lang w:val="fr-FR"/>
              </w:rPr>
              <w:t>864 744</w:t>
            </w:r>
          </w:p>
        </w:tc>
        <w:tc>
          <w:tcPr>
            <w:tcW w:w="923" w:type="dxa"/>
            <w:shd w:val="clear" w:color="auto" w:fill="auto"/>
            <w:vAlign w:val="bottom"/>
            <w:hideMark/>
          </w:tcPr>
          <w:p w14:paraId="06FAAAFF" w14:textId="77777777" w:rsidR="0081022C" w:rsidRPr="005B4E8E" w:rsidRDefault="0081022C" w:rsidP="005B4E8E">
            <w:pPr>
              <w:suppressAutoHyphens w:val="0"/>
              <w:spacing w:before="40" w:after="40" w:line="220" w:lineRule="exact"/>
              <w:jc w:val="right"/>
              <w:rPr>
                <w:sz w:val="18"/>
              </w:rPr>
            </w:pPr>
            <w:r w:rsidRPr="005B4E8E">
              <w:rPr>
                <w:sz w:val="18"/>
                <w:lang w:val="fr-FR"/>
              </w:rPr>
              <w:t>159 443</w:t>
            </w:r>
          </w:p>
        </w:tc>
        <w:tc>
          <w:tcPr>
            <w:tcW w:w="622" w:type="dxa"/>
            <w:shd w:val="clear" w:color="auto" w:fill="auto"/>
            <w:noWrap/>
            <w:vAlign w:val="bottom"/>
            <w:hideMark/>
          </w:tcPr>
          <w:p w14:paraId="597EA06C" w14:textId="77777777" w:rsidR="0081022C" w:rsidRPr="005B4E8E" w:rsidRDefault="0081022C" w:rsidP="005B4E8E">
            <w:pPr>
              <w:suppressAutoHyphens w:val="0"/>
              <w:spacing w:before="40" w:after="40" w:line="220" w:lineRule="exact"/>
              <w:jc w:val="right"/>
              <w:rPr>
                <w:sz w:val="18"/>
              </w:rPr>
            </w:pPr>
            <w:r w:rsidRPr="005B4E8E">
              <w:rPr>
                <w:sz w:val="18"/>
                <w:lang w:val="fr-FR"/>
              </w:rPr>
              <w:t>18,44</w:t>
            </w:r>
          </w:p>
        </w:tc>
        <w:tc>
          <w:tcPr>
            <w:tcW w:w="1071" w:type="dxa"/>
            <w:shd w:val="clear" w:color="auto" w:fill="auto"/>
            <w:vAlign w:val="bottom"/>
            <w:hideMark/>
          </w:tcPr>
          <w:p w14:paraId="69DD3A61" w14:textId="77777777" w:rsidR="0081022C" w:rsidRPr="005B4E8E" w:rsidRDefault="0081022C" w:rsidP="005B4E8E">
            <w:pPr>
              <w:suppressAutoHyphens w:val="0"/>
              <w:spacing w:before="40" w:after="40" w:line="220" w:lineRule="exact"/>
              <w:jc w:val="right"/>
              <w:rPr>
                <w:sz w:val="18"/>
              </w:rPr>
            </w:pPr>
            <w:r w:rsidRPr="005B4E8E">
              <w:rPr>
                <w:sz w:val="18"/>
                <w:lang w:val="fr-FR"/>
              </w:rPr>
              <w:t>787 561</w:t>
            </w:r>
          </w:p>
        </w:tc>
        <w:tc>
          <w:tcPr>
            <w:tcW w:w="923" w:type="dxa"/>
            <w:shd w:val="clear" w:color="auto" w:fill="auto"/>
            <w:vAlign w:val="bottom"/>
            <w:hideMark/>
          </w:tcPr>
          <w:p w14:paraId="671591B3" w14:textId="77777777" w:rsidR="0081022C" w:rsidRPr="005B4E8E" w:rsidRDefault="0081022C" w:rsidP="005B4E8E">
            <w:pPr>
              <w:suppressAutoHyphens w:val="0"/>
              <w:spacing w:before="40" w:after="40" w:line="220" w:lineRule="exact"/>
              <w:jc w:val="right"/>
              <w:rPr>
                <w:sz w:val="18"/>
              </w:rPr>
            </w:pPr>
            <w:r w:rsidRPr="005B4E8E">
              <w:rPr>
                <w:sz w:val="18"/>
                <w:lang w:val="fr-FR"/>
              </w:rPr>
              <w:t>391 754</w:t>
            </w:r>
          </w:p>
        </w:tc>
        <w:tc>
          <w:tcPr>
            <w:tcW w:w="520" w:type="dxa"/>
            <w:shd w:val="clear" w:color="auto" w:fill="auto"/>
            <w:noWrap/>
            <w:vAlign w:val="bottom"/>
            <w:hideMark/>
          </w:tcPr>
          <w:p w14:paraId="41836089" w14:textId="77777777" w:rsidR="0081022C" w:rsidRPr="005B4E8E" w:rsidRDefault="0081022C" w:rsidP="005B4E8E">
            <w:pPr>
              <w:suppressAutoHyphens w:val="0"/>
              <w:spacing w:before="40" w:after="40" w:line="220" w:lineRule="exact"/>
              <w:jc w:val="right"/>
              <w:rPr>
                <w:sz w:val="18"/>
              </w:rPr>
            </w:pPr>
            <w:r w:rsidRPr="005B4E8E">
              <w:rPr>
                <w:sz w:val="18"/>
                <w:lang w:val="fr-FR"/>
              </w:rPr>
              <w:t>49,74</w:t>
            </w:r>
          </w:p>
        </w:tc>
        <w:tc>
          <w:tcPr>
            <w:tcW w:w="944" w:type="dxa"/>
            <w:shd w:val="clear" w:color="auto" w:fill="auto"/>
            <w:vAlign w:val="bottom"/>
            <w:hideMark/>
          </w:tcPr>
          <w:p w14:paraId="681B3FCF" w14:textId="77777777" w:rsidR="0081022C" w:rsidRPr="005B4E8E" w:rsidRDefault="0081022C" w:rsidP="005B4E8E">
            <w:pPr>
              <w:suppressAutoHyphens w:val="0"/>
              <w:spacing w:before="40" w:after="40" w:line="220" w:lineRule="exact"/>
              <w:jc w:val="right"/>
              <w:rPr>
                <w:sz w:val="18"/>
              </w:rPr>
            </w:pPr>
            <w:r w:rsidRPr="005B4E8E">
              <w:rPr>
                <w:sz w:val="18"/>
                <w:lang w:val="fr-FR"/>
              </w:rPr>
              <w:t>263 869</w:t>
            </w:r>
          </w:p>
        </w:tc>
      </w:tr>
      <w:tr w:rsidR="000A0F51" w:rsidRPr="005B4E8E" w14:paraId="267BD3C3" w14:textId="77777777" w:rsidTr="000A0F51">
        <w:tc>
          <w:tcPr>
            <w:tcW w:w="956" w:type="dxa"/>
            <w:shd w:val="clear" w:color="auto" w:fill="auto"/>
            <w:hideMark/>
          </w:tcPr>
          <w:p w14:paraId="5B754EFB" w14:textId="77777777" w:rsidR="0081022C" w:rsidRPr="005B4E8E" w:rsidRDefault="0081022C" w:rsidP="005B4E8E">
            <w:pPr>
              <w:suppressAutoHyphens w:val="0"/>
              <w:spacing w:before="40" w:after="40" w:line="220" w:lineRule="exact"/>
              <w:rPr>
                <w:sz w:val="18"/>
              </w:rPr>
            </w:pPr>
            <w:r w:rsidRPr="005B4E8E">
              <w:rPr>
                <w:sz w:val="18"/>
                <w:lang w:val="fr-FR"/>
              </w:rPr>
              <w:t>Tarija</w:t>
            </w:r>
          </w:p>
        </w:tc>
        <w:tc>
          <w:tcPr>
            <w:tcW w:w="1114" w:type="dxa"/>
            <w:shd w:val="clear" w:color="auto" w:fill="auto"/>
            <w:vAlign w:val="bottom"/>
            <w:hideMark/>
          </w:tcPr>
          <w:p w14:paraId="3E63DEDB" w14:textId="77777777" w:rsidR="0081022C" w:rsidRPr="005B4E8E" w:rsidRDefault="0081022C" w:rsidP="005B4E8E">
            <w:pPr>
              <w:suppressAutoHyphens w:val="0"/>
              <w:spacing w:before="40" w:after="40" w:line="220" w:lineRule="exact"/>
              <w:jc w:val="right"/>
              <w:rPr>
                <w:sz w:val="18"/>
              </w:rPr>
            </w:pPr>
            <w:r w:rsidRPr="005B4E8E">
              <w:rPr>
                <w:sz w:val="18"/>
                <w:lang w:val="fr-FR"/>
              </w:rPr>
              <w:t>6 695 669</w:t>
            </w:r>
          </w:p>
        </w:tc>
        <w:tc>
          <w:tcPr>
            <w:tcW w:w="938" w:type="dxa"/>
            <w:shd w:val="clear" w:color="auto" w:fill="auto"/>
            <w:vAlign w:val="bottom"/>
            <w:hideMark/>
          </w:tcPr>
          <w:p w14:paraId="18695213" w14:textId="77777777" w:rsidR="0081022C" w:rsidRPr="005B4E8E" w:rsidRDefault="0081022C" w:rsidP="005B4E8E">
            <w:pPr>
              <w:suppressAutoHyphens w:val="0"/>
              <w:spacing w:before="40" w:after="40" w:line="220" w:lineRule="exact"/>
              <w:jc w:val="right"/>
              <w:rPr>
                <w:sz w:val="18"/>
              </w:rPr>
            </w:pPr>
            <w:r w:rsidRPr="005B4E8E">
              <w:rPr>
                <w:sz w:val="18"/>
                <w:lang w:val="fr-FR"/>
              </w:rPr>
              <w:t>5 116 621</w:t>
            </w:r>
          </w:p>
        </w:tc>
        <w:tc>
          <w:tcPr>
            <w:tcW w:w="560" w:type="dxa"/>
            <w:shd w:val="clear" w:color="auto" w:fill="auto"/>
            <w:noWrap/>
            <w:vAlign w:val="bottom"/>
            <w:hideMark/>
          </w:tcPr>
          <w:p w14:paraId="1B7E6691" w14:textId="77777777" w:rsidR="0081022C" w:rsidRPr="005B4E8E" w:rsidRDefault="0081022C" w:rsidP="005B4E8E">
            <w:pPr>
              <w:suppressAutoHyphens w:val="0"/>
              <w:spacing w:before="40" w:after="40" w:line="220" w:lineRule="exact"/>
              <w:jc w:val="right"/>
              <w:rPr>
                <w:sz w:val="18"/>
              </w:rPr>
            </w:pPr>
            <w:r w:rsidRPr="005B4E8E">
              <w:rPr>
                <w:sz w:val="18"/>
                <w:lang w:val="fr-FR"/>
              </w:rPr>
              <w:t>76,42</w:t>
            </w:r>
          </w:p>
        </w:tc>
        <w:tc>
          <w:tcPr>
            <w:tcW w:w="1066" w:type="dxa"/>
            <w:shd w:val="clear" w:color="auto" w:fill="auto"/>
            <w:vAlign w:val="bottom"/>
            <w:hideMark/>
          </w:tcPr>
          <w:p w14:paraId="5B317CF9" w14:textId="77777777" w:rsidR="0081022C" w:rsidRPr="005B4E8E" w:rsidRDefault="0081022C" w:rsidP="005B4E8E">
            <w:pPr>
              <w:suppressAutoHyphens w:val="0"/>
              <w:spacing w:before="40" w:after="40" w:line="220" w:lineRule="exact"/>
              <w:jc w:val="right"/>
              <w:rPr>
                <w:sz w:val="18"/>
              </w:rPr>
            </w:pPr>
            <w:r w:rsidRPr="005B4E8E">
              <w:rPr>
                <w:sz w:val="18"/>
                <w:lang w:val="fr-FR"/>
              </w:rPr>
              <w:t>7 551 829</w:t>
            </w:r>
          </w:p>
        </w:tc>
        <w:tc>
          <w:tcPr>
            <w:tcW w:w="923" w:type="dxa"/>
            <w:shd w:val="clear" w:color="auto" w:fill="auto"/>
            <w:vAlign w:val="bottom"/>
            <w:hideMark/>
          </w:tcPr>
          <w:p w14:paraId="1494546C" w14:textId="77777777" w:rsidR="0081022C" w:rsidRPr="005B4E8E" w:rsidRDefault="0081022C" w:rsidP="005B4E8E">
            <w:pPr>
              <w:suppressAutoHyphens w:val="0"/>
              <w:spacing w:before="40" w:after="40" w:line="220" w:lineRule="exact"/>
              <w:jc w:val="right"/>
              <w:rPr>
                <w:sz w:val="18"/>
              </w:rPr>
            </w:pPr>
            <w:r w:rsidRPr="005B4E8E">
              <w:rPr>
                <w:sz w:val="18"/>
                <w:lang w:val="fr-FR"/>
              </w:rPr>
              <w:t>4 773 863</w:t>
            </w:r>
          </w:p>
        </w:tc>
        <w:tc>
          <w:tcPr>
            <w:tcW w:w="622" w:type="dxa"/>
            <w:shd w:val="clear" w:color="auto" w:fill="auto"/>
            <w:noWrap/>
            <w:vAlign w:val="bottom"/>
            <w:hideMark/>
          </w:tcPr>
          <w:p w14:paraId="19775F4B" w14:textId="77777777" w:rsidR="0081022C" w:rsidRPr="005B4E8E" w:rsidRDefault="0081022C" w:rsidP="005B4E8E">
            <w:pPr>
              <w:suppressAutoHyphens w:val="0"/>
              <w:spacing w:before="40" w:after="40" w:line="220" w:lineRule="exact"/>
              <w:jc w:val="right"/>
              <w:rPr>
                <w:sz w:val="18"/>
              </w:rPr>
            </w:pPr>
            <w:r w:rsidRPr="005B4E8E">
              <w:rPr>
                <w:sz w:val="18"/>
                <w:lang w:val="fr-FR"/>
              </w:rPr>
              <w:t>63,21</w:t>
            </w:r>
          </w:p>
        </w:tc>
        <w:tc>
          <w:tcPr>
            <w:tcW w:w="1071" w:type="dxa"/>
            <w:shd w:val="clear" w:color="auto" w:fill="auto"/>
            <w:vAlign w:val="bottom"/>
            <w:hideMark/>
          </w:tcPr>
          <w:p w14:paraId="138F9298" w14:textId="77777777" w:rsidR="0081022C" w:rsidRPr="005B4E8E" w:rsidRDefault="0081022C" w:rsidP="005B4E8E">
            <w:pPr>
              <w:suppressAutoHyphens w:val="0"/>
              <w:spacing w:before="40" w:after="40" w:line="220" w:lineRule="exact"/>
              <w:jc w:val="right"/>
              <w:rPr>
                <w:sz w:val="18"/>
              </w:rPr>
            </w:pPr>
            <w:r w:rsidRPr="005B4E8E">
              <w:rPr>
                <w:sz w:val="18"/>
                <w:lang w:val="fr-FR"/>
              </w:rPr>
              <w:t>10 814 962</w:t>
            </w:r>
          </w:p>
        </w:tc>
        <w:tc>
          <w:tcPr>
            <w:tcW w:w="923" w:type="dxa"/>
            <w:shd w:val="clear" w:color="auto" w:fill="auto"/>
            <w:vAlign w:val="bottom"/>
            <w:hideMark/>
          </w:tcPr>
          <w:p w14:paraId="05F79C9A" w14:textId="77777777" w:rsidR="0081022C" w:rsidRPr="005B4E8E" w:rsidRDefault="0081022C" w:rsidP="005B4E8E">
            <w:pPr>
              <w:suppressAutoHyphens w:val="0"/>
              <w:spacing w:before="40" w:after="40" w:line="220" w:lineRule="exact"/>
              <w:jc w:val="right"/>
              <w:rPr>
                <w:sz w:val="18"/>
              </w:rPr>
            </w:pPr>
            <w:r w:rsidRPr="005B4E8E">
              <w:rPr>
                <w:sz w:val="18"/>
                <w:lang w:val="fr-FR"/>
              </w:rPr>
              <w:t>9 194 299</w:t>
            </w:r>
          </w:p>
        </w:tc>
        <w:tc>
          <w:tcPr>
            <w:tcW w:w="520" w:type="dxa"/>
            <w:shd w:val="clear" w:color="auto" w:fill="auto"/>
            <w:noWrap/>
            <w:vAlign w:val="bottom"/>
            <w:hideMark/>
          </w:tcPr>
          <w:p w14:paraId="073F6916" w14:textId="77777777" w:rsidR="0081022C" w:rsidRPr="005B4E8E" w:rsidRDefault="0081022C" w:rsidP="005B4E8E">
            <w:pPr>
              <w:suppressAutoHyphens w:val="0"/>
              <w:spacing w:before="40" w:after="40" w:line="220" w:lineRule="exact"/>
              <w:jc w:val="right"/>
              <w:rPr>
                <w:sz w:val="18"/>
              </w:rPr>
            </w:pPr>
            <w:r w:rsidRPr="005B4E8E">
              <w:rPr>
                <w:sz w:val="18"/>
                <w:lang w:val="fr-FR"/>
              </w:rPr>
              <w:t>85,01</w:t>
            </w:r>
          </w:p>
        </w:tc>
        <w:tc>
          <w:tcPr>
            <w:tcW w:w="944" w:type="dxa"/>
            <w:shd w:val="clear" w:color="auto" w:fill="auto"/>
            <w:vAlign w:val="bottom"/>
            <w:hideMark/>
          </w:tcPr>
          <w:p w14:paraId="26AF19C1" w14:textId="77777777" w:rsidR="0081022C" w:rsidRPr="005B4E8E" w:rsidRDefault="0081022C" w:rsidP="005B4E8E">
            <w:pPr>
              <w:suppressAutoHyphens w:val="0"/>
              <w:spacing w:before="40" w:after="40" w:line="220" w:lineRule="exact"/>
              <w:jc w:val="right"/>
              <w:rPr>
                <w:sz w:val="18"/>
              </w:rPr>
            </w:pPr>
            <w:r w:rsidRPr="005B4E8E">
              <w:rPr>
                <w:sz w:val="18"/>
                <w:lang w:val="fr-FR"/>
              </w:rPr>
              <w:t>6 361 594</w:t>
            </w:r>
          </w:p>
        </w:tc>
      </w:tr>
      <w:tr w:rsidR="000A0F51" w:rsidRPr="005B4E8E" w14:paraId="107246C5" w14:textId="77777777" w:rsidTr="000A0F51">
        <w:tc>
          <w:tcPr>
            <w:tcW w:w="956" w:type="dxa"/>
            <w:shd w:val="clear" w:color="auto" w:fill="auto"/>
            <w:hideMark/>
          </w:tcPr>
          <w:p w14:paraId="7777A0BA" w14:textId="77777777" w:rsidR="0081022C" w:rsidRPr="005B4E8E" w:rsidRDefault="0081022C" w:rsidP="005B4E8E">
            <w:pPr>
              <w:suppressAutoHyphens w:val="0"/>
              <w:spacing w:before="40" w:after="40" w:line="220" w:lineRule="exact"/>
              <w:rPr>
                <w:sz w:val="18"/>
              </w:rPr>
            </w:pPr>
            <w:r w:rsidRPr="005B4E8E">
              <w:rPr>
                <w:sz w:val="18"/>
                <w:lang w:val="fr-FR"/>
              </w:rPr>
              <w:t>Santa Cruz</w:t>
            </w:r>
          </w:p>
        </w:tc>
        <w:tc>
          <w:tcPr>
            <w:tcW w:w="1114" w:type="dxa"/>
            <w:shd w:val="clear" w:color="auto" w:fill="auto"/>
            <w:vAlign w:val="bottom"/>
            <w:hideMark/>
          </w:tcPr>
          <w:p w14:paraId="435DE4F3" w14:textId="77777777" w:rsidR="0081022C" w:rsidRPr="005B4E8E" w:rsidRDefault="0081022C" w:rsidP="005B4E8E">
            <w:pPr>
              <w:suppressAutoHyphens w:val="0"/>
              <w:spacing w:before="40" w:after="40" w:line="220" w:lineRule="exact"/>
              <w:jc w:val="right"/>
              <w:rPr>
                <w:sz w:val="18"/>
              </w:rPr>
            </w:pPr>
            <w:r w:rsidRPr="005B4E8E">
              <w:rPr>
                <w:sz w:val="18"/>
                <w:lang w:val="fr-FR"/>
              </w:rPr>
              <w:t>8 523 650</w:t>
            </w:r>
          </w:p>
        </w:tc>
        <w:tc>
          <w:tcPr>
            <w:tcW w:w="938" w:type="dxa"/>
            <w:shd w:val="clear" w:color="auto" w:fill="auto"/>
            <w:vAlign w:val="bottom"/>
            <w:hideMark/>
          </w:tcPr>
          <w:p w14:paraId="04250EFB" w14:textId="77777777" w:rsidR="0081022C" w:rsidRPr="005B4E8E" w:rsidRDefault="0081022C" w:rsidP="005B4E8E">
            <w:pPr>
              <w:suppressAutoHyphens w:val="0"/>
              <w:spacing w:before="40" w:after="40" w:line="220" w:lineRule="exact"/>
              <w:jc w:val="right"/>
              <w:rPr>
                <w:sz w:val="18"/>
              </w:rPr>
            </w:pPr>
            <w:r w:rsidRPr="005B4E8E">
              <w:rPr>
                <w:sz w:val="18"/>
                <w:lang w:val="fr-FR"/>
              </w:rPr>
              <w:t>1 984 771</w:t>
            </w:r>
          </w:p>
        </w:tc>
        <w:tc>
          <w:tcPr>
            <w:tcW w:w="560" w:type="dxa"/>
            <w:shd w:val="clear" w:color="auto" w:fill="auto"/>
            <w:noWrap/>
            <w:vAlign w:val="bottom"/>
            <w:hideMark/>
          </w:tcPr>
          <w:p w14:paraId="1CBC585A" w14:textId="77777777" w:rsidR="0081022C" w:rsidRPr="005B4E8E" w:rsidRDefault="0081022C" w:rsidP="005B4E8E">
            <w:pPr>
              <w:suppressAutoHyphens w:val="0"/>
              <w:spacing w:before="40" w:after="40" w:line="220" w:lineRule="exact"/>
              <w:jc w:val="right"/>
              <w:rPr>
                <w:sz w:val="18"/>
              </w:rPr>
            </w:pPr>
            <w:r w:rsidRPr="005B4E8E">
              <w:rPr>
                <w:sz w:val="18"/>
                <w:lang w:val="fr-FR"/>
              </w:rPr>
              <w:t>23,29</w:t>
            </w:r>
          </w:p>
        </w:tc>
        <w:tc>
          <w:tcPr>
            <w:tcW w:w="1066" w:type="dxa"/>
            <w:shd w:val="clear" w:color="auto" w:fill="auto"/>
            <w:vAlign w:val="bottom"/>
            <w:hideMark/>
          </w:tcPr>
          <w:p w14:paraId="00962BC6" w14:textId="77777777" w:rsidR="0081022C" w:rsidRPr="005B4E8E" w:rsidRDefault="0081022C" w:rsidP="005B4E8E">
            <w:pPr>
              <w:suppressAutoHyphens w:val="0"/>
              <w:spacing w:before="40" w:after="40" w:line="220" w:lineRule="exact"/>
              <w:jc w:val="right"/>
              <w:rPr>
                <w:sz w:val="18"/>
              </w:rPr>
            </w:pPr>
            <w:r w:rsidRPr="005B4E8E">
              <w:rPr>
                <w:sz w:val="18"/>
                <w:lang w:val="fr-FR"/>
              </w:rPr>
              <w:t>10 688 969</w:t>
            </w:r>
          </w:p>
        </w:tc>
        <w:tc>
          <w:tcPr>
            <w:tcW w:w="923" w:type="dxa"/>
            <w:shd w:val="clear" w:color="auto" w:fill="auto"/>
            <w:vAlign w:val="bottom"/>
            <w:hideMark/>
          </w:tcPr>
          <w:p w14:paraId="1C19EB73" w14:textId="77777777" w:rsidR="0081022C" w:rsidRPr="005B4E8E" w:rsidRDefault="0081022C" w:rsidP="005B4E8E">
            <w:pPr>
              <w:suppressAutoHyphens w:val="0"/>
              <w:spacing w:before="40" w:after="40" w:line="220" w:lineRule="exact"/>
              <w:jc w:val="right"/>
              <w:rPr>
                <w:sz w:val="18"/>
              </w:rPr>
            </w:pPr>
            <w:r w:rsidRPr="005B4E8E">
              <w:rPr>
                <w:sz w:val="18"/>
                <w:lang w:val="fr-FR"/>
              </w:rPr>
              <w:t>2 834 349</w:t>
            </w:r>
          </w:p>
        </w:tc>
        <w:tc>
          <w:tcPr>
            <w:tcW w:w="622" w:type="dxa"/>
            <w:shd w:val="clear" w:color="auto" w:fill="auto"/>
            <w:noWrap/>
            <w:vAlign w:val="bottom"/>
            <w:hideMark/>
          </w:tcPr>
          <w:p w14:paraId="296A6E2D" w14:textId="77777777" w:rsidR="0081022C" w:rsidRPr="005B4E8E" w:rsidRDefault="0081022C" w:rsidP="005B4E8E">
            <w:pPr>
              <w:suppressAutoHyphens w:val="0"/>
              <w:spacing w:before="40" w:after="40" w:line="220" w:lineRule="exact"/>
              <w:jc w:val="right"/>
              <w:rPr>
                <w:sz w:val="18"/>
              </w:rPr>
            </w:pPr>
            <w:r w:rsidRPr="005B4E8E">
              <w:rPr>
                <w:sz w:val="18"/>
                <w:lang w:val="fr-FR"/>
              </w:rPr>
              <w:t>26,52</w:t>
            </w:r>
          </w:p>
        </w:tc>
        <w:tc>
          <w:tcPr>
            <w:tcW w:w="1071" w:type="dxa"/>
            <w:shd w:val="clear" w:color="auto" w:fill="auto"/>
            <w:vAlign w:val="bottom"/>
            <w:hideMark/>
          </w:tcPr>
          <w:p w14:paraId="731179B1" w14:textId="77777777" w:rsidR="0081022C" w:rsidRPr="005B4E8E" w:rsidRDefault="0081022C" w:rsidP="005B4E8E">
            <w:pPr>
              <w:suppressAutoHyphens w:val="0"/>
              <w:spacing w:before="40" w:after="40" w:line="220" w:lineRule="exact"/>
              <w:jc w:val="right"/>
              <w:rPr>
                <w:sz w:val="18"/>
              </w:rPr>
            </w:pPr>
            <w:r w:rsidRPr="005B4E8E">
              <w:rPr>
                <w:sz w:val="18"/>
                <w:lang w:val="fr-FR"/>
              </w:rPr>
              <w:t>10 242 071</w:t>
            </w:r>
          </w:p>
        </w:tc>
        <w:tc>
          <w:tcPr>
            <w:tcW w:w="923" w:type="dxa"/>
            <w:shd w:val="clear" w:color="auto" w:fill="auto"/>
            <w:vAlign w:val="bottom"/>
            <w:hideMark/>
          </w:tcPr>
          <w:p w14:paraId="00766C7C" w14:textId="77777777" w:rsidR="0081022C" w:rsidRPr="005B4E8E" w:rsidRDefault="0081022C" w:rsidP="005B4E8E">
            <w:pPr>
              <w:suppressAutoHyphens w:val="0"/>
              <w:spacing w:before="40" w:after="40" w:line="220" w:lineRule="exact"/>
              <w:jc w:val="right"/>
              <w:rPr>
                <w:sz w:val="18"/>
              </w:rPr>
            </w:pPr>
            <w:r w:rsidRPr="005B4E8E">
              <w:rPr>
                <w:sz w:val="18"/>
                <w:lang w:val="fr-FR"/>
              </w:rPr>
              <w:t>2 239 549</w:t>
            </w:r>
          </w:p>
        </w:tc>
        <w:tc>
          <w:tcPr>
            <w:tcW w:w="520" w:type="dxa"/>
            <w:shd w:val="clear" w:color="auto" w:fill="auto"/>
            <w:noWrap/>
            <w:vAlign w:val="bottom"/>
            <w:hideMark/>
          </w:tcPr>
          <w:p w14:paraId="5A2C7F93" w14:textId="77777777" w:rsidR="0081022C" w:rsidRPr="005B4E8E" w:rsidRDefault="0081022C" w:rsidP="005B4E8E">
            <w:pPr>
              <w:suppressAutoHyphens w:val="0"/>
              <w:spacing w:before="40" w:after="40" w:line="220" w:lineRule="exact"/>
              <w:jc w:val="right"/>
              <w:rPr>
                <w:sz w:val="18"/>
              </w:rPr>
            </w:pPr>
            <w:r w:rsidRPr="005B4E8E">
              <w:rPr>
                <w:sz w:val="18"/>
                <w:lang w:val="fr-FR"/>
              </w:rPr>
              <w:t>21,87</w:t>
            </w:r>
          </w:p>
        </w:tc>
        <w:tc>
          <w:tcPr>
            <w:tcW w:w="944" w:type="dxa"/>
            <w:shd w:val="clear" w:color="auto" w:fill="auto"/>
            <w:vAlign w:val="bottom"/>
            <w:hideMark/>
          </w:tcPr>
          <w:p w14:paraId="782722E3" w14:textId="77777777" w:rsidR="0081022C" w:rsidRPr="005B4E8E" w:rsidRDefault="0081022C" w:rsidP="005B4E8E">
            <w:pPr>
              <w:suppressAutoHyphens w:val="0"/>
              <w:spacing w:before="40" w:after="40" w:line="220" w:lineRule="exact"/>
              <w:jc w:val="right"/>
              <w:rPr>
                <w:sz w:val="18"/>
              </w:rPr>
            </w:pPr>
            <w:r w:rsidRPr="005B4E8E">
              <w:rPr>
                <w:sz w:val="18"/>
                <w:lang w:val="fr-FR"/>
              </w:rPr>
              <w:t>2 352 890</w:t>
            </w:r>
          </w:p>
        </w:tc>
      </w:tr>
      <w:tr w:rsidR="000A0F51" w:rsidRPr="005B4E8E" w14:paraId="2307EBD7" w14:textId="77777777" w:rsidTr="000A0F51">
        <w:tc>
          <w:tcPr>
            <w:tcW w:w="956" w:type="dxa"/>
            <w:shd w:val="clear" w:color="auto" w:fill="auto"/>
            <w:hideMark/>
          </w:tcPr>
          <w:p w14:paraId="0B11A10D" w14:textId="77777777" w:rsidR="0081022C" w:rsidRPr="005B4E8E" w:rsidRDefault="0081022C" w:rsidP="005B4E8E">
            <w:pPr>
              <w:suppressAutoHyphens w:val="0"/>
              <w:spacing w:before="40" w:after="40" w:line="220" w:lineRule="exact"/>
              <w:rPr>
                <w:sz w:val="18"/>
              </w:rPr>
            </w:pPr>
            <w:r w:rsidRPr="005B4E8E">
              <w:rPr>
                <w:sz w:val="18"/>
                <w:lang w:val="fr-FR"/>
              </w:rPr>
              <w:t>Beni</w:t>
            </w:r>
          </w:p>
        </w:tc>
        <w:tc>
          <w:tcPr>
            <w:tcW w:w="1114" w:type="dxa"/>
            <w:shd w:val="clear" w:color="auto" w:fill="auto"/>
            <w:vAlign w:val="bottom"/>
            <w:hideMark/>
          </w:tcPr>
          <w:p w14:paraId="3E5C2D04" w14:textId="77777777" w:rsidR="0081022C" w:rsidRPr="005B4E8E" w:rsidRDefault="0081022C" w:rsidP="005B4E8E">
            <w:pPr>
              <w:suppressAutoHyphens w:val="0"/>
              <w:spacing w:before="40" w:after="40" w:line="220" w:lineRule="exact"/>
              <w:jc w:val="right"/>
              <w:rPr>
                <w:sz w:val="18"/>
              </w:rPr>
            </w:pPr>
            <w:r w:rsidRPr="005B4E8E">
              <w:rPr>
                <w:sz w:val="18"/>
                <w:lang w:val="fr-FR"/>
              </w:rPr>
              <w:t>3 500 760</w:t>
            </w:r>
          </w:p>
        </w:tc>
        <w:tc>
          <w:tcPr>
            <w:tcW w:w="938" w:type="dxa"/>
            <w:shd w:val="clear" w:color="auto" w:fill="auto"/>
            <w:vAlign w:val="bottom"/>
            <w:hideMark/>
          </w:tcPr>
          <w:p w14:paraId="7137BC41" w14:textId="77777777" w:rsidR="0081022C" w:rsidRPr="005B4E8E" w:rsidRDefault="0081022C" w:rsidP="005B4E8E">
            <w:pPr>
              <w:suppressAutoHyphens w:val="0"/>
              <w:spacing w:before="40" w:after="40" w:line="220" w:lineRule="exact"/>
              <w:jc w:val="right"/>
              <w:rPr>
                <w:sz w:val="18"/>
              </w:rPr>
            </w:pPr>
            <w:r w:rsidRPr="005B4E8E">
              <w:rPr>
                <w:sz w:val="18"/>
                <w:lang w:val="fr-FR"/>
              </w:rPr>
              <w:t>3 327 566</w:t>
            </w:r>
          </w:p>
        </w:tc>
        <w:tc>
          <w:tcPr>
            <w:tcW w:w="560" w:type="dxa"/>
            <w:shd w:val="clear" w:color="auto" w:fill="auto"/>
            <w:noWrap/>
            <w:vAlign w:val="bottom"/>
            <w:hideMark/>
          </w:tcPr>
          <w:p w14:paraId="023E0699" w14:textId="77777777" w:rsidR="0081022C" w:rsidRPr="005B4E8E" w:rsidRDefault="0081022C" w:rsidP="005B4E8E">
            <w:pPr>
              <w:suppressAutoHyphens w:val="0"/>
              <w:spacing w:before="40" w:after="40" w:line="220" w:lineRule="exact"/>
              <w:jc w:val="right"/>
              <w:rPr>
                <w:sz w:val="18"/>
              </w:rPr>
            </w:pPr>
            <w:r w:rsidRPr="005B4E8E">
              <w:rPr>
                <w:sz w:val="18"/>
                <w:lang w:val="fr-FR"/>
              </w:rPr>
              <w:t>95,05</w:t>
            </w:r>
          </w:p>
        </w:tc>
        <w:tc>
          <w:tcPr>
            <w:tcW w:w="1066" w:type="dxa"/>
            <w:shd w:val="clear" w:color="auto" w:fill="auto"/>
            <w:vAlign w:val="bottom"/>
            <w:hideMark/>
          </w:tcPr>
          <w:p w14:paraId="208FCE29" w14:textId="77777777" w:rsidR="0081022C" w:rsidRPr="005B4E8E" w:rsidRDefault="0081022C" w:rsidP="005B4E8E">
            <w:pPr>
              <w:suppressAutoHyphens w:val="0"/>
              <w:spacing w:before="40" w:after="40" w:line="220" w:lineRule="exact"/>
              <w:jc w:val="right"/>
              <w:rPr>
                <w:sz w:val="18"/>
              </w:rPr>
            </w:pPr>
            <w:r w:rsidRPr="005B4E8E">
              <w:rPr>
                <w:sz w:val="18"/>
                <w:lang w:val="fr-FR"/>
              </w:rPr>
              <w:t>2 416 883</w:t>
            </w:r>
          </w:p>
        </w:tc>
        <w:tc>
          <w:tcPr>
            <w:tcW w:w="923" w:type="dxa"/>
            <w:shd w:val="clear" w:color="auto" w:fill="auto"/>
            <w:vAlign w:val="bottom"/>
            <w:hideMark/>
          </w:tcPr>
          <w:p w14:paraId="47E4C5AD" w14:textId="77777777" w:rsidR="0081022C" w:rsidRPr="005B4E8E" w:rsidRDefault="0081022C" w:rsidP="005B4E8E">
            <w:pPr>
              <w:suppressAutoHyphens w:val="0"/>
              <w:spacing w:before="40" w:after="40" w:line="220" w:lineRule="exact"/>
              <w:jc w:val="right"/>
              <w:rPr>
                <w:sz w:val="18"/>
              </w:rPr>
            </w:pPr>
            <w:r w:rsidRPr="005B4E8E">
              <w:rPr>
                <w:sz w:val="18"/>
                <w:lang w:val="fr-FR"/>
              </w:rPr>
              <w:t>2 085 161</w:t>
            </w:r>
          </w:p>
        </w:tc>
        <w:tc>
          <w:tcPr>
            <w:tcW w:w="622" w:type="dxa"/>
            <w:shd w:val="clear" w:color="auto" w:fill="auto"/>
            <w:noWrap/>
            <w:vAlign w:val="bottom"/>
            <w:hideMark/>
          </w:tcPr>
          <w:p w14:paraId="2E8052F8" w14:textId="77777777" w:rsidR="0081022C" w:rsidRPr="005B4E8E" w:rsidRDefault="0081022C" w:rsidP="005B4E8E">
            <w:pPr>
              <w:suppressAutoHyphens w:val="0"/>
              <w:spacing w:before="40" w:after="40" w:line="220" w:lineRule="exact"/>
              <w:jc w:val="right"/>
              <w:rPr>
                <w:sz w:val="18"/>
              </w:rPr>
            </w:pPr>
            <w:r w:rsidRPr="005B4E8E">
              <w:rPr>
                <w:sz w:val="18"/>
                <w:lang w:val="fr-FR"/>
              </w:rPr>
              <w:t>86,27</w:t>
            </w:r>
          </w:p>
        </w:tc>
        <w:tc>
          <w:tcPr>
            <w:tcW w:w="1071" w:type="dxa"/>
            <w:shd w:val="clear" w:color="auto" w:fill="auto"/>
            <w:vAlign w:val="bottom"/>
            <w:hideMark/>
          </w:tcPr>
          <w:p w14:paraId="0BFBB4C3" w14:textId="77777777" w:rsidR="0081022C" w:rsidRPr="005B4E8E" w:rsidRDefault="0081022C" w:rsidP="005B4E8E">
            <w:pPr>
              <w:suppressAutoHyphens w:val="0"/>
              <w:spacing w:before="40" w:after="40" w:line="220" w:lineRule="exact"/>
              <w:jc w:val="right"/>
              <w:rPr>
                <w:sz w:val="18"/>
              </w:rPr>
            </w:pPr>
            <w:r w:rsidRPr="005B4E8E">
              <w:rPr>
                <w:sz w:val="18"/>
                <w:lang w:val="fr-FR"/>
              </w:rPr>
              <w:t>1 387 560</w:t>
            </w:r>
          </w:p>
        </w:tc>
        <w:tc>
          <w:tcPr>
            <w:tcW w:w="923" w:type="dxa"/>
            <w:shd w:val="clear" w:color="auto" w:fill="auto"/>
            <w:vAlign w:val="bottom"/>
            <w:hideMark/>
          </w:tcPr>
          <w:p w14:paraId="525246F3" w14:textId="77777777" w:rsidR="0081022C" w:rsidRPr="005B4E8E" w:rsidRDefault="0081022C" w:rsidP="005B4E8E">
            <w:pPr>
              <w:suppressAutoHyphens w:val="0"/>
              <w:spacing w:before="40" w:after="40" w:line="220" w:lineRule="exact"/>
              <w:jc w:val="right"/>
              <w:rPr>
                <w:sz w:val="18"/>
              </w:rPr>
            </w:pPr>
            <w:r w:rsidRPr="005B4E8E">
              <w:rPr>
                <w:sz w:val="18"/>
                <w:lang w:val="fr-FR"/>
              </w:rPr>
              <w:t>891 330</w:t>
            </w:r>
          </w:p>
        </w:tc>
        <w:tc>
          <w:tcPr>
            <w:tcW w:w="520" w:type="dxa"/>
            <w:shd w:val="clear" w:color="auto" w:fill="auto"/>
            <w:noWrap/>
            <w:vAlign w:val="bottom"/>
            <w:hideMark/>
          </w:tcPr>
          <w:p w14:paraId="3978B544" w14:textId="77777777" w:rsidR="0081022C" w:rsidRPr="005B4E8E" w:rsidRDefault="0081022C" w:rsidP="005B4E8E">
            <w:pPr>
              <w:suppressAutoHyphens w:val="0"/>
              <w:spacing w:before="40" w:after="40" w:line="220" w:lineRule="exact"/>
              <w:jc w:val="right"/>
              <w:rPr>
                <w:sz w:val="18"/>
              </w:rPr>
            </w:pPr>
            <w:r w:rsidRPr="005B4E8E">
              <w:rPr>
                <w:sz w:val="18"/>
                <w:lang w:val="fr-FR"/>
              </w:rPr>
              <w:t>64,24</w:t>
            </w:r>
          </w:p>
        </w:tc>
        <w:tc>
          <w:tcPr>
            <w:tcW w:w="944" w:type="dxa"/>
            <w:shd w:val="clear" w:color="auto" w:fill="auto"/>
            <w:vAlign w:val="bottom"/>
            <w:hideMark/>
          </w:tcPr>
          <w:p w14:paraId="66CEB523" w14:textId="77777777" w:rsidR="0081022C" w:rsidRPr="005B4E8E" w:rsidRDefault="0081022C" w:rsidP="005B4E8E">
            <w:pPr>
              <w:suppressAutoHyphens w:val="0"/>
              <w:spacing w:before="40" w:after="40" w:line="220" w:lineRule="exact"/>
              <w:jc w:val="right"/>
              <w:rPr>
                <w:sz w:val="18"/>
              </w:rPr>
            </w:pPr>
            <w:r w:rsidRPr="005B4E8E">
              <w:rPr>
                <w:sz w:val="18"/>
                <w:lang w:val="fr-FR"/>
              </w:rPr>
              <w:t>2 101 353</w:t>
            </w:r>
          </w:p>
        </w:tc>
      </w:tr>
      <w:tr w:rsidR="000A0F51" w:rsidRPr="005B4E8E" w14:paraId="6E120999" w14:textId="77777777" w:rsidTr="000A0F51">
        <w:tc>
          <w:tcPr>
            <w:tcW w:w="956" w:type="dxa"/>
            <w:tcBorders>
              <w:bottom w:val="single" w:sz="4" w:space="0" w:color="auto"/>
            </w:tcBorders>
            <w:shd w:val="clear" w:color="auto" w:fill="auto"/>
            <w:hideMark/>
          </w:tcPr>
          <w:p w14:paraId="01EF4EB5" w14:textId="77777777" w:rsidR="0081022C" w:rsidRPr="005B4E8E" w:rsidRDefault="0081022C" w:rsidP="005B4E8E">
            <w:pPr>
              <w:suppressAutoHyphens w:val="0"/>
              <w:spacing w:before="40" w:after="40" w:line="220" w:lineRule="exact"/>
              <w:rPr>
                <w:sz w:val="18"/>
              </w:rPr>
            </w:pPr>
            <w:r w:rsidRPr="005B4E8E">
              <w:rPr>
                <w:sz w:val="18"/>
                <w:lang w:val="fr-FR"/>
              </w:rPr>
              <w:t>Pando</w:t>
            </w:r>
          </w:p>
        </w:tc>
        <w:tc>
          <w:tcPr>
            <w:tcW w:w="1114" w:type="dxa"/>
            <w:tcBorders>
              <w:bottom w:val="single" w:sz="4" w:space="0" w:color="auto"/>
            </w:tcBorders>
            <w:shd w:val="clear" w:color="auto" w:fill="auto"/>
            <w:vAlign w:val="bottom"/>
            <w:hideMark/>
          </w:tcPr>
          <w:p w14:paraId="54AB20B0" w14:textId="77777777" w:rsidR="0081022C" w:rsidRPr="005B4E8E" w:rsidRDefault="0081022C" w:rsidP="005B4E8E">
            <w:pPr>
              <w:suppressAutoHyphens w:val="0"/>
              <w:spacing w:before="40" w:after="40" w:line="220" w:lineRule="exact"/>
              <w:jc w:val="right"/>
              <w:rPr>
                <w:sz w:val="18"/>
              </w:rPr>
            </w:pPr>
            <w:r w:rsidRPr="005B4E8E">
              <w:rPr>
                <w:sz w:val="18"/>
                <w:lang w:val="fr-FR"/>
              </w:rPr>
              <w:t>896 955</w:t>
            </w:r>
          </w:p>
        </w:tc>
        <w:tc>
          <w:tcPr>
            <w:tcW w:w="938" w:type="dxa"/>
            <w:tcBorders>
              <w:bottom w:val="single" w:sz="4" w:space="0" w:color="auto"/>
            </w:tcBorders>
            <w:shd w:val="clear" w:color="auto" w:fill="auto"/>
            <w:vAlign w:val="bottom"/>
            <w:hideMark/>
          </w:tcPr>
          <w:p w14:paraId="4411DCDA" w14:textId="77777777" w:rsidR="0081022C" w:rsidRPr="005B4E8E" w:rsidRDefault="0081022C" w:rsidP="005B4E8E">
            <w:pPr>
              <w:suppressAutoHyphens w:val="0"/>
              <w:spacing w:before="40" w:after="40" w:line="220" w:lineRule="exact"/>
              <w:jc w:val="right"/>
              <w:rPr>
                <w:sz w:val="18"/>
              </w:rPr>
            </w:pPr>
            <w:r w:rsidRPr="005B4E8E">
              <w:rPr>
                <w:sz w:val="18"/>
                <w:lang w:val="fr-FR"/>
              </w:rPr>
              <w:t>692 067</w:t>
            </w:r>
          </w:p>
        </w:tc>
        <w:tc>
          <w:tcPr>
            <w:tcW w:w="560" w:type="dxa"/>
            <w:tcBorders>
              <w:bottom w:val="single" w:sz="4" w:space="0" w:color="auto"/>
            </w:tcBorders>
            <w:shd w:val="clear" w:color="auto" w:fill="auto"/>
            <w:noWrap/>
            <w:vAlign w:val="bottom"/>
            <w:hideMark/>
          </w:tcPr>
          <w:p w14:paraId="7C526AA9" w14:textId="77777777" w:rsidR="0081022C" w:rsidRPr="005B4E8E" w:rsidRDefault="0081022C" w:rsidP="005B4E8E">
            <w:pPr>
              <w:suppressAutoHyphens w:val="0"/>
              <w:spacing w:before="40" w:after="40" w:line="220" w:lineRule="exact"/>
              <w:jc w:val="right"/>
              <w:rPr>
                <w:sz w:val="18"/>
              </w:rPr>
            </w:pPr>
            <w:r w:rsidRPr="005B4E8E">
              <w:rPr>
                <w:sz w:val="18"/>
                <w:lang w:val="fr-FR"/>
              </w:rPr>
              <w:t>77,16</w:t>
            </w:r>
          </w:p>
        </w:tc>
        <w:tc>
          <w:tcPr>
            <w:tcW w:w="1066" w:type="dxa"/>
            <w:tcBorders>
              <w:bottom w:val="single" w:sz="4" w:space="0" w:color="auto"/>
            </w:tcBorders>
            <w:shd w:val="clear" w:color="auto" w:fill="auto"/>
            <w:vAlign w:val="bottom"/>
            <w:hideMark/>
          </w:tcPr>
          <w:p w14:paraId="00D2E2F0" w14:textId="77777777" w:rsidR="0081022C" w:rsidRPr="005B4E8E" w:rsidRDefault="0081022C" w:rsidP="005B4E8E">
            <w:pPr>
              <w:suppressAutoHyphens w:val="0"/>
              <w:spacing w:before="40" w:after="40" w:line="220" w:lineRule="exact"/>
              <w:jc w:val="right"/>
              <w:rPr>
                <w:sz w:val="18"/>
              </w:rPr>
            </w:pPr>
            <w:r w:rsidRPr="005B4E8E">
              <w:rPr>
                <w:sz w:val="18"/>
                <w:lang w:val="fr-FR"/>
              </w:rPr>
              <w:t>728 488</w:t>
            </w:r>
          </w:p>
        </w:tc>
        <w:tc>
          <w:tcPr>
            <w:tcW w:w="923" w:type="dxa"/>
            <w:tcBorders>
              <w:bottom w:val="single" w:sz="4" w:space="0" w:color="auto"/>
            </w:tcBorders>
            <w:shd w:val="clear" w:color="auto" w:fill="auto"/>
            <w:vAlign w:val="bottom"/>
            <w:hideMark/>
          </w:tcPr>
          <w:p w14:paraId="3558C94F" w14:textId="77777777" w:rsidR="0081022C" w:rsidRPr="005B4E8E" w:rsidRDefault="0081022C" w:rsidP="005B4E8E">
            <w:pPr>
              <w:suppressAutoHyphens w:val="0"/>
              <w:spacing w:before="40" w:after="40" w:line="220" w:lineRule="exact"/>
              <w:jc w:val="right"/>
              <w:rPr>
                <w:sz w:val="18"/>
              </w:rPr>
            </w:pPr>
            <w:r w:rsidRPr="005B4E8E">
              <w:rPr>
                <w:sz w:val="18"/>
                <w:lang w:val="fr-FR"/>
              </w:rPr>
              <w:t>620 664</w:t>
            </w:r>
          </w:p>
        </w:tc>
        <w:tc>
          <w:tcPr>
            <w:tcW w:w="622" w:type="dxa"/>
            <w:tcBorders>
              <w:bottom w:val="single" w:sz="4" w:space="0" w:color="auto"/>
            </w:tcBorders>
            <w:shd w:val="clear" w:color="auto" w:fill="auto"/>
            <w:noWrap/>
            <w:vAlign w:val="bottom"/>
            <w:hideMark/>
          </w:tcPr>
          <w:p w14:paraId="2A2FB76A" w14:textId="77777777" w:rsidR="0081022C" w:rsidRPr="005B4E8E" w:rsidRDefault="0081022C" w:rsidP="005B4E8E">
            <w:pPr>
              <w:suppressAutoHyphens w:val="0"/>
              <w:spacing w:before="40" w:after="40" w:line="220" w:lineRule="exact"/>
              <w:jc w:val="right"/>
              <w:rPr>
                <w:sz w:val="18"/>
              </w:rPr>
            </w:pPr>
            <w:r w:rsidRPr="005B4E8E">
              <w:rPr>
                <w:sz w:val="18"/>
                <w:lang w:val="fr-FR"/>
              </w:rPr>
              <w:t>85,20</w:t>
            </w:r>
          </w:p>
        </w:tc>
        <w:tc>
          <w:tcPr>
            <w:tcW w:w="1071" w:type="dxa"/>
            <w:tcBorders>
              <w:bottom w:val="single" w:sz="4" w:space="0" w:color="auto"/>
            </w:tcBorders>
            <w:shd w:val="clear" w:color="auto" w:fill="auto"/>
            <w:vAlign w:val="bottom"/>
            <w:hideMark/>
          </w:tcPr>
          <w:p w14:paraId="039C2914" w14:textId="77777777" w:rsidR="0081022C" w:rsidRPr="005B4E8E" w:rsidRDefault="0081022C" w:rsidP="005B4E8E">
            <w:pPr>
              <w:suppressAutoHyphens w:val="0"/>
              <w:spacing w:before="40" w:after="40" w:line="220" w:lineRule="exact"/>
              <w:jc w:val="right"/>
              <w:rPr>
                <w:sz w:val="18"/>
              </w:rPr>
            </w:pPr>
            <w:r w:rsidRPr="005B4E8E">
              <w:rPr>
                <w:sz w:val="18"/>
                <w:lang w:val="fr-FR"/>
              </w:rPr>
              <w:t>881 341</w:t>
            </w:r>
          </w:p>
        </w:tc>
        <w:tc>
          <w:tcPr>
            <w:tcW w:w="923" w:type="dxa"/>
            <w:tcBorders>
              <w:bottom w:val="single" w:sz="4" w:space="0" w:color="auto"/>
            </w:tcBorders>
            <w:shd w:val="clear" w:color="auto" w:fill="auto"/>
            <w:vAlign w:val="bottom"/>
            <w:hideMark/>
          </w:tcPr>
          <w:p w14:paraId="18E08BA5" w14:textId="77777777" w:rsidR="0081022C" w:rsidRPr="005B4E8E" w:rsidRDefault="0081022C" w:rsidP="005B4E8E">
            <w:pPr>
              <w:suppressAutoHyphens w:val="0"/>
              <w:spacing w:before="40" w:after="40" w:line="220" w:lineRule="exact"/>
              <w:jc w:val="right"/>
              <w:rPr>
                <w:sz w:val="18"/>
              </w:rPr>
            </w:pPr>
            <w:r w:rsidRPr="005B4E8E">
              <w:rPr>
                <w:sz w:val="18"/>
                <w:lang w:val="fr-FR"/>
              </w:rPr>
              <w:t>422 542</w:t>
            </w:r>
          </w:p>
        </w:tc>
        <w:tc>
          <w:tcPr>
            <w:tcW w:w="520" w:type="dxa"/>
            <w:tcBorders>
              <w:bottom w:val="single" w:sz="4" w:space="0" w:color="auto"/>
            </w:tcBorders>
            <w:shd w:val="clear" w:color="auto" w:fill="auto"/>
            <w:noWrap/>
            <w:vAlign w:val="bottom"/>
            <w:hideMark/>
          </w:tcPr>
          <w:p w14:paraId="7959EA94" w14:textId="77777777" w:rsidR="0081022C" w:rsidRPr="005B4E8E" w:rsidRDefault="0081022C" w:rsidP="005B4E8E">
            <w:pPr>
              <w:suppressAutoHyphens w:val="0"/>
              <w:spacing w:before="40" w:after="40" w:line="220" w:lineRule="exact"/>
              <w:jc w:val="right"/>
              <w:rPr>
                <w:sz w:val="18"/>
              </w:rPr>
            </w:pPr>
            <w:r w:rsidRPr="005B4E8E">
              <w:rPr>
                <w:sz w:val="18"/>
                <w:lang w:val="fr-FR"/>
              </w:rPr>
              <w:t>47,94</w:t>
            </w:r>
          </w:p>
        </w:tc>
        <w:tc>
          <w:tcPr>
            <w:tcW w:w="944" w:type="dxa"/>
            <w:tcBorders>
              <w:bottom w:val="single" w:sz="4" w:space="0" w:color="auto"/>
            </w:tcBorders>
            <w:shd w:val="clear" w:color="auto" w:fill="auto"/>
            <w:vAlign w:val="bottom"/>
            <w:hideMark/>
          </w:tcPr>
          <w:p w14:paraId="098929B7" w14:textId="77777777" w:rsidR="0081022C" w:rsidRPr="005B4E8E" w:rsidRDefault="0081022C" w:rsidP="005B4E8E">
            <w:pPr>
              <w:suppressAutoHyphens w:val="0"/>
              <w:spacing w:before="40" w:after="40" w:line="220" w:lineRule="exact"/>
              <w:jc w:val="right"/>
              <w:rPr>
                <w:sz w:val="18"/>
              </w:rPr>
            </w:pPr>
            <w:r w:rsidRPr="005B4E8E">
              <w:rPr>
                <w:sz w:val="18"/>
                <w:lang w:val="fr-FR"/>
              </w:rPr>
              <w:t>578 424</w:t>
            </w:r>
          </w:p>
        </w:tc>
      </w:tr>
      <w:tr w:rsidR="000A0F51" w:rsidRPr="000A0F51" w14:paraId="51926355" w14:textId="77777777" w:rsidTr="000A0F51">
        <w:tc>
          <w:tcPr>
            <w:tcW w:w="956" w:type="dxa"/>
            <w:tcBorders>
              <w:top w:val="single" w:sz="4" w:space="0" w:color="auto"/>
              <w:bottom w:val="single" w:sz="12" w:space="0" w:color="auto"/>
            </w:tcBorders>
            <w:shd w:val="clear" w:color="auto" w:fill="auto"/>
            <w:hideMark/>
          </w:tcPr>
          <w:p w14:paraId="450734A8" w14:textId="77777777" w:rsidR="0081022C" w:rsidRPr="000A0F51" w:rsidRDefault="0081022C" w:rsidP="000A0F51">
            <w:pPr>
              <w:suppressAutoHyphens w:val="0"/>
              <w:spacing w:before="80" w:after="80" w:line="220" w:lineRule="exact"/>
              <w:ind w:left="283"/>
              <w:rPr>
                <w:b/>
                <w:sz w:val="18"/>
              </w:rPr>
            </w:pPr>
            <w:r w:rsidRPr="000A0F51">
              <w:rPr>
                <w:b/>
                <w:sz w:val="18"/>
                <w:lang w:val="fr-FR"/>
              </w:rPr>
              <w:t>Total</w:t>
            </w:r>
          </w:p>
        </w:tc>
        <w:tc>
          <w:tcPr>
            <w:tcW w:w="1114" w:type="dxa"/>
            <w:tcBorders>
              <w:top w:val="single" w:sz="4" w:space="0" w:color="auto"/>
              <w:bottom w:val="single" w:sz="12" w:space="0" w:color="auto"/>
            </w:tcBorders>
            <w:shd w:val="clear" w:color="auto" w:fill="auto"/>
            <w:vAlign w:val="bottom"/>
            <w:hideMark/>
          </w:tcPr>
          <w:p w14:paraId="407BF775" w14:textId="77777777" w:rsidR="0081022C" w:rsidRPr="000A0F51" w:rsidRDefault="0081022C" w:rsidP="000A0F51">
            <w:pPr>
              <w:suppressAutoHyphens w:val="0"/>
              <w:spacing w:before="80" w:after="80" w:line="220" w:lineRule="exact"/>
              <w:jc w:val="right"/>
              <w:rPr>
                <w:b/>
                <w:sz w:val="18"/>
              </w:rPr>
            </w:pPr>
            <w:r w:rsidRPr="000A0F51">
              <w:rPr>
                <w:b/>
                <w:sz w:val="18"/>
                <w:lang w:val="fr-FR"/>
              </w:rPr>
              <w:t>22 888 491</w:t>
            </w:r>
          </w:p>
        </w:tc>
        <w:tc>
          <w:tcPr>
            <w:tcW w:w="938" w:type="dxa"/>
            <w:tcBorders>
              <w:top w:val="single" w:sz="4" w:space="0" w:color="auto"/>
              <w:bottom w:val="single" w:sz="12" w:space="0" w:color="auto"/>
            </w:tcBorders>
            <w:shd w:val="clear" w:color="auto" w:fill="auto"/>
            <w:vAlign w:val="bottom"/>
            <w:hideMark/>
          </w:tcPr>
          <w:p w14:paraId="6ED128F4" w14:textId="77777777" w:rsidR="0081022C" w:rsidRPr="000A0F51" w:rsidRDefault="0081022C" w:rsidP="000A0F51">
            <w:pPr>
              <w:suppressAutoHyphens w:val="0"/>
              <w:spacing w:before="80" w:after="80" w:line="220" w:lineRule="exact"/>
              <w:jc w:val="right"/>
              <w:rPr>
                <w:b/>
                <w:sz w:val="18"/>
              </w:rPr>
            </w:pPr>
            <w:r w:rsidRPr="000A0F51">
              <w:rPr>
                <w:b/>
                <w:sz w:val="18"/>
                <w:lang w:val="fr-FR"/>
              </w:rPr>
              <w:t>12 836 760</w:t>
            </w:r>
          </w:p>
        </w:tc>
        <w:tc>
          <w:tcPr>
            <w:tcW w:w="560" w:type="dxa"/>
            <w:tcBorders>
              <w:top w:val="single" w:sz="4" w:space="0" w:color="auto"/>
              <w:bottom w:val="single" w:sz="12" w:space="0" w:color="auto"/>
            </w:tcBorders>
            <w:shd w:val="clear" w:color="auto" w:fill="auto"/>
            <w:noWrap/>
            <w:vAlign w:val="bottom"/>
            <w:hideMark/>
          </w:tcPr>
          <w:p w14:paraId="691D1698" w14:textId="77777777" w:rsidR="0081022C" w:rsidRPr="000A0F51" w:rsidRDefault="0081022C" w:rsidP="000A0F51">
            <w:pPr>
              <w:suppressAutoHyphens w:val="0"/>
              <w:spacing w:before="80" w:after="80" w:line="220" w:lineRule="exact"/>
              <w:jc w:val="right"/>
              <w:rPr>
                <w:b/>
                <w:sz w:val="18"/>
              </w:rPr>
            </w:pPr>
            <w:r w:rsidRPr="000A0F51">
              <w:rPr>
                <w:b/>
                <w:sz w:val="18"/>
                <w:lang w:val="fr-FR"/>
              </w:rPr>
              <w:t>56,08</w:t>
            </w:r>
          </w:p>
        </w:tc>
        <w:tc>
          <w:tcPr>
            <w:tcW w:w="1066" w:type="dxa"/>
            <w:tcBorders>
              <w:top w:val="single" w:sz="4" w:space="0" w:color="auto"/>
              <w:bottom w:val="single" w:sz="12" w:space="0" w:color="auto"/>
            </w:tcBorders>
            <w:shd w:val="clear" w:color="auto" w:fill="auto"/>
            <w:vAlign w:val="bottom"/>
            <w:hideMark/>
          </w:tcPr>
          <w:p w14:paraId="1BF8AC19" w14:textId="77777777" w:rsidR="0081022C" w:rsidRPr="000A0F51" w:rsidRDefault="0081022C" w:rsidP="000A0F51">
            <w:pPr>
              <w:suppressAutoHyphens w:val="0"/>
              <w:spacing w:before="80" w:after="80" w:line="220" w:lineRule="exact"/>
              <w:jc w:val="right"/>
              <w:rPr>
                <w:b/>
                <w:sz w:val="18"/>
              </w:rPr>
            </w:pPr>
            <w:r w:rsidRPr="000A0F51">
              <w:rPr>
                <w:b/>
                <w:sz w:val="18"/>
                <w:lang w:val="fr-FR"/>
              </w:rPr>
              <w:t>27 283 477</w:t>
            </w:r>
          </w:p>
        </w:tc>
        <w:tc>
          <w:tcPr>
            <w:tcW w:w="923" w:type="dxa"/>
            <w:tcBorders>
              <w:top w:val="single" w:sz="4" w:space="0" w:color="auto"/>
              <w:bottom w:val="single" w:sz="12" w:space="0" w:color="auto"/>
            </w:tcBorders>
            <w:shd w:val="clear" w:color="auto" w:fill="auto"/>
            <w:vAlign w:val="bottom"/>
            <w:hideMark/>
          </w:tcPr>
          <w:p w14:paraId="2DEEFD9F" w14:textId="77777777" w:rsidR="0081022C" w:rsidRPr="000A0F51" w:rsidRDefault="0081022C" w:rsidP="000A0F51">
            <w:pPr>
              <w:suppressAutoHyphens w:val="0"/>
              <w:spacing w:before="80" w:after="80" w:line="220" w:lineRule="exact"/>
              <w:jc w:val="right"/>
              <w:rPr>
                <w:b/>
                <w:sz w:val="18"/>
              </w:rPr>
            </w:pPr>
            <w:r w:rsidRPr="000A0F51">
              <w:rPr>
                <w:b/>
                <w:sz w:val="18"/>
                <w:lang w:val="fr-FR"/>
              </w:rPr>
              <w:t>12 269 753</w:t>
            </w:r>
          </w:p>
        </w:tc>
        <w:tc>
          <w:tcPr>
            <w:tcW w:w="622" w:type="dxa"/>
            <w:tcBorders>
              <w:top w:val="single" w:sz="4" w:space="0" w:color="auto"/>
              <w:bottom w:val="single" w:sz="12" w:space="0" w:color="auto"/>
            </w:tcBorders>
            <w:shd w:val="clear" w:color="auto" w:fill="auto"/>
            <w:noWrap/>
            <w:vAlign w:val="bottom"/>
            <w:hideMark/>
          </w:tcPr>
          <w:p w14:paraId="44847BA0" w14:textId="77777777" w:rsidR="0081022C" w:rsidRPr="000A0F51" w:rsidRDefault="0081022C" w:rsidP="000A0F51">
            <w:pPr>
              <w:suppressAutoHyphens w:val="0"/>
              <w:spacing w:before="80" w:after="80" w:line="220" w:lineRule="exact"/>
              <w:jc w:val="right"/>
              <w:rPr>
                <w:b/>
                <w:sz w:val="18"/>
              </w:rPr>
            </w:pPr>
            <w:r w:rsidRPr="000A0F51">
              <w:rPr>
                <w:b/>
                <w:sz w:val="18"/>
                <w:lang w:val="fr-FR"/>
              </w:rPr>
              <w:t>44,97</w:t>
            </w:r>
          </w:p>
        </w:tc>
        <w:tc>
          <w:tcPr>
            <w:tcW w:w="1071" w:type="dxa"/>
            <w:tcBorders>
              <w:top w:val="single" w:sz="4" w:space="0" w:color="auto"/>
              <w:bottom w:val="single" w:sz="12" w:space="0" w:color="auto"/>
            </w:tcBorders>
            <w:shd w:val="clear" w:color="auto" w:fill="auto"/>
            <w:vAlign w:val="bottom"/>
            <w:hideMark/>
          </w:tcPr>
          <w:p w14:paraId="2987922D" w14:textId="77777777" w:rsidR="0081022C" w:rsidRPr="000A0F51" w:rsidRDefault="0081022C" w:rsidP="000A0F51">
            <w:pPr>
              <w:suppressAutoHyphens w:val="0"/>
              <w:spacing w:before="80" w:after="80" w:line="220" w:lineRule="exact"/>
              <w:jc w:val="right"/>
              <w:rPr>
                <w:b/>
                <w:sz w:val="18"/>
              </w:rPr>
            </w:pPr>
            <w:r w:rsidRPr="000A0F51">
              <w:rPr>
                <w:b/>
                <w:sz w:val="18"/>
                <w:lang w:val="fr-FR"/>
              </w:rPr>
              <w:t>29 007 738</w:t>
            </w:r>
          </w:p>
        </w:tc>
        <w:tc>
          <w:tcPr>
            <w:tcW w:w="923" w:type="dxa"/>
            <w:tcBorders>
              <w:top w:val="single" w:sz="4" w:space="0" w:color="auto"/>
              <w:bottom w:val="single" w:sz="12" w:space="0" w:color="auto"/>
            </w:tcBorders>
            <w:shd w:val="clear" w:color="auto" w:fill="auto"/>
            <w:vAlign w:val="bottom"/>
            <w:hideMark/>
          </w:tcPr>
          <w:p w14:paraId="50FF9526" w14:textId="77777777" w:rsidR="0081022C" w:rsidRPr="000A0F51" w:rsidRDefault="0081022C" w:rsidP="000A0F51">
            <w:pPr>
              <w:suppressAutoHyphens w:val="0"/>
              <w:spacing w:before="80" w:after="80" w:line="220" w:lineRule="exact"/>
              <w:jc w:val="right"/>
              <w:rPr>
                <w:b/>
                <w:sz w:val="18"/>
              </w:rPr>
            </w:pPr>
            <w:r w:rsidRPr="000A0F51">
              <w:rPr>
                <w:b/>
                <w:sz w:val="18"/>
                <w:lang w:val="fr-FR"/>
              </w:rPr>
              <w:t>15 264 775</w:t>
            </w:r>
          </w:p>
        </w:tc>
        <w:tc>
          <w:tcPr>
            <w:tcW w:w="520" w:type="dxa"/>
            <w:tcBorders>
              <w:top w:val="single" w:sz="4" w:space="0" w:color="auto"/>
              <w:bottom w:val="single" w:sz="12" w:space="0" w:color="auto"/>
            </w:tcBorders>
            <w:shd w:val="clear" w:color="auto" w:fill="auto"/>
            <w:noWrap/>
            <w:vAlign w:val="bottom"/>
            <w:hideMark/>
          </w:tcPr>
          <w:p w14:paraId="7809B39C" w14:textId="77777777" w:rsidR="0081022C" w:rsidRPr="000A0F51" w:rsidRDefault="0081022C" w:rsidP="000A0F51">
            <w:pPr>
              <w:suppressAutoHyphens w:val="0"/>
              <w:spacing w:before="80" w:after="80" w:line="220" w:lineRule="exact"/>
              <w:jc w:val="right"/>
              <w:rPr>
                <w:b/>
                <w:sz w:val="18"/>
              </w:rPr>
            </w:pPr>
            <w:r w:rsidRPr="000A0F51">
              <w:rPr>
                <w:b/>
                <w:sz w:val="18"/>
                <w:lang w:val="fr-FR"/>
              </w:rPr>
              <w:t>52,62</w:t>
            </w:r>
          </w:p>
        </w:tc>
        <w:tc>
          <w:tcPr>
            <w:tcW w:w="944" w:type="dxa"/>
            <w:tcBorders>
              <w:top w:val="single" w:sz="4" w:space="0" w:color="auto"/>
              <w:bottom w:val="single" w:sz="12" w:space="0" w:color="auto"/>
            </w:tcBorders>
            <w:shd w:val="clear" w:color="auto" w:fill="auto"/>
            <w:vAlign w:val="bottom"/>
            <w:hideMark/>
          </w:tcPr>
          <w:p w14:paraId="273C5B96" w14:textId="77777777" w:rsidR="0081022C" w:rsidRPr="000A0F51" w:rsidRDefault="0081022C" w:rsidP="000A0F51">
            <w:pPr>
              <w:suppressAutoHyphens w:val="0"/>
              <w:spacing w:before="80" w:after="80" w:line="220" w:lineRule="exact"/>
              <w:jc w:val="right"/>
              <w:rPr>
                <w:b/>
                <w:sz w:val="18"/>
              </w:rPr>
            </w:pPr>
            <w:r w:rsidRPr="000A0F51">
              <w:rPr>
                <w:b/>
                <w:sz w:val="18"/>
                <w:lang w:val="fr-FR"/>
              </w:rPr>
              <w:t>13 457 096</w:t>
            </w:r>
          </w:p>
        </w:tc>
      </w:tr>
    </w:tbl>
    <w:p w14:paraId="77F9858C" w14:textId="77777777" w:rsidR="0081022C" w:rsidRPr="000A0F51" w:rsidRDefault="0081022C" w:rsidP="000A0F51">
      <w:pPr>
        <w:pStyle w:val="SingleTxtG"/>
        <w:spacing w:before="120" w:after="240"/>
        <w:ind w:left="0" w:firstLine="170"/>
        <w:rPr>
          <w:rFonts w:eastAsia="Calibri"/>
          <w:sz w:val="18"/>
          <w:szCs w:val="18"/>
        </w:rPr>
      </w:pPr>
      <w:r w:rsidRPr="000A0F51">
        <w:rPr>
          <w:i/>
          <w:iCs/>
          <w:sz w:val="18"/>
          <w:szCs w:val="18"/>
          <w:lang w:val="fr-FR"/>
        </w:rPr>
        <w:t>Source </w:t>
      </w:r>
      <w:r w:rsidRPr="000A0F51">
        <w:rPr>
          <w:sz w:val="18"/>
          <w:szCs w:val="18"/>
          <w:lang w:val="fr-FR"/>
        </w:rPr>
        <w:t xml:space="preserve">: </w:t>
      </w:r>
      <w:r w:rsidRPr="0076146C">
        <w:rPr>
          <w:caps/>
          <w:sz w:val="18"/>
          <w:szCs w:val="18"/>
          <w:lang w:val="fr-FR"/>
        </w:rPr>
        <w:t>é</w:t>
      </w:r>
      <w:r w:rsidRPr="000A0F51">
        <w:rPr>
          <w:sz w:val="18"/>
          <w:szCs w:val="18"/>
          <w:lang w:val="fr-FR"/>
        </w:rPr>
        <w:t>tabli à partir des données du Ministère de l’économie et des finances publiques.</w:t>
      </w:r>
    </w:p>
    <w:p w14:paraId="26B29456" w14:textId="15CEA198" w:rsidR="0081022C" w:rsidRPr="000A0F51" w:rsidRDefault="000A0F51" w:rsidP="000A0F51">
      <w:pPr>
        <w:pStyle w:val="H23G"/>
      </w:pPr>
      <w:bookmarkStart w:id="0" w:name="_Toc68097276"/>
      <w:r>
        <w:rPr>
          <w:lang w:val="fr-FR"/>
        </w:rPr>
        <w:lastRenderedPageBreak/>
        <w:tab/>
      </w:r>
      <w:r w:rsidRPr="000A0F51">
        <w:rPr>
          <w:b w:val="0"/>
          <w:bCs/>
          <w:lang w:val="fr-FR"/>
        </w:rPr>
        <w:tab/>
      </w:r>
      <w:r w:rsidR="0081022C" w:rsidRPr="000A0F51">
        <w:rPr>
          <w:b w:val="0"/>
          <w:bCs/>
          <w:lang w:val="fr-FR"/>
        </w:rPr>
        <w:t>Figure 1</w:t>
      </w:r>
      <w:r>
        <w:t xml:space="preserve"> </w:t>
      </w:r>
      <w:r>
        <w:br/>
      </w:r>
      <w:r w:rsidR="0081022C">
        <w:rPr>
          <w:lang w:val="fr-FR"/>
        </w:rPr>
        <w:t>Montants et pourcentages moyens d’exécution budgétaire des gouvernements départementaux autonomes dans le cadre du Programme 25</w:t>
      </w:r>
      <w:bookmarkEnd w:id="0"/>
      <w:r w:rsidR="0081022C">
        <w:rPr>
          <w:lang w:val="fr-FR"/>
        </w:rPr>
        <w:t xml:space="preserve"> (2018-2020)</w:t>
      </w:r>
    </w:p>
    <w:p w14:paraId="3CC5CE84" w14:textId="48351C37" w:rsidR="0081022C" w:rsidRPr="005417DD" w:rsidRDefault="0081022C" w:rsidP="000A0F51">
      <w:pPr>
        <w:pStyle w:val="SingleTxtG"/>
        <w:rPr>
          <w:rFonts w:eastAsia="Calibri"/>
          <w:b/>
          <w:sz w:val="18"/>
          <w:szCs w:val="18"/>
        </w:rPr>
      </w:pPr>
      <w:r w:rsidRPr="002014CD">
        <w:rPr>
          <w:noProof/>
          <w:lang w:val="en-GB" w:eastAsia="en-GB"/>
        </w:rPr>
        <w:drawing>
          <wp:inline distT="0" distB="0" distL="0" distR="0" wp14:anchorId="27DCB055" wp14:editId="0D311AE0">
            <wp:extent cx="3960000" cy="2411490"/>
            <wp:effectExtent l="0" t="0" r="2540" b="8255"/>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60000" cy="2411490"/>
                    </a:xfrm>
                    <a:prstGeom prst="rect">
                      <a:avLst/>
                    </a:prstGeom>
                  </pic:spPr>
                </pic:pic>
              </a:graphicData>
            </a:graphic>
          </wp:inline>
        </w:drawing>
      </w:r>
    </w:p>
    <w:p w14:paraId="0B9063A4" w14:textId="77777777" w:rsidR="0081022C" w:rsidRPr="000A0F51" w:rsidRDefault="0081022C" w:rsidP="0076146C">
      <w:pPr>
        <w:pStyle w:val="SingleTxtG"/>
        <w:spacing w:before="120" w:after="240"/>
        <w:ind w:firstLine="170"/>
        <w:rPr>
          <w:sz w:val="18"/>
          <w:szCs w:val="18"/>
          <w:lang w:val="fr-FR"/>
        </w:rPr>
      </w:pPr>
      <w:r w:rsidRPr="000A0F51">
        <w:rPr>
          <w:i/>
          <w:iCs/>
          <w:sz w:val="18"/>
          <w:szCs w:val="18"/>
          <w:lang w:val="fr-FR"/>
        </w:rPr>
        <w:t>Source</w:t>
      </w:r>
      <w:r w:rsidRPr="000A0F51">
        <w:rPr>
          <w:sz w:val="18"/>
          <w:szCs w:val="18"/>
          <w:lang w:val="fr-FR"/>
        </w:rPr>
        <w:t xml:space="preserve"> : </w:t>
      </w:r>
      <w:r w:rsidRPr="000A0F51">
        <w:rPr>
          <w:caps/>
          <w:sz w:val="18"/>
          <w:szCs w:val="18"/>
          <w:lang w:val="fr-FR"/>
        </w:rPr>
        <w:t>é</w:t>
      </w:r>
      <w:r w:rsidRPr="000A0F51">
        <w:rPr>
          <w:sz w:val="18"/>
          <w:szCs w:val="18"/>
          <w:lang w:val="fr-FR"/>
        </w:rPr>
        <w:t>tabli à partir des données du Ministère de l’économie et des finances publiques.</w:t>
      </w:r>
    </w:p>
    <w:p w14:paraId="0A2B35AD" w14:textId="18EE6BA5" w:rsidR="0081022C" w:rsidRPr="002014CD" w:rsidRDefault="0081022C" w:rsidP="00680C65">
      <w:pPr>
        <w:pStyle w:val="H23G"/>
        <w:ind w:left="0" w:right="0" w:firstLine="0"/>
        <w:rPr>
          <w:rFonts w:eastAsia="Calibri"/>
        </w:rPr>
      </w:pPr>
      <w:bookmarkStart w:id="1" w:name="_Toc68097269"/>
      <w:r w:rsidRPr="000A0F51">
        <w:rPr>
          <w:b w:val="0"/>
          <w:bCs/>
          <w:lang w:val="fr-FR"/>
        </w:rPr>
        <w:t>Tableau 2</w:t>
      </w:r>
      <w:r w:rsidR="000A0F51" w:rsidRPr="000A0F51">
        <w:rPr>
          <w:rFonts w:eastAsia="Calibri"/>
          <w:b w:val="0"/>
          <w:bCs/>
        </w:rPr>
        <w:t xml:space="preserve"> </w:t>
      </w:r>
      <w:r w:rsidR="000A0F51" w:rsidRPr="000A0F51">
        <w:rPr>
          <w:rFonts w:eastAsia="Calibri"/>
          <w:b w:val="0"/>
          <w:bCs/>
        </w:rPr>
        <w:br/>
      </w:r>
      <w:r w:rsidRPr="00680C65">
        <w:rPr>
          <w:spacing w:val="-2"/>
          <w:lang w:val="fr-FR"/>
        </w:rPr>
        <w:t>Budget des gouvernements départementaux autonomes de catégorie</w:t>
      </w:r>
      <w:r w:rsidR="00680C65" w:rsidRPr="00680C65">
        <w:rPr>
          <w:spacing w:val="-2"/>
          <w:lang w:val="fr-FR"/>
        </w:rPr>
        <w:t> </w:t>
      </w:r>
      <w:r w:rsidRPr="00680C65">
        <w:rPr>
          <w:spacing w:val="-2"/>
          <w:lang w:val="fr-FR"/>
        </w:rPr>
        <w:t>D (départements de plus de 50</w:t>
      </w:r>
      <w:r w:rsidR="00680C65" w:rsidRPr="00680C65">
        <w:rPr>
          <w:spacing w:val="-2"/>
          <w:lang w:val="fr-FR"/>
        </w:rPr>
        <w:t> </w:t>
      </w:r>
      <w:r w:rsidRPr="00680C65">
        <w:rPr>
          <w:spacing w:val="-2"/>
          <w:lang w:val="fr-FR"/>
        </w:rPr>
        <w:t>000 habitants)</w:t>
      </w:r>
      <w:r>
        <w:rPr>
          <w:lang w:val="fr-FR"/>
        </w:rPr>
        <w:t xml:space="preserve"> dans le cadre du Programme 25 sur la promotion et les politiques destinées aux groupes vulnérables, 2018-2020</w:t>
      </w:r>
      <w:bookmarkEnd w:id="1"/>
    </w:p>
    <w:tbl>
      <w:tblPr>
        <w:tblW w:w="9637" w:type="dxa"/>
        <w:tblLayout w:type="fixed"/>
        <w:tblCellMar>
          <w:left w:w="0" w:type="dxa"/>
          <w:right w:w="0" w:type="dxa"/>
        </w:tblCellMar>
        <w:tblLook w:val="04A0" w:firstRow="1" w:lastRow="0" w:firstColumn="1" w:lastColumn="0" w:noHBand="0" w:noVBand="1"/>
      </w:tblPr>
      <w:tblGrid>
        <w:gridCol w:w="1088"/>
        <w:gridCol w:w="951"/>
        <w:gridCol w:w="896"/>
        <w:gridCol w:w="450"/>
        <w:gridCol w:w="923"/>
        <w:gridCol w:w="938"/>
        <w:gridCol w:w="450"/>
        <w:gridCol w:w="1020"/>
        <w:gridCol w:w="923"/>
        <w:gridCol w:w="575"/>
        <w:gridCol w:w="951"/>
        <w:gridCol w:w="472"/>
      </w:tblGrid>
      <w:tr w:rsidR="000A0F51" w:rsidRPr="000A0F51" w14:paraId="0DC4F0EE" w14:textId="77777777" w:rsidTr="000A0F51">
        <w:trPr>
          <w:tblHeader/>
        </w:trPr>
        <w:tc>
          <w:tcPr>
            <w:tcW w:w="833" w:type="dxa"/>
            <w:tcBorders>
              <w:top w:val="single" w:sz="4" w:space="0" w:color="auto"/>
              <w:bottom w:val="single" w:sz="12" w:space="0" w:color="auto"/>
            </w:tcBorders>
            <w:shd w:val="clear" w:color="auto" w:fill="auto"/>
            <w:noWrap/>
            <w:vAlign w:val="bottom"/>
            <w:hideMark/>
          </w:tcPr>
          <w:p w14:paraId="36B6E406" w14:textId="77777777" w:rsidR="0081022C" w:rsidRPr="000A0F51" w:rsidRDefault="0081022C" w:rsidP="000A0F51">
            <w:pPr>
              <w:suppressAutoHyphens w:val="0"/>
              <w:spacing w:before="80" w:after="80" w:line="200" w:lineRule="exact"/>
              <w:rPr>
                <w:i/>
                <w:sz w:val="16"/>
              </w:rPr>
            </w:pPr>
            <w:r w:rsidRPr="000A0F51">
              <w:rPr>
                <w:i/>
                <w:sz w:val="16"/>
                <w:lang w:val="fr-FR"/>
              </w:rPr>
              <w:t>Municipalité</w:t>
            </w:r>
          </w:p>
        </w:tc>
        <w:tc>
          <w:tcPr>
            <w:tcW w:w="727" w:type="dxa"/>
            <w:tcBorders>
              <w:top w:val="single" w:sz="4" w:space="0" w:color="auto"/>
              <w:bottom w:val="single" w:sz="12" w:space="0" w:color="auto"/>
            </w:tcBorders>
            <w:shd w:val="clear" w:color="auto" w:fill="auto"/>
            <w:vAlign w:val="bottom"/>
            <w:hideMark/>
          </w:tcPr>
          <w:p w14:paraId="21567A2C" w14:textId="77777777" w:rsidR="0081022C" w:rsidRPr="000A0F51" w:rsidRDefault="0081022C" w:rsidP="000A0F51">
            <w:pPr>
              <w:suppressAutoHyphens w:val="0"/>
              <w:spacing w:before="80" w:after="80" w:line="200" w:lineRule="exact"/>
              <w:jc w:val="right"/>
              <w:rPr>
                <w:i/>
                <w:sz w:val="16"/>
              </w:rPr>
            </w:pPr>
            <w:r w:rsidRPr="000A0F51">
              <w:rPr>
                <w:i/>
                <w:sz w:val="16"/>
                <w:lang w:val="fr-FR"/>
              </w:rPr>
              <w:t>Budget 2018 (bolivianos)</w:t>
            </w:r>
          </w:p>
        </w:tc>
        <w:tc>
          <w:tcPr>
            <w:tcW w:w="685" w:type="dxa"/>
            <w:tcBorders>
              <w:top w:val="single" w:sz="4" w:space="0" w:color="auto"/>
              <w:bottom w:val="single" w:sz="12" w:space="0" w:color="auto"/>
            </w:tcBorders>
            <w:shd w:val="clear" w:color="auto" w:fill="auto"/>
            <w:vAlign w:val="bottom"/>
            <w:hideMark/>
          </w:tcPr>
          <w:p w14:paraId="0D99A21C" w14:textId="77777777" w:rsidR="0081022C" w:rsidRPr="000A0F51" w:rsidRDefault="0081022C" w:rsidP="000A0F51">
            <w:pPr>
              <w:suppressAutoHyphens w:val="0"/>
              <w:spacing w:before="80" w:after="80" w:line="200" w:lineRule="exact"/>
              <w:jc w:val="right"/>
              <w:rPr>
                <w:i/>
                <w:sz w:val="16"/>
              </w:rPr>
            </w:pPr>
            <w:r w:rsidRPr="000A0F51">
              <w:rPr>
                <w:i/>
                <w:sz w:val="16"/>
                <w:lang w:val="fr-FR"/>
              </w:rPr>
              <w:t>Dépenses 2018 (bolivianos)</w:t>
            </w:r>
          </w:p>
        </w:tc>
        <w:tc>
          <w:tcPr>
            <w:tcW w:w="344" w:type="dxa"/>
            <w:tcBorders>
              <w:top w:val="single" w:sz="4" w:space="0" w:color="auto"/>
              <w:bottom w:val="single" w:sz="12" w:space="0" w:color="auto"/>
            </w:tcBorders>
            <w:shd w:val="clear" w:color="auto" w:fill="auto"/>
            <w:vAlign w:val="bottom"/>
            <w:hideMark/>
          </w:tcPr>
          <w:p w14:paraId="59ECC185" w14:textId="77777777" w:rsidR="0081022C" w:rsidRPr="000A0F51" w:rsidRDefault="0081022C" w:rsidP="000A0F51">
            <w:pPr>
              <w:suppressAutoHyphens w:val="0"/>
              <w:spacing w:before="80" w:after="80" w:line="200" w:lineRule="exact"/>
              <w:jc w:val="right"/>
              <w:rPr>
                <w:i/>
                <w:sz w:val="16"/>
              </w:rPr>
            </w:pPr>
            <w:r w:rsidRPr="000A0F51">
              <w:rPr>
                <w:i/>
                <w:sz w:val="16"/>
                <w:lang w:val="fr-FR"/>
              </w:rPr>
              <w:t>%</w:t>
            </w:r>
          </w:p>
        </w:tc>
        <w:tc>
          <w:tcPr>
            <w:tcW w:w="706" w:type="dxa"/>
            <w:tcBorders>
              <w:top w:val="single" w:sz="4" w:space="0" w:color="auto"/>
              <w:bottom w:val="single" w:sz="12" w:space="0" w:color="auto"/>
            </w:tcBorders>
            <w:shd w:val="clear" w:color="auto" w:fill="auto"/>
            <w:vAlign w:val="bottom"/>
            <w:hideMark/>
          </w:tcPr>
          <w:p w14:paraId="6AC8F1BE" w14:textId="77777777" w:rsidR="0081022C" w:rsidRPr="000A0F51" w:rsidRDefault="0081022C" w:rsidP="000A0F51">
            <w:pPr>
              <w:suppressAutoHyphens w:val="0"/>
              <w:spacing w:before="80" w:after="80" w:line="200" w:lineRule="exact"/>
              <w:jc w:val="right"/>
              <w:rPr>
                <w:i/>
                <w:sz w:val="16"/>
              </w:rPr>
            </w:pPr>
            <w:r w:rsidRPr="000A0F51">
              <w:rPr>
                <w:i/>
                <w:sz w:val="16"/>
                <w:lang w:val="fr-FR"/>
              </w:rPr>
              <w:t>Budget 2019 (bolivianos)</w:t>
            </w:r>
          </w:p>
        </w:tc>
        <w:tc>
          <w:tcPr>
            <w:tcW w:w="717" w:type="dxa"/>
            <w:tcBorders>
              <w:top w:val="single" w:sz="4" w:space="0" w:color="auto"/>
              <w:bottom w:val="single" w:sz="12" w:space="0" w:color="auto"/>
            </w:tcBorders>
            <w:shd w:val="clear" w:color="auto" w:fill="auto"/>
            <w:vAlign w:val="bottom"/>
            <w:hideMark/>
          </w:tcPr>
          <w:p w14:paraId="39EEEB7A" w14:textId="77777777" w:rsidR="0081022C" w:rsidRPr="000A0F51" w:rsidRDefault="0081022C" w:rsidP="000A0F51">
            <w:pPr>
              <w:suppressAutoHyphens w:val="0"/>
              <w:spacing w:before="80" w:after="80" w:line="200" w:lineRule="exact"/>
              <w:jc w:val="right"/>
              <w:rPr>
                <w:i/>
                <w:sz w:val="16"/>
              </w:rPr>
            </w:pPr>
            <w:r w:rsidRPr="000A0F51">
              <w:rPr>
                <w:i/>
                <w:sz w:val="16"/>
                <w:lang w:val="fr-FR"/>
              </w:rPr>
              <w:t>Dépenses 2019 (bolivianos)</w:t>
            </w:r>
          </w:p>
        </w:tc>
        <w:tc>
          <w:tcPr>
            <w:tcW w:w="344" w:type="dxa"/>
            <w:tcBorders>
              <w:top w:val="single" w:sz="4" w:space="0" w:color="auto"/>
              <w:bottom w:val="single" w:sz="12" w:space="0" w:color="auto"/>
            </w:tcBorders>
            <w:shd w:val="clear" w:color="auto" w:fill="auto"/>
            <w:vAlign w:val="bottom"/>
            <w:hideMark/>
          </w:tcPr>
          <w:p w14:paraId="1DCC7F10" w14:textId="77777777" w:rsidR="0081022C" w:rsidRPr="000A0F51" w:rsidRDefault="0081022C" w:rsidP="000A0F51">
            <w:pPr>
              <w:suppressAutoHyphens w:val="0"/>
              <w:spacing w:before="80" w:after="80" w:line="200" w:lineRule="exact"/>
              <w:jc w:val="right"/>
              <w:rPr>
                <w:i/>
                <w:sz w:val="16"/>
              </w:rPr>
            </w:pPr>
            <w:r w:rsidRPr="000A0F51">
              <w:rPr>
                <w:i/>
                <w:sz w:val="16"/>
                <w:lang w:val="fr-FR"/>
              </w:rPr>
              <w:t>%</w:t>
            </w:r>
          </w:p>
        </w:tc>
        <w:tc>
          <w:tcPr>
            <w:tcW w:w="780" w:type="dxa"/>
            <w:tcBorders>
              <w:top w:val="single" w:sz="4" w:space="0" w:color="auto"/>
              <w:bottom w:val="single" w:sz="12" w:space="0" w:color="auto"/>
            </w:tcBorders>
            <w:shd w:val="clear" w:color="auto" w:fill="auto"/>
            <w:vAlign w:val="bottom"/>
            <w:hideMark/>
          </w:tcPr>
          <w:p w14:paraId="49335730" w14:textId="77777777" w:rsidR="0081022C" w:rsidRPr="000A0F51" w:rsidRDefault="0081022C" w:rsidP="000A0F51">
            <w:pPr>
              <w:suppressAutoHyphens w:val="0"/>
              <w:spacing w:before="80" w:after="80" w:line="200" w:lineRule="exact"/>
              <w:jc w:val="right"/>
              <w:rPr>
                <w:i/>
                <w:sz w:val="16"/>
              </w:rPr>
            </w:pPr>
            <w:r w:rsidRPr="000A0F51">
              <w:rPr>
                <w:i/>
                <w:sz w:val="16"/>
                <w:lang w:val="fr-FR"/>
              </w:rPr>
              <w:t>Budget 2020 (bolivianos)</w:t>
            </w:r>
          </w:p>
        </w:tc>
        <w:tc>
          <w:tcPr>
            <w:tcW w:w="706" w:type="dxa"/>
            <w:tcBorders>
              <w:top w:val="single" w:sz="4" w:space="0" w:color="auto"/>
              <w:bottom w:val="single" w:sz="12" w:space="0" w:color="auto"/>
            </w:tcBorders>
            <w:shd w:val="clear" w:color="auto" w:fill="auto"/>
            <w:vAlign w:val="bottom"/>
            <w:hideMark/>
          </w:tcPr>
          <w:p w14:paraId="51A4A620" w14:textId="77777777" w:rsidR="0081022C" w:rsidRPr="000A0F51" w:rsidRDefault="0081022C" w:rsidP="000A0F51">
            <w:pPr>
              <w:suppressAutoHyphens w:val="0"/>
              <w:spacing w:before="80" w:after="80" w:line="200" w:lineRule="exact"/>
              <w:jc w:val="right"/>
              <w:rPr>
                <w:i/>
                <w:sz w:val="16"/>
              </w:rPr>
            </w:pPr>
            <w:r w:rsidRPr="000A0F51">
              <w:rPr>
                <w:i/>
                <w:sz w:val="16"/>
                <w:lang w:val="fr-FR"/>
              </w:rPr>
              <w:t>Dépenses 2020 (bolivianos)</w:t>
            </w:r>
          </w:p>
        </w:tc>
        <w:tc>
          <w:tcPr>
            <w:tcW w:w="440" w:type="dxa"/>
            <w:tcBorders>
              <w:top w:val="single" w:sz="4" w:space="0" w:color="auto"/>
              <w:bottom w:val="single" w:sz="12" w:space="0" w:color="auto"/>
            </w:tcBorders>
            <w:shd w:val="clear" w:color="auto" w:fill="auto"/>
            <w:vAlign w:val="bottom"/>
            <w:hideMark/>
          </w:tcPr>
          <w:p w14:paraId="348603B9" w14:textId="77777777" w:rsidR="0081022C" w:rsidRPr="000A0F51" w:rsidRDefault="0081022C" w:rsidP="000A0F51">
            <w:pPr>
              <w:suppressAutoHyphens w:val="0"/>
              <w:spacing w:before="80" w:after="80" w:line="200" w:lineRule="exact"/>
              <w:jc w:val="right"/>
              <w:rPr>
                <w:i/>
                <w:sz w:val="16"/>
              </w:rPr>
            </w:pPr>
            <w:r w:rsidRPr="000A0F51">
              <w:rPr>
                <w:i/>
                <w:sz w:val="16"/>
                <w:lang w:val="fr-FR"/>
              </w:rPr>
              <w:t>%</w:t>
            </w:r>
          </w:p>
        </w:tc>
        <w:tc>
          <w:tcPr>
            <w:tcW w:w="727" w:type="dxa"/>
            <w:tcBorders>
              <w:top w:val="single" w:sz="4" w:space="0" w:color="auto"/>
              <w:bottom w:val="single" w:sz="12" w:space="0" w:color="auto"/>
            </w:tcBorders>
            <w:shd w:val="clear" w:color="auto" w:fill="auto"/>
            <w:vAlign w:val="bottom"/>
            <w:hideMark/>
          </w:tcPr>
          <w:p w14:paraId="1449B1D7" w14:textId="77777777" w:rsidR="0081022C" w:rsidRPr="000A0F51" w:rsidRDefault="0081022C" w:rsidP="000A0F51">
            <w:pPr>
              <w:suppressAutoHyphens w:val="0"/>
              <w:spacing w:before="80" w:after="80" w:line="200" w:lineRule="exact"/>
              <w:jc w:val="right"/>
              <w:rPr>
                <w:i/>
                <w:sz w:val="16"/>
              </w:rPr>
            </w:pPr>
            <w:r w:rsidRPr="000A0F51">
              <w:rPr>
                <w:i/>
                <w:sz w:val="16"/>
                <w:lang w:val="fr-FR"/>
              </w:rPr>
              <w:t>Exécution moyenne (bolivianos)</w:t>
            </w:r>
          </w:p>
        </w:tc>
        <w:tc>
          <w:tcPr>
            <w:tcW w:w="361" w:type="dxa"/>
            <w:tcBorders>
              <w:top w:val="single" w:sz="4" w:space="0" w:color="auto"/>
              <w:bottom w:val="single" w:sz="12" w:space="0" w:color="auto"/>
            </w:tcBorders>
            <w:shd w:val="clear" w:color="auto" w:fill="auto"/>
            <w:vAlign w:val="bottom"/>
            <w:hideMark/>
          </w:tcPr>
          <w:p w14:paraId="6A385294" w14:textId="77777777" w:rsidR="0081022C" w:rsidRPr="000A0F51" w:rsidRDefault="0081022C" w:rsidP="000A0F51">
            <w:pPr>
              <w:suppressAutoHyphens w:val="0"/>
              <w:spacing w:before="80" w:after="80" w:line="200" w:lineRule="exact"/>
              <w:jc w:val="right"/>
              <w:rPr>
                <w:i/>
                <w:sz w:val="16"/>
              </w:rPr>
            </w:pPr>
            <w:r w:rsidRPr="000A0F51">
              <w:rPr>
                <w:i/>
                <w:sz w:val="16"/>
                <w:lang w:val="fr-FR"/>
              </w:rPr>
              <w:t>% moyen</w:t>
            </w:r>
          </w:p>
        </w:tc>
      </w:tr>
      <w:tr w:rsidR="000A0F51" w:rsidRPr="000A0F51" w14:paraId="346560E1" w14:textId="77777777" w:rsidTr="000A0F51">
        <w:tc>
          <w:tcPr>
            <w:tcW w:w="833" w:type="dxa"/>
            <w:tcBorders>
              <w:top w:val="single" w:sz="12" w:space="0" w:color="auto"/>
            </w:tcBorders>
            <w:shd w:val="clear" w:color="auto" w:fill="auto"/>
            <w:noWrap/>
            <w:hideMark/>
          </w:tcPr>
          <w:p w14:paraId="575B82EC" w14:textId="5A04A42D" w:rsidR="0081022C" w:rsidRPr="000A0F51" w:rsidRDefault="0081022C" w:rsidP="000A0F51">
            <w:pPr>
              <w:suppressAutoHyphens w:val="0"/>
              <w:spacing w:before="40" w:after="40" w:line="220" w:lineRule="exact"/>
              <w:rPr>
                <w:sz w:val="18"/>
                <w:lang w:val="es-ES"/>
              </w:rPr>
            </w:pPr>
            <w:r w:rsidRPr="000A0F51">
              <w:rPr>
                <w:sz w:val="18"/>
                <w:lang w:val="es-ES"/>
              </w:rPr>
              <w:t>Santa Cruz de</w:t>
            </w:r>
            <w:r w:rsidR="0076146C">
              <w:rPr>
                <w:sz w:val="18"/>
                <w:lang w:val="es-ES"/>
              </w:rPr>
              <w:t> </w:t>
            </w:r>
            <w:r w:rsidRPr="000A0F51">
              <w:rPr>
                <w:sz w:val="18"/>
                <w:lang w:val="es-ES"/>
              </w:rPr>
              <w:t>la Sierra</w:t>
            </w:r>
          </w:p>
        </w:tc>
        <w:tc>
          <w:tcPr>
            <w:tcW w:w="727" w:type="dxa"/>
            <w:tcBorders>
              <w:top w:val="single" w:sz="12" w:space="0" w:color="auto"/>
            </w:tcBorders>
            <w:shd w:val="clear" w:color="auto" w:fill="auto"/>
            <w:noWrap/>
            <w:vAlign w:val="bottom"/>
            <w:hideMark/>
          </w:tcPr>
          <w:p w14:paraId="6CBA74DE" w14:textId="77777777" w:rsidR="0081022C" w:rsidRPr="000A0F51" w:rsidRDefault="0081022C" w:rsidP="000A0F51">
            <w:pPr>
              <w:suppressAutoHyphens w:val="0"/>
              <w:spacing w:before="40" w:after="40" w:line="220" w:lineRule="exact"/>
              <w:jc w:val="right"/>
              <w:rPr>
                <w:sz w:val="18"/>
              </w:rPr>
            </w:pPr>
            <w:r w:rsidRPr="000A0F51">
              <w:rPr>
                <w:sz w:val="18"/>
                <w:lang w:val="fr-FR"/>
              </w:rPr>
              <w:t>10 315 028</w:t>
            </w:r>
          </w:p>
        </w:tc>
        <w:tc>
          <w:tcPr>
            <w:tcW w:w="685" w:type="dxa"/>
            <w:tcBorders>
              <w:top w:val="single" w:sz="12" w:space="0" w:color="auto"/>
            </w:tcBorders>
            <w:shd w:val="clear" w:color="auto" w:fill="auto"/>
            <w:noWrap/>
            <w:vAlign w:val="bottom"/>
            <w:hideMark/>
          </w:tcPr>
          <w:p w14:paraId="48226062" w14:textId="77777777" w:rsidR="0081022C" w:rsidRPr="000A0F51" w:rsidRDefault="0081022C" w:rsidP="000A0F51">
            <w:pPr>
              <w:suppressAutoHyphens w:val="0"/>
              <w:spacing w:before="40" w:after="40" w:line="220" w:lineRule="exact"/>
              <w:jc w:val="right"/>
              <w:rPr>
                <w:sz w:val="18"/>
              </w:rPr>
            </w:pPr>
            <w:r w:rsidRPr="000A0F51">
              <w:rPr>
                <w:sz w:val="18"/>
                <w:lang w:val="fr-FR"/>
              </w:rPr>
              <w:t>6 966 576</w:t>
            </w:r>
          </w:p>
        </w:tc>
        <w:tc>
          <w:tcPr>
            <w:tcW w:w="344" w:type="dxa"/>
            <w:tcBorders>
              <w:top w:val="single" w:sz="12" w:space="0" w:color="auto"/>
            </w:tcBorders>
            <w:shd w:val="clear" w:color="auto" w:fill="auto"/>
            <w:noWrap/>
            <w:vAlign w:val="bottom"/>
            <w:hideMark/>
          </w:tcPr>
          <w:p w14:paraId="69D873A1" w14:textId="77777777" w:rsidR="0081022C" w:rsidRPr="000A0F51" w:rsidRDefault="0081022C" w:rsidP="000A0F51">
            <w:pPr>
              <w:suppressAutoHyphens w:val="0"/>
              <w:spacing w:before="40" w:after="40" w:line="220" w:lineRule="exact"/>
              <w:jc w:val="right"/>
              <w:rPr>
                <w:sz w:val="18"/>
              </w:rPr>
            </w:pPr>
            <w:r w:rsidRPr="000A0F51">
              <w:rPr>
                <w:sz w:val="18"/>
                <w:lang w:val="fr-FR"/>
              </w:rPr>
              <w:t>67,5</w:t>
            </w:r>
          </w:p>
        </w:tc>
        <w:tc>
          <w:tcPr>
            <w:tcW w:w="706" w:type="dxa"/>
            <w:tcBorders>
              <w:top w:val="single" w:sz="12" w:space="0" w:color="auto"/>
            </w:tcBorders>
            <w:shd w:val="clear" w:color="auto" w:fill="auto"/>
            <w:noWrap/>
            <w:vAlign w:val="bottom"/>
            <w:hideMark/>
          </w:tcPr>
          <w:p w14:paraId="2FD8D423" w14:textId="77777777" w:rsidR="0081022C" w:rsidRPr="000A0F51" w:rsidRDefault="0081022C" w:rsidP="000A0F51">
            <w:pPr>
              <w:suppressAutoHyphens w:val="0"/>
              <w:spacing w:before="40" w:after="40" w:line="220" w:lineRule="exact"/>
              <w:jc w:val="right"/>
              <w:rPr>
                <w:sz w:val="18"/>
              </w:rPr>
            </w:pPr>
            <w:r w:rsidRPr="000A0F51">
              <w:rPr>
                <w:sz w:val="18"/>
                <w:lang w:val="fr-FR"/>
              </w:rPr>
              <w:t>13 016 708</w:t>
            </w:r>
          </w:p>
        </w:tc>
        <w:tc>
          <w:tcPr>
            <w:tcW w:w="717" w:type="dxa"/>
            <w:tcBorders>
              <w:top w:val="single" w:sz="12" w:space="0" w:color="auto"/>
            </w:tcBorders>
            <w:shd w:val="clear" w:color="auto" w:fill="auto"/>
            <w:noWrap/>
            <w:vAlign w:val="bottom"/>
            <w:hideMark/>
          </w:tcPr>
          <w:p w14:paraId="2C4F04BA" w14:textId="77777777" w:rsidR="0081022C" w:rsidRPr="000A0F51" w:rsidRDefault="0081022C" w:rsidP="000A0F51">
            <w:pPr>
              <w:suppressAutoHyphens w:val="0"/>
              <w:spacing w:before="40" w:after="40" w:line="220" w:lineRule="exact"/>
              <w:jc w:val="right"/>
              <w:rPr>
                <w:sz w:val="18"/>
              </w:rPr>
            </w:pPr>
            <w:r w:rsidRPr="000A0F51">
              <w:rPr>
                <w:sz w:val="18"/>
                <w:lang w:val="fr-FR"/>
              </w:rPr>
              <w:t>9 355 471</w:t>
            </w:r>
          </w:p>
        </w:tc>
        <w:tc>
          <w:tcPr>
            <w:tcW w:w="344" w:type="dxa"/>
            <w:tcBorders>
              <w:top w:val="single" w:sz="12" w:space="0" w:color="auto"/>
            </w:tcBorders>
            <w:shd w:val="clear" w:color="auto" w:fill="auto"/>
            <w:noWrap/>
            <w:vAlign w:val="bottom"/>
            <w:hideMark/>
          </w:tcPr>
          <w:p w14:paraId="6E752E62" w14:textId="77777777" w:rsidR="0081022C" w:rsidRPr="000A0F51" w:rsidRDefault="0081022C" w:rsidP="000A0F51">
            <w:pPr>
              <w:suppressAutoHyphens w:val="0"/>
              <w:spacing w:before="40" w:after="40" w:line="220" w:lineRule="exact"/>
              <w:jc w:val="right"/>
              <w:rPr>
                <w:sz w:val="18"/>
              </w:rPr>
            </w:pPr>
            <w:r w:rsidRPr="000A0F51">
              <w:rPr>
                <w:sz w:val="18"/>
                <w:lang w:val="fr-FR"/>
              </w:rPr>
              <w:t>71,9</w:t>
            </w:r>
          </w:p>
        </w:tc>
        <w:tc>
          <w:tcPr>
            <w:tcW w:w="780" w:type="dxa"/>
            <w:tcBorders>
              <w:top w:val="single" w:sz="12" w:space="0" w:color="auto"/>
            </w:tcBorders>
            <w:shd w:val="clear" w:color="auto" w:fill="auto"/>
            <w:noWrap/>
            <w:vAlign w:val="bottom"/>
            <w:hideMark/>
          </w:tcPr>
          <w:p w14:paraId="20814523" w14:textId="77777777" w:rsidR="0081022C" w:rsidRPr="000A0F51" w:rsidRDefault="0081022C" w:rsidP="000A0F51">
            <w:pPr>
              <w:suppressAutoHyphens w:val="0"/>
              <w:spacing w:before="40" w:after="40" w:line="220" w:lineRule="exact"/>
              <w:jc w:val="right"/>
              <w:rPr>
                <w:sz w:val="18"/>
              </w:rPr>
            </w:pPr>
            <w:r w:rsidRPr="000A0F51">
              <w:rPr>
                <w:sz w:val="18"/>
                <w:lang w:val="fr-FR"/>
              </w:rPr>
              <w:t>11 999 190</w:t>
            </w:r>
          </w:p>
        </w:tc>
        <w:tc>
          <w:tcPr>
            <w:tcW w:w="706" w:type="dxa"/>
            <w:tcBorders>
              <w:top w:val="single" w:sz="12" w:space="0" w:color="auto"/>
            </w:tcBorders>
            <w:shd w:val="clear" w:color="auto" w:fill="auto"/>
            <w:noWrap/>
            <w:vAlign w:val="bottom"/>
            <w:hideMark/>
          </w:tcPr>
          <w:p w14:paraId="1A4619F9" w14:textId="77777777" w:rsidR="0081022C" w:rsidRPr="000A0F51" w:rsidRDefault="0081022C" w:rsidP="000A0F51">
            <w:pPr>
              <w:suppressAutoHyphens w:val="0"/>
              <w:spacing w:before="40" w:after="40" w:line="220" w:lineRule="exact"/>
              <w:jc w:val="right"/>
              <w:rPr>
                <w:sz w:val="18"/>
              </w:rPr>
            </w:pPr>
            <w:r w:rsidRPr="000A0F51">
              <w:rPr>
                <w:sz w:val="18"/>
                <w:lang w:val="fr-FR"/>
              </w:rPr>
              <w:t>4 992 497</w:t>
            </w:r>
          </w:p>
        </w:tc>
        <w:tc>
          <w:tcPr>
            <w:tcW w:w="440" w:type="dxa"/>
            <w:tcBorders>
              <w:top w:val="single" w:sz="12" w:space="0" w:color="auto"/>
            </w:tcBorders>
            <w:shd w:val="clear" w:color="auto" w:fill="auto"/>
            <w:noWrap/>
            <w:vAlign w:val="bottom"/>
            <w:hideMark/>
          </w:tcPr>
          <w:p w14:paraId="0E5F1929" w14:textId="77777777" w:rsidR="0081022C" w:rsidRPr="000A0F51" w:rsidRDefault="0081022C" w:rsidP="000A0F51">
            <w:pPr>
              <w:suppressAutoHyphens w:val="0"/>
              <w:spacing w:before="40" w:after="40" w:line="220" w:lineRule="exact"/>
              <w:jc w:val="right"/>
              <w:rPr>
                <w:sz w:val="18"/>
              </w:rPr>
            </w:pPr>
            <w:r w:rsidRPr="000A0F51">
              <w:rPr>
                <w:sz w:val="18"/>
                <w:lang w:val="fr-FR"/>
              </w:rPr>
              <w:t>41,6</w:t>
            </w:r>
          </w:p>
        </w:tc>
        <w:tc>
          <w:tcPr>
            <w:tcW w:w="727" w:type="dxa"/>
            <w:tcBorders>
              <w:top w:val="single" w:sz="12" w:space="0" w:color="auto"/>
            </w:tcBorders>
            <w:shd w:val="clear" w:color="auto" w:fill="auto"/>
            <w:noWrap/>
            <w:vAlign w:val="bottom"/>
            <w:hideMark/>
          </w:tcPr>
          <w:p w14:paraId="7154FA1B" w14:textId="77777777" w:rsidR="0081022C" w:rsidRPr="000A0F51" w:rsidRDefault="0081022C" w:rsidP="000A0F51">
            <w:pPr>
              <w:suppressAutoHyphens w:val="0"/>
              <w:spacing w:before="40" w:after="40" w:line="220" w:lineRule="exact"/>
              <w:jc w:val="right"/>
              <w:rPr>
                <w:sz w:val="18"/>
              </w:rPr>
            </w:pPr>
            <w:r w:rsidRPr="000A0F51">
              <w:rPr>
                <w:sz w:val="18"/>
                <w:lang w:val="fr-FR"/>
              </w:rPr>
              <w:t>7 104 848</w:t>
            </w:r>
          </w:p>
        </w:tc>
        <w:tc>
          <w:tcPr>
            <w:tcW w:w="361" w:type="dxa"/>
            <w:tcBorders>
              <w:top w:val="single" w:sz="12" w:space="0" w:color="auto"/>
            </w:tcBorders>
            <w:shd w:val="clear" w:color="auto" w:fill="auto"/>
            <w:noWrap/>
            <w:vAlign w:val="bottom"/>
            <w:hideMark/>
          </w:tcPr>
          <w:p w14:paraId="640BD132" w14:textId="77777777" w:rsidR="0081022C" w:rsidRPr="000A0F51" w:rsidRDefault="0081022C" w:rsidP="000A0F51">
            <w:pPr>
              <w:suppressAutoHyphens w:val="0"/>
              <w:spacing w:before="40" w:after="40" w:line="220" w:lineRule="exact"/>
              <w:jc w:val="right"/>
              <w:rPr>
                <w:sz w:val="18"/>
              </w:rPr>
            </w:pPr>
            <w:r w:rsidRPr="000A0F51">
              <w:rPr>
                <w:sz w:val="18"/>
                <w:lang w:val="fr-FR"/>
              </w:rPr>
              <w:t>60,3</w:t>
            </w:r>
          </w:p>
        </w:tc>
      </w:tr>
      <w:tr w:rsidR="000A0F51" w:rsidRPr="000A0F51" w14:paraId="6F01E4AE" w14:textId="77777777" w:rsidTr="000A0F51">
        <w:tc>
          <w:tcPr>
            <w:tcW w:w="833" w:type="dxa"/>
            <w:shd w:val="clear" w:color="auto" w:fill="auto"/>
            <w:noWrap/>
            <w:hideMark/>
          </w:tcPr>
          <w:p w14:paraId="304258ED" w14:textId="54A28F42" w:rsidR="0081022C" w:rsidRPr="000A0F51" w:rsidRDefault="0081022C" w:rsidP="000A0F51">
            <w:pPr>
              <w:suppressAutoHyphens w:val="0"/>
              <w:spacing w:before="40" w:after="40" w:line="220" w:lineRule="exact"/>
              <w:rPr>
                <w:sz w:val="18"/>
              </w:rPr>
            </w:pPr>
            <w:r w:rsidRPr="000A0F51">
              <w:rPr>
                <w:sz w:val="18"/>
                <w:lang w:val="fr-FR"/>
              </w:rPr>
              <w:t>El</w:t>
            </w:r>
            <w:r w:rsidR="0076146C">
              <w:rPr>
                <w:sz w:val="18"/>
                <w:lang w:val="fr-FR"/>
              </w:rPr>
              <w:t> </w:t>
            </w:r>
            <w:r w:rsidRPr="000A0F51">
              <w:rPr>
                <w:sz w:val="18"/>
                <w:lang w:val="fr-FR"/>
              </w:rPr>
              <w:t>Alto</w:t>
            </w:r>
          </w:p>
        </w:tc>
        <w:tc>
          <w:tcPr>
            <w:tcW w:w="727" w:type="dxa"/>
            <w:shd w:val="clear" w:color="auto" w:fill="auto"/>
            <w:noWrap/>
            <w:vAlign w:val="bottom"/>
            <w:hideMark/>
          </w:tcPr>
          <w:p w14:paraId="7C5A56FB" w14:textId="77777777" w:rsidR="0081022C" w:rsidRPr="000A0F51" w:rsidRDefault="0081022C" w:rsidP="000A0F51">
            <w:pPr>
              <w:suppressAutoHyphens w:val="0"/>
              <w:spacing w:before="40" w:after="40" w:line="220" w:lineRule="exact"/>
              <w:jc w:val="right"/>
              <w:rPr>
                <w:sz w:val="18"/>
              </w:rPr>
            </w:pPr>
            <w:r w:rsidRPr="000A0F51">
              <w:rPr>
                <w:sz w:val="18"/>
                <w:lang w:val="fr-FR"/>
              </w:rPr>
              <w:t>3 283 387</w:t>
            </w:r>
          </w:p>
        </w:tc>
        <w:tc>
          <w:tcPr>
            <w:tcW w:w="685" w:type="dxa"/>
            <w:shd w:val="clear" w:color="auto" w:fill="auto"/>
            <w:noWrap/>
            <w:vAlign w:val="bottom"/>
            <w:hideMark/>
          </w:tcPr>
          <w:p w14:paraId="30C7E80D" w14:textId="77777777" w:rsidR="0081022C" w:rsidRPr="000A0F51" w:rsidRDefault="0081022C" w:rsidP="000A0F51">
            <w:pPr>
              <w:suppressAutoHyphens w:val="0"/>
              <w:spacing w:before="40" w:after="40" w:line="220" w:lineRule="exact"/>
              <w:jc w:val="right"/>
              <w:rPr>
                <w:sz w:val="18"/>
              </w:rPr>
            </w:pPr>
            <w:r w:rsidRPr="000A0F51">
              <w:rPr>
                <w:sz w:val="18"/>
                <w:lang w:val="fr-FR"/>
              </w:rPr>
              <w:t>2 771 413</w:t>
            </w:r>
          </w:p>
        </w:tc>
        <w:tc>
          <w:tcPr>
            <w:tcW w:w="344" w:type="dxa"/>
            <w:shd w:val="clear" w:color="auto" w:fill="auto"/>
            <w:noWrap/>
            <w:vAlign w:val="bottom"/>
            <w:hideMark/>
          </w:tcPr>
          <w:p w14:paraId="001E00C9" w14:textId="77777777" w:rsidR="0081022C" w:rsidRPr="000A0F51" w:rsidRDefault="0081022C" w:rsidP="000A0F51">
            <w:pPr>
              <w:suppressAutoHyphens w:val="0"/>
              <w:spacing w:before="40" w:after="40" w:line="220" w:lineRule="exact"/>
              <w:jc w:val="right"/>
              <w:rPr>
                <w:sz w:val="18"/>
              </w:rPr>
            </w:pPr>
            <w:r w:rsidRPr="000A0F51">
              <w:rPr>
                <w:sz w:val="18"/>
                <w:lang w:val="fr-FR"/>
              </w:rPr>
              <w:t>84,4</w:t>
            </w:r>
          </w:p>
        </w:tc>
        <w:tc>
          <w:tcPr>
            <w:tcW w:w="706" w:type="dxa"/>
            <w:shd w:val="clear" w:color="auto" w:fill="auto"/>
            <w:noWrap/>
            <w:vAlign w:val="bottom"/>
            <w:hideMark/>
          </w:tcPr>
          <w:p w14:paraId="1A10CC21" w14:textId="77777777" w:rsidR="0081022C" w:rsidRPr="000A0F51" w:rsidRDefault="0081022C" w:rsidP="000A0F51">
            <w:pPr>
              <w:suppressAutoHyphens w:val="0"/>
              <w:spacing w:before="40" w:after="40" w:line="220" w:lineRule="exact"/>
              <w:jc w:val="right"/>
              <w:rPr>
                <w:sz w:val="18"/>
              </w:rPr>
            </w:pPr>
            <w:r w:rsidRPr="000A0F51">
              <w:rPr>
                <w:sz w:val="18"/>
                <w:lang w:val="fr-FR"/>
              </w:rPr>
              <w:t>9 977 150</w:t>
            </w:r>
          </w:p>
        </w:tc>
        <w:tc>
          <w:tcPr>
            <w:tcW w:w="717" w:type="dxa"/>
            <w:shd w:val="clear" w:color="auto" w:fill="auto"/>
            <w:noWrap/>
            <w:vAlign w:val="bottom"/>
            <w:hideMark/>
          </w:tcPr>
          <w:p w14:paraId="1173CECE" w14:textId="77777777" w:rsidR="0081022C" w:rsidRPr="000A0F51" w:rsidRDefault="0081022C" w:rsidP="000A0F51">
            <w:pPr>
              <w:suppressAutoHyphens w:val="0"/>
              <w:spacing w:before="40" w:after="40" w:line="220" w:lineRule="exact"/>
              <w:jc w:val="right"/>
              <w:rPr>
                <w:sz w:val="18"/>
              </w:rPr>
            </w:pPr>
            <w:r w:rsidRPr="000A0F51">
              <w:rPr>
                <w:sz w:val="18"/>
                <w:lang w:val="fr-FR"/>
              </w:rPr>
              <w:t>5 691 148</w:t>
            </w:r>
          </w:p>
        </w:tc>
        <w:tc>
          <w:tcPr>
            <w:tcW w:w="344" w:type="dxa"/>
            <w:shd w:val="clear" w:color="auto" w:fill="auto"/>
            <w:noWrap/>
            <w:vAlign w:val="bottom"/>
            <w:hideMark/>
          </w:tcPr>
          <w:p w14:paraId="22D17B40" w14:textId="77777777" w:rsidR="0081022C" w:rsidRPr="000A0F51" w:rsidRDefault="0081022C" w:rsidP="000A0F51">
            <w:pPr>
              <w:suppressAutoHyphens w:val="0"/>
              <w:spacing w:before="40" w:after="40" w:line="220" w:lineRule="exact"/>
              <w:jc w:val="right"/>
              <w:rPr>
                <w:sz w:val="18"/>
              </w:rPr>
            </w:pPr>
            <w:r w:rsidRPr="000A0F51">
              <w:rPr>
                <w:sz w:val="18"/>
                <w:lang w:val="fr-FR"/>
              </w:rPr>
              <w:t>57,0</w:t>
            </w:r>
          </w:p>
        </w:tc>
        <w:tc>
          <w:tcPr>
            <w:tcW w:w="780" w:type="dxa"/>
            <w:shd w:val="clear" w:color="auto" w:fill="auto"/>
            <w:noWrap/>
            <w:vAlign w:val="bottom"/>
            <w:hideMark/>
          </w:tcPr>
          <w:p w14:paraId="59721E0C" w14:textId="77777777" w:rsidR="0081022C" w:rsidRPr="000A0F51" w:rsidRDefault="0081022C" w:rsidP="000A0F51">
            <w:pPr>
              <w:suppressAutoHyphens w:val="0"/>
              <w:spacing w:before="40" w:after="40" w:line="220" w:lineRule="exact"/>
              <w:jc w:val="right"/>
              <w:rPr>
                <w:sz w:val="18"/>
              </w:rPr>
            </w:pPr>
            <w:r w:rsidRPr="000A0F51">
              <w:rPr>
                <w:sz w:val="18"/>
                <w:lang w:val="fr-FR"/>
              </w:rPr>
              <w:t>8 736 820</w:t>
            </w:r>
          </w:p>
        </w:tc>
        <w:tc>
          <w:tcPr>
            <w:tcW w:w="706" w:type="dxa"/>
            <w:shd w:val="clear" w:color="auto" w:fill="auto"/>
            <w:noWrap/>
            <w:vAlign w:val="bottom"/>
            <w:hideMark/>
          </w:tcPr>
          <w:p w14:paraId="09F78F93" w14:textId="77777777" w:rsidR="0081022C" w:rsidRPr="000A0F51" w:rsidRDefault="0081022C" w:rsidP="000A0F51">
            <w:pPr>
              <w:suppressAutoHyphens w:val="0"/>
              <w:spacing w:before="40" w:after="40" w:line="220" w:lineRule="exact"/>
              <w:jc w:val="right"/>
              <w:rPr>
                <w:sz w:val="18"/>
              </w:rPr>
            </w:pPr>
            <w:r w:rsidRPr="000A0F51">
              <w:rPr>
                <w:sz w:val="18"/>
                <w:lang w:val="fr-FR"/>
              </w:rPr>
              <w:t>6 820 607</w:t>
            </w:r>
          </w:p>
        </w:tc>
        <w:tc>
          <w:tcPr>
            <w:tcW w:w="440" w:type="dxa"/>
            <w:shd w:val="clear" w:color="auto" w:fill="auto"/>
            <w:noWrap/>
            <w:vAlign w:val="bottom"/>
            <w:hideMark/>
          </w:tcPr>
          <w:p w14:paraId="794BAC60" w14:textId="77777777" w:rsidR="0081022C" w:rsidRPr="000A0F51" w:rsidRDefault="0081022C" w:rsidP="000A0F51">
            <w:pPr>
              <w:suppressAutoHyphens w:val="0"/>
              <w:spacing w:before="40" w:after="40" w:line="220" w:lineRule="exact"/>
              <w:jc w:val="right"/>
              <w:rPr>
                <w:sz w:val="18"/>
              </w:rPr>
            </w:pPr>
            <w:r w:rsidRPr="000A0F51">
              <w:rPr>
                <w:sz w:val="18"/>
                <w:lang w:val="fr-FR"/>
              </w:rPr>
              <w:t>78,1</w:t>
            </w:r>
          </w:p>
        </w:tc>
        <w:tc>
          <w:tcPr>
            <w:tcW w:w="727" w:type="dxa"/>
            <w:shd w:val="clear" w:color="auto" w:fill="auto"/>
            <w:noWrap/>
            <w:vAlign w:val="bottom"/>
            <w:hideMark/>
          </w:tcPr>
          <w:p w14:paraId="6720E4FF" w14:textId="77777777" w:rsidR="0081022C" w:rsidRPr="000A0F51" w:rsidRDefault="0081022C" w:rsidP="000A0F51">
            <w:pPr>
              <w:suppressAutoHyphens w:val="0"/>
              <w:spacing w:before="40" w:after="40" w:line="220" w:lineRule="exact"/>
              <w:jc w:val="right"/>
              <w:rPr>
                <w:sz w:val="18"/>
              </w:rPr>
            </w:pPr>
            <w:r w:rsidRPr="000A0F51">
              <w:rPr>
                <w:sz w:val="18"/>
                <w:lang w:val="fr-FR"/>
              </w:rPr>
              <w:t>5 094 390</w:t>
            </w:r>
          </w:p>
        </w:tc>
        <w:tc>
          <w:tcPr>
            <w:tcW w:w="361" w:type="dxa"/>
            <w:shd w:val="clear" w:color="auto" w:fill="auto"/>
            <w:noWrap/>
            <w:vAlign w:val="bottom"/>
            <w:hideMark/>
          </w:tcPr>
          <w:p w14:paraId="73FDE9DE" w14:textId="77777777" w:rsidR="0081022C" w:rsidRPr="000A0F51" w:rsidRDefault="0081022C" w:rsidP="000A0F51">
            <w:pPr>
              <w:suppressAutoHyphens w:val="0"/>
              <w:spacing w:before="40" w:after="40" w:line="220" w:lineRule="exact"/>
              <w:jc w:val="right"/>
              <w:rPr>
                <w:sz w:val="18"/>
              </w:rPr>
            </w:pPr>
            <w:r w:rsidRPr="000A0F51">
              <w:rPr>
                <w:sz w:val="18"/>
                <w:lang w:val="fr-FR"/>
              </w:rPr>
              <w:t>73,2</w:t>
            </w:r>
          </w:p>
        </w:tc>
      </w:tr>
      <w:tr w:rsidR="000A0F51" w:rsidRPr="000A0F51" w14:paraId="7F7B9279" w14:textId="77777777" w:rsidTr="000A0F51">
        <w:tc>
          <w:tcPr>
            <w:tcW w:w="833" w:type="dxa"/>
            <w:shd w:val="clear" w:color="auto" w:fill="auto"/>
            <w:noWrap/>
            <w:hideMark/>
          </w:tcPr>
          <w:p w14:paraId="36AECAF1" w14:textId="7C16838F" w:rsidR="0081022C" w:rsidRPr="000A0F51" w:rsidRDefault="0081022C" w:rsidP="000A0F51">
            <w:pPr>
              <w:suppressAutoHyphens w:val="0"/>
              <w:spacing w:before="40" w:after="40" w:line="220" w:lineRule="exact"/>
              <w:rPr>
                <w:sz w:val="18"/>
                <w:lang w:val="es-ES"/>
              </w:rPr>
            </w:pPr>
            <w:r w:rsidRPr="000A0F51">
              <w:rPr>
                <w:sz w:val="18"/>
                <w:lang w:val="es-ES"/>
              </w:rPr>
              <w:t>Nuestra Señora de</w:t>
            </w:r>
            <w:r w:rsidR="0076146C">
              <w:rPr>
                <w:sz w:val="18"/>
                <w:lang w:val="es-ES"/>
              </w:rPr>
              <w:t> </w:t>
            </w:r>
            <w:r w:rsidRPr="000A0F51">
              <w:rPr>
                <w:sz w:val="18"/>
                <w:lang w:val="es-ES"/>
              </w:rPr>
              <w:t>La</w:t>
            </w:r>
            <w:r w:rsidR="00680C65">
              <w:rPr>
                <w:sz w:val="18"/>
                <w:lang w:val="es-ES"/>
              </w:rPr>
              <w:t> </w:t>
            </w:r>
            <w:r w:rsidRPr="000A0F51">
              <w:rPr>
                <w:sz w:val="18"/>
                <w:lang w:val="es-ES"/>
              </w:rPr>
              <w:t>Paz</w:t>
            </w:r>
          </w:p>
        </w:tc>
        <w:tc>
          <w:tcPr>
            <w:tcW w:w="727" w:type="dxa"/>
            <w:shd w:val="clear" w:color="auto" w:fill="auto"/>
            <w:noWrap/>
            <w:vAlign w:val="bottom"/>
            <w:hideMark/>
          </w:tcPr>
          <w:p w14:paraId="6AAC5065" w14:textId="77777777" w:rsidR="0081022C" w:rsidRPr="000A0F51" w:rsidRDefault="0081022C" w:rsidP="000A0F51">
            <w:pPr>
              <w:suppressAutoHyphens w:val="0"/>
              <w:spacing w:before="40" w:after="40" w:line="220" w:lineRule="exact"/>
              <w:jc w:val="right"/>
              <w:rPr>
                <w:sz w:val="18"/>
              </w:rPr>
            </w:pPr>
            <w:r w:rsidRPr="000A0F51">
              <w:rPr>
                <w:sz w:val="18"/>
                <w:lang w:val="fr-FR"/>
              </w:rPr>
              <w:t>2 597 968</w:t>
            </w:r>
          </w:p>
        </w:tc>
        <w:tc>
          <w:tcPr>
            <w:tcW w:w="685" w:type="dxa"/>
            <w:shd w:val="clear" w:color="auto" w:fill="auto"/>
            <w:noWrap/>
            <w:vAlign w:val="bottom"/>
            <w:hideMark/>
          </w:tcPr>
          <w:p w14:paraId="6F953284" w14:textId="77777777" w:rsidR="0081022C" w:rsidRPr="000A0F51" w:rsidRDefault="0081022C" w:rsidP="000A0F51">
            <w:pPr>
              <w:suppressAutoHyphens w:val="0"/>
              <w:spacing w:before="40" w:after="40" w:line="220" w:lineRule="exact"/>
              <w:jc w:val="right"/>
              <w:rPr>
                <w:sz w:val="18"/>
              </w:rPr>
            </w:pPr>
            <w:r w:rsidRPr="000A0F51">
              <w:rPr>
                <w:sz w:val="18"/>
                <w:lang w:val="fr-FR"/>
              </w:rPr>
              <w:t>2 042 737</w:t>
            </w:r>
          </w:p>
        </w:tc>
        <w:tc>
          <w:tcPr>
            <w:tcW w:w="344" w:type="dxa"/>
            <w:shd w:val="clear" w:color="auto" w:fill="auto"/>
            <w:noWrap/>
            <w:vAlign w:val="bottom"/>
            <w:hideMark/>
          </w:tcPr>
          <w:p w14:paraId="49BFED82" w14:textId="77777777" w:rsidR="0081022C" w:rsidRPr="000A0F51" w:rsidRDefault="0081022C" w:rsidP="000A0F51">
            <w:pPr>
              <w:suppressAutoHyphens w:val="0"/>
              <w:spacing w:before="40" w:after="40" w:line="220" w:lineRule="exact"/>
              <w:jc w:val="right"/>
              <w:rPr>
                <w:sz w:val="18"/>
              </w:rPr>
            </w:pPr>
            <w:r w:rsidRPr="000A0F51">
              <w:rPr>
                <w:sz w:val="18"/>
                <w:lang w:val="fr-FR"/>
              </w:rPr>
              <w:t>78,6</w:t>
            </w:r>
          </w:p>
        </w:tc>
        <w:tc>
          <w:tcPr>
            <w:tcW w:w="706" w:type="dxa"/>
            <w:shd w:val="clear" w:color="auto" w:fill="auto"/>
            <w:noWrap/>
            <w:vAlign w:val="bottom"/>
            <w:hideMark/>
          </w:tcPr>
          <w:p w14:paraId="6307824B" w14:textId="77777777" w:rsidR="0081022C" w:rsidRPr="000A0F51" w:rsidRDefault="0081022C" w:rsidP="000A0F51">
            <w:pPr>
              <w:suppressAutoHyphens w:val="0"/>
              <w:spacing w:before="40" w:after="40" w:line="220" w:lineRule="exact"/>
              <w:jc w:val="right"/>
              <w:rPr>
                <w:sz w:val="18"/>
              </w:rPr>
            </w:pPr>
            <w:r w:rsidRPr="000A0F51">
              <w:rPr>
                <w:sz w:val="18"/>
                <w:lang w:val="fr-FR"/>
              </w:rPr>
              <w:t>6 332 152</w:t>
            </w:r>
          </w:p>
        </w:tc>
        <w:tc>
          <w:tcPr>
            <w:tcW w:w="717" w:type="dxa"/>
            <w:shd w:val="clear" w:color="auto" w:fill="auto"/>
            <w:noWrap/>
            <w:vAlign w:val="bottom"/>
            <w:hideMark/>
          </w:tcPr>
          <w:p w14:paraId="321E70EE" w14:textId="77777777" w:rsidR="0081022C" w:rsidRPr="000A0F51" w:rsidRDefault="0081022C" w:rsidP="000A0F51">
            <w:pPr>
              <w:suppressAutoHyphens w:val="0"/>
              <w:spacing w:before="40" w:after="40" w:line="220" w:lineRule="exact"/>
              <w:jc w:val="right"/>
              <w:rPr>
                <w:sz w:val="18"/>
              </w:rPr>
            </w:pPr>
            <w:r w:rsidRPr="000A0F51">
              <w:rPr>
                <w:sz w:val="18"/>
                <w:lang w:val="fr-FR"/>
              </w:rPr>
              <w:t>5 964 185</w:t>
            </w:r>
          </w:p>
        </w:tc>
        <w:tc>
          <w:tcPr>
            <w:tcW w:w="344" w:type="dxa"/>
            <w:shd w:val="clear" w:color="auto" w:fill="auto"/>
            <w:noWrap/>
            <w:vAlign w:val="bottom"/>
            <w:hideMark/>
          </w:tcPr>
          <w:p w14:paraId="54DF33B3" w14:textId="77777777" w:rsidR="0081022C" w:rsidRPr="000A0F51" w:rsidRDefault="0081022C" w:rsidP="000A0F51">
            <w:pPr>
              <w:suppressAutoHyphens w:val="0"/>
              <w:spacing w:before="40" w:after="40" w:line="220" w:lineRule="exact"/>
              <w:jc w:val="right"/>
              <w:rPr>
                <w:sz w:val="18"/>
              </w:rPr>
            </w:pPr>
            <w:r w:rsidRPr="000A0F51">
              <w:rPr>
                <w:sz w:val="18"/>
                <w:lang w:val="fr-FR"/>
              </w:rPr>
              <w:t>94,2</w:t>
            </w:r>
          </w:p>
        </w:tc>
        <w:tc>
          <w:tcPr>
            <w:tcW w:w="780" w:type="dxa"/>
            <w:shd w:val="clear" w:color="auto" w:fill="auto"/>
            <w:noWrap/>
            <w:vAlign w:val="bottom"/>
            <w:hideMark/>
          </w:tcPr>
          <w:p w14:paraId="11CF40AF" w14:textId="77777777" w:rsidR="0081022C" w:rsidRPr="000A0F51" w:rsidRDefault="0081022C" w:rsidP="000A0F51">
            <w:pPr>
              <w:suppressAutoHyphens w:val="0"/>
              <w:spacing w:before="40" w:after="40" w:line="220" w:lineRule="exact"/>
              <w:jc w:val="right"/>
              <w:rPr>
                <w:sz w:val="18"/>
              </w:rPr>
            </w:pPr>
            <w:r w:rsidRPr="000A0F51">
              <w:rPr>
                <w:sz w:val="18"/>
                <w:lang w:val="fr-FR"/>
              </w:rPr>
              <w:t>5 628 163</w:t>
            </w:r>
          </w:p>
        </w:tc>
        <w:tc>
          <w:tcPr>
            <w:tcW w:w="706" w:type="dxa"/>
            <w:shd w:val="clear" w:color="auto" w:fill="auto"/>
            <w:noWrap/>
            <w:vAlign w:val="bottom"/>
            <w:hideMark/>
          </w:tcPr>
          <w:p w14:paraId="56F12734" w14:textId="77777777" w:rsidR="0081022C" w:rsidRPr="000A0F51" w:rsidRDefault="0081022C" w:rsidP="000A0F51">
            <w:pPr>
              <w:suppressAutoHyphens w:val="0"/>
              <w:spacing w:before="40" w:after="40" w:line="220" w:lineRule="exact"/>
              <w:jc w:val="right"/>
              <w:rPr>
                <w:sz w:val="18"/>
              </w:rPr>
            </w:pPr>
            <w:r w:rsidRPr="000A0F51">
              <w:rPr>
                <w:sz w:val="18"/>
                <w:lang w:val="fr-FR"/>
              </w:rPr>
              <w:t>4 599 642</w:t>
            </w:r>
          </w:p>
        </w:tc>
        <w:tc>
          <w:tcPr>
            <w:tcW w:w="440" w:type="dxa"/>
            <w:shd w:val="clear" w:color="auto" w:fill="auto"/>
            <w:noWrap/>
            <w:vAlign w:val="bottom"/>
            <w:hideMark/>
          </w:tcPr>
          <w:p w14:paraId="7C79E77B" w14:textId="77777777" w:rsidR="0081022C" w:rsidRPr="000A0F51" w:rsidRDefault="0081022C" w:rsidP="000A0F51">
            <w:pPr>
              <w:suppressAutoHyphens w:val="0"/>
              <w:spacing w:before="40" w:after="40" w:line="220" w:lineRule="exact"/>
              <w:jc w:val="right"/>
              <w:rPr>
                <w:sz w:val="18"/>
              </w:rPr>
            </w:pPr>
            <w:r w:rsidRPr="000A0F51">
              <w:rPr>
                <w:sz w:val="18"/>
                <w:lang w:val="fr-FR"/>
              </w:rPr>
              <w:t>81,7</w:t>
            </w:r>
          </w:p>
        </w:tc>
        <w:tc>
          <w:tcPr>
            <w:tcW w:w="727" w:type="dxa"/>
            <w:shd w:val="clear" w:color="auto" w:fill="auto"/>
            <w:noWrap/>
            <w:vAlign w:val="bottom"/>
            <w:hideMark/>
          </w:tcPr>
          <w:p w14:paraId="6BB2419B" w14:textId="77777777" w:rsidR="0081022C" w:rsidRPr="000A0F51" w:rsidRDefault="0081022C" w:rsidP="000A0F51">
            <w:pPr>
              <w:suppressAutoHyphens w:val="0"/>
              <w:spacing w:before="40" w:after="40" w:line="220" w:lineRule="exact"/>
              <w:jc w:val="right"/>
              <w:rPr>
                <w:sz w:val="18"/>
              </w:rPr>
            </w:pPr>
            <w:r w:rsidRPr="000A0F51">
              <w:rPr>
                <w:sz w:val="18"/>
                <w:lang w:val="fr-FR"/>
              </w:rPr>
              <w:t>4 202 188</w:t>
            </w:r>
          </w:p>
        </w:tc>
        <w:tc>
          <w:tcPr>
            <w:tcW w:w="361" w:type="dxa"/>
            <w:shd w:val="clear" w:color="auto" w:fill="auto"/>
            <w:noWrap/>
            <w:vAlign w:val="bottom"/>
            <w:hideMark/>
          </w:tcPr>
          <w:p w14:paraId="308BD51D" w14:textId="77777777" w:rsidR="0081022C" w:rsidRPr="000A0F51" w:rsidRDefault="0081022C" w:rsidP="000A0F51">
            <w:pPr>
              <w:suppressAutoHyphens w:val="0"/>
              <w:spacing w:before="40" w:after="40" w:line="220" w:lineRule="exact"/>
              <w:jc w:val="right"/>
              <w:rPr>
                <w:sz w:val="18"/>
              </w:rPr>
            </w:pPr>
            <w:r w:rsidRPr="000A0F51">
              <w:rPr>
                <w:sz w:val="18"/>
                <w:lang w:val="fr-FR"/>
              </w:rPr>
              <w:t>84,8</w:t>
            </w:r>
          </w:p>
        </w:tc>
      </w:tr>
      <w:tr w:rsidR="000A0F51" w:rsidRPr="000A0F51" w14:paraId="3B5485E9" w14:textId="77777777" w:rsidTr="000A0F51">
        <w:tc>
          <w:tcPr>
            <w:tcW w:w="833" w:type="dxa"/>
            <w:shd w:val="clear" w:color="auto" w:fill="auto"/>
            <w:noWrap/>
            <w:hideMark/>
          </w:tcPr>
          <w:p w14:paraId="42AF1D19" w14:textId="77777777" w:rsidR="0081022C" w:rsidRPr="000A0F51" w:rsidRDefault="0081022C" w:rsidP="000A0F51">
            <w:pPr>
              <w:suppressAutoHyphens w:val="0"/>
              <w:spacing w:before="40" w:after="40" w:line="220" w:lineRule="exact"/>
              <w:rPr>
                <w:sz w:val="18"/>
              </w:rPr>
            </w:pPr>
            <w:r w:rsidRPr="000A0F51">
              <w:rPr>
                <w:sz w:val="18"/>
                <w:lang w:val="fr-FR"/>
              </w:rPr>
              <w:t>Cochabamba</w:t>
            </w:r>
          </w:p>
        </w:tc>
        <w:tc>
          <w:tcPr>
            <w:tcW w:w="727" w:type="dxa"/>
            <w:shd w:val="clear" w:color="auto" w:fill="auto"/>
            <w:noWrap/>
            <w:vAlign w:val="bottom"/>
            <w:hideMark/>
          </w:tcPr>
          <w:p w14:paraId="52FC2CB6" w14:textId="77777777" w:rsidR="0081022C" w:rsidRPr="000A0F51" w:rsidRDefault="0081022C" w:rsidP="000A0F51">
            <w:pPr>
              <w:suppressAutoHyphens w:val="0"/>
              <w:spacing w:before="40" w:after="40" w:line="220" w:lineRule="exact"/>
              <w:jc w:val="right"/>
              <w:rPr>
                <w:sz w:val="18"/>
              </w:rPr>
            </w:pPr>
            <w:r w:rsidRPr="000A0F51">
              <w:rPr>
                <w:sz w:val="18"/>
                <w:lang w:val="fr-FR"/>
              </w:rPr>
              <w:t>8 230 451</w:t>
            </w:r>
          </w:p>
        </w:tc>
        <w:tc>
          <w:tcPr>
            <w:tcW w:w="685" w:type="dxa"/>
            <w:shd w:val="clear" w:color="auto" w:fill="auto"/>
            <w:noWrap/>
            <w:vAlign w:val="bottom"/>
            <w:hideMark/>
          </w:tcPr>
          <w:p w14:paraId="2F4C19C9" w14:textId="77777777" w:rsidR="0081022C" w:rsidRPr="000A0F51" w:rsidRDefault="0081022C" w:rsidP="000A0F51">
            <w:pPr>
              <w:suppressAutoHyphens w:val="0"/>
              <w:spacing w:before="40" w:after="40" w:line="220" w:lineRule="exact"/>
              <w:jc w:val="right"/>
              <w:rPr>
                <w:sz w:val="18"/>
              </w:rPr>
            </w:pPr>
            <w:r w:rsidRPr="000A0F51">
              <w:rPr>
                <w:sz w:val="18"/>
                <w:lang w:val="fr-FR"/>
              </w:rPr>
              <w:t>6 098 358</w:t>
            </w:r>
          </w:p>
        </w:tc>
        <w:tc>
          <w:tcPr>
            <w:tcW w:w="344" w:type="dxa"/>
            <w:shd w:val="clear" w:color="auto" w:fill="auto"/>
            <w:noWrap/>
            <w:vAlign w:val="bottom"/>
            <w:hideMark/>
          </w:tcPr>
          <w:p w14:paraId="1585FB6E" w14:textId="77777777" w:rsidR="0081022C" w:rsidRPr="000A0F51" w:rsidRDefault="0081022C" w:rsidP="000A0F51">
            <w:pPr>
              <w:suppressAutoHyphens w:val="0"/>
              <w:spacing w:before="40" w:after="40" w:line="220" w:lineRule="exact"/>
              <w:jc w:val="right"/>
              <w:rPr>
                <w:sz w:val="18"/>
              </w:rPr>
            </w:pPr>
            <w:r w:rsidRPr="000A0F51">
              <w:rPr>
                <w:sz w:val="18"/>
                <w:lang w:val="fr-FR"/>
              </w:rPr>
              <w:t>74,1</w:t>
            </w:r>
          </w:p>
        </w:tc>
        <w:tc>
          <w:tcPr>
            <w:tcW w:w="706" w:type="dxa"/>
            <w:shd w:val="clear" w:color="auto" w:fill="auto"/>
            <w:noWrap/>
            <w:vAlign w:val="bottom"/>
            <w:hideMark/>
          </w:tcPr>
          <w:p w14:paraId="500B6268" w14:textId="77777777" w:rsidR="0081022C" w:rsidRPr="000A0F51" w:rsidRDefault="0081022C" w:rsidP="000A0F51">
            <w:pPr>
              <w:suppressAutoHyphens w:val="0"/>
              <w:spacing w:before="40" w:after="40" w:line="220" w:lineRule="exact"/>
              <w:jc w:val="right"/>
              <w:rPr>
                <w:sz w:val="18"/>
              </w:rPr>
            </w:pPr>
            <w:r w:rsidRPr="000A0F51">
              <w:rPr>
                <w:sz w:val="18"/>
                <w:lang w:val="fr-FR"/>
              </w:rPr>
              <w:t>13 815 650</w:t>
            </w:r>
          </w:p>
        </w:tc>
        <w:tc>
          <w:tcPr>
            <w:tcW w:w="717" w:type="dxa"/>
            <w:shd w:val="clear" w:color="auto" w:fill="auto"/>
            <w:noWrap/>
            <w:vAlign w:val="bottom"/>
            <w:hideMark/>
          </w:tcPr>
          <w:p w14:paraId="5FCB1981" w14:textId="77777777" w:rsidR="0081022C" w:rsidRPr="000A0F51" w:rsidRDefault="0081022C" w:rsidP="000A0F51">
            <w:pPr>
              <w:suppressAutoHyphens w:val="0"/>
              <w:spacing w:before="40" w:after="40" w:line="220" w:lineRule="exact"/>
              <w:jc w:val="right"/>
              <w:rPr>
                <w:sz w:val="18"/>
              </w:rPr>
            </w:pPr>
            <w:r w:rsidRPr="000A0F51">
              <w:rPr>
                <w:sz w:val="18"/>
                <w:lang w:val="fr-FR"/>
              </w:rPr>
              <w:t>10 688 940</w:t>
            </w:r>
          </w:p>
        </w:tc>
        <w:tc>
          <w:tcPr>
            <w:tcW w:w="344" w:type="dxa"/>
            <w:shd w:val="clear" w:color="auto" w:fill="auto"/>
            <w:noWrap/>
            <w:vAlign w:val="bottom"/>
            <w:hideMark/>
          </w:tcPr>
          <w:p w14:paraId="0D9E4F05" w14:textId="77777777" w:rsidR="0081022C" w:rsidRPr="000A0F51" w:rsidRDefault="0081022C" w:rsidP="000A0F51">
            <w:pPr>
              <w:suppressAutoHyphens w:val="0"/>
              <w:spacing w:before="40" w:after="40" w:line="220" w:lineRule="exact"/>
              <w:jc w:val="right"/>
              <w:rPr>
                <w:sz w:val="18"/>
              </w:rPr>
            </w:pPr>
            <w:r w:rsidRPr="000A0F51">
              <w:rPr>
                <w:sz w:val="18"/>
                <w:lang w:val="fr-FR"/>
              </w:rPr>
              <w:t>77,4</w:t>
            </w:r>
          </w:p>
        </w:tc>
        <w:tc>
          <w:tcPr>
            <w:tcW w:w="780" w:type="dxa"/>
            <w:shd w:val="clear" w:color="auto" w:fill="auto"/>
            <w:noWrap/>
            <w:vAlign w:val="bottom"/>
            <w:hideMark/>
          </w:tcPr>
          <w:p w14:paraId="0D4A2E8A" w14:textId="77777777" w:rsidR="0081022C" w:rsidRPr="000A0F51" w:rsidRDefault="0081022C" w:rsidP="000A0F51">
            <w:pPr>
              <w:suppressAutoHyphens w:val="0"/>
              <w:spacing w:before="40" w:after="40" w:line="220" w:lineRule="exact"/>
              <w:jc w:val="right"/>
              <w:rPr>
                <w:sz w:val="18"/>
              </w:rPr>
            </w:pPr>
            <w:r w:rsidRPr="000A0F51">
              <w:rPr>
                <w:sz w:val="18"/>
                <w:lang w:val="fr-FR"/>
              </w:rPr>
              <w:t>13 725 724</w:t>
            </w:r>
          </w:p>
        </w:tc>
        <w:tc>
          <w:tcPr>
            <w:tcW w:w="706" w:type="dxa"/>
            <w:shd w:val="clear" w:color="auto" w:fill="auto"/>
            <w:noWrap/>
            <w:vAlign w:val="bottom"/>
            <w:hideMark/>
          </w:tcPr>
          <w:p w14:paraId="71E80EB0" w14:textId="77777777" w:rsidR="0081022C" w:rsidRPr="000A0F51" w:rsidRDefault="0081022C" w:rsidP="000A0F51">
            <w:pPr>
              <w:suppressAutoHyphens w:val="0"/>
              <w:spacing w:before="40" w:after="40" w:line="220" w:lineRule="exact"/>
              <w:jc w:val="right"/>
              <w:rPr>
                <w:sz w:val="18"/>
              </w:rPr>
            </w:pPr>
            <w:r w:rsidRPr="000A0F51">
              <w:rPr>
                <w:sz w:val="18"/>
                <w:lang w:val="fr-FR"/>
              </w:rPr>
              <w:t>9 116 387</w:t>
            </w:r>
          </w:p>
        </w:tc>
        <w:tc>
          <w:tcPr>
            <w:tcW w:w="440" w:type="dxa"/>
            <w:shd w:val="clear" w:color="auto" w:fill="auto"/>
            <w:noWrap/>
            <w:vAlign w:val="bottom"/>
            <w:hideMark/>
          </w:tcPr>
          <w:p w14:paraId="6E887CBB" w14:textId="77777777" w:rsidR="0081022C" w:rsidRPr="000A0F51" w:rsidRDefault="0081022C" w:rsidP="000A0F51">
            <w:pPr>
              <w:suppressAutoHyphens w:val="0"/>
              <w:spacing w:before="40" w:after="40" w:line="220" w:lineRule="exact"/>
              <w:jc w:val="right"/>
              <w:rPr>
                <w:sz w:val="18"/>
              </w:rPr>
            </w:pPr>
            <w:r w:rsidRPr="000A0F51">
              <w:rPr>
                <w:sz w:val="18"/>
                <w:lang w:val="fr-FR"/>
              </w:rPr>
              <w:t>66,4</w:t>
            </w:r>
          </w:p>
        </w:tc>
        <w:tc>
          <w:tcPr>
            <w:tcW w:w="727" w:type="dxa"/>
            <w:shd w:val="clear" w:color="auto" w:fill="auto"/>
            <w:noWrap/>
            <w:vAlign w:val="bottom"/>
            <w:hideMark/>
          </w:tcPr>
          <w:p w14:paraId="05260973" w14:textId="77777777" w:rsidR="0081022C" w:rsidRPr="000A0F51" w:rsidRDefault="0081022C" w:rsidP="000A0F51">
            <w:pPr>
              <w:suppressAutoHyphens w:val="0"/>
              <w:spacing w:before="40" w:after="40" w:line="220" w:lineRule="exact"/>
              <w:jc w:val="right"/>
              <w:rPr>
                <w:sz w:val="18"/>
              </w:rPr>
            </w:pPr>
            <w:r w:rsidRPr="000A0F51">
              <w:rPr>
                <w:sz w:val="18"/>
                <w:lang w:val="fr-FR"/>
              </w:rPr>
              <w:t>8 634 561</w:t>
            </w:r>
          </w:p>
        </w:tc>
        <w:tc>
          <w:tcPr>
            <w:tcW w:w="361" w:type="dxa"/>
            <w:shd w:val="clear" w:color="auto" w:fill="auto"/>
            <w:noWrap/>
            <w:vAlign w:val="bottom"/>
            <w:hideMark/>
          </w:tcPr>
          <w:p w14:paraId="1F452977" w14:textId="77777777" w:rsidR="0081022C" w:rsidRPr="000A0F51" w:rsidRDefault="0081022C" w:rsidP="000A0F51">
            <w:pPr>
              <w:suppressAutoHyphens w:val="0"/>
              <w:spacing w:before="40" w:after="40" w:line="220" w:lineRule="exact"/>
              <w:jc w:val="right"/>
              <w:rPr>
                <w:sz w:val="18"/>
              </w:rPr>
            </w:pPr>
            <w:r w:rsidRPr="000A0F51">
              <w:rPr>
                <w:sz w:val="18"/>
                <w:lang w:val="fr-FR"/>
              </w:rPr>
              <w:t>72,6</w:t>
            </w:r>
          </w:p>
        </w:tc>
      </w:tr>
      <w:tr w:rsidR="000A0F51" w:rsidRPr="000A0F51" w14:paraId="5B810D56" w14:textId="77777777" w:rsidTr="000A0F51">
        <w:tc>
          <w:tcPr>
            <w:tcW w:w="833" w:type="dxa"/>
            <w:shd w:val="clear" w:color="auto" w:fill="auto"/>
            <w:noWrap/>
            <w:hideMark/>
          </w:tcPr>
          <w:p w14:paraId="34A200A8" w14:textId="77777777" w:rsidR="0081022C" w:rsidRPr="000A0F51" w:rsidRDefault="0081022C" w:rsidP="000A0F51">
            <w:pPr>
              <w:suppressAutoHyphens w:val="0"/>
              <w:spacing w:before="40" w:after="40" w:line="220" w:lineRule="exact"/>
              <w:rPr>
                <w:sz w:val="18"/>
              </w:rPr>
            </w:pPr>
            <w:r w:rsidRPr="000A0F51">
              <w:rPr>
                <w:sz w:val="18"/>
                <w:lang w:val="fr-FR"/>
              </w:rPr>
              <w:t>Oruro</w:t>
            </w:r>
          </w:p>
        </w:tc>
        <w:tc>
          <w:tcPr>
            <w:tcW w:w="727" w:type="dxa"/>
            <w:shd w:val="clear" w:color="auto" w:fill="auto"/>
            <w:noWrap/>
            <w:vAlign w:val="bottom"/>
            <w:hideMark/>
          </w:tcPr>
          <w:p w14:paraId="45FFEBAC" w14:textId="77777777" w:rsidR="0081022C" w:rsidRPr="000A0F51" w:rsidRDefault="0081022C" w:rsidP="000A0F51">
            <w:pPr>
              <w:suppressAutoHyphens w:val="0"/>
              <w:spacing w:before="40" w:after="40" w:line="220" w:lineRule="exact"/>
              <w:jc w:val="right"/>
              <w:rPr>
                <w:sz w:val="18"/>
              </w:rPr>
            </w:pPr>
            <w:r w:rsidRPr="000A0F51">
              <w:rPr>
                <w:sz w:val="18"/>
                <w:lang w:val="fr-FR"/>
              </w:rPr>
              <w:t>1 948 107</w:t>
            </w:r>
          </w:p>
        </w:tc>
        <w:tc>
          <w:tcPr>
            <w:tcW w:w="685" w:type="dxa"/>
            <w:shd w:val="clear" w:color="auto" w:fill="auto"/>
            <w:noWrap/>
            <w:vAlign w:val="bottom"/>
            <w:hideMark/>
          </w:tcPr>
          <w:p w14:paraId="0600F9A2" w14:textId="77777777" w:rsidR="0081022C" w:rsidRPr="000A0F51" w:rsidRDefault="0081022C" w:rsidP="000A0F51">
            <w:pPr>
              <w:suppressAutoHyphens w:val="0"/>
              <w:spacing w:before="40" w:after="40" w:line="220" w:lineRule="exact"/>
              <w:jc w:val="right"/>
              <w:rPr>
                <w:sz w:val="18"/>
              </w:rPr>
            </w:pPr>
            <w:r w:rsidRPr="000A0F51">
              <w:rPr>
                <w:sz w:val="18"/>
                <w:lang w:val="fr-FR"/>
              </w:rPr>
              <w:t>780 122</w:t>
            </w:r>
          </w:p>
        </w:tc>
        <w:tc>
          <w:tcPr>
            <w:tcW w:w="344" w:type="dxa"/>
            <w:shd w:val="clear" w:color="auto" w:fill="auto"/>
            <w:noWrap/>
            <w:vAlign w:val="bottom"/>
            <w:hideMark/>
          </w:tcPr>
          <w:p w14:paraId="6E756EA7" w14:textId="77777777" w:rsidR="0081022C" w:rsidRPr="000A0F51" w:rsidRDefault="0081022C" w:rsidP="000A0F51">
            <w:pPr>
              <w:suppressAutoHyphens w:val="0"/>
              <w:spacing w:before="40" w:after="40" w:line="220" w:lineRule="exact"/>
              <w:jc w:val="right"/>
              <w:rPr>
                <w:sz w:val="18"/>
              </w:rPr>
            </w:pPr>
            <w:r w:rsidRPr="000A0F51">
              <w:rPr>
                <w:sz w:val="18"/>
                <w:lang w:val="fr-FR"/>
              </w:rPr>
              <w:t>40,0</w:t>
            </w:r>
          </w:p>
        </w:tc>
        <w:tc>
          <w:tcPr>
            <w:tcW w:w="706" w:type="dxa"/>
            <w:shd w:val="clear" w:color="auto" w:fill="auto"/>
            <w:noWrap/>
            <w:vAlign w:val="bottom"/>
            <w:hideMark/>
          </w:tcPr>
          <w:p w14:paraId="2A22DC5A" w14:textId="77777777" w:rsidR="0081022C" w:rsidRPr="000A0F51" w:rsidRDefault="0081022C" w:rsidP="000A0F51">
            <w:pPr>
              <w:suppressAutoHyphens w:val="0"/>
              <w:spacing w:before="40" w:after="40" w:line="220" w:lineRule="exact"/>
              <w:jc w:val="right"/>
              <w:rPr>
                <w:sz w:val="18"/>
              </w:rPr>
            </w:pPr>
            <w:r w:rsidRPr="000A0F51">
              <w:rPr>
                <w:sz w:val="18"/>
                <w:lang w:val="fr-FR"/>
              </w:rPr>
              <w:t>4 020 827</w:t>
            </w:r>
          </w:p>
        </w:tc>
        <w:tc>
          <w:tcPr>
            <w:tcW w:w="717" w:type="dxa"/>
            <w:shd w:val="clear" w:color="auto" w:fill="auto"/>
            <w:noWrap/>
            <w:vAlign w:val="bottom"/>
            <w:hideMark/>
          </w:tcPr>
          <w:p w14:paraId="166C40E4" w14:textId="77777777" w:rsidR="0081022C" w:rsidRPr="000A0F51" w:rsidRDefault="0081022C" w:rsidP="000A0F51">
            <w:pPr>
              <w:suppressAutoHyphens w:val="0"/>
              <w:spacing w:before="40" w:after="40" w:line="220" w:lineRule="exact"/>
              <w:jc w:val="right"/>
              <w:rPr>
                <w:sz w:val="18"/>
              </w:rPr>
            </w:pPr>
            <w:r w:rsidRPr="000A0F51">
              <w:rPr>
                <w:sz w:val="18"/>
                <w:lang w:val="fr-FR"/>
              </w:rPr>
              <w:t>1 851 619</w:t>
            </w:r>
          </w:p>
        </w:tc>
        <w:tc>
          <w:tcPr>
            <w:tcW w:w="344" w:type="dxa"/>
            <w:shd w:val="clear" w:color="auto" w:fill="auto"/>
            <w:noWrap/>
            <w:vAlign w:val="bottom"/>
            <w:hideMark/>
          </w:tcPr>
          <w:p w14:paraId="52021649" w14:textId="77777777" w:rsidR="0081022C" w:rsidRPr="000A0F51" w:rsidRDefault="0081022C" w:rsidP="000A0F51">
            <w:pPr>
              <w:suppressAutoHyphens w:val="0"/>
              <w:spacing w:before="40" w:after="40" w:line="220" w:lineRule="exact"/>
              <w:jc w:val="right"/>
              <w:rPr>
                <w:sz w:val="18"/>
              </w:rPr>
            </w:pPr>
            <w:r w:rsidRPr="000A0F51">
              <w:rPr>
                <w:sz w:val="18"/>
                <w:lang w:val="fr-FR"/>
              </w:rPr>
              <w:t>46,1</w:t>
            </w:r>
          </w:p>
        </w:tc>
        <w:tc>
          <w:tcPr>
            <w:tcW w:w="780" w:type="dxa"/>
            <w:shd w:val="clear" w:color="auto" w:fill="auto"/>
            <w:noWrap/>
            <w:vAlign w:val="bottom"/>
            <w:hideMark/>
          </w:tcPr>
          <w:p w14:paraId="351DD5D9" w14:textId="77777777" w:rsidR="0081022C" w:rsidRPr="000A0F51" w:rsidRDefault="0081022C" w:rsidP="000A0F51">
            <w:pPr>
              <w:suppressAutoHyphens w:val="0"/>
              <w:spacing w:before="40" w:after="40" w:line="220" w:lineRule="exact"/>
              <w:jc w:val="right"/>
              <w:rPr>
                <w:sz w:val="18"/>
              </w:rPr>
            </w:pPr>
            <w:r w:rsidRPr="000A0F51">
              <w:rPr>
                <w:sz w:val="18"/>
                <w:lang w:val="fr-FR"/>
              </w:rPr>
              <w:t>3 950 249</w:t>
            </w:r>
          </w:p>
        </w:tc>
        <w:tc>
          <w:tcPr>
            <w:tcW w:w="706" w:type="dxa"/>
            <w:shd w:val="clear" w:color="auto" w:fill="auto"/>
            <w:noWrap/>
            <w:vAlign w:val="bottom"/>
            <w:hideMark/>
          </w:tcPr>
          <w:p w14:paraId="54A1ABD0" w14:textId="77777777" w:rsidR="0081022C" w:rsidRPr="000A0F51" w:rsidRDefault="0081022C" w:rsidP="000A0F51">
            <w:pPr>
              <w:suppressAutoHyphens w:val="0"/>
              <w:spacing w:before="40" w:after="40" w:line="220" w:lineRule="exact"/>
              <w:jc w:val="right"/>
              <w:rPr>
                <w:sz w:val="18"/>
              </w:rPr>
            </w:pPr>
            <w:r w:rsidRPr="000A0F51">
              <w:rPr>
                <w:sz w:val="18"/>
                <w:lang w:val="fr-FR"/>
              </w:rPr>
              <w:t>617 407</w:t>
            </w:r>
          </w:p>
        </w:tc>
        <w:tc>
          <w:tcPr>
            <w:tcW w:w="440" w:type="dxa"/>
            <w:shd w:val="clear" w:color="auto" w:fill="auto"/>
            <w:noWrap/>
            <w:vAlign w:val="bottom"/>
            <w:hideMark/>
          </w:tcPr>
          <w:p w14:paraId="59493D6D" w14:textId="77777777" w:rsidR="0081022C" w:rsidRPr="000A0F51" w:rsidRDefault="0081022C" w:rsidP="000A0F51">
            <w:pPr>
              <w:suppressAutoHyphens w:val="0"/>
              <w:spacing w:before="40" w:after="40" w:line="220" w:lineRule="exact"/>
              <w:jc w:val="right"/>
              <w:rPr>
                <w:sz w:val="18"/>
              </w:rPr>
            </w:pPr>
            <w:r w:rsidRPr="000A0F51">
              <w:rPr>
                <w:sz w:val="18"/>
                <w:lang w:val="fr-FR"/>
              </w:rPr>
              <w:t>15,6</w:t>
            </w:r>
          </w:p>
        </w:tc>
        <w:tc>
          <w:tcPr>
            <w:tcW w:w="727" w:type="dxa"/>
            <w:shd w:val="clear" w:color="auto" w:fill="auto"/>
            <w:noWrap/>
            <w:vAlign w:val="bottom"/>
            <w:hideMark/>
          </w:tcPr>
          <w:p w14:paraId="69C669E5" w14:textId="77777777" w:rsidR="0081022C" w:rsidRPr="000A0F51" w:rsidRDefault="0081022C" w:rsidP="000A0F51">
            <w:pPr>
              <w:suppressAutoHyphens w:val="0"/>
              <w:spacing w:before="40" w:after="40" w:line="220" w:lineRule="exact"/>
              <w:jc w:val="right"/>
              <w:rPr>
                <w:sz w:val="18"/>
              </w:rPr>
            </w:pPr>
            <w:r w:rsidRPr="000A0F51">
              <w:rPr>
                <w:sz w:val="18"/>
                <w:lang w:val="fr-FR"/>
              </w:rPr>
              <w:t>1 083 049</w:t>
            </w:r>
          </w:p>
        </w:tc>
        <w:tc>
          <w:tcPr>
            <w:tcW w:w="361" w:type="dxa"/>
            <w:shd w:val="clear" w:color="auto" w:fill="auto"/>
            <w:noWrap/>
            <w:vAlign w:val="bottom"/>
            <w:hideMark/>
          </w:tcPr>
          <w:p w14:paraId="7BD95439" w14:textId="77777777" w:rsidR="0081022C" w:rsidRPr="000A0F51" w:rsidRDefault="0081022C" w:rsidP="000A0F51">
            <w:pPr>
              <w:suppressAutoHyphens w:val="0"/>
              <w:spacing w:before="40" w:after="40" w:line="220" w:lineRule="exact"/>
              <w:jc w:val="right"/>
              <w:rPr>
                <w:sz w:val="18"/>
              </w:rPr>
            </w:pPr>
            <w:r w:rsidRPr="000A0F51">
              <w:rPr>
                <w:sz w:val="18"/>
                <w:lang w:val="fr-FR"/>
              </w:rPr>
              <w:t>33,9</w:t>
            </w:r>
          </w:p>
        </w:tc>
      </w:tr>
      <w:tr w:rsidR="000A0F51" w:rsidRPr="000A0F51" w14:paraId="02F9DB7B" w14:textId="77777777" w:rsidTr="000A0F51">
        <w:tc>
          <w:tcPr>
            <w:tcW w:w="833" w:type="dxa"/>
            <w:shd w:val="clear" w:color="auto" w:fill="auto"/>
            <w:noWrap/>
            <w:hideMark/>
          </w:tcPr>
          <w:p w14:paraId="00E97530" w14:textId="77777777" w:rsidR="0081022C" w:rsidRPr="000A0F51" w:rsidRDefault="0081022C" w:rsidP="000A0F51">
            <w:pPr>
              <w:suppressAutoHyphens w:val="0"/>
              <w:spacing w:before="40" w:after="40" w:line="220" w:lineRule="exact"/>
              <w:rPr>
                <w:sz w:val="18"/>
              </w:rPr>
            </w:pPr>
            <w:r w:rsidRPr="000A0F51">
              <w:rPr>
                <w:sz w:val="18"/>
                <w:lang w:val="fr-FR"/>
              </w:rPr>
              <w:t>Sucre</w:t>
            </w:r>
          </w:p>
        </w:tc>
        <w:tc>
          <w:tcPr>
            <w:tcW w:w="727" w:type="dxa"/>
            <w:shd w:val="clear" w:color="auto" w:fill="auto"/>
            <w:noWrap/>
            <w:vAlign w:val="bottom"/>
            <w:hideMark/>
          </w:tcPr>
          <w:p w14:paraId="174156DB" w14:textId="77777777" w:rsidR="0081022C" w:rsidRPr="000A0F51" w:rsidRDefault="0081022C" w:rsidP="000A0F51">
            <w:pPr>
              <w:suppressAutoHyphens w:val="0"/>
              <w:spacing w:before="40" w:after="40" w:line="220" w:lineRule="exact"/>
              <w:jc w:val="right"/>
              <w:rPr>
                <w:sz w:val="18"/>
              </w:rPr>
            </w:pPr>
            <w:r w:rsidRPr="000A0F51">
              <w:rPr>
                <w:sz w:val="18"/>
                <w:lang w:val="fr-FR"/>
              </w:rPr>
              <w:t>1 987 313</w:t>
            </w:r>
          </w:p>
        </w:tc>
        <w:tc>
          <w:tcPr>
            <w:tcW w:w="685" w:type="dxa"/>
            <w:shd w:val="clear" w:color="auto" w:fill="auto"/>
            <w:noWrap/>
            <w:vAlign w:val="bottom"/>
            <w:hideMark/>
          </w:tcPr>
          <w:p w14:paraId="40ADCDAD" w14:textId="77777777" w:rsidR="0081022C" w:rsidRPr="000A0F51" w:rsidRDefault="0081022C" w:rsidP="000A0F51">
            <w:pPr>
              <w:suppressAutoHyphens w:val="0"/>
              <w:spacing w:before="40" w:after="40" w:line="220" w:lineRule="exact"/>
              <w:jc w:val="right"/>
              <w:rPr>
                <w:sz w:val="18"/>
              </w:rPr>
            </w:pPr>
            <w:r w:rsidRPr="000A0F51">
              <w:rPr>
                <w:sz w:val="18"/>
                <w:lang w:val="fr-FR"/>
              </w:rPr>
              <w:t>1 720 099</w:t>
            </w:r>
          </w:p>
        </w:tc>
        <w:tc>
          <w:tcPr>
            <w:tcW w:w="344" w:type="dxa"/>
            <w:shd w:val="clear" w:color="auto" w:fill="auto"/>
            <w:noWrap/>
            <w:vAlign w:val="bottom"/>
            <w:hideMark/>
          </w:tcPr>
          <w:p w14:paraId="66B83B14" w14:textId="77777777" w:rsidR="0081022C" w:rsidRPr="000A0F51" w:rsidRDefault="0081022C" w:rsidP="000A0F51">
            <w:pPr>
              <w:suppressAutoHyphens w:val="0"/>
              <w:spacing w:before="40" w:after="40" w:line="220" w:lineRule="exact"/>
              <w:jc w:val="right"/>
              <w:rPr>
                <w:sz w:val="18"/>
              </w:rPr>
            </w:pPr>
            <w:r w:rsidRPr="000A0F51">
              <w:rPr>
                <w:sz w:val="18"/>
                <w:lang w:val="fr-FR"/>
              </w:rPr>
              <w:t>86,6</w:t>
            </w:r>
          </w:p>
        </w:tc>
        <w:tc>
          <w:tcPr>
            <w:tcW w:w="706" w:type="dxa"/>
            <w:shd w:val="clear" w:color="auto" w:fill="auto"/>
            <w:noWrap/>
            <w:vAlign w:val="bottom"/>
            <w:hideMark/>
          </w:tcPr>
          <w:p w14:paraId="44BF4C87" w14:textId="77777777" w:rsidR="0081022C" w:rsidRPr="000A0F51" w:rsidRDefault="0081022C" w:rsidP="000A0F51">
            <w:pPr>
              <w:suppressAutoHyphens w:val="0"/>
              <w:spacing w:before="40" w:after="40" w:line="220" w:lineRule="exact"/>
              <w:jc w:val="right"/>
              <w:rPr>
                <w:sz w:val="18"/>
              </w:rPr>
            </w:pPr>
            <w:r w:rsidRPr="000A0F51">
              <w:rPr>
                <w:sz w:val="18"/>
                <w:lang w:val="fr-FR"/>
              </w:rPr>
              <w:t>9 283 131</w:t>
            </w:r>
          </w:p>
        </w:tc>
        <w:tc>
          <w:tcPr>
            <w:tcW w:w="717" w:type="dxa"/>
            <w:shd w:val="clear" w:color="auto" w:fill="auto"/>
            <w:noWrap/>
            <w:vAlign w:val="bottom"/>
            <w:hideMark/>
          </w:tcPr>
          <w:p w14:paraId="79E79DD9" w14:textId="77777777" w:rsidR="0081022C" w:rsidRPr="000A0F51" w:rsidRDefault="0081022C" w:rsidP="000A0F51">
            <w:pPr>
              <w:suppressAutoHyphens w:val="0"/>
              <w:spacing w:before="40" w:after="40" w:line="220" w:lineRule="exact"/>
              <w:jc w:val="right"/>
              <w:rPr>
                <w:sz w:val="18"/>
              </w:rPr>
            </w:pPr>
            <w:r w:rsidRPr="000A0F51">
              <w:rPr>
                <w:sz w:val="18"/>
                <w:lang w:val="fr-FR"/>
              </w:rPr>
              <w:t>8 716 514</w:t>
            </w:r>
          </w:p>
        </w:tc>
        <w:tc>
          <w:tcPr>
            <w:tcW w:w="344" w:type="dxa"/>
            <w:shd w:val="clear" w:color="auto" w:fill="auto"/>
            <w:noWrap/>
            <w:vAlign w:val="bottom"/>
            <w:hideMark/>
          </w:tcPr>
          <w:p w14:paraId="459F809F" w14:textId="77777777" w:rsidR="0081022C" w:rsidRPr="000A0F51" w:rsidRDefault="0081022C" w:rsidP="000A0F51">
            <w:pPr>
              <w:suppressAutoHyphens w:val="0"/>
              <w:spacing w:before="40" w:after="40" w:line="220" w:lineRule="exact"/>
              <w:jc w:val="right"/>
              <w:rPr>
                <w:sz w:val="18"/>
              </w:rPr>
            </w:pPr>
            <w:r w:rsidRPr="000A0F51">
              <w:rPr>
                <w:sz w:val="18"/>
                <w:lang w:val="fr-FR"/>
              </w:rPr>
              <w:t>93,9</w:t>
            </w:r>
          </w:p>
        </w:tc>
        <w:tc>
          <w:tcPr>
            <w:tcW w:w="780" w:type="dxa"/>
            <w:shd w:val="clear" w:color="auto" w:fill="auto"/>
            <w:noWrap/>
            <w:vAlign w:val="bottom"/>
            <w:hideMark/>
          </w:tcPr>
          <w:p w14:paraId="13163818" w14:textId="77777777" w:rsidR="0081022C" w:rsidRPr="000A0F51" w:rsidRDefault="0081022C" w:rsidP="000A0F51">
            <w:pPr>
              <w:suppressAutoHyphens w:val="0"/>
              <w:spacing w:before="40" w:after="40" w:line="220" w:lineRule="exact"/>
              <w:jc w:val="right"/>
              <w:rPr>
                <w:sz w:val="18"/>
              </w:rPr>
            </w:pPr>
            <w:r w:rsidRPr="000A0F51">
              <w:rPr>
                <w:sz w:val="18"/>
                <w:lang w:val="fr-FR"/>
              </w:rPr>
              <w:t>19 943 464</w:t>
            </w:r>
          </w:p>
        </w:tc>
        <w:tc>
          <w:tcPr>
            <w:tcW w:w="706" w:type="dxa"/>
            <w:shd w:val="clear" w:color="auto" w:fill="auto"/>
            <w:noWrap/>
            <w:vAlign w:val="bottom"/>
            <w:hideMark/>
          </w:tcPr>
          <w:p w14:paraId="5672AC83" w14:textId="77777777" w:rsidR="0081022C" w:rsidRPr="000A0F51" w:rsidRDefault="0081022C" w:rsidP="000A0F51">
            <w:pPr>
              <w:suppressAutoHyphens w:val="0"/>
              <w:spacing w:before="40" w:after="40" w:line="220" w:lineRule="exact"/>
              <w:jc w:val="right"/>
              <w:rPr>
                <w:sz w:val="18"/>
              </w:rPr>
            </w:pPr>
            <w:r w:rsidRPr="000A0F51">
              <w:rPr>
                <w:sz w:val="18"/>
                <w:lang w:val="fr-FR"/>
              </w:rPr>
              <w:t>14 167 638</w:t>
            </w:r>
          </w:p>
        </w:tc>
        <w:tc>
          <w:tcPr>
            <w:tcW w:w="440" w:type="dxa"/>
            <w:shd w:val="clear" w:color="auto" w:fill="auto"/>
            <w:noWrap/>
            <w:vAlign w:val="bottom"/>
            <w:hideMark/>
          </w:tcPr>
          <w:p w14:paraId="0850F57C" w14:textId="77777777" w:rsidR="0081022C" w:rsidRPr="000A0F51" w:rsidRDefault="0081022C" w:rsidP="000A0F51">
            <w:pPr>
              <w:suppressAutoHyphens w:val="0"/>
              <w:spacing w:before="40" w:after="40" w:line="220" w:lineRule="exact"/>
              <w:jc w:val="right"/>
              <w:rPr>
                <w:sz w:val="18"/>
              </w:rPr>
            </w:pPr>
            <w:r w:rsidRPr="000A0F51">
              <w:rPr>
                <w:sz w:val="18"/>
                <w:lang w:val="fr-FR"/>
              </w:rPr>
              <w:t>71,0</w:t>
            </w:r>
          </w:p>
        </w:tc>
        <w:tc>
          <w:tcPr>
            <w:tcW w:w="727" w:type="dxa"/>
            <w:shd w:val="clear" w:color="auto" w:fill="auto"/>
            <w:noWrap/>
            <w:vAlign w:val="bottom"/>
            <w:hideMark/>
          </w:tcPr>
          <w:p w14:paraId="24E64BFF" w14:textId="77777777" w:rsidR="0081022C" w:rsidRPr="000A0F51" w:rsidRDefault="0081022C" w:rsidP="000A0F51">
            <w:pPr>
              <w:suppressAutoHyphens w:val="0"/>
              <w:spacing w:before="40" w:after="40" w:line="220" w:lineRule="exact"/>
              <w:jc w:val="right"/>
              <w:rPr>
                <w:sz w:val="18"/>
              </w:rPr>
            </w:pPr>
            <w:r w:rsidRPr="000A0F51">
              <w:rPr>
                <w:sz w:val="18"/>
                <w:lang w:val="fr-FR"/>
              </w:rPr>
              <w:t>8 201 417</w:t>
            </w:r>
          </w:p>
        </w:tc>
        <w:tc>
          <w:tcPr>
            <w:tcW w:w="361" w:type="dxa"/>
            <w:shd w:val="clear" w:color="auto" w:fill="auto"/>
            <w:noWrap/>
            <w:vAlign w:val="bottom"/>
            <w:hideMark/>
          </w:tcPr>
          <w:p w14:paraId="31FE4716" w14:textId="77777777" w:rsidR="0081022C" w:rsidRPr="000A0F51" w:rsidRDefault="0081022C" w:rsidP="000A0F51">
            <w:pPr>
              <w:suppressAutoHyphens w:val="0"/>
              <w:spacing w:before="40" w:after="40" w:line="220" w:lineRule="exact"/>
              <w:jc w:val="right"/>
              <w:rPr>
                <w:sz w:val="18"/>
              </w:rPr>
            </w:pPr>
            <w:r w:rsidRPr="000A0F51">
              <w:rPr>
                <w:sz w:val="18"/>
                <w:lang w:val="fr-FR"/>
              </w:rPr>
              <w:t>83,8</w:t>
            </w:r>
          </w:p>
        </w:tc>
      </w:tr>
      <w:tr w:rsidR="000A0F51" w:rsidRPr="000A0F51" w14:paraId="6C5785D3" w14:textId="77777777" w:rsidTr="000A0F51">
        <w:tc>
          <w:tcPr>
            <w:tcW w:w="833" w:type="dxa"/>
            <w:shd w:val="clear" w:color="auto" w:fill="auto"/>
            <w:noWrap/>
            <w:hideMark/>
          </w:tcPr>
          <w:p w14:paraId="4665B1E9" w14:textId="77777777" w:rsidR="0081022C" w:rsidRPr="000A0F51" w:rsidRDefault="0081022C" w:rsidP="000A0F51">
            <w:pPr>
              <w:suppressAutoHyphens w:val="0"/>
              <w:spacing w:before="40" w:after="40" w:line="220" w:lineRule="exact"/>
              <w:rPr>
                <w:sz w:val="18"/>
              </w:rPr>
            </w:pPr>
            <w:r w:rsidRPr="000A0F51">
              <w:rPr>
                <w:sz w:val="18"/>
                <w:lang w:val="fr-FR"/>
              </w:rPr>
              <w:t>Tarija</w:t>
            </w:r>
          </w:p>
        </w:tc>
        <w:tc>
          <w:tcPr>
            <w:tcW w:w="727" w:type="dxa"/>
            <w:shd w:val="clear" w:color="auto" w:fill="auto"/>
            <w:noWrap/>
            <w:vAlign w:val="bottom"/>
            <w:hideMark/>
          </w:tcPr>
          <w:p w14:paraId="46670246" w14:textId="77777777" w:rsidR="0081022C" w:rsidRPr="000A0F51" w:rsidRDefault="0081022C" w:rsidP="000A0F51">
            <w:pPr>
              <w:suppressAutoHyphens w:val="0"/>
              <w:spacing w:before="40" w:after="40" w:line="220" w:lineRule="exact"/>
              <w:jc w:val="right"/>
              <w:rPr>
                <w:sz w:val="18"/>
              </w:rPr>
            </w:pPr>
            <w:r w:rsidRPr="000A0F51">
              <w:rPr>
                <w:sz w:val="18"/>
                <w:lang w:val="fr-FR"/>
              </w:rPr>
              <w:t>1 982 397</w:t>
            </w:r>
          </w:p>
        </w:tc>
        <w:tc>
          <w:tcPr>
            <w:tcW w:w="685" w:type="dxa"/>
            <w:shd w:val="clear" w:color="auto" w:fill="auto"/>
            <w:noWrap/>
            <w:vAlign w:val="bottom"/>
            <w:hideMark/>
          </w:tcPr>
          <w:p w14:paraId="78CF24F9" w14:textId="77777777" w:rsidR="0081022C" w:rsidRPr="000A0F51" w:rsidRDefault="0081022C" w:rsidP="000A0F51">
            <w:pPr>
              <w:suppressAutoHyphens w:val="0"/>
              <w:spacing w:before="40" w:after="40" w:line="220" w:lineRule="exact"/>
              <w:jc w:val="right"/>
              <w:rPr>
                <w:sz w:val="18"/>
              </w:rPr>
            </w:pPr>
            <w:r w:rsidRPr="000A0F51">
              <w:rPr>
                <w:sz w:val="18"/>
                <w:lang w:val="fr-FR"/>
              </w:rPr>
              <w:t>1 310 949</w:t>
            </w:r>
          </w:p>
        </w:tc>
        <w:tc>
          <w:tcPr>
            <w:tcW w:w="344" w:type="dxa"/>
            <w:shd w:val="clear" w:color="auto" w:fill="auto"/>
            <w:noWrap/>
            <w:vAlign w:val="bottom"/>
            <w:hideMark/>
          </w:tcPr>
          <w:p w14:paraId="3DCA53BA" w14:textId="77777777" w:rsidR="0081022C" w:rsidRPr="000A0F51" w:rsidRDefault="0081022C" w:rsidP="000A0F51">
            <w:pPr>
              <w:suppressAutoHyphens w:val="0"/>
              <w:spacing w:before="40" w:after="40" w:line="220" w:lineRule="exact"/>
              <w:jc w:val="right"/>
              <w:rPr>
                <w:sz w:val="18"/>
              </w:rPr>
            </w:pPr>
            <w:r w:rsidRPr="000A0F51">
              <w:rPr>
                <w:sz w:val="18"/>
                <w:lang w:val="fr-FR"/>
              </w:rPr>
              <w:t>66,1</w:t>
            </w:r>
          </w:p>
        </w:tc>
        <w:tc>
          <w:tcPr>
            <w:tcW w:w="706" w:type="dxa"/>
            <w:shd w:val="clear" w:color="auto" w:fill="auto"/>
            <w:noWrap/>
            <w:vAlign w:val="bottom"/>
            <w:hideMark/>
          </w:tcPr>
          <w:p w14:paraId="15FAD65F" w14:textId="77777777" w:rsidR="0081022C" w:rsidRPr="000A0F51" w:rsidRDefault="0081022C" w:rsidP="000A0F51">
            <w:pPr>
              <w:suppressAutoHyphens w:val="0"/>
              <w:spacing w:before="40" w:after="40" w:line="220" w:lineRule="exact"/>
              <w:jc w:val="right"/>
              <w:rPr>
                <w:sz w:val="18"/>
              </w:rPr>
            </w:pPr>
            <w:r w:rsidRPr="000A0F51">
              <w:rPr>
                <w:sz w:val="18"/>
                <w:lang w:val="fr-FR"/>
              </w:rPr>
              <w:t>2 917 675</w:t>
            </w:r>
          </w:p>
        </w:tc>
        <w:tc>
          <w:tcPr>
            <w:tcW w:w="717" w:type="dxa"/>
            <w:shd w:val="clear" w:color="auto" w:fill="auto"/>
            <w:noWrap/>
            <w:vAlign w:val="bottom"/>
            <w:hideMark/>
          </w:tcPr>
          <w:p w14:paraId="52FEBF25" w14:textId="77777777" w:rsidR="0081022C" w:rsidRPr="000A0F51" w:rsidRDefault="0081022C" w:rsidP="000A0F51">
            <w:pPr>
              <w:suppressAutoHyphens w:val="0"/>
              <w:spacing w:before="40" w:after="40" w:line="220" w:lineRule="exact"/>
              <w:jc w:val="right"/>
              <w:rPr>
                <w:sz w:val="18"/>
              </w:rPr>
            </w:pPr>
            <w:r w:rsidRPr="000A0F51">
              <w:rPr>
                <w:sz w:val="18"/>
                <w:lang w:val="fr-FR"/>
              </w:rPr>
              <w:t>2 009 093</w:t>
            </w:r>
          </w:p>
        </w:tc>
        <w:tc>
          <w:tcPr>
            <w:tcW w:w="344" w:type="dxa"/>
            <w:shd w:val="clear" w:color="auto" w:fill="auto"/>
            <w:noWrap/>
            <w:vAlign w:val="bottom"/>
            <w:hideMark/>
          </w:tcPr>
          <w:p w14:paraId="11F7D6F8" w14:textId="77777777" w:rsidR="0081022C" w:rsidRPr="000A0F51" w:rsidRDefault="0081022C" w:rsidP="000A0F51">
            <w:pPr>
              <w:suppressAutoHyphens w:val="0"/>
              <w:spacing w:before="40" w:after="40" w:line="220" w:lineRule="exact"/>
              <w:jc w:val="right"/>
              <w:rPr>
                <w:sz w:val="18"/>
              </w:rPr>
            </w:pPr>
            <w:r w:rsidRPr="000A0F51">
              <w:rPr>
                <w:sz w:val="18"/>
                <w:lang w:val="fr-FR"/>
              </w:rPr>
              <w:t>68,9</w:t>
            </w:r>
          </w:p>
        </w:tc>
        <w:tc>
          <w:tcPr>
            <w:tcW w:w="780" w:type="dxa"/>
            <w:shd w:val="clear" w:color="auto" w:fill="auto"/>
            <w:noWrap/>
            <w:vAlign w:val="bottom"/>
            <w:hideMark/>
          </w:tcPr>
          <w:p w14:paraId="6BFEAA7A" w14:textId="77777777" w:rsidR="0081022C" w:rsidRPr="000A0F51" w:rsidRDefault="0081022C" w:rsidP="000A0F51">
            <w:pPr>
              <w:suppressAutoHyphens w:val="0"/>
              <w:spacing w:before="40" w:after="40" w:line="220" w:lineRule="exact"/>
              <w:jc w:val="right"/>
              <w:rPr>
                <w:sz w:val="18"/>
              </w:rPr>
            </w:pPr>
            <w:r w:rsidRPr="000A0F51">
              <w:rPr>
                <w:sz w:val="18"/>
                <w:lang w:val="fr-FR"/>
              </w:rPr>
              <w:t>3 104 454</w:t>
            </w:r>
          </w:p>
        </w:tc>
        <w:tc>
          <w:tcPr>
            <w:tcW w:w="706" w:type="dxa"/>
            <w:shd w:val="clear" w:color="auto" w:fill="auto"/>
            <w:noWrap/>
            <w:vAlign w:val="bottom"/>
            <w:hideMark/>
          </w:tcPr>
          <w:p w14:paraId="23DF07FA" w14:textId="77777777" w:rsidR="0081022C" w:rsidRPr="000A0F51" w:rsidRDefault="0081022C" w:rsidP="000A0F51">
            <w:pPr>
              <w:suppressAutoHyphens w:val="0"/>
              <w:spacing w:before="40" w:after="40" w:line="220" w:lineRule="exact"/>
              <w:jc w:val="right"/>
              <w:rPr>
                <w:sz w:val="18"/>
              </w:rPr>
            </w:pPr>
            <w:r w:rsidRPr="000A0F51">
              <w:rPr>
                <w:sz w:val="18"/>
                <w:lang w:val="fr-FR"/>
              </w:rPr>
              <w:t>1 266 792</w:t>
            </w:r>
          </w:p>
        </w:tc>
        <w:tc>
          <w:tcPr>
            <w:tcW w:w="440" w:type="dxa"/>
            <w:shd w:val="clear" w:color="auto" w:fill="auto"/>
            <w:noWrap/>
            <w:vAlign w:val="bottom"/>
            <w:hideMark/>
          </w:tcPr>
          <w:p w14:paraId="3E41CCD3" w14:textId="77777777" w:rsidR="0081022C" w:rsidRPr="000A0F51" w:rsidRDefault="0081022C" w:rsidP="000A0F51">
            <w:pPr>
              <w:suppressAutoHyphens w:val="0"/>
              <w:spacing w:before="40" w:after="40" w:line="220" w:lineRule="exact"/>
              <w:jc w:val="right"/>
              <w:rPr>
                <w:sz w:val="18"/>
              </w:rPr>
            </w:pPr>
            <w:r w:rsidRPr="000A0F51">
              <w:rPr>
                <w:sz w:val="18"/>
                <w:lang w:val="fr-FR"/>
              </w:rPr>
              <w:t>40,8</w:t>
            </w:r>
          </w:p>
        </w:tc>
        <w:tc>
          <w:tcPr>
            <w:tcW w:w="727" w:type="dxa"/>
            <w:shd w:val="clear" w:color="auto" w:fill="auto"/>
            <w:noWrap/>
            <w:vAlign w:val="bottom"/>
            <w:hideMark/>
          </w:tcPr>
          <w:p w14:paraId="7D5B8DAB" w14:textId="77777777" w:rsidR="0081022C" w:rsidRPr="000A0F51" w:rsidRDefault="0081022C" w:rsidP="000A0F51">
            <w:pPr>
              <w:suppressAutoHyphens w:val="0"/>
              <w:spacing w:before="40" w:after="40" w:line="220" w:lineRule="exact"/>
              <w:jc w:val="right"/>
              <w:rPr>
                <w:sz w:val="18"/>
              </w:rPr>
            </w:pPr>
            <w:r w:rsidRPr="000A0F51">
              <w:rPr>
                <w:sz w:val="18"/>
                <w:lang w:val="fr-FR"/>
              </w:rPr>
              <w:t>1 528 945</w:t>
            </w:r>
          </w:p>
        </w:tc>
        <w:tc>
          <w:tcPr>
            <w:tcW w:w="361" w:type="dxa"/>
            <w:shd w:val="clear" w:color="auto" w:fill="auto"/>
            <w:noWrap/>
            <w:vAlign w:val="bottom"/>
            <w:hideMark/>
          </w:tcPr>
          <w:p w14:paraId="3C56E337" w14:textId="77777777" w:rsidR="0081022C" w:rsidRPr="000A0F51" w:rsidRDefault="0081022C" w:rsidP="000A0F51">
            <w:pPr>
              <w:suppressAutoHyphens w:val="0"/>
              <w:spacing w:before="40" w:after="40" w:line="220" w:lineRule="exact"/>
              <w:jc w:val="right"/>
              <w:rPr>
                <w:sz w:val="18"/>
              </w:rPr>
            </w:pPr>
            <w:r w:rsidRPr="000A0F51">
              <w:rPr>
                <w:sz w:val="18"/>
                <w:lang w:val="fr-FR"/>
              </w:rPr>
              <w:t>58,6</w:t>
            </w:r>
          </w:p>
        </w:tc>
      </w:tr>
      <w:tr w:rsidR="000A0F51" w:rsidRPr="000A0F51" w14:paraId="3221AD0A" w14:textId="77777777" w:rsidTr="000A0F51">
        <w:tc>
          <w:tcPr>
            <w:tcW w:w="833" w:type="dxa"/>
            <w:shd w:val="clear" w:color="auto" w:fill="auto"/>
            <w:noWrap/>
            <w:hideMark/>
          </w:tcPr>
          <w:p w14:paraId="74B5EF7A" w14:textId="77777777" w:rsidR="0081022C" w:rsidRPr="000A0F51" w:rsidRDefault="0081022C" w:rsidP="000A0F51">
            <w:pPr>
              <w:suppressAutoHyphens w:val="0"/>
              <w:spacing w:before="40" w:after="40" w:line="220" w:lineRule="exact"/>
              <w:rPr>
                <w:sz w:val="18"/>
              </w:rPr>
            </w:pPr>
            <w:r w:rsidRPr="000A0F51">
              <w:rPr>
                <w:sz w:val="18"/>
                <w:lang w:val="fr-FR"/>
              </w:rPr>
              <w:t>Potosí</w:t>
            </w:r>
          </w:p>
        </w:tc>
        <w:tc>
          <w:tcPr>
            <w:tcW w:w="727" w:type="dxa"/>
            <w:shd w:val="clear" w:color="auto" w:fill="auto"/>
            <w:noWrap/>
            <w:vAlign w:val="bottom"/>
            <w:hideMark/>
          </w:tcPr>
          <w:p w14:paraId="02B11708" w14:textId="77777777" w:rsidR="0081022C" w:rsidRPr="000A0F51" w:rsidRDefault="0081022C" w:rsidP="000A0F51">
            <w:pPr>
              <w:suppressAutoHyphens w:val="0"/>
              <w:spacing w:before="40" w:after="40" w:line="220" w:lineRule="exact"/>
              <w:jc w:val="right"/>
              <w:rPr>
                <w:sz w:val="18"/>
              </w:rPr>
            </w:pPr>
            <w:r w:rsidRPr="000A0F51">
              <w:rPr>
                <w:sz w:val="18"/>
                <w:lang w:val="fr-FR"/>
              </w:rPr>
              <w:t>754 943</w:t>
            </w:r>
          </w:p>
        </w:tc>
        <w:tc>
          <w:tcPr>
            <w:tcW w:w="685" w:type="dxa"/>
            <w:shd w:val="clear" w:color="auto" w:fill="auto"/>
            <w:noWrap/>
            <w:vAlign w:val="bottom"/>
            <w:hideMark/>
          </w:tcPr>
          <w:p w14:paraId="5ECD3D2F" w14:textId="77777777" w:rsidR="0081022C" w:rsidRPr="000A0F51" w:rsidRDefault="0081022C" w:rsidP="000A0F51">
            <w:pPr>
              <w:suppressAutoHyphens w:val="0"/>
              <w:spacing w:before="40" w:after="40" w:line="220" w:lineRule="exact"/>
              <w:jc w:val="right"/>
              <w:rPr>
                <w:sz w:val="18"/>
              </w:rPr>
            </w:pPr>
            <w:r w:rsidRPr="000A0F51">
              <w:rPr>
                <w:sz w:val="18"/>
                <w:lang w:val="fr-FR"/>
              </w:rPr>
              <w:t>581 009</w:t>
            </w:r>
          </w:p>
        </w:tc>
        <w:tc>
          <w:tcPr>
            <w:tcW w:w="344" w:type="dxa"/>
            <w:shd w:val="clear" w:color="auto" w:fill="auto"/>
            <w:noWrap/>
            <w:vAlign w:val="bottom"/>
            <w:hideMark/>
          </w:tcPr>
          <w:p w14:paraId="02B12586" w14:textId="77777777" w:rsidR="0081022C" w:rsidRPr="000A0F51" w:rsidRDefault="0081022C" w:rsidP="000A0F51">
            <w:pPr>
              <w:suppressAutoHyphens w:val="0"/>
              <w:spacing w:before="40" w:after="40" w:line="220" w:lineRule="exact"/>
              <w:jc w:val="right"/>
              <w:rPr>
                <w:sz w:val="18"/>
              </w:rPr>
            </w:pPr>
            <w:r w:rsidRPr="000A0F51">
              <w:rPr>
                <w:sz w:val="18"/>
                <w:lang w:val="fr-FR"/>
              </w:rPr>
              <w:t>77,0</w:t>
            </w:r>
          </w:p>
        </w:tc>
        <w:tc>
          <w:tcPr>
            <w:tcW w:w="706" w:type="dxa"/>
            <w:shd w:val="clear" w:color="auto" w:fill="auto"/>
            <w:noWrap/>
            <w:vAlign w:val="bottom"/>
            <w:hideMark/>
          </w:tcPr>
          <w:p w14:paraId="60F929F1" w14:textId="77777777" w:rsidR="0081022C" w:rsidRPr="000A0F51" w:rsidRDefault="0081022C" w:rsidP="000A0F51">
            <w:pPr>
              <w:suppressAutoHyphens w:val="0"/>
              <w:spacing w:before="40" w:after="40" w:line="220" w:lineRule="exact"/>
              <w:jc w:val="right"/>
              <w:rPr>
                <w:sz w:val="18"/>
              </w:rPr>
            </w:pPr>
            <w:r w:rsidRPr="000A0F51">
              <w:rPr>
                <w:sz w:val="18"/>
                <w:lang w:val="fr-FR"/>
              </w:rPr>
              <w:t>2 391 796</w:t>
            </w:r>
          </w:p>
        </w:tc>
        <w:tc>
          <w:tcPr>
            <w:tcW w:w="717" w:type="dxa"/>
            <w:shd w:val="clear" w:color="auto" w:fill="auto"/>
            <w:noWrap/>
            <w:vAlign w:val="bottom"/>
            <w:hideMark/>
          </w:tcPr>
          <w:p w14:paraId="51CAFF75" w14:textId="77777777" w:rsidR="0081022C" w:rsidRPr="000A0F51" w:rsidRDefault="0081022C" w:rsidP="000A0F51">
            <w:pPr>
              <w:suppressAutoHyphens w:val="0"/>
              <w:spacing w:before="40" w:after="40" w:line="220" w:lineRule="exact"/>
              <w:jc w:val="right"/>
              <w:rPr>
                <w:sz w:val="18"/>
              </w:rPr>
            </w:pPr>
            <w:r w:rsidRPr="000A0F51">
              <w:rPr>
                <w:sz w:val="18"/>
                <w:lang w:val="fr-FR"/>
              </w:rPr>
              <w:t>1 957 005</w:t>
            </w:r>
          </w:p>
        </w:tc>
        <w:tc>
          <w:tcPr>
            <w:tcW w:w="344" w:type="dxa"/>
            <w:shd w:val="clear" w:color="auto" w:fill="auto"/>
            <w:noWrap/>
            <w:vAlign w:val="bottom"/>
            <w:hideMark/>
          </w:tcPr>
          <w:p w14:paraId="73B7147A" w14:textId="77777777" w:rsidR="0081022C" w:rsidRPr="000A0F51" w:rsidRDefault="0081022C" w:rsidP="000A0F51">
            <w:pPr>
              <w:suppressAutoHyphens w:val="0"/>
              <w:spacing w:before="40" w:after="40" w:line="220" w:lineRule="exact"/>
              <w:jc w:val="right"/>
              <w:rPr>
                <w:sz w:val="18"/>
              </w:rPr>
            </w:pPr>
            <w:r w:rsidRPr="000A0F51">
              <w:rPr>
                <w:sz w:val="18"/>
                <w:lang w:val="fr-FR"/>
              </w:rPr>
              <w:t>81,8</w:t>
            </w:r>
          </w:p>
        </w:tc>
        <w:tc>
          <w:tcPr>
            <w:tcW w:w="780" w:type="dxa"/>
            <w:shd w:val="clear" w:color="auto" w:fill="auto"/>
            <w:noWrap/>
            <w:vAlign w:val="bottom"/>
            <w:hideMark/>
          </w:tcPr>
          <w:p w14:paraId="51997884" w14:textId="77777777" w:rsidR="0081022C" w:rsidRPr="000A0F51" w:rsidRDefault="0081022C" w:rsidP="000A0F51">
            <w:pPr>
              <w:suppressAutoHyphens w:val="0"/>
              <w:spacing w:before="40" w:after="40" w:line="220" w:lineRule="exact"/>
              <w:jc w:val="right"/>
              <w:rPr>
                <w:sz w:val="18"/>
              </w:rPr>
            </w:pPr>
            <w:r w:rsidRPr="000A0F51">
              <w:rPr>
                <w:sz w:val="18"/>
                <w:lang w:val="fr-FR"/>
              </w:rPr>
              <w:t>3 728 827</w:t>
            </w:r>
          </w:p>
        </w:tc>
        <w:tc>
          <w:tcPr>
            <w:tcW w:w="706" w:type="dxa"/>
            <w:shd w:val="clear" w:color="auto" w:fill="auto"/>
            <w:noWrap/>
            <w:vAlign w:val="bottom"/>
            <w:hideMark/>
          </w:tcPr>
          <w:p w14:paraId="07B144E3" w14:textId="77777777" w:rsidR="0081022C" w:rsidRPr="000A0F51" w:rsidRDefault="0081022C" w:rsidP="000A0F51">
            <w:pPr>
              <w:suppressAutoHyphens w:val="0"/>
              <w:spacing w:before="40" w:after="40" w:line="220" w:lineRule="exact"/>
              <w:jc w:val="right"/>
              <w:rPr>
                <w:sz w:val="18"/>
              </w:rPr>
            </w:pPr>
            <w:r w:rsidRPr="000A0F51">
              <w:rPr>
                <w:sz w:val="18"/>
                <w:lang w:val="fr-FR"/>
              </w:rPr>
              <w:t>2 966 263</w:t>
            </w:r>
          </w:p>
        </w:tc>
        <w:tc>
          <w:tcPr>
            <w:tcW w:w="440" w:type="dxa"/>
            <w:shd w:val="clear" w:color="auto" w:fill="auto"/>
            <w:noWrap/>
            <w:vAlign w:val="bottom"/>
            <w:hideMark/>
          </w:tcPr>
          <w:p w14:paraId="36AC5F47" w14:textId="77777777" w:rsidR="0081022C" w:rsidRPr="000A0F51" w:rsidRDefault="0081022C" w:rsidP="000A0F51">
            <w:pPr>
              <w:suppressAutoHyphens w:val="0"/>
              <w:spacing w:before="40" w:after="40" w:line="220" w:lineRule="exact"/>
              <w:jc w:val="right"/>
              <w:rPr>
                <w:sz w:val="18"/>
              </w:rPr>
            </w:pPr>
            <w:r w:rsidRPr="000A0F51">
              <w:rPr>
                <w:sz w:val="18"/>
                <w:lang w:val="fr-FR"/>
              </w:rPr>
              <w:t>79,5</w:t>
            </w:r>
          </w:p>
        </w:tc>
        <w:tc>
          <w:tcPr>
            <w:tcW w:w="727" w:type="dxa"/>
            <w:shd w:val="clear" w:color="auto" w:fill="auto"/>
            <w:noWrap/>
            <w:vAlign w:val="bottom"/>
            <w:hideMark/>
          </w:tcPr>
          <w:p w14:paraId="0DD00415" w14:textId="77777777" w:rsidR="0081022C" w:rsidRPr="000A0F51" w:rsidRDefault="0081022C" w:rsidP="000A0F51">
            <w:pPr>
              <w:suppressAutoHyphens w:val="0"/>
              <w:spacing w:before="40" w:after="40" w:line="220" w:lineRule="exact"/>
              <w:jc w:val="right"/>
              <w:rPr>
                <w:sz w:val="18"/>
              </w:rPr>
            </w:pPr>
            <w:r w:rsidRPr="000A0F51">
              <w:rPr>
                <w:sz w:val="18"/>
                <w:lang w:val="fr-FR"/>
              </w:rPr>
              <w:t>1 834 759</w:t>
            </w:r>
          </w:p>
        </w:tc>
        <w:tc>
          <w:tcPr>
            <w:tcW w:w="361" w:type="dxa"/>
            <w:shd w:val="clear" w:color="auto" w:fill="auto"/>
            <w:noWrap/>
            <w:vAlign w:val="bottom"/>
            <w:hideMark/>
          </w:tcPr>
          <w:p w14:paraId="00395294" w14:textId="77777777" w:rsidR="0081022C" w:rsidRPr="000A0F51" w:rsidRDefault="0081022C" w:rsidP="000A0F51">
            <w:pPr>
              <w:suppressAutoHyphens w:val="0"/>
              <w:spacing w:before="40" w:after="40" w:line="220" w:lineRule="exact"/>
              <w:jc w:val="right"/>
              <w:rPr>
                <w:sz w:val="18"/>
              </w:rPr>
            </w:pPr>
            <w:r w:rsidRPr="000A0F51">
              <w:rPr>
                <w:sz w:val="18"/>
                <w:lang w:val="fr-FR"/>
              </w:rPr>
              <w:t>79,4</w:t>
            </w:r>
          </w:p>
        </w:tc>
      </w:tr>
      <w:tr w:rsidR="000A0F51" w:rsidRPr="000A0F51" w14:paraId="0A570FDA" w14:textId="77777777" w:rsidTr="000A0F51">
        <w:tc>
          <w:tcPr>
            <w:tcW w:w="833" w:type="dxa"/>
            <w:shd w:val="clear" w:color="auto" w:fill="auto"/>
            <w:noWrap/>
            <w:hideMark/>
          </w:tcPr>
          <w:p w14:paraId="50F83818" w14:textId="77777777" w:rsidR="0081022C" w:rsidRPr="000A0F51" w:rsidRDefault="0081022C" w:rsidP="000A0F51">
            <w:pPr>
              <w:suppressAutoHyphens w:val="0"/>
              <w:spacing w:before="40" w:after="40" w:line="220" w:lineRule="exact"/>
              <w:rPr>
                <w:sz w:val="18"/>
              </w:rPr>
            </w:pPr>
            <w:r w:rsidRPr="000A0F51">
              <w:rPr>
                <w:sz w:val="18"/>
                <w:lang w:val="fr-FR"/>
              </w:rPr>
              <w:t>Sacaba</w:t>
            </w:r>
          </w:p>
        </w:tc>
        <w:tc>
          <w:tcPr>
            <w:tcW w:w="727" w:type="dxa"/>
            <w:shd w:val="clear" w:color="auto" w:fill="auto"/>
            <w:noWrap/>
            <w:vAlign w:val="bottom"/>
            <w:hideMark/>
          </w:tcPr>
          <w:p w14:paraId="5D8CC250" w14:textId="77777777" w:rsidR="0081022C" w:rsidRPr="000A0F51" w:rsidRDefault="0081022C" w:rsidP="000A0F51">
            <w:pPr>
              <w:suppressAutoHyphens w:val="0"/>
              <w:spacing w:before="40" w:after="40" w:line="220" w:lineRule="exact"/>
              <w:jc w:val="right"/>
              <w:rPr>
                <w:sz w:val="18"/>
              </w:rPr>
            </w:pPr>
            <w:r w:rsidRPr="000A0F51">
              <w:rPr>
                <w:sz w:val="18"/>
                <w:lang w:val="fr-FR"/>
              </w:rPr>
              <w:t>486 440</w:t>
            </w:r>
          </w:p>
        </w:tc>
        <w:tc>
          <w:tcPr>
            <w:tcW w:w="685" w:type="dxa"/>
            <w:shd w:val="clear" w:color="auto" w:fill="auto"/>
            <w:noWrap/>
            <w:vAlign w:val="bottom"/>
            <w:hideMark/>
          </w:tcPr>
          <w:p w14:paraId="7C076FD8" w14:textId="77777777" w:rsidR="0081022C" w:rsidRPr="000A0F51" w:rsidRDefault="0081022C" w:rsidP="000A0F51">
            <w:pPr>
              <w:suppressAutoHyphens w:val="0"/>
              <w:spacing w:before="40" w:after="40" w:line="220" w:lineRule="exact"/>
              <w:jc w:val="right"/>
              <w:rPr>
                <w:sz w:val="18"/>
              </w:rPr>
            </w:pPr>
            <w:r w:rsidRPr="000A0F51">
              <w:rPr>
                <w:sz w:val="18"/>
                <w:lang w:val="fr-FR"/>
              </w:rPr>
              <w:t>339 325</w:t>
            </w:r>
          </w:p>
        </w:tc>
        <w:tc>
          <w:tcPr>
            <w:tcW w:w="344" w:type="dxa"/>
            <w:shd w:val="clear" w:color="auto" w:fill="auto"/>
            <w:noWrap/>
            <w:vAlign w:val="bottom"/>
            <w:hideMark/>
          </w:tcPr>
          <w:p w14:paraId="445AAA2E" w14:textId="77777777" w:rsidR="0081022C" w:rsidRPr="000A0F51" w:rsidRDefault="0081022C" w:rsidP="000A0F51">
            <w:pPr>
              <w:suppressAutoHyphens w:val="0"/>
              <w:spacing w:before="40" w:after="40" w:line="220" w:lineRule="exact"/>
              <w:jc w:val="right"/>
              <w:rPr>
                <w:sz w:val="18"/>
              </w:rPr>
            </w:pPr>
            <w:r w:rsidRPr="000A0F51">
              <w:rPr>
                <w:sz w:val="18"/>
                <w:lang w:val="fr-FR"/>
              </w:rPr>
              <w:t>69,8</w:t>
            </w:r>
          </w:p>
        </w:tc>
        <w:tc>
          <w:tcPr>
            <w:tcW w:w="706" w:type="dxa"/>
            <w:shd w:val="clear" w:color="auto" w:fill="auto"/>
            <w:noWrap/>
            <w:vAlign w:val="bottom"/>
            <w:hideMark/>
          </w:tcPr>
          <w:p w14:paraId="653F7229" w14:textId="77777777" w:rsidR="0081022C" w:rsidRPr="000A0F51" w:rsidRDefault="0081022C" w:rsidP="000A0F51">
            <w:pPr>
              <w:suppressAutoHyphens w:val="0"/>
              <w:spacing w:before="40" w:after="40" w:line="220" w:lineRule="exact"/>
              <w:jc w:val="right"/>
              <w:rPr>
                <w:sz w:val="18"/>
              </w:rPr>
            </w:pPr>
            <w:r w:rsidRPr="000A0F51">
              <w:rPr>
                <w:sz w:val="18"/>
                <w:lang w:val="fr-FR"/>
              </w:rPr>
              <w:t>2 384 629</w:t>
            </w:r>
          </w:p>
        </w:tc>
        <w:tc>
          <w:tcPr>
            <w:tcW w:w="717" w:type="dxa"/>
            <w:shd w:val="clear" w:color="auto" w:fill="auto"/>
            <w:noWrap/>
            <w:vAlign w:val="bottom"/>
            <w:hideMark/>
          </w:tcPr>
          <w:p w14:paraId="4E0B8BB9" w14:textId="77777777" w:rsidR="0081022C" w:rsidRPr="000A0F51" w:rsidRDefault="0081022C" w:rsidP="000A0F51">
            <w:pPr>
              <w:suppressAutoHyphens w:val="0"/>
              <w:spacing w:before="40" w:after="40" w:line="220" w:lineRule="exact"/>
              <w:jc w:val="right"/>
              <w:rPr>
                <w:sz w:val="18"/>
              </w:rPr>
            </w:pPr>
            <w:r w:rsidRPr="000A0F51">
              <w:rPr>
                <w:sz w:val="18"/>
                <w:lang w:val="fr-FR"/>
              </w:rPr>
              <w:t>2 122 582</w:t>
            </w:r>
          </w:p>
        </w:tc>
        <w:tc>
          <w:tcPr>
            <w:tcW w:w="344" w:type="dxa"/>
            <w:shd w:val="clear" w:color="auto" w:fill="auto"/>
            <w:noWrap/>
            <w:vAlign w:val="bottom"/>
            <w:hideMark/>
          </w:tcPr>
          <w:p w14:paraId="2BFC2993" w14:textId="77777777" w:rsidR="0081022C" w:rsidRPr="000A0F51" w:rsidRDefault="0081022C" w:rsidP="000A0F51">
            <w:pPr>
              <w:suppressAutoHyphens w:val="0"/>
              <w:spacing w:before="40" w:after="40" w:line="220" w:lineRule="exact"/>
              <w:jc w:val="right"/>
              <w:rPr>
                <w:sz w:val="18"/>
              </w:rPr>
            </w:pPr>
            <w:r w:rsidRPr="000A0F51">
              <w:rPr>
                <w:sz w:val="18"/>
                <w:lang w:val="fr-FR"/>
              </w:rPr>
              <w:t>89,0</w:t>
            </w:r>
          </w:p>
        </w:tc>
        <w:tc>
          <w:tcPr>
            <w:tcW w:w="780" w:type="dxa"/>
            <w:shd w:val="clear" w:color="auto" w:fill="auto"/>
            <w:noWrap/>
            <w:vAlign w:val="bottom"/>
            <w:hideMark/>
          </w:tcPr>
          <w:p w14:paraId="03D3BF6D" w14:textId="77777777" w:rsidR="0081022C" w:rsidRPr="000A0F51" w:rsidRDefault="0081022C" w:rsidP="000A0F51">
            <w:pPr>
              <w:suppressAutoHyphens w:val="0"/>
              <w:spacing w:before="40" w:after="40" w:line="220" w:lineRule="exact"/>
              <w:jc w:val="right"/>
              <w:rPr>
                <w:sz w:val="18"/>
              </w:rPr>
            </w:pPr>
            <w:r w:rsidRPr="000A0F51">
              <w:rPr>
                <w:sz w:val="18"/>
                <w:lang w:val="fr-FR"/>
              </w:rPr>
              <w:t>3 170 063</w:t>
            </w:r>
          </w:p>
        </w:tc>
        <w:tc>
          <w:tcPr>
            <w:tcW w:w="706" w:type="dxa"/>
            <w:shd w:val="clear" w:color="auto" w:fill="auto"/>
            <w:noWrap/>
            <w:vAlign w:val="bottom"/>
            <w:hideMark/>
          </w:tcPr>
          <w:p w14:paraId="6D6375F6" w14:textId="77777777" w:rsidR="0081022C" w:rsidRPr="000A0F51" w:rsidRDefault="0081022C" w:rsidP="000A0F51">
            <w:pPr>
              <w:suppressAutoHyphens w:val="0"/>
              <w:spacing w:before="40" w:after="40" w:line="220" w:lineRule="exact"/>
              <w:jc w:val="right"/>
              <w:rPr>
                <w:sz w:val="18"/>
              </w:rPr>
            </w:pPr>
            <w:r w:rsidRPr="000A0F51">
              <w:rPr>
                <w:sz w:val="18"/>
                <w:lang w:val="fr-FR"/>
              </w:rPr>
              <w:t>1 700 141</w:t>
            </w:r>
          </w:p>
        </w:tc>
        <w:tc>
          <w:tcPr>
            <w:tcW w:w="440" w:type="dxa"/>
            <w:shd w:val="clear" w:color="auto" w:fill="auto"/>
            <w:noWrap/>
            <w:vAlign w:val="bottom"/>
            <w:hideMark/>
          </w:tcPr>
          <w:p w14:paraId="1BB15581" w14:textId="77777777" w:rsidR="0081022C" w:rsidRPr="000A0F51" w:rsidRDefault="0081022C" w:rsidP="000A0F51">
            <w:pPr>
              <w:suppressAutoHyphens w:val="0"/>
              <w:spacing w:before="40" w:after="40" w:line="220" w:lineRule="exact"/>
              <w:jc w:val="right"/>
              <w:rPr>
                <w:sz w:val="18"/>
              </w:rPr>
            </w:pPr>
            <w:r w:rsidRPr="000A0F51">
              <w:rPr>
                <w:sz w:val="18"/>
                <w:lang w:val="fr-FR"/>
              </w:rPr>
              <w:t>53,6</w:t>
            </w:r>
          </w:p>
        </w:tc>
        <w:tc>
          <w:tcPr>
            <w:tcW w:w="727" w:type="dxa"/>
            <w:shd w:val="clear" w:color="auto" w:fill="auto"/>
            <w:noWrap/>
            <w:vAlign w:val="bottom"/>
            <w:hideMark/>
          </w:tcPr>
          <w:p w14:paraId="7D2A0881" w14:textId="77777777" w:rsidR="0081022C" w:rsidRPr="000A0F51" w:rsidRDefault="0081022C" w:rsidP="000A0F51">
            <w:pPr>
              <w:suppressAutoHyphens w:val="0"/>
              <w:spacing w:before="40" w:after="40" w:line="220" w:lineRule="exact"/>
              <w:jc w:val="right"/>
              <w:rPr>
                <w:sz w:val="18"/>
              </w:rPr>
            </w:pPr>
            <w:r w:rsidRPr="000A0F51">
              <w:rPr>
                <w:sz w:val="18"/>
                <w:lang w:val="fr-FR"/>
              </w:rPr>
              <w:t>1 387 350</w:t>
            </w:r>
          </w:p>
        </w:tc>
        <w:tc>
          <w:tcPr>
            <w:tcW w:w="361" w:type="dxa"/>
            <w:shd w:val="clear" w:color="auto" w:fill="auto"/>
            <w:noWrap/>
            <w:vAlign w:val="bottom"/>
            <w:hideMark/>
          </w:tcPr>
          <w:p w14:paraId="50954A7A" w14:textId="77777777" w:rsidR="0081022C" w:rsidRPr="000A0F51" w:rsidRDefault="0081022C" w:rsidP="000A0F51">
            <w:pPr>
              <w:suppressAutoHyphens w:val="0"/>
              <w:spacing w:before="40" w:after="40" w:line="220" w:lineRule="exact"/>
              <w:jc w:val="right"/>
              <w:rPr>
                <w:sz w:val="18"/>
              </w:rPr>
            </w:pPr>
            <w:r w:rsidRPr="000A0F51">
              <w:rPr>
                <w:sz w:val="18"/>
                <w:lang w:val="fr-FR"/>
              </w:rPr>
              <w:t>70,8</w:t>
            </w:r>
          </w:p>
        </w:tc>
      </w:tr>
      <w:tr w:rsidR="000A0F51" w:rsidRPr="000A0F51" w14:paraId="3C8C915F" w14:textId="77777777" w:rsidTr="000A0F51">
        <w:tc>
          <w:tcPr>
            <w:tcW w:w="833" w:type="dxa"/>
            <w:shd w:val="clear" w:color="auto" w:fill="auto"/>
            <w:noWrap/>
            <w:hideMark/>
          </w:tcPr>
          <w:p w14:paraId="4907D664" w14:textId="77777777" w:rsidR="0081022C" w:rsidRPr="000A0F51" w:rsidRDefault="0081022C" w:rsidP="000A0F51">
            <w:pPr>
              <w:suppressAutoHyphens w:val="0"/>
              <w:spacing w:before="40" w:after="40" w:line="220" w:lineRule="exact"/>
              <w:rPr>
                <w:sz w:val="18"/>
              </w:rPr>
            </w:pPr>
            <w:r w:rsidRPr="000A0F51">
              <w:rPr>
                <w:sz w:val="18"/>
                <w:lang w:val="fr-FR"/>
              </w:rPr>
              <w:t>Quillacollo</w:t>
            </w:r>
          </w:p>
        </w:tc>
        <w:tc>
          <w:tcPr>
            <w:tcW w:w="727" w:type="dxa"/>
            <w:shd w:val="clear" w:color="auto" w:fill="auto"/>
            <w:noWrap/>
            <w:vAlign w:val="bottom"/>
            <w:hideMark/>
          </w:tcPr>
          <w:p w14:paraId="4CB89D02" w14:textId="77777777" w:rsidR="0081022C" w:rsidRPr="000A0F51" w:rsidRDefault="0081022C" w:rsidP="000A0F51">
            <w:pPr>
              <w:suppressAutoHyphens w:val="0"/>
              <w:spacing w:before="40" w:after="40" w:line="220" w:lineRule="exact"/>
              <w:jc w:val="right"/>
              <w:rPr>
                <w:sz w:val="18"/>
              </w:rPr>
            </w:pPr>
            <w:r w:rsidRPr="000A0F51">
              <w:rPr>
                <w:sz w:val="18"/>
                <w:lang w:val="fr-FR"/>
              </w:rPr>
              <w:t>1 368 752</w:t>
            </w:r>
          </w:p>
        </w:tc>
        <w:tc>
          <w:tcPr>
            <w:tcW w:w="685" w:type="dxa"/>
            <w:shd w:val="clear" w:color="auto" w:fill="auto"/>
            <w:noWrap/>
            <w:vAlign w:val="bottom"/>
            <w:hideMark/>
          </w:tcPr>
          <w:p w14:paraId="616C3808" w14:textId="77777777" w:rsidR="0081022C" w:rsidRPr="000A0F51" w:rsidRDefault="0081022C" w:rsidP="000A0F51">
            <w:pPr>
              <w:suppressAutoHyphens w:val="0"/>
              <w:spacing w:before="40" w:after="40" w:line="220" w:lineRule="exact"/>
              <w:jc w:val="right"/>
              <w:rPr>
                <w:sz w:val="18"/>
              </w:rPr>
            </w:pPr>
            <w:r w:rsidRPr="000A0F51">
              <w:rPr>
                <w:sz w:val="18"/>
                <w:lang w:val="fr-FR"/>
              </w:rPr>
              <w:t>1 206 347</w:t>
            </w:r>
          </w:p>
        </w:tc>
        <w:tc>
          <w:tcPr>
            <w:tcW w:w="344" w:type="dxa"/>
            <w:shd w:val="clear" w:color="auto" w:fill="auto"/>
            <w:noWrap/>
            <w:vAlign w:val="bottom"/>
            <w:hideMark/>
          </w:tcPr>
          <w:p w14:paraId="0FAE70BD" w14:textId="77777777" w:rsidR="0081022C" w:rsidRPr="000A0F51" w:rsidRDefault="0081022C" w:rsidP="000A0F51">
            <w:pPr>
              <w:suppressAutoHyphens w:val="0"/>
              <w:spacing w:before="40" w:after="40" w:line="220" w:lineRule="exact"/>
              <w:jc w:val="right"/>
              <w:rPr>
                <w:sz w:val="18"/>
              </w:rPr>
            </w:pPr>
            <w:r w:rsidRPr="000A0F51">
              <w:rPr>
                <w:sz w:val="18"/>
                <w:lang w:val="fr-FR"/>
              </w:rPr>
              <w:t>88,1</w:t>
            </w:r>
          </w:p>
        </w:tc>
        <w:tc>
          <w:tcPr>
            <w:tcW w:w="706" w:type="dxa"/>
            <w:shd w:val="clear" w:color="auto" w:fill="auto"/>
            <w:noWrap/>
            <w:vAlign w:val="bottom"/>
            <w:hideMark/>
          </w:tcPr>
          <w:p w14:paraId="3227B05E" w14:textId="77777777" w:rsidR="0081022C" w:rsidRPr="000A0F51" w:rsidRDefault="0081022C" w:rsidP="000A0F51">
            <w:pPr>
              <w:suppressAutoHyphens w:val="0"/>
              <w:spacing w:before="40" w:after="40" w:line="220" w:lineRule="exact"/>
              <w:jc w:val="right"/>
              <w:rPr>
                <w:sz w:val="18"/>
              </w:rPr>
            </w:pPr>
            <w:r w:rsidRPr="000A0F51">
              <w:rPr>
                <w:sz w:val="18"/>
                <w:lang w:val="fr-FR"/>
              </w:rPr>
              <w:t>2 827 763</w:t>
            </w:r>
          </w:p>
        </w:tc>
        <w:tc>
          <w:tcPr>
            <w:tcW w:w="717" w:type="dxa"/>
            <w:shd w:val="clear" w:color="auto" w:fill="auto"/>
            <w:noWrap/>
            <w:vAlign w:val="bottom"/>
            <w:hideMark/>
          </w:tcPr>
          <w:p w14:paraId="37A5D858" w14:textId="77777777" w:rsidR="0081022C" w:rsidRPr="000A0F51" w:rsidRDefault="0081022C" w:rsidP="000A0F51">
            <w:pPr>
              <w:suppressAutoHyphens w:val="0"/>
              <w:spacing w:before="40" w:after="40" w:line="220" w:lineRule="exact"/>
              <w:jc w:val="right"/>
              <w:rPr>
                <w:sz w:val="18"/>
              </w:rPr>
            </w:pPr>
            <w:r w:rsidRPr="000A0F51">
              <w:rPr>
                <w:sz w:val="18"/>
                <w:lang w:val="fr-FR"/>
              </w:rPr>
              <w:t>2 150 864</w:t>
            </w:r>
          </w:p>
        </w:tc>
        <w:tc>
          <w:tcPr>
            <w:tcW w:w="344" w:type="dxa"/>
            <w:shd w:val="clear" w:color="auto" w:fill="auto"/>
            <w:noWrap/>
            <w:vAlign w:val="bottom"/>
            <w:hideMark/>
          </w:tcPr>
          <w:p w14:paraId="70698BC5" w14:textId="77777777" w:rsidR="0081022C" w:rsidRPr="000A0F51" w:rsidRDefault="0081022C" w:rsidP="000A0F51">
            <w:pPr>
              <w:suppressAutoHyphens w:val="0"/>
              <w:spacing w:before="40" w:after="40" w:line="220" w:lineRule="exact"/>
              <w:jc w:val="right"/>
              <w:rPr>
                <w:sz w:val="18"/>
              </w:rPr>
            </w:pPr>
            <w:r w:rsidRPr="000A0F51">
              <w:rPr>
                <w:sz w:val="18"/>
                <w:lang w:val="fr-FR"/>
              </w:rPr>
              <w:t>76,1</w:t>
            </w:r>
          </w:p>
        </w:tc>
        <w:tc>
          <w:tcPr>
            <w:tcW w:w="780" w:type="dxa"/>
            <w:shd w:val="clear" w:color="auto" w:fill="auto"/>
            <w:noWrap/>
            <w:vAlign w:val="bottom"/>
            <w:hideMark/>
          </w:tcPr>
          <w:p w14:paraId="1C2402AC" w14:textId="77777777" w:rsidR="0081022C" w:rsidRPr="000A0F51" w:rsidRDefault="0081022C" w:rsidP="000A0F51">
            <w:pPr>
              <w:suppressAutoHyphens w:val="0"/>
              <w:spacing w:before="40" w:after="40" w:line="220" w:lineRule="exact"/>
              <w:jc w:val="right"/>
              <w:rPr>
                <w:sz w:val="18"/>
              </w:rPr>
            </w:pPr>
            <w:r w:rsidRPr="000A0F51">
              <w:rPr>
                <w:sz w:val="18"/>
                <w:lang w:val="fr-FR"/>
              </w:rPr>
              <w:t>2 535 241</w:t>
            </w:r>
          </w:p>
        </w:tc>
        <w:tc>
          <w:tcPr>
            <w:tcW w:w="706" w:type="dxa"/>
            <w:shd w:val="clear" w:color="auto" w:fill="auto"/>
            <w:noWrap/>
            <w:vAlign w:val="bottom"/>
            <w:hideMark/>
          </w:tcPr>
          <w:p w14:paraId="2C874EF0" w14:textId="77777777" w:rsidR="0081022C" w:rsidRPr="000A0F51" w:rsidRDefault="0081022C" w:rsidP="000A0F51">
            <w:pPr>
              <w:suppressAutoHyphens w:val="0"/>
              <w:spacing w:before="40" w:after="40" w:line="220" w:lineRule="exact"/>
              <w:jc w:val="right"/>
              <w:rPr>
                <w:sz w:val="18"/>
              </w:rPr>
            </w:pPr>
            <w:r w:rsidRPr="000A0F51">
              <w:rPr>
                <w:sz w:val="18"/>
                <w:lang w:val="fr-FR"/>
              </w:rPr>
              <w:t>1 271 429</w:t>
            </w:r>
          </w:p>
        </w:tc>
        <w:tc>
          <w:tcPr>
            <w:tcW w:w="440" w:type="dxa"/>
            <w:shd w:val="clear" w:color="auto" w:fill="auto"/>
            <w:noWrap/>
            <w:vAlign w:val="bottom"/>
            <w:hideMark/>
          </w:tcPr>
          <w:p w14:paraId="5DEC077B" w14:textId="77777777" w:rsidR="0081022C" w:rsidRPr="000A0F51" w:rsidRDefault="0081022C" w:rsidP="000A0F51">
            <w:pPr>
              <w:suppressAutoHyphens w:val="0"/>
              <w:spacing w:before="40" w:after="40" w:line="220" w:lineRule="exact"/>
              <w:jc w:val="right"/>
              <w:rPr>
                <w:sz w:val="18"/>
              </w:rPr>
            </w:pPr>
            <w:r w:rsidRPr="000A0F51">
              <w:rPr>
                <w:sz w:val="18"/>
                <w:lang w:val="fr-FR"/>
              </w:rPr>
              <w:t>50,2</w:t>
            </w:r>
          </w:p>
        </w:tc>
        <w:tc>
          <w:tcPr>
            <w:tcW w:w="727" w:type="dxa"/>
            <w:shd w:val="clear" w:color="auto" w:fill="auto"/>
            <w:noWrap/>
            <w:vAlign w:val="bottom"/>
            <w:hideMark/>
          </w:tcPr>
          <w:p w14:paraId="42E7DFA9" w14:textId="77777777" w:rsidR="0081022C" w:rsidRPr="000A0F51" w:rsidRDefault="0081022C" w:rsidP="000A0F51">
            <w:pPr>
              <w:suppressAutoHyphens w:val="0"/>
              <w:spacing w:before="40" w:after="40" w:line="220" w:lineRule="exact"/>
              <w:jc w:val="right"/>
              <w:rPr>
                <w:sz w:val="18"/>
              </w:rPr>
            </w:pPr>
            <w:r w:rsidRPr="000A0F51">
              <w:rPr>
                <w:sz w:val="18"/>
                <w:lang w:val="fr-FR"/>
              </w:rPr>
              <w:t>1 542 880</w:t>
            </w:r>
          </w:p>
        </w:tc>
        <w:tc>
          <w:tcPr>
            <w:tcW w:w="361" w:type="dxa"/>
            <w:shd w:val="clear" w:color="auto" w:fill="auto"/>
            <w:noWrap/>
            <w:vAlign w:val="bottom"/>
            <w:hideMark/>
          </w:tcPr>
          <w:p w14:paraId="547C3866" w14:textId="77777777" w:rsidR="0081022C" w:rsidRPr="000A0F51" w:rsidRDefault="0081022C" w:rsidP="000A0F51">
            <w:pPr>
              <w:suppressAutoHyphens w:val="0"/>
              <w:spacing w:before="40" w:after="40" w:line="220" w:lineRule="exact"/>
              <w:jc w:val="right"/>
              <w:rPr>
                <w:sz w:val="18"/>
              </w:rPr>
            </w:pPr>
            <w:r w:rsidRPr="000A0F51">
              <w:rPr>
                <w:sz w:val="18"/>
                <w:lang w:val="fr-FR"/>
              </w:rPr>
              <w:t>71,4</w:t>
            </w:r>
          </w:p>
        </w:tc>
      </w:tr>
      <w:tr w:rsidR="000A0F51" w:rsidRPr="000A0F51" w14:paraId="5D043072" w14:textId="77777777" w:rsidTr="000A0F51">
        <w:tc>
          <w:tcPr>
            <w:tcW w:w="833" w:type="dxa"/>
            <w:shd w:val="clear" w:color="auto" w:fill="auto"/>
            <w:noWrap/>
            <w:hideMark/>
          </w:tcPr>
          <w:p w14:paraId="77B1CE10" w14:textId="77777777" w:rsidR="0081022C" w:rsidRPr="000A0F51" w:rsidRDefault="0081022C" w:rsidP="000A0F51">
            <w:pPr>
              <w:suppressAutoHyphens w:val="0"/>
              <w:spacing w:before="40" w:after="40" w:line="220" w:lineRule="exact"/>
              <w:rPr>
                <w:sz w:val="18"/>
              </w:rPr>
            </w:pPr>
            <w:r w:rsidRPr="000A0F51">
              <w:rPr>
                <w:sz w:val="18"/>
                <w:lang w:val="fr-FR"/>
              </w:rPr>
              <w:t>Warnes</w:t>
            </w:r>
          </w:p>
        </w:tc>
        <w:tc>
          <w:tcPr>
            <w:tcW w:w="727" w:type="dxa"/>
            <w:shd w:val="clear" w:color="auto" w:fill="auto"/>
            <w:noWrap/>
            <w:vAlign w:val="bottom"/>
            <w:hideMark/>
          </w:tcPr>
          <w:p w14:paraId="7B3B32DF" w14:textId="77777777" w:rsidR="0081022C" w:rsidRPr="000A0F51" w:rsidRDefault="0081022C" w:rsidP="000A0F51">
            <w:pPr>
              <w:suppressAutoHyphens w:val="0"/>
              <w:spacing w:before="40" w:after="40" w:line="220" w:lineRule="exact"/>
              <w:jc w:val="right"/>
              <w:rPr>
                <w:sz w:val="18"/>
              </w:rPr>
            </w:pPr>
            <w:r w:rsidRPr="000A0F51">
              <w:rPr>
                <w:sz w:val="18"/>
                <w:lang w:val="fr-FR"/>
              </w:rPr>
              <w:t>216 436</w:t>
            </w:r>
          </w:p>
        </w:tc>
        <w:tc>
          <w:tcPr>
            <w:tcW w:w="685" w:type="dxa"/>
            <w:shd w:val="clear" w:color="auto" w:fill="auto"/>
            <w:noWrap/>
            <w:vAlign w:val="bottom"/>
            <w:hideMark/>
          </w:tcPr>
          <w:p w14:paraId="291B86FB" w14:textId="77777777" w:rsidR="0081022C" w:rsidRPr="000A0F51" w:rsidRDefault="0081022C" w:rsidP="000A0F51">
            <w:pPr>
              <w:suppressAutoHyphens w:val="0"/>
              <w:spacing w:before="40" w:after="40" w:line="220" w:lineRule="exact"/>
              <w:jc w:val="right"/>
              <w:rPr>
                <w:sz w:val="18"/>
              </w:rPr>
            </w:pPr>
            <w:r w:rsidRPr="000A0F51">
              <w:rPr>
                <w:sz w:val="18"/>
                <w:lang w:val="fr-FR"/>
              </w:rPr>
              <w:t>30 000</w:t>
            </w:r>
          </w:p>
        </w:tc>
        <w:tc>
          <w:tcPr>
            <w:tcW w:w="344" w:type="dxa"/>
            <w:shd w:val="clear" w:color="auto" w:fill="auto"/>
            <w:noWrap/>
            <w:vAlign w:val="bottom"/>
            <w:hideMark/>
          </w:tcPr>
          <w:p w14:paraId="2016094D" w14:textId="77777777" w:rsidR="0081022C" w:rsidRPr="000A0F51" w:rsidRDefault="0081022C" w:rsidP="000A0F51">
            <w:pPr>
              <w:suppressAutoHyphens w:val="0"/>
              <w:spacing w:before="40" w:after="40" w:line="220" w:lineRule="exact"/>
              <w:jc w:val="right"/>
              <w:rPr>
                <w:sz w:val="18"/>
              </w:rPr>
            </w:pPr>
            <w:r w:rsidRPr="000A0F51">
              <w:rPr>
                <w:sz w:val="18"/>
                <w:lang w:val="fr-FR"/>
              </w:rPr>
              <w:t>13,9</w:t>
            </w:r>
          </w:p>
        </w:tc>
        <w:tc>
          <w:tcPr>
            <w:tcW w:w="706" w:type="dxa"/>
            <w:shd w:val="clear" w:color="auto" w:fill="auto"/>
            <w:noWrap/>
            <w:vAlign w:val="bottom"/>
            <w:hideMark/>
          </w:tcPr>
          <w:p w14:paraId="086F98B5" w14:textId="77777777" w:rsidR="0081022C" w:rsidRPr="000A0F51" w:rsidRDefault="0081022C" w:rsidP="000A0F51">
            <w:pPr>
              <w:suppressAutoHyphens w:val="0"/>
              <w:spacing w:before="40" w:after="40" w:line="220" w:lineRule="exact"/>
              <w:jc w:val="right"/>
              <w:rPr>
                <w:sz w:val="18"/>
              </w:rPr>
            </w:pPr>
            <w:r w:rsidRPr="000A0F51">
              <w:rPr>
                <w:sz w:val="18"/>
                <w:lang w:val="fr-FR"/>
              </w:rPr>
              <w:t>413 579</w:t>
            </w:r>
          </w:p>
        </w:tc>
        <w:tc>
          <w:tcPr>
            <w:tcW w:w="717" w:type="dxa"/>
            <w:shd w:val="clear" w:color="auto" w:fill="auto"/>
            <w:noWrap/>
            <w:vAlign w:val="bottom"/>
            <w:hideMark/>
          </w:tcPr>
          <w:p w14:paraId="3C42010A" w14:textId="77777777" w:rsidR="0081022C" w:rsidRPr="000A0F51" w:rsidRDefault="0081022C" w:rsidP="000A0F51">
            <w:pPr>
              <w:suppressAutoHyphens w:val="0"/>
              <w:spacing w:before="40" w:after="40" w:line="220" w:lineRule="exact"/>
              <w:jc w:val="right"/>
              <w:rPr>
                <w:sz w:val="18"/>
              </w:rPr>
            </w:pPr>
            <w:r w:rsidRPr="000A0F51">
              <w:rPr>
                <w:sz w:val="18"/>
                <w:lang w:val="fr-FR"/>
              </w:rPr>
              <w:t>65 300</w:t>
            </w:r>
          </w:p>
        </w:tc>
        <w:tc>
          <w:tcPr>
            <w:tcW w:w="344" w:type="dxa"/>
            <w:shd w:val="clear" w:color="auto" w:fill="auto"/>
            <w:noWrap/>
            <w:vAlign w:val="bottom"/>
            <w:hideMark/>
          </w:tcPr>
          <w:p w14:paraId="4B2EB9B2" w14:textId="77777777" w:rsidR="0081022C" w:rsidRPr="000A0F51" w:rsidRDefault="0081022C" w:rsidP="000A0F51">
            <w:pPr>
              <w:suppressAutoHyphens w:val="0"/>
              <w:spacing w:before="40" w:after="40" w:line="220" w:lineRule="exact"/>
              <w:jc w:val="right"/>
              <w:rPr>
                <w:sz w:val="18"/>
              </w:rPr>
            </w:pPr>
            <w:r w:rsidRPr="000A0F51">
              <w:rPr>
                <w:sz w:val="18"/>
                <w:lang w:val="fr-FR"/>
              </w:rPr>
              <w:t>15,8</w:t>
            </w:r>
          </w:p>
        </w:tc>
        <w:tc>
          <w:tcPr>
            <w:tcW w:w="780" w:type="dxa"/>
            <w:shd w:val="clear" w:color="auto" w:fill="auto"/>
            <w:noWrap/>
            <w:vAlign w:val="bottom"/>
            <w:hideMark/>
          </w:tcPr>
          <w:p w14:paraId="5A96AC11" w14:textId="77777777" w:rsidR="0081022C" w:rsidRPr="000A0F51" w:rsidRDefault="0081022C" w:rsidP="000A0F51">
            <w:pPr>
              <w:suppressAutoHyphens w:val="0"/>
              <w:spacing w:before="40" w:after="40" w:line="220" w:lineRule="exact"/>
              <w:jc w:val="right"/>
              <w:rPr>
                <w:sz w:val="18"/>
              </w:rPr>
            </w:pPr>
            <w:r w:rsidRPr="000A0F51">
              <w:rPr>
                <w:sz w:val="18"/>
                <w:lang w:val="fr-FR"/>
              </w:rPr>
              <w:t>905 542</w:t>
            </w:r>
          </w:p>
        </w:tc>
        <w:tc>
          <w:tcPr>
            <w:tcW w:w="706" w:type="dxa"/>
            <w:shd w:val="clear" w:color="auto" w:fill="auto"/>
            <w:noWrap/>
            <w:vAlign w:val="bottom"/>
            <w:hideMark/>
          </w:tcPr>
          <w:p w14:paraId="6153F02D" w14:textId="77777777" w:rsidR="0081022C" w:rsidRPr="000A0F51" w:rsidRDefault="0081022C" w:rsidP="000A0F51">
            <w:pPr>
              <w:suppressAutoHyphens w:val="0"/>
              <w:spacing w:before="40" w:after="40" w:line="220" w:lineRule="exact"/>
              <w:jc w:val="right"/>
              <w:rPr>
                <w:sz w:val="18"/>
              </w:rPr>
            </w:pPr>
            <w:r w:rsidRPr="000A0F51">
              <w:rPr>
                <w:sz w:val="18"/>
                <w:lang w:val="fr-FR"/>
              </w:rPr>
              <w:t>219 644</w:t>
            </w:r>
          </w:p>
        </w:tc>
        <w:tc>
          <w:tcPr>
            <w:tcW w:w="440" w:type="dxa"/>
            <w:shd w:val="clear" w:color="auto" w:fill="auto"/>
            <w:noWrap/>
            <w:vAlign w:val="bottom"/>
            <w:hideMark/>
          </w:tcPr>
          <w:p w14:paraId="6C31CCAE" w14:textId="77777777" w:rsidR="0081022C" w:rsidRPr="000A0F51" w:rsidRDefault="0081022C" w:rsidP="000A0F51">
            <w:pPr>
              <w:suppressAutoHyphens w:val="0"/>
              <w:spacing w:before="40" w:after="40" w:line="220" w:lineRule="exact"/>
              <w:jc w:val="right"/>
              <w:rPr>
                <w:sz w:val="18"/>
              </w:rPr>
            </w:pPr>
            <w:r w:rsidRPr="000A0F51">
              <w:rPr>
                <w:sz w:val="18"/>
                <w:lang w:val="fr-FR"/>
              </w:rPr>
              <w:t>24,3</w:t>
            </w:r>
          </w:p>
        </w:tc>
        <w:tc>
          <w:tcPr>
            <w:tcW w:w="727" w:type="dxa"/>
            <w:shd w:val="clear" w:color="auto" w:fill="auto"/>
            <w:noWrap/>
            <w:vAlign w:val="bottom"/>
            <w:hideMark/>
          </w:tcPr>
          <w:p w14:paraId="4D862359" w14:textId="77777777" w:rsidR="0081022C" w:rsidRPr="000A0F51" w:rsidRDefault="0081022C" w:rsidP="000A0F51">
            <w:pPr>
              <w:suppressAutoHyphens w:val="0"/>
              <w:spacing w:before="40" w:after="40" w:line="220" w:lineRule="exact"/>
              <w:jc w:val="right"/>
              <w:rPr>
                <w:sz w:val="18"/>
              </w:rPr>
            </w:pPr>
            <w:r w:rsidRPr="000A0F51">
              <w:rPr>
                <w:sz w:val="18"/>
                <w:lang w:val="fr-FR"/>
              </w:rPr>
              <w:t>104 981</w:t>
            </w:r>
          </w:p>
        </w:tc>
        <w:tc>
          <w:tcPr>
            <w:tcW w:w="361" w:type="dxa"/>
            <w:shd w:val="clear" w:color="auto" w:fill="auto"/>
            <w:noWrap/>
            <w:vAlign w:val="bottom"/>
            <w:hideMark/>
          </w:tcPr>
          <w:p w14:paraId="2E06FC27" w14:textId="77777777" w:rsidR="0081022C" w:rsidRPr="000A0F51" w:rsidRDefault="0081022C" w:rsidP="000A0F51">
            <w:pPr>
              <w:suppressAutoHyphens w:val="0"/>
              <w:spacing w:before="40" w:after="40" w:line="220" w:lineRule="exact"/>
              <w:jc w:val="right"/>
              <w:rPr>
                <w:sz w:val="18"/>
              </w:rPr>
            </w:pPr>
            <w:r w:rsidRPr="000A0F51">
              <w:rPr>
                <w:sz w:val="18"/>
                <w:lang w:val="fr-FR"/>
              </w:rPr>
              <w:t>18,0</w:t>
            </w:r>
          </w:p>
        </w:tc>
      </w:tr>
      <w:tr w:rsidR="000A0F51" w:rsidRPr="000A0F51" w14:paraId="09BE7AC4" w14:textId="77777777" w:rsidTr="000A0F51">
        <w:tc>
          <w:tcPr>
            <w:tcW w:w="833" w:type="dxa"/>
            <w:shd w:val="clear" w:color="auto" w:fill="auto"/>
            <w:noWrap/>
            <w:hideMark/>
          </w:tcPr>
          <w:p w14:paraId="04C35BCF" w14:textId="5A6990A4" w:rsidR="0081022C" w:rsidRPr="000A0F51" w:rsidRDefault="0081022C" w:rsidP="000A0F51">
            <w:pPr>
              <w:suppressAutoHyphens w:val="0"/>
              <w:spacing w:before="40" w:after="40" w:line="220" w:lineRule="exact"/>
              <w:rPr>
                <w:sz w:val="18"/>
              </w:rPr>
            </w:pPr>
            <w:r w:rsidRPr="000A0F51">
              <w:rPr>
                <w:sz w:val="18"/>
                <w:lang w:val="fr-FR"/>
              </w:rPr>
              <w:t>La</w:t>
            </w:r>
            <w:r w:rsidR="0076146C">
              <w:rPr>
                <w:sz w:val="18"/>
                <w:lang w:val="fr-FR"/>
              </w:rPr>
              <w:t> </w:t>
            </w:r>
            <w:r w:rsidRPr="000A0F51">
              <w:rPr>
                <w:sz w:val="18"/>
                <w:lang w:val="fr-FR"/>
              </w:rPr>
              <w:t>Guardia</w:t>
            </w:r>
          </w:p>
        </w:tc>
        <w:tc>
          <w:tcPr>
            <w:tcW w:w="727" w:type="dxa"/>
            <w:shd w:val="clear" w:color="auto" w:fill="auto"/>
            <w:noWrap/>
            <w:vAlign w:val="bottom"/>
            <w:hideMark/>
          </w:tcPr>
          <w:p w14:paraId="55A5D83C" w14:textId="77777777" w:rsidR="0081022C" w:rsidRPr="000A0F51" w:rsidRDefault="0081022C" w:rsidP="000A0F51">
            <w:pPr>
              <w:suppressAutoHyphens w:val="0"/>
              <w:spacing w:before="40" w:after="40" w:line="220" w:lineRule="exact"/>
              <w:jc w:val="right"/>
              <w:rPr>
                <w:sz w:val="18"/>
              </w:rPr>
            </w:pPr>
            <w:r w:rsidRPr="000A0F51">
              <w:rPr>
                <w:sz w:val="18"/>
                <w:lang w:val="fr-FR"/>
              </w:rPr>
              <w:t>343 636</w:t>
            </w:r>
          </w:p>
        </w:tc>
        <w:tc>
          <w:tcPr>
            <w:tcW w:w="685" w:type="dxa"/>
            <w:shd w:val="clear" w:color="auto" w:fill="auto"/>
            <w:noWrap/>
            <w:vAlign w:val="bottom"/>
            <w:hideMark/>
          </w:tcPr>
          <w:p w14:paraId="56654CF0" w14:textId="77777777" w:rsidR="0081022C" w:rsidRPr="000A0F51" w:rsidRDefault="0081022C" w:rsidP="000A0F51">
            <w:pPr>
              <w:suppressAutoHyphens w:val="0"/>
              <w:spacing w:before="40" w:after="40" w:line="220" w:lineRule="exact"/>
              <w:jc w:val="right"/>
              <w:rPr>
                <w:sz w:val="18"/>
              </w:rPr>
            </w:pPr>
            <w:r w:rsidRPr="000A0F51">
              <w:rPr>
                <w:sz w:val="18"/>
                <w:lang w:val="fr-FR"/>
              </w:rPr>
              <w:t>230 939</w:t>
            </w:r>
          </w:p>
        </w:tc>
        <w:tc>
          <w:tcPr>
            <w:tcW w:w="344" w:type="dxa"/>
            <w:shd w:val="clear" w:color="auto" w:fill="auto"/>
            <w:noWrap/>
            <w:vAlign w:val="bottom"/>
            <w:hideMark/>
          </w:tcPr>
          <w:p w14:paraId="0745768C" w14:textId="77777777" w:rsidR="0081022C" w:rsidRPr="000A0F51" w:rsidRDefault="0081022C" w:rsidP="000A0F51">
            <w:pPr>
              <w:suppressAutoHyphens w:val="0"/>
              <w:spacing w:before="40" w:after="40" w:line="220" w:lineRule="exact"/>
              <w:jc w:val="right"/>
              <w:rPr>
                <w:sz w:val="18"/>
              </w:rPr>
            </w:pPr>
            <w:r w:rsidRPr="000A0F51">
              <w:rPr>
                <w:sz w:val="18"/>
                <w:lang w:val="fr-FR"/>
              </w:rPr>
              <w:t>67,2</w:t>
            </w:r>
          </w:p>
        </w:tc>
        <w:tc>
          <w:tcPr>
            <w:tcW w:w="706" w:type="dxa"/>
            <w:shd w:val="clear" w:color="auto" w:fill="auto"/>
            <w:noWrap/>
            <w:vAlign w:val="bottom"/>
            <w:hideMark/>
          </w:tcPr>
          <w:p w14:paraId="0EE186CB" w14:textId="77777777" w:rsidR="0081022C" w:rsidRPr="000A0F51" w:rsidRDefault="0081022C" w:rsidP="000A0F51">
            <w:pPr>
              <w:suppressAutoHyphens w:val="0"/>
              <w:spacing w:before="40" w:after="40" w:line="220" w:lineRule="exact"/>
              <w:jc w:val="right"/>
              <w:rPr>
                <w:sz w:val="18"/>
              </w:rPr>
            </w:pPr>
            <w:r w:rsidRPr="000A0F51">
              <w:rPr>
                <w:sz w:val="18"/>
                <w:lang w:val="fr-FR"/>
              </w:rPr>
              <w:t>3 281 639</w:t>
            </w:r>
          </w:p>
        </w:tc>
        <w:tc>
          <w:tcPr>
            <w:tcW w:w="717" w:type="dxa"/>
            <w:shd w:val="clear" w:color="auto" w:fill="auto"/>
            <w:noWrap/>
            <w:vAlign w:val="bottom"/>
            <w:hideMark/>
          </w:tcPr>
          <w:p w14:paraId="7CFCDA7B" w14:textId="77777777" w:rsidR="0081022C" w:rsidRPr="000A0F51" w:rsidRDefault="0081022C" w:rsidP="000A0F51">
            <w:pPr>
              <w:suppressAutoHyphens w:val="0"/>
              <w:spacing w:before="40" w:after="40" w:line="220" w:lineRule="exact"/>
              <w:jc w:val="right"/>
              <w:rPr>
                <w:sz w:val="18"/>
              </w:rPr>
            </w:pPr>
            <w:r w:rsidRPr="000A0F51">
              <w:rPr>
                <w:sz w:val="18"/>
                <w:lang w:val="fr-FR"/>
              </w:rPr>
              <w:t>1 702 262</w:t>
            </w:r>
          </w:p>
        </w:tc>
        <w:tc>
          <w:tcPr>
            <w:tcW w:w="344" w:type="dxa"/>
            <w:shd w:val="clear" w:color="auto" w:fill="auto"/>
            <w:noWrap/>
            <w:vAlign w:val="bottom"/>
            <w:hideMark/>
          </w:tcPr>
          <w:p w14:paraId="0B569E7E" w14:textId="77777777" w:rsidR="0081022C" w:rsidRPr="000A0F51" w:rsidRDefault="0081022C" w:rsidP="000A0F51">
            <w:pPr>
              <w:suppressAutoHyphens w:val="0"/>
              <w:spacing w:before="40" w:after="40" w:line="220" w:lineRule="exact"/>
              <w:jc w:val="right"/>
              <w:rPr>
                <w:sz w:val="18"/>
              </w:rPr>
            </w:pPr>
            <w:r w:rsidRPr="000A0F51">
              <w:rPr>
                <w:sz w:val="18"/>
                <w:lang w:val="fr-FR"/>
              </w:rPr>
              <w:t>51,9</w:t>
            </w:r>
          </w:p>
        </w:tc>
        <w:tc>
          <w:tcPr>
            <w:tcW w:w="780" w:type="dxa"/>
            <w:shd w:val="clear" w:color="auto" w:fill="auto"/>
            <w:noWrap/>
            <w:vAlign w:val="bottom"/>
            <w:hideMark/>
          </w:tcPr>
          <w:p w14:paraId="150AFA5A" w14:textId="77777777" w:rsidR="0081022C" w:rsidRPr="000A0F51" w:rsidRDefault="0081022C" w:rsidP="000A0F51">
            <w:pPr>
              <w:suppressAutoHyphens w:val="0"/>
              <w:spacing w:before="40" w:after="40" w:line="220" w:lineRule="exact"/>
              <w:jc w:val="right"/>
              <w:rPr>
                <w:sz w:val="18"/>
              </w:rPr>
            </w:pPr>
            <w:r w:rsidRPr="000A0F51">
              <w:rPr>
                <w:sz w:val="18"/>
                <w:lang w:val="fr-FR"/>
              </w:rPr>
              <w:t>3 535 843</w:t>
            </w:r>
          </w:p>
        </w:tc>
        <w:tc>
          <w:tcPr>
            <w:tcW w:w="706" w:type="dxa"/>
            <w:shd w:val="clear" w:color="auto" w:fill="auto"/>
            <w:noWrap/>
            <w:vAlign w:val="bottom"/>
            <w:hideMark/>
          </w:tcPr>
          <w:p w14:paraId="61331979" w14:textId="77777777" w:rsidR="0081022C" w:rsidRPr="000A0F51" w:rsidRDefault="0081022C" w:rsidP="000A0F51">
            <w:pPr>
              <w:suppressAutoHyphens w:val="0"/>
              <w:spacing w:before="40" w:after="40" w:line="220" w:lineRule="exact"/>
              <w:jc w:val="right"/>
              <w:rPr>
                <w:sz w:val="18"/>
              </w:rPr>
            </w:pPr>
            <w:r w:rsidRPr="000A0F51">
              <w:rPr>
                <w:sz w:val="18"/>
                <w:lang w:val="fr-FR"/>
              </w:rPr>
              <w:t>1 680 100</w:t>
            </w:r>
          </w:p>
        </w:tc>
        <w:tc>
          <w:tcPr>
            <w:tcW w:w="440" w:type="dxa"/>
            <w:shd w:val="clear" w:color="auto" w:fill="auto"/>
            <w:noWrap/>
            <w:vAlign w:val="bottom"/>
            <w:hideMark/>
          </w:tcPr>
          <w:p w14:paraId="00651B71" w14:textId="77777777" w:rsidR="0081022C" w:rsidRPr="000A0F51" w:rsidRDefault="0081022C" w:rsidP="000A0F51">
            <w:pPr>
              <w:suppressAutoHyphens w:val="0"/>
              <w:spacing w:before="40" w:after="40" w:line="220" w:lineRule="exact"/>
              <w:jc w:val="right"/>
              <w:rPr>
                <w:sz w:val="18"/>
              </w:rPr>
            </w:pPr>
            <w:r w:rsidRPr="000A0F51">
              <w:rPr>
                <w:sz w:val="18"/>
                <w:lang w:val="fr-FR"/>
              </w:rPr>
              <w:t>47,5</w:t>
            </w:r>
          </w:p>
        </w:tc>
        <w:tc>
          <w:tcPr>
            <w:tcW w:w="727" w:type="dxa"/>
            <w:shd w:val="clear" w:color="auto" w:fill="auto"/>
            <w:noWrap/>
            <w:vAlign w:val="bottom"/>
            <w:hideMark/>
          </w:tcPr>
          <w:p w14:paraId="41DA616B" w14:textId="77777777" w:rsidR="0081022C" w:rsidRPr="000A0F51" w:rsidRDefault="0081022C" w:rsidP="000A0F51">
            <w:pPr>
              <w:suppressAutoHyphens w:val="0"/>
              <w:spacing w:before="40" w:after="40" w:line="220" w:lineRule="exact"/>
              <w:jc w:val="right"/>
              <w:rPr>
                <w:sz w:val="18"/>
              </w:rPr>
            </w:pPr>
            <w:r w:rsidRPr="000A0F51">
              <w:rPr>
                <w:sz w:val="18"/>
                <w:lang w:val="fr-FR"/>
              </w:rPr>
              <w:t>1 204 434</w:t>
            </w:r>
          </w:p>
        </w:tc>
        <w:tc>
          <w:tcPr>
            <w:tcW w:w="361" w:type="dxa"/>
            <w:shd w:val="clear" w:color="auto" w:fill="auto"/>
            <w:noWrap/>
            <w:vAlign w:val="bottom"/>
            <w:hideMark/>
          </w:tcPr>
          <w:p w14:paraId="71D81585" w14:textId="77777777" w:rsidR="0081022C" w:rsidRPr="000A0F51" w:rsidRDefault="0081022C" w:rsidP="000A0F51">
            <w:pPr>
              <w:suppressAutoHyphens w:val="0"/>
              <w:spacing w:before="40" w:after="40" w:line="220" w:lineRule="exact"/>
              <w:jc w:val="right"/>
              <w:rPr>
                <w:sz w:val="18"/>
              </w:rPr>
            </w:pPr>
            <w:r w:rsidRPr="000A0F51">
              <w:rPr>
                <w:sz w:val="18"/>
                <w:lang w:val="fr-FR"/>
              </w:rPr>
              <w:t>55,5</w:t>
            </w:r>
          </w:p>
        </w:tc>
      </w:tr>
      <w:tr w:rsidR="000A0F51" w:rsidRPr="000A0F51" w14:paraId="1C85CD6C" w14:textId="77777777" w:rsidTr="000A0F51">
        <w:tc>
          <w:tcPr>
            <w:tcW w:w="833" w:type="dxa"/>
            <w:shd w:val="clear" w:color="auto" w:fill="auto"/>
            <w:noWrap/>
            <w:hideMark/>
          </w:tcPr>
          <w:p w14:paraId="6B7876F6" w14:textId="77777777" w:rsidR="0081022C" w:rsidRPr="000A0F51" w:rsidRDefault="0081022C" w:rsidP="000A0F51">
            <w:pPr>
              <w:suppressAutoHyphens w:val="0"/>
              <w:spacing w:before="40" w:after="40" w:line="220" w:lineRule="exact"/>
              <w:rPr>
                <w:sz w:val="18"/>
              </w:rPr>
            </w:pPr>
            <w:r w:rsidRPr="000A0F51">
              <w:rPr>
                <w:sz w:val="18"/>
                <w:lang w:val="fr-FR"/>
              </w:rPr>
              <w:t>Montero</w:t>
            </w:r>
          </w:p>
        </w:tc>
        <w:tc>
          <w:tcPr>
            <w:tcW w:w="727" w:type="dxa"/>
            <w:shd w:val="clear" w:color="auto" w:fill="auto"/>
            <w:noWrap/>
            <w:vAlign w:val="bottom"/>
            <w:hideMark/>
          </w:tcPr>
          <w:p w14:paraId="07789955" w14:textId="77777777" w:rsidR="0081022C" w:rsidRPr="000A0F51" w:rsidRDefault="0081022C" w:rsidP="000A0F51">
            <w:pPr>
              <w:suppressAutoHyphens w:val="0"/>
              <w:spacing w:before="40" w:after="40" w:line="220" w:lineRule="exact"/>
              <w:jc w:val="right"/>
              <w:rPr>
                <w:sz w:val="18"/>
              </w:rPr>
            </w:pPr>
            <w:r w:rsidRPr="000A0F51">
              <w:rPr>
                <w:sz w:val="18"/>
                <w:lang w:val="fr-FR"/>
              </w:rPr>
              <w:t>120 752</w:t>
            </w:r>
          </w:p>
        </w:tc>
        <w:tc>
          <w:tcPr>
            <w:tcW w:w="685" w:type="dxa"/>
            <w:shd w:val="clear" w:color="auto" w:fill="auto"/>
            <w:noWrap/>
            <w:vAlign w:val="bottom"/>
            <w:hideMark/>
          </w:tcPr>
          <w:p w14:paraId="389EFCF7" w14:textId="77777777" w:rsidR="0081022C" w:rsidRPr="000A0F51" w:rsidRDefault="0081022C" w:rsidP="000A0F51">
            <w:pPr>
              <w:suppressAutoHyphens w:val="0"/>
              <w:spacing w:before="40" w:after="40" w:line="220" w:lineRule="exact"/>
              <w:jc w:val="right"/>
              <w:rPr>
                <w:sz w:val="18"/>
              </w:rPr>
            </w:pPr>
            <w:r w:rsidRPr="000A0F51">
              <w:rPr>
                <w:sz w:val="18"/>
                <w:lang w:val="fr-FR"/>
              </w:rPr>
              <w:t>101 195</w:t>
            </w:r>
          </w:p>
        </w:tc>
        <w:tc>
          <w:tcPr>
            <w:tcW w:w="344" w:type="dxa"/>
            <w:shd w:val="clear" w:color="auto" w:fill="auto"/>
            <w:noWrap/>
            <w:vAlign w:val="bottom"/>
            <w:hideMark/>
          </w:tcPr>
          <w:p w14:paraId="465B5437" w14:textId="77777777" w:rsidR="0081022C" w:rsidRPr="000A0F51" w:rsidRDefault="0081022C" w:rsidP="000A0F51">
            <w:pPr>
              <w:suppressAutoHyphens w:val="0"/>
              <w:spacing w:before="40" w:after="40" w:line="220" w:lineRule="exact"/>
              <w:jc w:val="right"/>
              <w:rPr>
                <w:sz w:val="18"/>
              </w:rPr>
            </w:pPr>
            <w:r w:rsidRPr="000A0F51">
              <w:rPr>
                <w:sz w:val="18"/>
                <w:lang w:val="fr-FR"/>
              </w:rPr>
              <w:t>83,8</w:t>
            </w:r>
          </w:p>
        </w:tc>
        <w:tc>
          <w:tcPr>
            <w:tcW w:w="706" w:type="dxa"/>
            <w:shd w:val="clear" w:color="auto" w:fill="auto"/>
            <w:noWrap/>
            <w:vAlign w:val="bottom"/>
            <w:hideMark/>
          </w:tcPr>
          <w:p w14:paraId="38BA9C92" w14:textId="77777777" w:rsidR="0081022C" w:rsidRPr="000A0F51" w:rsidRDefault="0081022C" w:rsidP="000A0F51">
            <w:pPr>
              <w:suppressAutoHyphens w:val="0"/>
              <w:spacing w:before="40" w:after="40" w:line="220" w:lineRule="exact"/>
              <w:jc w:val="right"/>
              <w:rPr>
                <w:sz w:val="18"/>
              </w:rPr>
            </w:pPr>
            <w:r w:rsidRPr="000A0F51">
              <w:rPr>
                <w:sz w:val="18"/>
                <w:lang w:val="fr-FR"/>
              </w:rPr>
              <w:t>3 531 469</w:t>
            </w:r>
          </w:p>
        </w:tc>
        <w:tc>
          <w:tcPr>
            <w:tcW w:w="717" w:type="dxa"/>
            <w:shd w:val="clear" w:color="auto" w:fill="auto"/>
            <w:noWrap/>
            <w:vAlign w:val="bottom"/>
            <w:hideMark/>
          </w:tcPr>
          <w:p w14:paraId="6A1557AA" w14:textId="77777777" w:rsidR="0081022C" w:rsidRPr="000A0F51" w:rsidRDefault="0081022C" w:rsidP="000A0F51">
            <w:pPr>
              <w:suppressAutoHyphens w:val="0"/>
              <w:spacing w:before="40" w:after="40" w:line="220" w:lineRule="exact"/>
              <w:jc w:val="right"/>
              <w:rPr>
                <w:sz w:val="18"/>
              </w:rPr>
            </w:pPr>
            <w:r w:rsidRPr="000A0F51">
              <w:rPr>
                <w:sz w:val="18"/>
                <w:lang w:val="fr-FR"/>
              </w:rPr>
              <w:t>3 181 056</w:t>
            </w:r>
          </w:p>
        </w:tc>
        <w:tc>
          <w:tcPr>
            <w:tcW w:w="344" w:type="dxa"/>
            <w:shd w:val="clear" w:color="auto" w:fill="auto"/>
            <w:noWrap/>
            <w:vAlign w:val="bottom"/>
            <w:hideMark/>
          </w:tcPr>
          <w:p w14:paraId="4FD111AA" w14:textId="77777777" w:rsidR="0081022C" w:rsidRPr="000A0F51" w:rsidRDefault="0081022C" w:rsidP="000A0F51">
            <w:pPr>
              <w:suppressAutoHyphens w:val="0"/>
              <w:spacing w:before="40" w:after="40" w:line="220" w:lineRule="exact"/>
              <w:jc w:val="right"/>
              <w:rPr>
                <w:sz w:val="18"/>
              </w:rPr>
            </w:pPr>
            <w:r w:rsidRPr="000A0F51">
              <w:rPr>
                <w:sz w:val="18"/>
                <w:lang w:val="fr-FR"/>
              </w:rPr>
              <w:t>90,1</w:t>
            </w:r>
          </w:p>
        </w:tc>
        <w:tc>
          <w:tcPr>
            <w:tcW w:w="780" w:type="dxa"/>
            <w:shd w:val="clear" w:color="auto" w:fill="auto"/>
            <w:noWrap/>
            <w:vAlign w:val="bottom"/>
            <w:hideMark/>
          </w:tcPr>
          <w:p w14:paraId="229F78BB" w14:textId="77777777" w:rsidR="0081022C" w:rsidRPr="000A0F51" w:rsidRDefault="0081022C" w:rsidP="000A0F51">
            <w:pPr>
              <w:suppressAutoHyphens w:val="0"/>
              <w:spacing w:before="40" w:after="40" w:line="220" w:lineRule="exact"/>
              <w:jc w:val="right"/>
              <w:rPr>
                <w:sz w:val="18"/>
              </w:rPr>
            </w:pPr>
            <w:r w:rsidRPr="000A0F51">
              <w:rPr>
                <w:sz w:val="18"/>
                <w:lang w:val="fr-FR"/>
              </w:rPr>
              <w:t>2 954 104</w:t>
            </w:r>
          </w:p>
        </w:tc>
        <w:tc>
          <w:tcPr>
            <w:tcW w:w="706" w:type="dxa"/>
            <w:shd w:val="clear" w:color="auto" w:fill="auto"/>
            <w:noWrap/>
            <w:vAlign w:val="bottom"/>
            <w:hideMark/>
          </w:tcPr>
          <w:p w14:paraId="5AE76CD5" w14:textId="77777777" w:rsidR="0081022C" w:rsidRPr="000A0F51" w:rsidRDefault="0081022C" w:rsidP="000A0F51">
            <w:pPr>
              <w:suppressAutoHyphens w:val="0"/>
              <w:spacing w:before="40" w:after="40" w:line="220" w:lineRule="exact"/>
              <w:jc w:val="right"/>
              <w:rPr>
                <w:sz w:val="18"/>
              </w:rPr>
            </w:pPr>
            <w:r w:rsidRPr="000A0F51">
              <w:rPr>
                <w:sz w:val="18"/>
                <w:lang w:val="fr-FR"/>
              </w:rPr>
              <w:t>465 853</w:t>
            </w:r>
          </w:p>
        </w:tc>
        <w:tc>
          <w:tcPr>
            <w:tcW w:w="440" w:type="dxa"/>
            <w:shd w:val="clear" w:color="auto" w:fill="auto"/>
            <w:noWrap/>
            <w:vAlign w:val="bottom"/>
            <w:hideMark/>
          </w:tcPr>
          <w:p w14:paraId="7B470B7B" w14:textId="77777777" w:rsidR="0081022C" w:rsidRPr="000A0F51" w:rsidRDefault="0081022C" w:rsidP="000A0F51">
            <w:pPr>
              <w:suppressAutoHyphens w:val="0"/>
              <w:spacing w:before="40" w:after="40" w:line="220" w:lineRule="exact"/>
              <w:jc w:val="right"/>
              <w:rPr>
                <w:sz w:val="18"/>
              </w:rPr>
            </w:pPr>
            <w:r w:rsidRPr="000A0F51">
              <w:rPr>
                <w:sz w:val="18"/>
                <w:lang w:val="fr-FR"/>
              </w:rPr>
              <w:t>15,8</w:t>
            </w:r>
          </w:p>
        </w:tc>
        <w:tc>
          <w:tcPr>
            <w:tcW w:w="727" w:type="dxa"/>
            <w:shd w:val="clear" w:color="auto" w:fill="auto"/>
            <w:noWrap/>
            <w:vAlign w:val="bottom"/>
            <w:hideMark/>
          </w:tcPr>
          <w:p w14:paraId="6F90614C" w14:textId="77777777" w:rsidR="0081022C" w:rsidRPr="000A0F51" w:rsidRDefault="0081022C" w:rsidP="000A0F51">
            <w:pPr>
              <w:suppressAutoHyphens w:val="0"/>
              <w:spacing w:before="40" w:after="40" w:line="220" w:lineRule="exact"/>
              <w:jc w:val="right"/>
              <w:rPr>
                <w:sz w:val="18"/>
              </w:rPr>
            </w:pPr>
            <w:r w:rsidRPr="000A0F51">
              <w:rPr>
                <w:sz w:val="18"/>
                <w:lang w:val="fr-FR"/>
              </w:rPr>
              <w:t>1 249 368</w:t>
            </w:r>
          </w:p>
        </w:tc>
        <w:tc>
          <w:tcPr>
            <w:tcW w:w="361" w:type="dxa"/>
            <w:shd w:val="clear" w:color="auto" w:fill="auto"/>
            <w:noWrap/>
            <w:vAlign w:val="bottom"/>
            <w:hideMark/>
          </w:tcPr>
          <w:p w14:paraId="10F184F1" w14:textId="77777777" w:rsidR="0081022C" w:rsidRPr="000A0F51" w:rsidRDefault="0081022C" w:rsidP="000A0F51">
            <w:pPr>
              <w:suppressAutoHyphens w:val="0"/>
              <w:spacing w:before="40" w:after="40" w:line="220" w:lineRule="exact"/>
              <w:jc w:val="right"/>
              <w:rPr>
                <w:sz w:val="18"/>
              </w:rPr>
            </w:pPr>
            <w:r w:rsidRPr="000A0F51">
              <w:rPr>
                <w:sz w:val="18"/>
                <w:lang w:val="fr-FR"/>
              </w:rPr>
              <w:t>63,2</w:t>
            </w:r>
          </w:p>
        </w:tc>
      </w:tr>
      <w:tr w:rsidR="000A0F51" w:rsidRPr="000A0F51" w14:paraId="42E11704" w14:textId="77777777" w:rsidTr="000A0F51">
        <w:tc>
          <w:tcPr>
            <w:tcW w:w="833" w:type="dxa"/>
            <w:shd w:val="clear" w:color="auto" w:fill="auto"/>
            <w:noWrap/>
            <w:hideMark/>
          </w:tcPr>
          <w:p w14:paraId="542660BB" w14:textId="77777777" w:rsidR="0081022C" w:rsidRPr="000A0F51" w:rsidRDefault="0081022C" w:rsidP="000A0F51">
            <w:pPr>
              <w:suppressAutoHyphens w:val="0"/>
              <w:spacing w:before="40" w:after="40" w:line="220" w:lineRule="exact"/>
              <w:rPr>
                <w:sz w:val="18"/>
              </w:rPr>
            </w:pPr>
            <w:r w:rsidRPr="000A0F51">
              <w:rPr>
                <w:sz w:val="18"/>
                <w:lang w:val="fr-FR"/>
              </w:rPr>
              <w:t>Trinidad</w:t>
            </w:r>
          </w:p>
        </w:tc>
        <w:tc>
          <w:tcPr>
            <w:tcW w:w="727" w:type="dxa"/>
            <w:shd w:val="clear" w:color="auto" w:fill="auto"/>
            <w:noWrap/>
            <w:vAlign w:val="bottom"/>
            <w:hideMark/>
          </w:tcPr>
          <w:p w14:paraId="5F59BE1F" w14:textId="77777777" w:rsidR="0081022C" w:rsidRPr="000A0F51" w:rsidRDefault="0081022C" w:rsidP="000A0F51">
            <w:pPr>
              <w:suppressAutoHyphens w:val="0"/>
              <w:spacing w:before="40" w:after="40" w:line="220" w:lineRule="exact"/>
              <w:jc w:val="right"/>
              <w:rPr>
                <w:sz w:val="18"/>
              </w:rPr>
            </w:pPr>
            <w:r w:rsidRPr="000A0F51">
              <w:rPr>
                <w:sz w:val="18"/>
                <w:lang w:val="fr-FR"/>
              </w:rPr>
              <w:t>1 401 463</w:t>
            </w:r>
          </w:p>
        </w:tc>
        <w:tc>
          <w:tcPr>
            <w:tcW w:w="685" w:type="dxa"/>
            <w:shd w:val="clear" w:color="auto" w:fill="auto"/>
            <w:noWrap/>
            <w:vAlign w:val="bottom"/>
            <w:hideMark/>
          </w:tcPr>
          <w:p w14:paraId="10DFA373" w14:textId="77777777" w:rsidR="0081022C" w:rsidRPr="000A0F51" w:rsidRDefault="0081022C" w:rsidP="000A0F51">
            <w:pPr>
              <w:suppressAutoHyphens w:val="0"/>
              <w:spacing w:before="40" w:after="40" w:line="220" w:lineRule="exact"/>
              <w:jc w:val="right"/>
              <w:rPr>
                <w:sz w:val="18"/>
              </w:rPr>
            </w:pPr>
            <w:r w:rsidRPr="000A0F51">
              <w:rPr>
                <w:sz w:val="18"/>
                <w:lang w:val="fr-FR"/>
              </w:rPr>
              <w:t>1 269 049</w:t>
            </w:r>
          </w:p>
        </w:tc>
        <w:tc>
          <w:tcPr>
            <w:tcW w:w="344" w:type="dxa"/>
            <w:shd w:val="clear" w:color="auto" w:fill="auto"/>
            <w:noWrap/>
            <w:vAlign w:val="bottom"/>
            <w:hideMark/>
          </w:tcPr>
          <w:p w14:paraId="6E8E33BD" w14:textId="77777777" w:rsidR="0081022C" w:rsidRPr="000A0F51" w:rsidRDefault="0081022C" w:rsidP="000A0F51">
            <w:pPr>
              <w:suppressAutoHyphens w:val="0"/>
              <w:spacing w:before="40" w:after="40" w:line="220" w:lineRule="exact"/>
              <w:jc w:val="right"/>
              <w:rPr>
                <w:sz w:val="18"/>
              </w:rPr>
            </w:pPr>
            <w:r w:rsidRPr="000A0F51">
              <w:rPr>
                <w:sz w:val="18"/>
                <w:lang w:val="fr-FR"/>
              </w:rPr>
              <w:t>90,6</w:t>
            </w:r>
          </w:p>
        </w:tc>
        <w:tc>
          <w:tcPr>
            <w:tcW w:w="706" w:type="dxa"/>
            <w:shd w:val="clear" w:color="auto" w:fill="auto"/>
            <w:noWrap/>
            <w:vAlign w:val="bottom"/>
            <w:hideMark/>
          </w:tcPr>
          <w:p w14:paraId="6063C601" w14:textId="77777777" w:rsidR="0081022C" w:rsidRPr="000A0F51" w:rsidRDefault="0081022C" w:rsidP="000A0F51">
            <w:pPr>
              <w:suppressAutoHyphens w:val="0"/>
              <w:spacing w:before="40" w:after="40" w:line="220" w:lineRule="exact"/>
              <w:jc w:val="right"/>
              <w:rPr>
                <w:sz w:val="18"/>
              </w:rPr>
            </w:pPr>
            <w:r w:rsidRPr="000A0F51">
              <w:rPr>
                <w:sz w:val="18"/>
                <w:lang w:val="fr-FR"/>
              </w:rPr>
              <w:t>1 942 801</w:t>
            </w:r>
          </w:p>
        </w:tc>
        <w:tc>
          <w:tcPr>
            <w:tcW w:w="717" w:type="dxa"/>
            <w:shd w:val="clear" w:color="auto" w:fill="auto"/>
            <w:noWrap/>
            <w:vAlign w:val="bottom"/>
            <w:hideMark/>
          </w:tcPr>
          <w:p w14:paraId="6EB00760" w14:textId="77777777" w:rsidR="0081022C" w:rsidRPr="000A0F51" w:rsidRDefault="0081022C" w:rsidP="000A0F51">
            <w:pPr>
              <w:suppressAutoHyphens w:val="0"/>
              <w:spacing w:before="40" w:after="40" w:line="220" w:lineRule="exact"/>
              <w:jc w:val="right"/>
              <w:rPr>
                <w:sz w:val="18"/>
              </w:rPr>
            </w:pPr>
            <w:r w:rsidRPr="000A0F51">
              <w:rPr>
                <w:sz w:val="18"/>
                <w:lang w:val="fr-FR"/>
              </w:rPr>
              <w:t>1 819 888</w:t>
            </w:r>
          </w:p>
        </w:tc>
        <w:tc>
          <w:tcPr>
            <w:tcW w:w="344" w:type="dxa"/>
            <w:shd w:val="clear" w:color="auto" w:fill="auto"/>
            <w:noWrap/>
            <w:vAlign w:val="bottom"/>
            <w:hideMark/>
          </w:tcPr>
          <w:p w14:paraId="7217E71B" w14:textId="77777777" w:rsidR="0081022C" w:rsidRPr="000A0F51" w:rsidRDefault="0081022C" w:rsidP="000A0F51">
            <w:pPr>
              <w:suppressAutoHyphens w:val="0"/>
              <w:spacing w:before="40" w:after="40" w:line="220" w:lineRule="exact"/>
              <w:jc w:val="right"/>
              <w:rPr>
                <w:sz w:val="18"/>
              </w:rPr>
            </w:pPr>
            <w:r w:rsidRPr="000A0F51">
              <w:rPr>
                <w:sz w:val="18"/>
                <w:lang w:val="fr-FR"/>
              </w:rPr>
              <w:t>93,7</w:t>
            </w:r>
          </w:p>
        </w:tc>
        <w:tc>
          <w:tcPr>
            <w:tcW w:w="780" w:type="dxa"/>
            <w:shd w:val="clear" w:color="auto" w:fill="auto"/>
            <w:noWrap/>
            <w:vAlign w:val="bottom"/>
            <w:hideMark/>
          </w:tcPr>
          <w:p w14:paraId="1A09F31E" w14:textId="77777777" w:rsidR="0081022C" w:rsidRPr="000A0F51" w:rsidRDefault="0081022C" w:rsidP="000A0F51">
            <w:pPr>
              <w:suppressAutoHyphens w:val="0"/>
              <w:spacing w:before="40" w:after="40" w:line="220" w:lineRule="exact"/>
              <w:jc w:val="right"/>
              <w:rPr>
                <w:sz w:val="18"/>
              </w:rPr>
            </w:pPr>
            <w:r w:rsidRPr="000A0F51">
              <w:rPr>
                <w:sz w:val="18"/>
                <w:lang w:val="fr-FR"/>
              </w:rPr>
              <w:t>1 598 455</w:t>
            </w:r>
          </w:p>
        </w:tc>
        <w:tc>
          <w:tcPr>
            <w:tcW w:w="706" w:type="dxa"/>
            <w:shd w:val="clear" w:color="auto" w:fill="auto"/>
            <w:noWrap/>
            <w:vAlign w:val="bottom"/>
            <w:hideMark/>
          </w:tcPr>
          <w:p w14:paraId="0AC08691" w14:textId="77777777" w:rsidR="0081022C" w:rsidRPr="000A0F51" w:rsidRDefault="0081022C" w:rsidP="000A0F51">
            <w:pPr>
              <w:suppressAutoHyphens w:val="0"/>
              <w:spacing w:before="40" w:after="40" w:line="220" w:lineRule="exact"/>
              <w:jc w:val="right"/>
              <w:rPr>
                <w:sz w:val="18"/>
              </w:rPr>
            </w:pPr>
            <w:r w:rsidRPr="000A0F51">
              <w:rPr>
                <w:sz w:val="18"/>
                <w:lang w:val="fr-FR"/>
              </w:rPr>
              <w:t>1 300 639</w:t>
            </w:r>
          </w:p>
        </w:tc>
        <w:tc>
          <w:tcPr>
            <w:tcW w:w="440" w:type="dxa"/>
            <w:shd w:val="clear" w:color="auto" w:fill="auto"/>
            <w:noWrap/>
            <w:vAlign w:val="bottom"/>
            <w:hideMark/>
          </w:tcPr>
          <w:p w14:paraId="16F712CA" w14:textId="77777777" w:rsidR="0081022C" w:rsidRPr="000A0F51" w:rsidRDefault="0081022C" w:rsidP="000A0F51">
            <w:pPr>
              <w:suppressAutoHyphens w:val="0"/>
              <w:spacing w:before="40" w:after="40" w:line="220" w:lineRule="exact"/>
              <w:jc w:val="right"/>
              <w:rPr>
                <w:sz w:val="18"/>
              </w:rPr>
            </w:pPr>
            <w:r w:rsidRPr="000A0F51">
              <w:rPr>
                <w:sz w:val="18"/>
                <w:lang w:val="fr-FR"/>
              </w:rPr>
              <w:t>81,4</w:t>
            </w:r>
          </w:p>
        </w:tc>
        <w:tc>
          <w:tcPr>
            <w:tcW w:w="727" w:type="dxa"/>
            <w:shd w:val="clear" w:color="auto" w:fill="auto"/>
            <w:noWrap/>
            <w:vAlign w:val="bottom"/>
            <w:hideMark/>
          </w:tcPr>
          <w:p w14:paraId="1F988602" w14:textId="77777777" w:rsidR="0081022C" w:rsidRPr="000A0F51" w:rsidRDefault="0081022C" w:rsidP="000A0F51">
            <w:pPr>
              <w:suppressAutoHyphens w:val="0"/>
              <w:spacing w:before="40" w:after="40" w:line="220" w:lineRule="exact"/>
              <w:jc w:val="right"/>
              <w:rPr>
                <w:sz w:val="18"/>
              </w:rPr>
            </w:pPr>
            <w:r w:rsidRPr="000A0F51">
              <w:rPr>
                <w:sz w:val="18"/>
                <w:lang w:val="fr-FR"/>
              </w:rPr>
              <w:t>1 463 192</w:t>
            </w:r>
          </w:p>
        </w:tc>
        <w:tc>
          <w:tcPr>
            <w:tcW w:w="361" w:type="dxa"/>
            <w:shd w:val="clear" w:color="auto" w:fill="auto"/>
            <w:noWrap/>
            <w:vAlign w:val="bottom"/>
            <w:hideMark/>
          </w:tcPr>
          <w:p w14:paraId="3959BE2A" w14:textId="77777777" w:rsidR="0081022C" w:rsidRPr="000A0F51" w:rsidRDefault="0081022C" w:rsidP="000A0F51">
            <w:pPr>
              <w:suppressAutoHyphens w:val="0"/>
              <w:spacing w:before="40" w:after="40" w:line="220" w:lineRule="exact"/>
              <w:jc w:val="right"/>
              <w:rPr>
                <w:sz w:val="18"/>
              </w:rPr>
            </w:pPr>
            <w:r w:rsidRPr="000A0F51">
              <w:rPr>
                <w:sz w:val="18"/>
                <w:lang w:val="fr-FR"/>
              </w:rPr>
              <w:t>88,5</w:t>
            </w:r>
          </w:p>
        </w:tc>
      </w:tr>
      <w:tr w:rsidR="000A0F51" w:rsidRPr="000A0F51" w14:paraId="1C31E325" w14:textId="77777777" w:rsidTr="000A0F51">
        <w:tc>
          <w:tcPr>
            <w:tcW w:w="833" w:type="dxa"/>
            <w:shd w:val="clear" w:color="auto" w:fill="auto"/>
            <w:noWrap/>
            <w:hideMark/>
          </w:tcPr>
          <w:p w14:paraId="503CD26A" w14:textId="77777777" w:rsidR="0081022C" w:rsidRPr="000A0F51" w:rsidRDefault="0081022C" w:rsidP="000A0F51">
            <w:pPr>
              <w:suppressAutoHyphens w:val="0"/>
              <w:spacing w:before="40" w:after="40" w:line="220" w:lineRule="exact"/>
              <w:rPr>
                <w:sz w:val="18"/>
              </w:rPr>
            </w:pPr>
            <w:bookmarkStart w:id="2" w:name="OLE_LINK1"/>
            <w:r w:rsidRPr="000A0F51">
              <w:rPr>
                <w:sz w:val="18"/>
                <w:lang w:val="fr-FR"/>
              </w:rPr>
              <w:t>Yacuiba</w:t>
            </w:r>
          </w:p>
        </w:tc>
        <w:tc>
          <w:tcPr>
            <w:tcW w:w="727" w:type="dxa"/>
            <w:shd w:val="clear" w:color="auto" w:fill="auto"/>
            <w:noWrap/>
            <w:vAlign w:val="bottom"/>
            <w:hideMark/>
          </w:tcPr>
          <w:p w14:paraId="4860FDCE" w14:textId="77777777" w:rsidR="0081022C" w:rsidRPr="000A0F51" w:rsidRDefault="0081022C" w:rsidP="000A0F51">
            <w:pPr>
              <w:suppressAutoHyphens w:val="0"/>
              <w:spacing w:before="40" w:after="40" w:line="220" w:lineRule="exact"/>
              <w:jc w:val="right"/>
              <w:rPr>
                <w:sz w:val="18"/>
              </w:rPr>
            </w:pPr>
            <w:r w:rsidRPr="000A0F51">
              <w:rPr>
                <w:sz w:val="18"/>
              </w:rPr>
              <w:t>-</w:t>
            </w:r>
          </w:p>
        </w:tc>
        <w:tc>
          <w:tcPr>
            <w:tcW w:w="685" w:type="dxa"/>
            <w:shd w:val="clear" w:color="auto" w:fill="auto"/>
            <w:noWrap/>
            <w:vAlign w:val="bottom"/>
            <w:hideMark/>
          </w:tcPr>
          <w:p w14:paraId="4BF5A4BF" w14:textId="77777777" w:rsidR="0081022C" w:rsidRPr="000A0F51" w:rsidRDefault="0081022C" w:rsidP="000A0F51">
            <w:pPr>
              <w:suppressAutoHyphens w:val="0"/>
              <w:spacing w:before="40" w:after="40" w:line="220" w:lineRule="exact"/>
              <w:jc w:val="right"/>
              <w:rPr>
                <w:sz w:val="18"/>
              </w:rPr>
            </w:pPr>
            <w:r w:rsidRPr="000A0F51">
              <w:rPr>
                <w:sz w:val="18"/>
              </w:rPr>
              <w:t>-</w:t>
            </w:r>
          </w:p>
        </w:tc>
        <w:tc>
          <w:tcPr>
            <w:tcW w:w="344" w:type="dxa"/>
            <w:shd w:val="clear" w:color="auto" w:fill="auto"/>
            <w:noWrap/>
            <w:vAlign w:val="bottom"/>
            <w:hideMark/>
          </w:tcPr>
          <w:p w14:paraId="29BE1638" w14:textId="77777777" w:rsidR="0081022C" w:rsidRPr="000A0F51" w:rsidRDefault="0081022C" w:rsidP="000A0F51">
            <w:pPr>
              <w:suppressAutoHyphens w:val="0"/>
              <w:spacing w:before="40" w:after="40" w:line="220" w:lineRule="exact"/>
              <w:jc w:val="right"/>
              <w:rPr>
                <w:sz w:val="18"/>
              </w:rPr>
            </w:pPr>
            <w:r w:rsidRPr="000A0F51">
              <w:rPr>
                <w:sz w:val="18"/>
              </w:rPr>
              <w:t>-</w:t>
            </w:r>
          </w:p>
        </w:tc>
        <w:tc>
          <w:tcPr>
            <w:tcW w:w="706" w:type="dxa"/>
            <w:shd w:val="clear" w:color="auto" w:fill="auto"/>
            <w:noWrap/>
            <w:vAlign w:val="bottom"/>
            <w:hideMark/>
          </w:tcPr>
          <w:p w14:paraId="7C672C38" w14:textId="77777777" w:rsidR="0081022C" w:rsidRPr="000A0F51" w:rsidRDefault="0081022C" w:rsidP="000A0F51">
            <w:pPr>
              <w:suppressAutoHyphens w:val="0"/>
              <w:spacing w:before="40" w:after="40" w:line="220" w:lineRule="exact"/>
              <w:jc w:val="right"/>
              <w:rPr>
                <w:sz w:val="18"/>
              </w:rPr>
            </w:pPr>
            <w:r w:rsidRPr="000A0F51">
              <w:rPr>
                <w:sz w:val="18"/>
                <w:lang w:val="fr-FR"/>
              </w:rPr>
              <w:t>8 061 672</w:t>
            </w:r>
          </w:p>
        </w:tc>
        <w:tc>
          <w:tcPr>
            <w:tcW w:w="717" w:type="dxa"/>
            <w:shd w:val="clear" w:color="auto" w:fill="auto"/>
            <w:noWrap/>
            <w:vAlign w:val="bottom"/>
            <w:hideMark/>
          </w:tcPr>
          <w:p w14:paraId="1D18644C" w14:textId="77777777" w:rsidR="0081022C" w:rsidRPr="000A0F51" w:rsidRDefault="0081022C" w:rsidP="000A0F51">
            <w:pPr>
              <w:suppressAutoHyphens w:val="0"/>
              <w:spacing w:before="40" w:after="40" w:line="220" w:lineRule="exact"/>
              <w:jc w:val="right"/>
              <w:rPr>
                <w:sz w:val="18"/>
              </w:rPr>
            </w:pPr>
            <w:r w:rsidRPr="000A0F51">
              <w:rPr>
                <w:sz w:val="18"/>
                <w:lang w:val="fr-FR"/>
              </w:rPr>
              <w:t>7 416 846</w:t>
            </w:r>
          </w:p>
        </w:tc>
        <w:tc>
          <w:tcPr>
            <w:tcW w:w="344" w:type="dxa"/>
            <w:shd w:val="clear" w:color="auto" w:fill="auto"/>
            <w:noWrap/>
            <w:vAlign w:val="bottom"/>
            <w:hideMark/>
          </w:tcPr>
          <w:p w14:paraId="4BCC6624" w14:textId="77777777" w:rsidR="0081022C" w:rsidRPr="000A0F51" w:rsidRDefault="0081022C" w:rsidP="000A0F51">
            <w:pPr>
              <w:suppressAutoHyphens w:val="0"/>
              <w:spacing w:before="40" w:after="40" w:line="220" w:lineRule="exact"/>
              <w:jc w:val="right"/>
              <w:rPr>
                <w:sz w:val="18"/>
              </w:rPr>
            </w:pPr>
            <w:r w:rsidRPr="000A0F51">
              <w:rPr>
                <w:sz w:val="18"/>
                <w:lang w:val="fr-FR"/>
              </w:rPr>
              <w:t>92,0</w:t>
            </w:r>
          </w:p>
        </w:tc>
        <w:tc>
          <w:tcPr>
            <w:tcW w:w="780" w:type="dxa"/>
            <w:shd w:val="clear" w:color="auto" w:fill="auto"/>
            <w:noWrap/>
            <w:vAlign w:val="bottom"/>
            <w:hideMark/>
          </w:tcPr>
          <w:p w14:paraId="7B774532" w14:textId="77777777" w:rsidR="0081022C" w:rsidRPr="000A0F51" w:rsidRDefault="0081022C" w:rsidP="000A0F51">
            <w:pPr>
              <w:suppressAutoHyphens w:val="0"/>
              <w:spacing w:before="40" w:after="40" w:line="220" w:lineRule="exact"/>
              <w:jc w:val="right"/>
              <w:rPr>
                <w:sz w:val="18"/>
              </w:rPr>
            </w:pPr>
            <w:r w:rsidRPr="000A0F51">
              <w:rPr>
                <w:sz w:val="18"/>
                <w:lang w:val="fr-FR"/>
              </w:rPr>
              <w:t>6 494 663</w:t>
            </w:r>
          </w:p>
        </w:tc>
        <w:tc>
          <w:tcPr>
            <w:tcW w:w="706" w:type="dxa"/>
            <w:shd w:val="clear" w:color="auto" w:fill="auto"/>
            <w:noWrap/>
            <w:vAlign w:val="bottom"/>
            <w:hideMark/>
          </w:tcPr>
          <w:p w14:paraId="29A6925D" w14:textId="77777777" w:rsidR="0081022C" w:rsidRPr="000A0F51" w:rsidRDefault="0081022C" w:rsidP="000A0F51">
            <w:pPr>
              <w:suppressAutoHyphens w:val="0"/>
              <w:spacing w:before="40" w:after="40" w:line="220" w:lineRule="exact"/>
              <w:jc w:val="right"/>
              <w:rPr>
                <w:sz w:val="18"/>
              </w:rPr>
            </w:pPr>
            <w:r w:rsidRPr="000A0F51">
              <w:rPr>
                <w:sz w:val="18"/>
                <w:lang w:val="fr-FR"/>
              </w:rPr>
              <w:t>4 657 518</w:t>
            </w:r>
          </w:p>
        </w:tc>
        <w:tc>
          <w:tcPr>
            <w:tcW w:w="440" w:type="dxa"/>
            <w:shd w:val="clear" w:color="auto" w:fill="auto"/>
            <w:noWrap/>
            <w:vAlign w:val="bottom"/>
            <w:hideMark/>
          </w:tcPr>
          <w:p w14:paraId="7649D5B8" w14:textId="77777777" w:rsidR="0081022C" w:rsidRPr="000A0F51" w:rsidRDefault="0081022C" w:rsidP="000A0F51">
            <w:pPr>
              <w:suppressAutoHyphens w:val="0"/>
              <w:spacing w:before="40" w:after="40" w:line="220" w:lineRule="exact"/>
              <w:jc w:val="right"/>
              <w:rPr>
                <w:sz w:val="18"/>
              </w:rPr>
            </w:pPr>
            <w:r w:rsidRPr="000A0F51">
              <w:rPr>
                <w:sz w:val="18"/>
                <w:lang w:val="fr-FR"/>
              </w:rPr>
              <w:t>71,7</w:t>
            </w:r>
          </w:p>
        </w:tc>
        <w:tc>
          <w:tcPr>
            <w:tcW w:w="727" w:type="dxa"/>
            <w:shd w:val="clear" w:color="auto" w:fill="auto"/>
            <w:noWrap/>
            <w:vAlign w:val="bottom"/>
            <w:hideMark/>
          </w:tcPr>
          <w:p w14:paraId="0998EF2E" w14:textId="77777777" w:rsidR="0081022C" w:rsidRPr="000A0F51" w:rsidRDefault="0081022C" w:rsidP="000A0F51">
            <w:pPr>
              <w:suppressAutoHyphens w:val="0"/>
              <w:spacing w:before="40" w:after="40" w:line="220" w:lineRule="exact"/>
              <w:jc w:val="right"/>
              <w:rPr>
                <w:sz w:val="18"/>
              </w:rPr>
            </w:pPr>
            <w:r w:rsidRPr="000A0F51">
              <w:rPr>
                <w:sz w:val="18"/>
                <w:lang w:val="fr-FR"/>
              </w:rPr>
              <w:t>6 037 182</w:t>
            </w:r>
          </w:p>
        </w:tc>
        <w:tc>
          <w:tcPr>
            <w:tcW w:w="361" w:type="dxa"/>
            <w:shd w:val="clear" w:color="auto" w:fill="auto"/>
            <w:noWrap/>
            <w:vAlign w:val="bottom"/>
            <w:hideMark/>
          </w:tcPr>
          <w:p w14:paraId="4B1C6A96" w14:textId="77777777" w:rsidR="0081022C" w:rsidRPr="000A0F51" w:rsidRDefault="0081022C" w:rsidP="000A0F51">
            <w:pPr>
              <w:suppressAutoHyphens w:val="0"/>
              <w:spacing w:before="40" w:after="40" w:line="220" w:lineRule="exact"/>
              <w:jc w:val="right"/>
              <w:rPr>
                <w:sz w:val="18"/>
              </w:rPr>
            </w:pPr>
            <w:r w:rsidRPr="000A0F51">
              <w:rPr>
                <w:sz w:val="18"/>
                <w:lang w:val="fr-FR"/>
              </w:rPr>
              <w:t>81,9</w:t>
            </w:r>
          </w:p>
        </w:tc>
      </w:tr>
      <w:tr w:rsidR="000A0F51" w:rsidRPr="000A0F51" w14:paraId="3B402EB6" w14:textId="77777777" w:rsidTr="000A0F51">
        <w:tc>
          <w:tcPr>
            <w:tcW w:w="833" w:type="dxa"/>
            <w:shd w:val="clear" w:color="auto" w:fill="auto"/>
            <w:noWrap/>
            <w:hideMark/>
          </w:tcPr>
          <w:p w14:paraId="40E3D670" w14:textId="77777777" w:rsidR="0081022C" w:rsidRPr="000A0F51" w:rsidRDefault="0081022C" w:rsidP="000A0F51">
            <w:pPr>
              <w:suppressAutoHyphens w:val="0"/>
              <w:spacing w:before="40" w:after="40" w:line="220" w:lineRule="exact"/>
              <w:rPr>
                <w:sz w:val="18"/>
              </w:rPr>
            </w:pPr>
            <w:r w:rsidRPr="000A0F51">
              <w:rPr>
                <w:sz w:val="18"/>
                <w:lang w:val="fr-FR"/>
              </w:rPr>
              <w:t>Riberalta</w:t>
            </w:r>
          </w:p>
        </w:tc>
        <w:tc>
          <w:tcPr>
            <w:tcW w:w="727" w:type="dxa"/>
            <w:shd w:val="clear" w:color="auto" w:fill="auto"/>
            <w:noWrap/>
            <w:vAlign w:val="bottom"/>
            <w:hideMark/>
          </w:tcPr>
          <w:p w14:paraId="7FA651E9" w14:textId="77777777" w:rsidR="0081022C" w:rsidRPr="000A0F51" w:rsidRDefault="0081022C" w:rsidP="000A0F51">
            <w:pPr>
              <w:suppressAutoHyphens w:val="0"/>
              <w:spacing w:before="40" w:after="40" w:line="220" w:lineRule="exact"/>
              <w:jc w:val="right"/>
              <w:rPr>
                <w:sz w:val="18"/>
              </w:rPr>
            </w:pPr>
            <w:r w:rsidRPr="000A0F51">
              <w:rPr>
                <w:sz w:val="18"/>
              </w:rPr>
              <w:t>-</w:t>
            </w:r>
          </w:p>
        </w:tc>
        <w:tc>
          <w:tcPr>
            <w:tcW w:w="685" w:type="dxa"/>
            <w:shd w:val="clear" w:color="auto" w:fill="auto"/>
            <w:noWrap/>
            <w:vAlign w:val="bottom"/>
            <w:hideMark/>
          </w:tcPr>
          <w:p w14:paraId="2AA165EF" w14:textId="77777777" w:rsidR="0081022C" w:rsidRPr="000A0F51" w:rsidRDefault="0081022C" w:rsidP="000A0F51">
            <w:pPr>
              <w:suppressAutoHyphens w:val="0"/>
              <w:spacing w:before="40" w:after="40" w:line="220" w:lineRule="exact"/>
              <w:jc w:val="right"/>
              <w:rPr>
                <w:sz w:val="18"/>
              </w:rPr>
            </w:pPr>
            <w:r w:rsidRPr="000A0F51">
              <w:rPr>
                <w:sz w:val="18"/>
              </w:rPr>
              <w:t>-</w:t>
            </w:r>
          </w:p>
        </w:tc>
        <w:tc>
          <w:tcPr>
            <w:tcW w:w="344" w:type="dxa"/>
            <w:shd w:val="clear" w:color="auto" w:fill="auto"/>
            <w:noWrap/>
            <w:vAlign w:val="bottom"/>
            <w:hideMark/>
          </w:tcPr>
          <w:p w14:paraId="0CD05945" w14:textId="77777777" w:rsidR="0081022C" w:rsidRPr="000A0F51" w:rsidRDefault="0081022C" w:rsidP="000A0F51">
            <w:pPr>
              <w:suppressAutoHyphens w:val="0"/>
              <w:spacing w:before="40" w:after="40" w:line="220" w:lineRule="exact"/>
              <w:jc w:val="right"/>
              <w:rPr>
                <w:sz w:val="18"/>
              </w:rPr>
            </w:pPr>
            <w:r w:rsidRPr="000A0F51">
              <w:rPr>
                <w:sz w:val="18"/>
              </w:rPr>
              <w:t>-</w:t>
            </w:r>
          </w:p>
        </w:tc>
        <w:tc>
          <w:tcPr>
            <w:tcW w:w="706" w:type="dxa"/>
            <w:shd w:val="clear" w:color="auto" w:fill="auto"/>
            <w:noWrap/>
            <w:vAlign w:val="bottom"/>
            <w:hideMark/>
          </w:tcPr>
          <w:p w14:paraId="2FFD5E92" w14:textId="77777777" w:rsidR="0081022C" w:rsidRPr="000A0F51" w:rsidRDefault="0081022C" w:rsidP="000A0F51">
            <w:pPr>
              <w:suppressAutoHyphens w:val="0"/>
              <w:spacing w:before="40" w:after="40" w:line="220" w:lineRule="exact"/>
              <w:jc w:val="right"/>
              <w:rPr>
                <w:sz w:val="18"/>
              </w:rPr>
            </w:pPr>
            <w:r w:rsidRPr="000A0F51">
              <w:rPr>
                <w:sz w:val="18"/>
                <w:lang w:val="fr-FR"/>
              </w:rPr>
              <w:t>2 468 172</w:t>
            </w:r>
          </w:p>
        </w:tc>
        <w:tc>
          <w:tcPr>
            <w:tcW w:w="717" w:type="dxa"/>
            <w:shd w:val="clear" w:color="auto" w:fill="auto"/>
            <w:noWrap/>
            <w:vAlign w:val="bottom"/>
            <w:hideMark/>
          </w:tcPr>
          <w:p w14:paraId="2621CADA" w14:textId="77777777" w:rsidR="0081022C" w:rsidRPr="000A0F51" w:rsidRDefault="0081022C" w:rsidP="000A0F51">
            <w:pPr>
              <w:suppressAutoHyphens w:val="0"/>
              <w:spacing w:before="40" w:after="40" w:line="220" w:lineRule="exact"/>
              <w:jc w:val="right"/>
              <w:rPr>
                <w:sz w:val="18"/>
              </w:rPr>
            </w:pPr>
            <w:r w:rsidRPr="000A0F51">
              <w:rPr>
                <w:sz w:val="18"/>
                <w:lang w:val="fr-FR"/>
              </w:rPr>
              <w:t>2 216 463</w:t>
            </w:r>
          </w:p>
        </w:tc>
        <w:tc>
          <w:tcPr>
            <w:tcW w:w="344" w:type="dxa"/>
            <w:shd w:val="clear" w:color="auto" w:fill="auto"/>
            <w:noWrap/>
            <w:vAlign w:val="bottom"/>
            <w:hideMark/>
          </w:tcPr>
          <w:p w14:paraId="796FCF6E" w14:textId="77777777" w:rsidR="0081022C" w:rsidRPr="000A0F51" w:rsidRDefault="0081022C" w:rsidP="000A0F51">
            <w:pPr>
              <w:suppressAutoHyphens w:val="0"/>
              <w:spacing w:before="40" w:after="40" w:line="220" w:lineRule="exact"/>
              <w:jc w:val="right"/>
              <w:rPr>
                <w:sz w:val="18"/>
              </w:rPr>
            </w:pPr>
            <w:r w:rsidRPr="000A0F51">
              <w:rPr>
                <w:sz w:val="18"/>
                <w:lang w:val="fr-FR"/>
              </w:rPr>
              <w:t>89,8</w:t>
            </w:r>
          </w:p>
        </w:tc>
        <w:tc>
          <w:tcPr>
            <w:tcW w:w="780" w:type="dxa"/>
            <w:shd w:val="clear" w:color="auto" w:fill="auto"/>
            <w:noWrap/>
            <w:vAlign w:val="bottom"/>
            <w:hideMark/>
          </w:tcPr>
          <w:p w14:paraId="51759EAE" w14:textId="77777777" w:rsidR="0081022C" w:rsidRPr="000A0F51" w:rsidRDefault="0081022C" w:rsidP="000A0F51">
            <w:pPr>
              <w:suppressAutoHyphens w:val="0"/>
              <w:spacing w:before="40" w:after="40" w:line="220" w:lineRule="exact"/>
              <w:jc w:val="right"/>
              <w:rPr>
                <w:sz w:val="18"/>
              </w:rPr>
            </w:pPr>
            <w:r w:rsidRPr="000A0F51">
              <w:rPr>
                <w:sz w:val="18"/>
                <w:lang w:val="fr-FR"/>
              </w:rPr>
              <w:t>2 938 029</w:t>
            </w:r>
          </w:p>
        </w:tc>
        <w:tc>
          <w:tcPr>
            <w:tcW w:w="706" w:type="dxa"/>
            <w:shd w:val="clear" w:color="auto" w:fill="auto"/>
            <w:noWrap/>
            <w:vAlign w:val="bottom"/>
            <w:hideMark/>
          </w:tcPr>
          <w:p w14:paraId="28554C75" w14:textId="77777777" w:rsidR="0081022C" w:rsidRPr="000A0F51" w:rsidRDefault="0081022C" w:rsidP="000A0F51">
            <w:pPr>
              <w:suppressAutoHyphens w:val="0"/>
              <w:spacing w:before="40" w:after="40" w:line="220" w:lineRule="exact"/>
              <w:jc w:val="right"/>
              <w:rPr>
                <w:sz w:val="18"/>
              </w:rPr>
            </w:pPr>
            <w:r w:rsidRPr="000A0F51">
              <w:rPr>
                <w:sz w:val="18"/>
                <w:lang w:val="fr-FR"/>
              </w:rPr>
              <w:t>2 403 670</w:t>
            </w:r>
          </w:p>
        </w:tc>
        <w:tc>
          <w:tcPr>
            <w:tcW w:w="440" w:type="dxa"/>
            <w:shd w:val="clear" w:color="auto" w:fill="auto"/>
            <w:noWrap/>
            <w:vAlign w:val="bottom"/>
            <w:hideMark/>
          </w:tcPr>
          <w:p w14:paraId="6B62F6C6" w14:textId="77777777" w:rsidR="0081022C" w:rsidRPr="000A0F51" w:rsidRDefault="0081022C" w:rsidP="000A0F51">
            <w:pPr>
              <w:suppressAutoHyphens w:val="0"/>
              <w:spacing w:before="40" w:after="40" w:line="220" w:lineRule="exact"/>
              <w:jc w:val="right"/>
              <w:rPr>
                <w:sz w:val="18"/>
              </w:rPr>
            </w:pPr>
            <w:r w:rsidRPr="000A0F51">
              <w:rPr>
                <w:sz w:val="18"/>
                <w:lang w:val="fr-FR"/>
              </w:rPr>
              <w:t>81,8</w:t>
            </w:r>
          </w:p>
        </w:tc>
        <w:tc>
          <w:tcPr>
            <w:tcW w:w="727" w:type="dxa"/>
            <w:shd w:val="clear" w:color="auto" w:fill="auto"/>
            <w:noWrap/>
            <w:vAlign w:val="bottom"/>
            <w:hideMark/>
          </w:tcPr>
          <w:p w14:paraId="4EA1F4B4" w14:textId="77777777" w:rsidR="0081022C" w:rsidRPr="000A0F51" w:rsidRDefault="0081022C" w:rsidP="000A0F51">
            <w:pPr>
              <w:suppressAutoHyphens w:val="0"/>
              <w:spacing w:before="40" w:after="40" w:line="220" w:lineRule="exact"/>
              <w:jc w:val="right"/>
              <w:rPr>
                <w:sz w:val="18"/>
              </w:rPr>
            </w:pPr>
            <w:r w:rsidRPr="000A0F51">
              <w:rPr>
                <w:sz w:val="18"/>
                <w:lang w:val="fr-FR"/>
              </w:rPr>
              <w:t>2 310 066</w:t>
            </w:r>
          </w:p>
        </w:tc>
        <w:tc>
          <w:tcPr>
            <w:tcW w:w="361" w:type="dxa"/>
            <w:shd w:val="clear" w:color="auto" w:fill="auto"/>
            <w:noWrap/>
            <w:vAlign w:val="bottom"/>
            <w:hideMark/>
          </w:tcPr>
          <w:p w14:paraId="36357116" w14:textId="77777777" w:rsidR="0081022C" w:rsidRPr="000A0F51" w:rsidRDefault="0081022C" w:rsidP="000A0F51">
            <w:pPr>
              <w:suppressAutoHyphens w:val="0"/>
              <w:spacing w:before="40" w:after="40" w:line="220" w:lineRule="exact"/>
              <w:jc w:val="right"/>
              <w:rPr>
                <w:sz w:val="18"/>
              </w:rPr>
            </w:pPr>
            <w:r w:rsidRPr="000A0F51">
              <w:rPr>
                <w:sz w:val="18"/>
                <w:lang w:val="fr-FR"/>
              </w:rPr>
              <w:t>85,8</w:t>
            </w:r>
          </w:p>
        </w:tc>
      </w:tr>
      <w:bookmarkEnd w:id="2"/>
      <w:tr w:rsidR="000A0F51" w:rsidRPr="000A0F51" w14:paraId="6DDF8231" w14:textId="77777777" w:rsidTr="000A0F51">
        <w:tc>
          <w:tcPr>
            <w:tcW w:w="833" w:type="dxa"/>
            <w:shd w:val="clear" w:color="auto" w:fill="auto"/>
            <w:noWrap/>
            <w:hideMark/>
          </w:tcPr>
          <w:p w14:paraId="284CCE2A" w14:textId="77777777" w:rsidR="0081022C" w:rsidRPr="000A0F51" w:rsidRDefault="0081022C" w:rsidP="000A0F51">
            <w:pPr>
              <w:suppressAutoHyphens w:val="0"/>
              <w:spacing w:before="40" w:after="40" w:line="220" w:lineRule="exact"/>
              <w:rPr>
                <w:sz w:val="18"/>
              </w:rPr>
            </w:pPr>
            <w:r w:rsidRPr="000A0F51">
              <w:rPr>
                <w:sz w:val="18"/>
                <w:lang w:val="fr-FR"/>
              </w:rPr>
              <w:t>Viacha</w:t>
            </w:r>
          </w:p>
        </w:tc>
        <w:tc>
          <w:tcPr>
            <w:tcW w:w="727" w:type="dxa"/>
            <w:shd w:val="clear" w:color="auto" w:fill="auto"/>
            <w:noWrap/>
            <w:vAlign w:val="bottom"/>
            <w:hideMark/>
          </w:tcPr>
          <w:p w14:paraId="258DF721" w14:textId="77777777" w:rsidR="0081022C" w:rsidRPr="000A0F51" w:rsidRDefault="0081022C" w:rsidP="000A0F51">
            <w:pPr>
              <w:suppressAutoHyphens w:val="0"/>
              <w:spacing w:before="40" w:after="40" w:line="220" w:lineRule="exact"/>
              <w:jc w:val="right"/>
              <w:rPr>
                <w:sz w:val="18"/>
              </w:rPr>
            </w:pPr>
            <w:r w:rsidRPr="000A0F51">
              <w:rPr>
                <w:sz w:val="18"/>
                <w:lang w:val="fr-FR"/>
              </w:rPr>
              <w:t>93 461</w:t>
            </w:r>
          </w:p>
        </w:tc>
        <w:tc>
          <w:tcPr>
            <w:tcW w:w="685" w:type="dxa"/>
            <w:shd w:val="clear" w:color="auto" w:fill="auto"/>
            <w:noWrap/>
            <w:vAlign w:val="bottom"/>
            <w:hideMark/>
          </w:tcPr>
          <w:p w14:paraId="524E669B" w14:textId="77777777" w:rsidR="0081022C" w:rsidRPr="000A0F51" w:rsidRDefault="0081022C" w:rsidP="000A0F51">
            <w:pPr>
              <w:suppressAutoHyphens w:val="0"/>
              <w:spacing w:before="40" w:after="40" w:line="220" w:lineRule="exact"/>
              <w:jc w:val="right"/>
              <w:rPr>
                <w:sz w:val="18"/>
              </w:rPr>
            </w:pPr>
            <w:r w:rsidRPr="000A0F51">
              <w:rPr>
                <w:sz w:val="18"/>
                <w:lang w:val="fr-FR"/>
              </w:rPr>
              <w:t>74 501</w:t>
            </w:r>
          </w:p>
        </w:tc>
        <w:tc>
          <w:tcPr>
            <w:tcW w:w="344" w:type="dxa"/>
            <w:shd w:val="clear" w:color="auto" w:fill="auto"/>
            <w:noWrap/>
            <w:vAlign w:val="bottom"/>
            <w:hideMark/>
          </w:tcPr>
          <w:p w14:paraId="24C33C4D" w14:textId="77777777" w:rsidR="0081022C" w:rsidRPr="000A0F51" w:rsidRDefault="0081022C" w:rsidP="000A0F51">
            <w:pPr>
              <w:suppressAutoHyphens w:val="0"/>
              <w:spacing w:before="40" w:after="40" w:line="220" w:lineRule="exact"/>
              <w:jc w:val="right"/>
              <w:rPr>
                <w:sz w:val="18"/>
              </w:rPr>
            </w:pPr>
            <w:r w:rsidRPr="000A0F51">
              <w:rPr>
                <w:sz w:val="18"/>
                <w:lang w:val="fr-FR"/>
              </w:rPr>
              <w:t>79,7</w:t>
            </w:r>
          </w:p>
        </w:tc>
        <w:tc>
          <w:tcPr>
            <w:tcW w:w="706" w:type="dxa"/>
            <w:shd w:val="clear" w:color="auto" w:fill="auto"/>
            <w:noWrap/>
            <w:vAlign w:val="bottom"/>
            <w:hideMark/>
          </w:tcPr>
          <w:p w14:paraId="70ED1057" w14:textId="77777777" w:rsidR="0081022C" w:rsidRPr="000A0F51" w:rsidRDefault="0081022C" w:rsidP="000A0F51">
            <w:pPr>
              <w:suppressAutoHyphens w:val="0"/>
              <w:spacing w:before="40" w:after="40" w:line="220" w:lineRule="exact"/>
              <w:jc w:val="right"/>
              <w:rPr>
                <w:sz w:val="18"/>
              </w:rPr>
            </w:pPr>
            <w:r w:rsidRPr="000A0F51">
              <w:rPr>
                <w:sz w:val="18"/>
                <w:lang w:val="fr-FR"/>
              </w:rPr>
              <w:t>455 655</w:t>
            </w:r>
          </w:p>
        </w:tc>
        <w:tc>
          <w:tcPr>
            <w:tcW w:w="717" w:type="dxa"/>
            <w:shd w:val="clear" w:color="auto" w:fill="auto"/>
            <w:noWrap/>
            <w:vAlign w:val="bottom"/>
            <w:hideMark/>
          </w:tcPr>
          <w:p w14:paraId="5198C68D" w14:textId="77777777" w:rsidR="0081022C" w:rsidRPr="000A0F51" w:rsidRDefault="0081022C" w:rsidP="000A0F51">
            <w:pPr>
              <w:suppressAutoHyphens w:val="0"/>
              <w:spacing w:before="40" w:after="40" w:line="220" w:lineRule="exact"/>
              <w:jc w:val="right"/>
              <w:rPr>
                <w:sz w:val="18"/>
              </w:rPr>
            </w:pPr>
            <w:r w:rsidRPr="000A0F51">
              <w:rPr>
                <w:sz w:val="18"/>
                <w:lang w:val="fr-FR"/>
              </w:rPr>
              <w:t>436 021</w:t>
            </w:r>
          </w:p>
        </w:tc>
        <w:tc>
          <w:tcPr>
            <w:tcW w:w="344" w:type="dxa"/>
            <w:shd w:val="clear" w:color="auto" w:fill="auto"/>
            <w:noWrap/>
            <w:vAlign w:val="bottom"/>
            <w:hideMark/>
          </w:tcPr>
          <w:p w14:paraId="6D05ED41" w14:textId="77777777" w:rsidR="0081022C" w:rsidRPr="000A0F51" w:rsidRDefault="0081022C" w:rsidP="000A0F51">
            <w:pPr>
              <w:suppressAutoHyphens w:val="0"/>
              <w:spacing w:before="40" w:after="40" w:line="220" w:lineRule="exact"/>
              <w:jc w:val="right"/>
              <w:rPr>
                <w:sz w:val="18"/>
              </w:rPr>
            </w:pPr>
            <w:r w:rsidRPr="000A0F51">
              <w:rPr>
                <w:sz w:val="18"/>
                <w:lang w:val="fr-FR"/>
              </w:rPr>
              <w:t>95,7</w:t>
            </w:r>
          </w:p>
        </w:tc>
        <w:tc>
          <w:tcPr>
            <w:tcW w:w="780" w:type="dxa"/>
            <w:shd w:val="clear" w:color="auto" w:fill="auto"/>
            <w:noWrap/>
            <w:vAlign w:val="bottom"/>
            <w:hideMark/>
          </w:tcPr>
          <w:p w14:paraId="176BD53F" w14:textId="77777777" w:rsidR="0081022C" w:rsidRPr="000A0F51" w:rsidRDefault="0081022C" w:rsidP="000A0F51">
            <w:pPr>
              <w:suppressAutoHyphens w:val="0"/>
              <w:spacing w:before="40" w:after="40" w:line="220" w:lineRule="exact"/>
              <w:jc w:val="right"/>
              <w:rPr>
                <w:sz w:val="18"/>
              </w:rPr>
            </w:pPr>
            <w:r w:rsidRPr="000A0F51">
              <w:rPr>
                <w:sz w:val="18"/>
                <w:lang w:val="fr-FR"/>
              </w:rPr>
              <w:t>417 706</w:t>
            </w:r>
          </w:p>
        </w:tc>
        <w:tc>
          <w:tcPr>
            <w:tcW w:w="706" w:type="dxa"/>
            <w:shd w:val="clear" w:color="auto" w:fill="auto"/>
            <w:noWrap/>
            <w:vAlign w:val="bottom"/>
            <w:hideMark/>
          </w:tcPr>
          <w:p w14:paraId="1EE08477" w14:textId="77777777" w:rsidR="0081022C" w:rsidRPr="000A0F51" w:rsidRDefault="0081022C" w:rsidP="000A0F51">
            <w:pPr>
              <w:suppressAutoHyphens w:val="0"/>
              <w:spacing w:before="40" w:after="40" w:line="220" w:lineRule="exact"/>
              <w:jc w:val="right"/>
              <w:rPr>
                <w:sz w:val="18"/>
              </w:rPr>
            </w:pPr>
            <w:r w:rsidRPr="000A0F51">
              <w:rPr>
                <w:sz w:val="18"/>
                <w:lang w:val="fr-FR"/>
              </w:rPr>
              <w:t>305 811</w:t>
            </w:r>
          </w:p>
        </w:tc>
        <w:tc>
          <w:tcPr>
            <w:tcW w:w="440" w:type="dxa"/>
            <w:shd w:val="clear" w:color="auto" w:fill="auto"/>
            <w:noWrap/>
            <w:vAlign w:val="bottom"/>
            <w:hideMark/>
          </w:tcPr>
          <w:p w14:paraId="26469403" w14:textId="77777777" w:rsidR="0081022C" w:rsidRPr="000A0F51" w:rsidRDefault="0081022C" w:rsidP="000A0F51">
            <w:pPr>
              <w:suppressAutoHyphens w:val="0"/>
              <w:spacing w:before="40" w:after="40" w:line="220" w:lineRule="exact"/>
              <w:jc w:val="right"/>
              <w:rPr>
                <w:sz w:val="18"/>
              </w:rPr>
            </w:pPr>
            <w:r w:rsidRPr="000A0F51">
              <w:rPr>
                <w:sz w:val="18"/>
                <w:lang w:val="fr-FR"/>
              </w:rPr>
              <w:t>73,2</w:t>
            </w:r>
          </w:p>
        </w:tc>
        <w:tc>
          <w:tcPr>
            <w:tcW w:w="727" w:type="dxa"/>
            <w:shd w:val="clear" w:color="auto" w:fill="auto"/>
            <w:noWrap/>
            <w:vAlign w:val="bottom"/>
            <w:hideMark/>
          </w:tcPr>
          <w:p w14:paraId="7CA8F534" w14:textId="77777777" w:rsidR="0081022C" w:rsidRPr="000A0F51" w:rsidRDefault="0081022C" w:rsidP="000A0F51">
            <w:pPr>
              <w:suppressAutoHyphens w:val="0"/>
              <w:spacing w:before="40" w:after="40" w:line="220" w:lineRule="exact"/>
              <w:jc w:val="right"/>
              <w:rPr>
                <w:sz w:val="18"/>
              </w:rPr>
            </w:pPr>
            <w:r w:rsidRPr="000A0F51">
              <w:rPr>
                <w:sz w:val="18"/>
                <w:lang w:val="fr-FR"/>
              </w:rPr>
              <w:t>272 111</w:t>
            </w:r>
          </w:p>
        </w:tc>
        <w:tc>
          <w:tcPr>
            <w:tcW w:w="361" w:type="dxa"/>
            <w:shd w:val="clear" w:color="auto" w:fill="auto"/>
            <w:noWrap/>
            <w:vAlign w:val="bottom"/>
            <w:hideMark/>
          </w:tcPr>
          <w:p w14:paraId="78D3BBFB" w14:textId="77777777" w:rsidR="0081022C" w:rsidRPr="000A0F51" w:rsidRDefault="0081022C" w:rsidP="000A0F51">
            <w:pPr>
              <w:suppressAutoHyphens w:val="0"/>
              <w:spacing w:before="40" w:after="40" w:line="220" w:lineRule="exact"/>
              <w:jc w:val="right"/>
              <w:rPr>
                <w:sz w:val="18"/>
              </w:rPr>
            </w:pPr>
            <w:r w:rsidRPr="000A0F51">
              <w:rPr>
                <w:sz w:val="18"/>
                <w:lang w:val="fr-FR"/>
              </w:rPr>
              <w:t>82,9</w:t>
            </w:r>
          </w:p>
        </w:tc>
      </w:tr>
      <w:tr w:rsidR="000A0F51" w:rsidRPr="000A0F51" w14:paraId="37DAE1E1" w14:textId="77777777" w:rsidTr="00680C65">
        <w:tc>
          <w:tcPr>
            <w:tcW w:w="833" w:type="dxa"/>
            <w:tcBorders>
              <w:bottom w:val="single" w:sz="4" w:space="0" w:color="auto"/>
            </w:tcBorders>
            <w:shd w:val="clear" w:color="auto" w:fill="auto"/>
            <w:noWrap/>
            <w:hideMark/>
          </w:tcPr>
          <w:p w14:paraId="3292954D" w14:textId="77777777" w:rsidR="0081022C" w:rsidRPr="000A0F51" w:rsidRDefault="0081022C" w:rsidP="000A0F51">
            <w:pPr>
              <w:suppressAutoHyphens w:val="0"/>
              <w:spacing w:before="40" w:after="40" w:line="220" w:lineRule="exact"/>
              <w:rPr>
                <w:sz w:val="18"/>
              </w:rPr>
            </w:pPr>
            <w:r w:rsidRPr="000A0F51">
              <w:rPr>
                <w:sz w:val="18"/>
                <w:lang w:val="fr-FR"/>
              </w:rPr>
              <w:t>Cobija</w:t>
            </w:r>
          </w:p>
        </w:tc>
        <w:tc>
          <w:tcPr>
            <w:tcW w:w="727" w:type="dxa"/>
            <w:tcBorders>
              <w:bottom w:val="single" w:sz="4" w:space="0" w:color="auto"/>
            </w:tcBorders>
            <w:shd w:val="clear" w:color="auto" w:fill="auto"/>
            <w:noWrap/>
            <w:vAlign w:val="bottom"/>
            <w:hideMark/>
          </w:tcPr>
          <w:p w14:paraId="3C767C6C" w14:textId="77777777" w:rsidR="0081022C" w:rsidRPr="000A0F51" w:rsidRDefault="0081022C" w:rsidP="000A0F51">
            <w:pPr>
              <w:suppressAutoHyphens w:val="0"/>
              <w:spacing w:before="40" w:after="40" w:line="220" w:lineRule="exact"/>
              <w:jc w:val="right"/>
              <w:rPr>
                <w:sz w:val="18"/>
              </w:rPr>
            </w:pPr>
            <w:r w:rsidRPr="000A0F51">
              <w:rPr>
                <w:sz w:val="18"/>
                <w:lang w:val="fr-FR"/>
              </w:rPr>
              <w:t>841 528</w:t>
            </w:r>
          </w:p>
        </w:tc>
        <w:tc>
          <w:tcPr>
            <w:tcW w:w="685" w:type="dxa"/>
            <w:tcBorders>
              <w:bottom w:val="single" w:sz="4" w:space="0" w:color="auto"/>
            </w:tcBorders>
            <w:shd w:val="clear" w:color="auto" w:fill="auto"/>
            <w:noWrap/>
            <w:vAlign w:val="bottom"/>
            <w:hideMark/>
          </w:tcPr>
          <w:p w14:paraId="288FFFB8" w14:textId="77777777" w:rsidR="0081022C" w:rsidRPr="000A0F51" w:rsidRDefault="0081022C" w:rsidP="000A0F51">
            <w:pPr>
              <w:suppressAutoHyphens w:val="0"/>
              <w:spacing w:before="40" w:after="40" w:line="220" w:lineRule="exact"/>
              <w:jc w:val="right"/>
              <w:rPr>
                <w:sz w:val="18"/>
              </w:rPr>
            </w:pPr>
            <w:r w:rsidRPr="000A0F51">
              <w:rPr>
                <w:sz w:val="18"/>
                <w:lang w:val="fr-FR"/>
              </w:rPr>
              <w:t>829 439</w:t>
            </w:r>
          </w:p>
        </w:tc>
        <w:tc>
          <w:tcPr>
            <w:tcW w:w="344" w:type="dxa"/>
            <w:tcBorders>
              <w:bottom w:val="single" w:sz="4" w:space="0" w:color="auto"/>
            </w:tcBorders>
            <w:shd w:val="clear" w:color="auto" w:fill="auto"/>
            <w:noWrap/>
            <w:vAlign w:val="bottom"/>
            <w:hideMark/>
          </w:tcPr>
          <w:p w14:paraId="3752106F" w14:textId="77777777" w:rsidR="0081022C" w:rsidRPr="000A0F51" w:rsidRDefault="0081022C" w:rsidP="000A0F51">
            <w:pPr>
              <w:suppressAutoHyphens w:val="0"/>
              <w:spacing w:before="40" w:after="40" w:line="220" w:lineRule="exact"/>
              <w:jc w:val="right"/>
              <w:rPr>
                <w:sz w:val="18"/>
              </w:rPr>
            </w:pPr>
            <w:r w:rsidRPr="000A0F51">
              <w:rPr>
                <w:sz w:val="18"/>
                <w:lang w:val="fr-FR"/>
              </w:rPr>
              <w:t>98,6</w:t>
            </w:r>
          </w:p>
        </w:tc>
        <w:tc>
          <w:tcPr>
            <w:tcW w:w="706" w:type="dxa"/>
            <w:tcBorders>
              <w:bottom w:val="single" w:sz="4" w:space="0" w:color="auto"/>
            </w:tcBorders>
            <w:shd w:val="clear" w:color="auto" w:fill="auto"/>
            <w:noWrap/>
            <w:vAlign w:val="bottom"/>
            <w:hideMark/>
          </w:tcPr>
          <w:p w14:paraId="624D3CF3" w14:textId="77777777" w:rsidR="0081022C" w:rsidRPr="000A0F51" w:rsidRDefault="0081022C" w:rsidP="000A0F51">
            <w:pPr>
              <w:suppressAutoHyphens w:val="0"/>
              <w:spacing w:before="40" w:after="40" w:line="220" w:lineRule="exact"/>
              <w:jc w:val="right"/>
              <w:rPr>
                <w:sz w:val="18"/>
              </w:rPr>
            </w:pPr>
            <w:r w:rsidRPr="000A0F51">
              <w:rPr>
                <w:sz w:val="18"/>
                <w:lang w:val="fr-FR"/>
              </w:rPr>
              <w:t>2 060 825</w:t>
            </w:r>
          </w:p>
        </w:tc>
        <w:tc>
          <w:tcPr>
            <w:tcW w:w="717" w:type="dxa"/>
            <w:tcBorders>
              <w:bottom w:val="single" w:sz="4" w:space="0" w:color="auto"/>
            </w:tcBorders>
            <w:shd w:val="clear" w:color="auto" w:fill="auto"/>
            <w:noWrap/>
            <w:vAlign w:val="bottom"/>
            <w:hideMark/>
          </w:tcPr>
          <w:p w14:paraId="4828332F" w14:textId="77777777" w:rsidR="0081022C" w:rsidRPr="000A0F51" w:rsidRDefault="0081022C" w:rsidP="000A0F51">
            <w:pPr>
              <w:suppressAutoHyphens w:val="0"/>
              <w:spacing w:before="40" w:after="40" w:line="220" w:lineRule="exact"/>
              <w:jc w:val="right"/>
              <w:rPr>
                <w:sz w:val="18"/>
              </w:rPr>
            </w:pPr>
            <w:r w:rsidRPr="000A0F51">
              <w:rPr>
                <w:sz w:val="18"/>
                <w:lang w:val="fr-FR"/>
              </w:rPr>
              <w:t>1 608 390</w:t>
            </w:r>
          </w:p>
        </w:tc>
        <w:tc>
          <w:tcPr>
            <w:tcW w:w="344" w:type="dxa"/>
            <w:tcBorders>
              <w:bottom w:val="single" w:sz="4" w:space="0" w:color="auto"/>
            </w:tcBorders>
            <w:shd w:val="clear" w:color="auto" w:fill="auto"/>
            <w:noWrap/>
            <w:vAlign w:val="bottom"/>
            <w:hideMark/>
          </w:tcPr>
          <w:p w14:paraId="4940640C" w14:textId="77777777" w:rsidR="0081022C" w:rsidRPr="000A0F51" w:rsidRDefault="0081022C" w:rsidP="000A0F51">
            <w:pPr>
              <w:suppressAutoHyphens w:val="0"/>
              <w:spacing w:before="40" w:after="40" w:line="220" w:lineRule="exact"/>
              <w:jc w:val="right"/>
              <w:rPr>
                <w:sz w:val="18"/>
              </w:rPr>
            </w:pPr>
            <w:r w:rsidRPr="000A0F51">
              <w:rPr>
                <w:sz w:val="18"/>
                <w:lang w:val="fr-FR"/>
              </w:rPr>
              <w:t>78,0</w:t>
            </w:r>
          </w:p>
        </w:tc>
        <w:tc>
          <w:tcPr>
            <w:tcW w:w="780" w:type="dxa"/>
            <w:tcBorders>
              <w:bottom w:val="single" w:sz="4" w:space="0" w:color="auto"/>
            </w:tcBorders>
            <w:shd w:val="clear" w:color="auto" w:fill="auto"/>
            <w:noWrap/>
            <w:vAlign w:val="bottom"/>
            <w:hideMark/>
          </w:tcPr>
          <w:p w14:paraId="464AEF42" w14:textId="77777777" w:rsidR="0081022C" w:rsidRPr="000A0F51" w:rsidRDefault="0081022C" w:rsidP="000A0F51">
            <w:pPr>
              <w:suppressAutoHyphens w:val="0"/>
              <w:spacing w:before="40" w:after="40" w:line="220" w:lineRule="exact"/>
              <w:jc w:val="right"/>
              <w:rPr>
                <w:sz w:val="18"/>
              </w:rPr>
            </w:pPr>
            <w:r w:rsidRPr="000A0F51">
              <w:rPr>
                <w:sz w:val="18"/>
                <w:lang w:val="fr-FR"/>
              </w:rPr>
              <w:t>1 394 249</w:t>
            </w:r>
          </w:p>
        </w:tc>
        <w:tc>
          <w:tcPr>
            <w:tcW w:w="706" w:type="dxa"/>
            <w:tcBorders>
              <w:bottom w:val="single" w:sz="4" w:space="0" w:color="auto"/>
            </w:tcBorders>
            <w:shd w:val="clear" w:color="auto" w:fill="auto"/>
            <w:noWrap/>
            <w:vAlign w:val="bottom"/>
            <w:hideMark/>
          </w:tcPr>
          <w:p w14:paraId="43C99B15" w14:textId="77777777" w:rsidR="0081022C" w:rsidRPr="000A0F51" w:rsidRDefault="0081022C" w:rsidP="000A0F51">
            <w:pPr>
              <w:suppressAutoHyphens w:val="0"/>
              <w:spacing w:before="40" w:after="40" w:line="220" w:lineRule="exact"/>
              <w:jc w:val="right"/>
              <w:rPr>
                <w:sz w:val="18"/>
              </w:rPr>
            </w:pPr>
            <w:r w:rsidRPr="000A0F51">
              <w:rPr>
                <w:sz w:val="18"/>
                <w:lang w:val="fr-FR"/>
              </w:rPr>
              <w:t>551 294</w:t>
            </w:r>
          </w:p>
        </w:tc>
        <w:tc>
          <w:tcPr>
            <w:tcW w:w="440" w:type="dxa"/>
            <w:tcBorders>
              <w:bottom w:val="single" w:sz="4" w:space="0" w:color="auto"/>
            </w:tcBorders>
            <w:shd w:val="clear" w:color="auto" w:fill="auto"/>
            <w:noWrap/>
            <w:vAlign w:val="bottom"/>
            <w:hideMark/>
          </w:tcPr>
          <w:p w14:paraId="284F41E2" w14:textId="77777777" w:rsidR="0081022C" w:rsidRPr="000A0F51" w:rsidRDefault="0081022C" w:rsidP="000A0F51">
            <w:pPr>
              <w:suppressAutoHyphens w:val="0"/>
              <w:spacing w:before="40" w:after="40" w:line="220" w:lineRule="exact"/>
              <w:jc w:val="right"/>
              <w:rPr>
                <w:sz w:val="18"/>
              </w:rPr>
            </w:pPr>
            <w:r w:rsidRPr="000A0F51">
              <w:rPr>
                <w:sz w:val="18"/>
                <w:lang w:val="fr-FR"/>
              </w:rPr>
              <w:t>39,5</w:t>
            </w:r>
          </w:p>
        </w:tc>
        <w:tc>
          <w:tcPr>
            <w:tcW w:w="727" w:type="dxa"/>
            <w:tcBorders>
              <w:bottom w:val="single" w:sz="4" w:space="0" w:color="auto"/>
            </w:tcBorders>
            <w:shd w:val="clear" w:color="auto" w:fill="auto"/>
            <w:noWrap/>
            <w:vAlign w:val="bottom"/>
            <w:hideMark/>
          </w:tcPr>
          <w:p w14:paraId="039F38FF" w14:textId="77777777" w:rsidR="0081022C" w:rsidRPr="000A0F51" w:rsidRDefault="0081022C" w:rsidP="000A0F51">
            <w:pPr>
              <w:suppressAutoHyphens w:val="0"/>
              <w:spacing w:before="40" w:after="40" w:line="220" w:lineRule="exact"/>
              <w:jc w:val="right"/>
              <w:rPr>
                <w:sz w:val="18"/>
              </w:rPr>
            </w:pPr>
            <w:r w:rsidRPr="000A0F51">
              <w:rPr>
                <w:sz w:val="18"/>
                <w:lang w:val="fr-FR"/>
              </w:rPr>
              <w:t>996 374</w:t>
            </w:r>
          </w:p>
        </w:tc>
        <w:tc>
          <w:tcPr>
            <w:tcW w:w="361" w:type="dxa"/>
            <w:tcBorders>
              <w:bottom w:val="single" w:sz="4" w:space="0" w:color="auto"/>
            </w:tcBorders>
            <w:shd w:val="clear" w:color="auto" w:fill="auto"/>
            <w:noWrap/>
            <w:vAlign w:val="bottom"/>
            <w:hideMark/>
          </w:tcPr>
          <w:p w14:paraId="0E5A4377" w14:textId="77777777" w:rsidR="0081022C" w:rsidRPr="000A0F51" w:rsidRDefault="0081022C" w:rsidP="000A0F51">
            <w:pPr>
              <w:suppressAutoHyphens w:val="0"/>
              <w:spacing w:before="40" w:after="40" w:line="220" w:lineRule="exact"/>
              <w:jc w:val="right"/>
              <w:rPr>
                <w:sz w:val="18"/>
              </w:rPr>
            </w:pPr>
            <w:r w:rsidRPr="000A0F51">
              <w:rPr>
                <w:sz w:val="18"/>
                <w:lang w:val="fr-FR"/>
              </w:rPr>
              <w:t>72,0</w:t>
            </w:r>
          </w:p>
        </w:tc>
      </w:tr>
      <w:tr w:rsidR="000A0F51" w:rsidRPr="00680C65" w14:paraId="52E3052A" w14:textId="77777777" w:rsidTr="00680C65">
        <w:tc>
          <w:tcPr>
            <w:tcW w:w="833" w:type="dxa"/>
            <w:tcBorders>
              <w:top w:val="single" w:sz="4" w:space="0" w:color="auto"/>
              <w:bottom w:val="single" w:sz="12" w:space="0" w:color="auto"/>
            </w:tcBorders>
            <w:shd w:val="clear" w:color="auto" w:fill="auto"/>
            <w:noWrap/>
          </w:tcPr>
          <w:p w14:paraId="631850AC" w14:textId="4DFC1680" w:rsidR="0081022C" w:rsidRPr="00680C65" w:rsidRDefault="0081022C" w:rsidP="00680C65">
            <w:pPr>
              <w:suppressAutoHyphens w:val="0"/>
              <w:spacing w:before="80" w:after="80" w:line="220" w:lineRule="exact"/>
              <w:ind w:left="283"/>
              <w:rPr>
                <w:b/>
                <w:sz w:val="18"/>
              </w:rPr>
            </w:pPr>
            <w:r w:rsidRPr="00680C65">
              <w:rPr>
                <w:b/>
                <w:sz w:val="18"/>
                <w:lang w:val="fr-FR"/>
              </w:rPr>
              <w:t>Total cat.</w:t>
            </w:r>
            <w:r w:rsidR="00680C65">
              <w:rPr>
                <w:b/>
                <w:sz w:val="18"/>
                <w:lang w:val="fr-FR"/>
              </w:rPr>
              <w:t> </w:t>
            </w:r>
            <w:r w:rsidRPr="00680C65">
              <w:rPr>
                <w:b/>
                <w:sz w:val="18"/>
                <w:lang w:val="fr-FR"/>
              </w:rPr>
              <w:t>D</w:t>
            </w:r>
          </w:p>
        </w:tc>
        <w:tc>
          <w:tcPr>
            <w:tcW w:w="727" w:type="dxa"/>
            <w:tcBorders>
              <w:top w:val="single" w:sz="4" w:space="0" w:color="auto"/>
              <w:bottom w:val="single" w:sz="12" w:space="0" w:color="auto"/>
            </w:tcBorders>
            <w:shd w:val="clear" w:color="auto" w:fill="auto"/>
            <w:noWrap/>
            <w:vAlign w:val="bottom"/>
          </w:tcPr>
          <w:p w14:paraId="36DBD1D1" w14:textId="77777777" w:rsidR="0081022C" w:rsidRPr="00680C65" w:rsidRDefault="0081022C" w:rsidP="00680C65">
            <w:pPr>
              <w:suppressAutoHyphens w:val="0"/>
              <w:spacing w:before="80" w:after="80" w:line="220" w:lineRule="exact"/>
              <w:jc w:val="right"/>
              <w:rPr>
                <w:b/>
                <w:sz w:val="18"/>
              </w:rPr>
            </w:pPr>
            <w:r w:rsidRPr="00680C65">
              <w:rPr>
                <w:b/>
                <w:sz w:val="18"/>
                <w:lang w:val="fr-FR"/>
              </w:rPr>
              <w:t>35 972 062</w:t>
            </w:r>
          </w:p>
        </w:tc>
        <w:tc>
          <w:tcPr>
            <w:tcW w:w="685" w:type="dxa"/>
            <w:tcBorders>
              <w:top w:val="single" w:sz="4" w:space="0" w:color="auto"/>
              <w:bottom w:val="single" w:sz="12" w:space="0" w:color="auto"/>
            </w:tcBorders>
            <w:shd w:val="clear" w:color="auto" w:fill="auto"/>
            <w:noWrap/>
            <w:vAlign w:val="bottom"/>
          </w:tcPr>
          <w:p w14:paraId="2A0D1804" w14:textId="77777777" w:rsidR="0081022C" w:rsidRPr="00680C65" w:rsidRDefault="0081022C" w:rsidP="00680C65">
            <w:pPr>
              <w:suppressAutoHyphens w:val="0"/>
              <w:spacing w:before="80" w:after="80" w:line="220" w:lineRule="exact"/>
              <w:jc w:val="right"/>
              <w:rPr>
                <w:b/>
                <w:sz w:val="18"/>
              </w:rPr>
            </w:pPr>
            <w:r w:rsidRPr="00680C65">
              <w:rPr>
                <w:b/>
                <w:sz w:val="18"/>
                <w:lang w:val="fr-FR"/>
              </w:rPr>
              <w:t>26 352 056</w:t>
            </w:r>
          </w:p>
        </w:tc>
        <w:tc>
          <w:tcPr>
            <w:tcW w:w="344" w:type="dxa"/>
            <w:tcBorders>
              <w:top w:val="single" w:sz="4" w:space="0" w:color="auto"/>
              <w:bottom w:val="single" w:sz="12" w:space="0" w:color="auto"/>
            </w:tcBorders>
            <w:shd w:val="clear" w:color="auto" w:fill="auto"/>
            <w:noWrap/>
            <w:vAlign w:val="bottom"/>
          </w:tcPr>
          <w:p w14:paraId="535F2A2B" w14:textId="77777777" w:rsidR="0081022C" w:rsidRPr="00680C65" w:rsidRDefault="0081022C" w:rsidP="00680C65">
            <w:pPr>
              <w:suppressAutoHyphens w:val="0"/>
              <w:spacing w:before="80" w:after="80" w:line="220" w:lineRule="exact"/>
              <w:jc w:val="right"/>
              <w:rPr>
                <w:b/>
                <w:sz w:val="18"/>
              </w:rPr>
            </w:pPr>
            <w:r w:rsidRPr="00680C65">
              <w:rPr>
                <w:b/>
                <w:sz w:val="18"/>
                <w:lang w:val="fr-FR"/>
              </w:rPr>
              <w:t>73,3</w:t>
            </w:r>
          </w:p>
        </w:tc>
        <w:tc>
          <w:tcPr>
            <w:tcW w:w="706" w:type="dxa"/>
            <w:tcBorders>
              <w:top w:val="single" w:sz="4" w:space="0" w:color="auto"/>
              <w:bottom w:val="single" w:sz="12" w:space="0" w:color="auto"/>
            </w:tcBorders>
            <w:shd w:val="clear" w:color="auto" w:fill="auto"/>
            <w:noWrap/>
            <w:vAlign w:val="bottom"/>
          </w:tcPr>
          <w:p w14:paraId="04E18FDD" w14:textId="77777777" w:rsidR="0081022C" w:rsidRPr="00680C65" w:rsidRDefault="0081022C" w:rsidP="00680C65">
            <w:pPr>
              <w:suppressAutoHyphens w:val="0"/>
              <w:spacing w:before="80" w:after="80" w:line="220" w:lineRule="exact"/>
              <w:jc w:val="right"/>
              <w:rPr>
                <w:b/>
                <w:sz w:val="18"/>
              </w:rPr>
            </w:pPr>
            <w:r w:rsidRPr="00680C65">
              <w:rPr>
                <w:b/>
                <w:sz w:val="18"/>
                <w:lang w:val="fr-FR"/>
              </w:rPr>
              <w:t>89 183 291</w:t>
            </w:r>
          </w:p>
        </w:tc>
        <w:tc>
          <w:tcPr>
            <w:tcW w:w="717" w:type="dxa"/>
            <w:tcBorders>
              <w:top w:val="single" w:sz="4" w:space="0" w:color="auto"/>
              <w:bottom w:val="single" w:sz="12" w:space="0" w:color="auto"/>
            </w:tcBorders>
            <w:shd w:val="clear" w:color="auto" w:fill="auto"/>
            <w:noWrap/>
            <w:vAlign w:val="bottom"/>
          </w:tcPr>
          <w:p w14:paraId="5C58B566" w14:textId="77777777" w:rsidR="0081022C" w:rsidRPr="00680C65" w:rsidRDefault="0081022C" w:rsidP="00680C65">
            <w:pPr>
              <w:suppressAutoHyphens w:val="0"/>
              <w:spacing w:before="80" w:after="80" w:line="220" w:lineRule="exact"/>
              <w:jc w:val="right"/>
              <w:rPr>
                <w:b/>
                <w:sz w:val="18"/>
              </w:rPr>
            </w:pPr>
            <w:r w:rsidRPr="00680C65">
              <w:rPr>
                <w:b/>
                <w:sz w:val="18"/>
                <w:lang w:val="fr-FR"/>
              </w:rPr>
              <w:t>68 953 647</w:t>
            </w:r>
          </w:p>
        </w:tc>
        <w:tc>
          <w:tcPr>
            <w:tcW w:w="344" w:type="dxa"/>
            <w:tcBorders>
              <w:top w:val="single" w:sz="4" w:space="0" w:color="auto"/>
              <w:bottom w:val="single" w:sz="12" w:space="0" w:color="auto"/>
            </w:tcBorders>
            <w:shd w:val="clear" w:color="auto" w:fill="auto"/>
            <w:noWrap/>
            <w:vAlign w:val="bottom"/>
          </w:tcPr>
          <w:p w14:paraId="5233F906" w14:textId="77777777" w:rsidR="0081022C" w:rsidRPr="00680C65" w:rsidRDefault="0081022C" w:rsidP="00680C65">
            <w:pPr>
              <w:suppressAutoHyphens w:val="0"/>
              <w:spacing w:before="80" w:after="80" w:line="220" w:lineRule="exact"/>
              <w:jc w:val="right"/>
              <w:rPr>
                <w:b/>
                <w:sz w:val="18"/>
              </w:rPr>
            </w:pPr>
            <w:r w:rsidRPr="00680C65">
              <w:rPr>
                <w:b/>
                <w:sz w:val="18"/>
                <w:lang w:val="fr-FR"/>
              </w:rPr>
              <w:t>77,3</w:t>
            </w:r>
          </w:p>
        </w:tc>
        <w:tc>
          <w:tcPr>
            <w:tcW w:w="780" w:type="dxa"/>
            <w:tcBorders>
              <w:top w:val="single" w:sz="4" w:space="0" w:color="auto"/>
              <w:bottom w:val="single" w:sz="12" w:space="0" w:color="auto"/>
            </w:tcBorders>
            <w:shd w:val="clear" w:color="auto" w:fill="auto"/>
            <w:noWrap/>
            <w:vAlign w:val="bottom"/>
          </w:tcPr>
          <w:p w14:paraId="2EE53565" w14:textId="77777777" w:rsidR="0081022C" w:rsidRPr="00680C65" w:rsidRDefault="0081022C" w:rsidP="00680C65">
            <w:pPr>
              <w:suppressAutoHyphens w:val="0"/>
              <w:spacing w:before="80" w:after="80" w:line="220" w:lineRule="exact"/>
              <w:jc w:val="right"/>
              <w:rPr>
                <w:b/>
                <w:sz w:val="18"/>
              </w:rPr>
            </w:pPr>
            <w:r w:rsidRPr="00680C65">
              <w:rPr>
                <w:b/>
                <w:sz w:val="18"/>
                <w:lang w:val="fr-FR"/>
              </w:rPr>
              <w:t>96 760 787</w:t>
            </w:r>
          </w:p>
        </w:tc>
        <w:tc>
          <w:tcPr>
            <w:tcW w:w="706" w:type="dxa"/>
            <w:tcBorders>
              <w:top w:val="single" w:sz="4" w:space="0" w:color="auto"/>
              <w:bottom w:val="single" w:sz="12" w:space="0" w:color="auto"/>
            </w:tcBorders>
            <w:shd w:val="clear" w:color="auto" w:fill="auto"/>
            <w:noWrap/>
            <w:vAlign w:val="bottom"/>
          </w:tcPr>
          <w:p w14:paraId="2A3E31D8" w14:textId="77777777" w:rsidR="0081022C" w:rsidRPr="00680C65" w:rsidRDefault="0081022C" w:rsidP="00680C65">
            <w:pPr>
              <w:suppressAutoHyphens w:val="0"/>
              <w:spacing w:before="80" w:after="80" w:line="220" w:lineRule="exact"/>
              <w:jc w:val="right"/>
              <w:rPr>
                <w:b/>
                <w:sz w:val="18"/>
              </w:rPr>
            </w:pPr>
            <w:r w:rsidRPr="00680C65">
              <w:rPr>
                <w:b/>
                <w:sz w:val="18"/>
                <w:lang w:val="fr-FR"/>
              </w:rPr>
              <w:t>59 103 332</w:t>
            </w:r>
          </w:p>
        </w:tc>
        <w:tc>
          <w:tcPr>
            <w:tcW w:w="440" w:type="dxa"/>
            <w:tcBorders>
              <w:top w:val="single" w:sz="4" w:space="0" w:color="auto"/>
              <w:bottom w:val="single" w:sz="12" w:space="0" w:color="auto"/>
            </w:tcBorders>
            <w:shd w:val="clear" w:color="auto" w:fill="auto"/>
            <w:noWrap/>
            <w:vAlign w:val="bottom"/>
          </w:tcPr>
          <w:p w14:paraId="2F0AF041" w14:textId="77777777" w:rsidR="0081022C" w:rsidRPr="00680C65" w:rsidRDefault="0081022C" w:rsidP="00680C65">
            <w:pPr>
              <w:suppressAutoHyphens w:val="0"/>
              <w:spacing w:before="80" w:after="80" w:line="220" w:lineRule="exact"/>
              <w:jc w:val="right"/>
              <w:rPr>
                <w:b/>
                <w:sz w:val="18"/>
              </w:rPr>
            </w:pPr>
            <w:r w:rsidRPr="00680C65">
              <w:rPr>
                <w:b/>
                <w:sz w:val="18"/>
                <w:lang w:val="fr-FR"/>
              </w:rPr>
              <w:t>61,1</w:t>
            </w:r>
          </w:p>
        </w:tc>
        <w:tc>
          <w:tcPr>
            <w:tcW w:w="727" w:type="dxa"/>
            <w:tcBorders>
              <w:top w:val="single" w:sz="4" w:space="0" w:color="auto"/>
              <w:bottom w:val="single" w:sz="12" w:space="0" w:color="auto"/>
            </w:tcBorders>
            <w:shd w:val="clear" w:color="auto" w:fill="auto"/>
            <w:noWrap/>
            <w:vAlign w:val="bottom"/>
          </w:tcPr>
          <w:p w14:paraId="51AFBDB6" w14:textId="77777777" w:rsidR="0081022C" w:rsidRPr="00680C65" w:rsidRDefault="0081022C" w:rsidP="00680C65">
            <w:pPr>
              <w:suppressAutoHyphens w:val="0"/>
              <w:spacing w:before="80" w:after="80" w:line="220" w:lineRule="exact"/>
              <w:jc w:val="right"/>
              <w:rPr>
                <w:b/>
                <w:sz w:val="18"/>
              </w:rPr>
            </w:pPr>
            <w:r w:rsidRPr="00680C65">
              <w:rPr>
                <w:b/>
                <w:sz w:val="18"/>
                <w:lang w:val="fr-FR"/>
              </w:rPr>
              <w:t>54 252 095</w:t>
            </w:r>
          </w:p>
        </w:tc>
        <w:tc>
          <w:tcPr>
            <w:tcW w:w="361" w:type="dxa"/>
            <w:tcBorders>
              <w:top w:val="single" w:sz="4" w:space="0" w:color="auto"/>
              <w:bottom w:val="single" w:sz="12" w:space="0" w:color="auto"/>
            </w:tcBorders>
            <w:shd w:val="clear" w:color="auto" w:fill="auto"/>
            <w:noWrap/>
            <w:vAlign w:val="bottom"/>
          </w:tcPr>
          <w:p w14:paraId="5E0DCFA0" w14:textId="77777777" w:rsidR="0081022C" w:rsidRPr="00680C65" w:rsidRDefault="0081022C" w:rsidP="00680C65">
            <w:pPr>
              <w:suppressAutoHyphens w:val="0"/>
              <w:spacing w:before="80" w:after="80" w:line="220" w:lineRule="exact"/>
              <w:jc w:val="right"/>
              <w:rPr>
                <w:b/>
                <w:sz w:val="18"/>
              </w:rPr>
            </w:pPr>
            <w:r w:rsidRPr="00680C65">
              <w:rPr>
                <w:b/>
                <w:sz w:val="18"/>
                <w:lang w:val="fr-FR"/>
              </w:rPr>
              <w:t>70,6</w:t>
            </w:r>
          </w:p>
        </w:tc>
      </w:tr>
    </w:tbl>
    <w:p w14:paraId="6A4A0681" w14:textId="77777777" w:rsidR="0081022C" w:rsidRPr="00680C65" w:rsidRDefault="0081022C" w:rsidP="0076146C">
      <w:pPr>
        <w:pStyle w:val="SingleTxtG"/>
        <w:spacing w:before="120" w:after="240"/>
        <w:ind w:left="0" w:right="0" w:firstLine="170"/>
        <w:rPr>
          <w:sz w:val="18"/>
          <w:szCs w:val="18"/>
        </w:rPr>
      </w:pPr>
      <w:r w:rsidRPr="00680C65">
        <w:rPr>
          <w:i/>
          <w:iCs/>
          <w:sz w:val="18"/>
          <w:szCs w:val="18"/>
          <w:lang w:val="fr-FR"/>
        </w:rPr>
        <w:t>Source</w:t>
      </w:r>
      <w:r w:rsidRPr="00680C65">
        <w:rPr>
          <w:sz w:val="18"/>
          <w:szCs w:val="18"/>
          <w:lang w:val="fr-FR"/>
        </w:rPr>
        <w:t xml:space="preserve"> : </w:t>
      </w:r>
      <w:r w:rsidRPr="0076146C">
        <w:rPr>
          <w:caps/>
          <w:sz w:val="18"/>
          <w:szCs w:val="18"/>
          <w:lang w:val="fr-FR"/>
        </w:rPr>
        <w:t>é</w:t>
      </w:r>
      <w:r w:rsidRPr="00680C65">
        <w:rPr>
          <w:sz w:val="18"/>
          <w:szCs w:val="18"/>
          <w:lang w:val="fr-FR"/>
        </w:rPr>
        <w:t>tabli à partir des informations du Ministère de l’économie et des finances publiques.</w:t>
      </w:r>
    </w:p>
    <w:p w14:paraId="547AD18F" w14:textId="0FA69B1F" w:rsidR="0081022C" w:rsidRDefault="00680C65" w:rsidP="00680C65">
      <w:pPr>
        <w:pStyle w:val="H23G"/>
        <w:rPr>
          <w:rFonts w:eastAsia="Calibri"/>
        </w:rPr>
      </w:pPr>
      <w:bookmarkStart w:id="3" w:name="_Toc68097279"/>
      <w:r w:rsidRPr="00680C65">
        <w:rPr>
          <w:b w:val="0"/>
          <w:bCs/>
          <w:lang w:val="fr-FR"/>
        </w:rPr>
        <w:lastRenderedPageBreak/>
        <w:tab/>
      </w:r>
      <w:r w:rsidRPr="00680C65">
        <w:rPr>
          <w:b w:val="0"/>
          <w:bCs/>
          <w:lang w:val="fr-FR"/>
        </w:rPr>
        <w:tab/>
      </w:r>
      <w:r w:rsidR="0081022C" w:rsidRPr="00680C65">
        <w:rPr>
          <w:b w:val="0"/>
          <w:bCs/>
          <w:lang w:val="fr-FR"/>
        </w:rPr>
        <w:t>Figure 2</w:t>
      </w:r>
      <w:r w:rsidR="0081022C" w:rsidRPr="002014CD">
        <w:rPr>
          <w:rFonts w:eastAsia="Calibri"/>
          <w:i/>
          <w:iCs/>
          <w:noProof/>
          <w:color w:val="1F497D"/>
          <w:lang w:val="fr-FR" w:eastAsia="en-GB"/>
        </w:rPr>
        <w:drawing>
          <wp:anchor distT="0" distB="0" distL="114300" distR="114300" simplePos="0" relativeHeight="251660288" behindDoc="1" locked="0" layoutInCell="1" allowOverlap="1" wp14:anchorId="490AFCBB" wp14:editId="4332EEDF">
            <wp:simplePos x="0" y="0"/>
            <wp:positionH relativeFrom="margin">
              <wp:posOffset>719455</wp:posOffset>
            </wp:positionH>
            <wp:positionV relativeFrom="paragraph">
              <wp:posOffset>461645</wp:posOffset>
            </wp:positionV>
            <wp:extent cx="4500000" cy="2287708"/>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00000" cy="2287708"/>
                    </a:xfrm>
                    <a:prstGeom prst="rect">
                      <a:avLst/>
                    </a:prstGeom>
                  </pic:spPr>
                </pic:pic>
              </a:graphicData>
            </a:graphic>
            <wp14:sizeRelH relativeFrom="margin">
              <wp14:pctWidth>0</wp14:pctWidth>
            </wp14:sizeRelH>
            <wp14:sizeRelV relativeFrom="margin">
              <wp14:pctHeight>0</wp14:pctHeight>
            </wp14:sizeRelV>
          </wp:anchor>
        </w:drawing>
      </w:r>
      <w:r>
        <w:rPr>
          <w:lang w:val="fr-FR"/>
        </w:rPr>
        <w:t xml:space="preserve"> </w:t>
      </w:r>
      <w:r>
        <w:rPr>
          <w:lang w:val="fr-FR"/>
        </w:rPr>
        <w:br/>
      </w:r>
      <w:r w:rsidR="0081022C">
        <w:rPr>
          <w:lang w:val="fr-FR"/>
        </w:rPr>
        <w:t>Montants et pourcentages moyens d’exécution budgétaire des gouvernements municipaux autonomes (2018-2020)</w:t>
      </w:r>
    </w:p>
    <w:bookmarkEnd w:id="3"/>
    <w:p w14:paraId="06C62E80" w14:textId="77777777" w:rsidR="0081022C" w:rsidRPr="00680C65" w:rsidRDefault="0081022C" w:rsidP="00680C65">
      <w:pPr>
        <w:pStyle w:val="SingleTxtG"/>
        <w:spacing w:before="120" w:after="240"/>
        <w:ind w:firstLine="170"/>
        <w:rPr>
          <w:sz w:val="18"/>
          <w:szCs w:val="18"/>
        </w:rPr>
      </w:pPr>
      <w:r w:rsidRPr="00680C65">
        <w:rPr>
          <w:i/>
          <w:iCs/>
          <w:sz w:val="18"/>
          <w:szCs w:val="18"/>
          <w:lang w:val="fr-FR"/>
        </w:rPr>
        <w:t>Source</w:t>
      </w:r>
      <w:r w:rsidRPr="00680C65">
        <w:rPr>
          <w:sz w:val="18"/>
          <w:szCs w:val="18"/>
          <w:lang w:val="fr-FR"/>
        </w:rPr>
        <w:t xml:space="preserve"> : </w:t>
      </w:r>
      <w:r w:rsidRPr="0076146C">
        <w:rPr>
          <w:caps/>
          <w:sz w:val="18"/>
          <w:szCs w:val="18"/>
          <w:lang w:val="fr-FR"/>
        </w:rPr>
        <w:t>é</w:t>
      </w:r>
      <w:r w:rsidRPr="00680C65">
        <w:rPr>
          <w:sz w:val="18"/>
          <w:szCs w:val="18"/>
          <w:lang w:val="fr-FR"/>
        </w:rPr>
        <w:t>tabli à partir des informations du Ministère de l’économie et des finances publiques.</w:t>
      </w:r>
    </w:p>
    <w:p w14:paraId="7BF285EA" w14:textId="3545A2CB" w:rsidR="0081022C" w:rsidRPr="000F3F4F" w:rsidRDefault="0081022C" w:rsidP="0081022C">
      <w:pPr>
        <w:pStyle w:val="SingleTxtG"/>
        <w:rPr>
          <w:lang w:val="fr-FR"/>
        </w:rPr>
      </w:pPr>
      <w:r>
        <w:rPr>
          <w:lang w:val="fr-FR"/>
        </w:rPr>
        <w:t>43.</w:t>
      </w:r>
      <w:r>
        <w:rPr>
          <w:lang w:val="fr-FR"/>
        </w:rPr>
        <w:tab/>
        <w:t>b)</w:t>
      </w:r>
      <w:r w:rsidR="00680C65">
        <w:rPr>
          <w:lang w:val="fr-FR"/>
        </w:rPr>
        <w:t> </w:t>
      </w:r>
      <w:r>
        <w:rPr>
          <w:lang w:val="fr-FR"/>
        </w:rPr>
        <w:t>Les indicateurs en matière de droits de l’homme sont des outils destinés à mesurer et à rendre compte du degré de réalisation d’un droit de l’homme, civil, culturel, économique, politique et/ou social, au moyen de variables quantitatives ou qualitatives susceptibles d’être contrôlées ou observées. En 2012, le droit des femmes à une vie à l’abri de la violence a été inclus dans le premier groupe de droits, défini comme prioritaire par l’État bolivien. Un</w:t>
      </w:r>
      <w:r w:rsidR="00BF5C93">
        <w:rPr>
          <w:lang w:val="fr-FR"/>
        </w:rPr>
        <w:t> </w:t>
      </w:r>
      <w:r>
        <w:rPr>
          <w:lang w:val="fr-FR"/>
        </w:rPr>
        <w:t>Comité technique thématique sur le droit des femmes à une vie à l’abri de la violence a été créé et a mis au point les indicateurs mentionnés, selon la méthodologie proposée par le Haut-Commissariat des Nations</w:t>
      </w:r>
      <w:r w:rsidR="00680C65">
        <w:rPr>
          <w:lang w:val="fr-FR"/>
        </w:rPr>
        <w:t> </w:t>
      </w:r>
      <w:r>
        <w:rPr>
          <w:lang w:val="fr-FR"/>
        </w:rPr>
        <w:t>Unies aux droits de l’homme (HCDH).</w:t>
      </w:r>
    </w:p>
    <w:p w14:paraId="220862A9" w14:textId="45B8DD6F" w:rsidR="0081022C" w:rsidRPr="007431C8" w:rsidRDefault="0081022C" w:rsidP="0081022C">
      <w:pPr>
        <w:pStyle w:val="SingleTxtG"/>
        <w:rPr>
          <w:rFonts w:eastAsia="Calibri"/>
        </w:rPr>
      </w:pPr>
      <w:r w:rsidRPr="00C95B47">
        <w:rPr>
          <w:lang w:val="fr-FR"/>
        </w:rPr>
        <w:t>44.</w:t>
      </w:r>
      <w:r w:rsidRPr="00C95B47">
        <w:rPr>
          <w:lang w:val="fr-FR"/>
        </w:rPr>
        <w:tab/>
        <w:t xml:space="preserve">Le Comité technique thématique sur le droit des femmes à une vie à l’abri de la violence est composé de professionnels et de techniciens issus de plus de </w:t>
      </w:r>
      <w:r w:rsidR="00C95B47" w:rsidRPr="00C95B47">
        <w:rPr>
          <w:lang w:val="fr-FR"/>
        </w:rPr>
        <w:t>10 </w:t>
      </w:r>
      <w:r w:rsidRPr="00C95B47">
        <w:rPr>
          <w:lang w:val="fr-FR"/>
        </w:rPr>
        <w:t>institutions, qui ont activement participé aux réunions et aux ateliers de mise au point des indicateurs et de définition de leur degré de réalisation (informations tirées de la page des indicateurs des droits de l’homme de la Bolivie).</w:t>
      </w:r>
    </w:p>
    <w:p w14:paraId="36BDC297" w14:textId="3F385E17" w:rsidR="0081022C" w:rsidRPr="00EB4C04" w:rsidRDefault="0081022C" w:rsidP="0081022C">
      <w:pPr>
        <w:pStyle w:val="SingleTxtG"/>
        <w:rPr>
          <w:lang w:val="fr-FR"/>
        </w:rPr>
      </w:pPr>
      <w:r>
        <w:rPr>
          <w:lang w:val="fr-FR"/>
        </w:rPr>
        <w:t>45.</w:t>
      </w:r>
      <w:r>
        <w:rPr>
          <w:lang w:val="fr-FR"/>
        </w:rPr>
        <w:tab/>
        <w:t>c)</w:t>
      </w:r>
      <w:r w:rsidR="00680C65">
        <w:rPr>
          <w:lang w:val="fr-FR"/>
        </w:rPr>
        <w:t> </w:t>
      </w:r>
      <w:r>
        <w:rPr>
          <w:lang w:val="fr-FR"/>
        </w:rPr>
        <w:t>Depuis sa mise en place en 2014, le Système global plurinational visant à prévenir, à combattre, à sanctionner et à éliminer la violence fondée sur le genre permet de concevoir des instruments spécialisés et un système d’information destinés à renforcer les instances qui agissent directement pour prévenir, combattre, protéger, poursuivre, sanctionner la violence faite aux femmes et indemniser ces dernières pour le préjudice subi.</w:t>
      </w:r>
    </w:p>
    <w:p w14:paraId="28DEE27D" w14:textId="77777777" w:rsidR="0081022C" w:rsidRPr="007431C8" w:rsidRDefault="0081022C" w:rsidP="0081022C">
      <w:pPr>
        <w:pStyle w:val="SingleTxtG"/>
        <w:rPr>
          <w:rFonts w:eastAsia="Calibri"/>
        </w:rPr>
      </w:pPr>
      <w:r>
        <w:rPr>
          <w:lang w:val="fr-FR"/>
        </w:rPr>
        <w:t>46.</w:t>
      </w:r>
      <w:r>
        <w:rPr>
          <w:lang w:val="fr-FR"/>
        </w:rPr>
        <w:tab/>
        <w:t>À cet égard, il a développé le Système d’information pour l’enregistrement de la violence fondée sur le genre. Composé de trois modules et de trois liens, ce logiciel (système d’information) enregistre les faits de violence fondée sur le genre.</w:t>
      </w:r>
    </w:p>
    <w:p w14:paraId="09A3A1C4" w14:textId="77777777" w:rsidR="0081022C" w:rsidRPr="007431C8" w:rsidRDefault="0081022C" w:rsidP="0081022C">
      <w:pPr>
        <w:pStyle w:val="SingleTxtG"/>
        <w:rPr>
          <w:rFonts w:eastAsia="Calibri"/>
        </w:rPr>
      </w:pPr>
      <w:r>
        <w:rPr>
          <w:lang w:val="fr-FR"/>
        </w:rPr>
        <w:t>47.</w:t>
      </w:r>
      <w:r>
        <w:rPr>
          <w:lang w:val="fr-FR"/>
        </w:rPr>
        <w:tab/>
        <w:t xml:space="preserve">Le registre unique de violence fondée sur le genre est l’un de ces modules. Il est destiné au personnel du Service juridique intégral municipal de chaque municipalité, à savoir l’unité administrative </w:t>
      </w:r>
      <w:r w:rsidRPr="003B178E">
        <w:rPr>
          <w:lang w:val="fr-FR"/>
        </w:rPr>
        <w:t>du gouvernement municipal autonome spécialisée dans la violence fondée sur le genre, qui fournit des services psychologiques, juridiques et sociaux pour promouvoir la prévention de ce type de violence, garantir une protection et une prise en charge face à de tels actes et agir pour que ces infractions soient punies, en signalant les cas et en apportant une assistance lors des procédures.</w:t>
      </w:r>
      <w:r>
        <w:rPr>
          <w:lang w:val="fr-FR"/>
        </w:rPr>
        <w:t xml:space="preserve"> Dans le cadre des informations requises, les rapports correspondant aux années 2018, 2019, 2020 et 2021 sont joints.</w:t>
      </w:r>
    </w:p>
    <w:p w14:paraId="65819333" w14:textId="77777777" w:rsidR="0081022C" w:rsidRPr="007431C8" w:rsidRDefault="0081022C" w:rsidP="0081022C">
      <w:pPr>
        <w:pStyle w:val="SingleTxtG"/>
        <w:rPr>
          <w:rFonts w:eastAsia="Calibri"/>
        </w:rPr>
      </w:pPr>
      <w:r>
        <w:rPr>
          <w:lang w:val="fr-FR"/>
        </w:rPr>
        <w:t>48.</w:t>
      </w:r>
      <w:r>
        <w:rPr>
          <w:lang w:val="fr-FR"/>
        </w:rPr>
        <w:tab/>
        <w:t>Le Système global plurinational renforce actuellement ce système d’information.</w:t>
      </w:r>
    </w:p>
    <w:p w14:paraId="36F8F1CE" w14:textId="45574AEE" w:rsidR="0081022C" w:rsidRPr="00C95B47" w:rsidRDefault="0081022C" w:rsidP="0081022C">
      <w:pPr>
        <w:pStyle w:val="SingleTxtG"/>
        <w:rPr>
          <w:rFonts w:eastAsia="Calibri"/>
        </w:rPr>
      </w:pPr>
      <w:r w:rsidRPr="00C95B47">
        <w:rPr>
          <w:lang w:val="fr-FR"/>
        </w:rPr>
        <w:t>49.</w:t>
      </w:r>
      <w:r w:rsidRPr="00C95B47">
        <w:rPr>
          <w:lang w:val="fr-FR"/>
        </w:rPr>
        <w:tab/>
        <w:t>S’agissant du nombre de plaintes reçues et de leur issue (nombre d’enquêtes ouvertes, de poursuites engagées, de condamnations prononcées et de peines imposées), le Bureau du Procureur général de la Nation a indiqué qu’entre 2013 et 2020, le nombre de plaintes et d’enquêtes s’élevait à 215</w:t>
      </w:r>
      <w:r w:rsidR="00680C65" w:rsidRPr="00C95B47">
        <w:rPr>
          <w:lang w:val="fr-FR"/>
        </w:rPr>
        <w:t> </w:t>
      </w:r>
      <w:r w:rsidRPr="00C95B47">
        <w:rPr>
          <w:lang w:val="fr-FR"/>
        </w:rPr>
        <w:t>975 pour des délits inscrits dans la loi n</w:t>
      </w:r>
      <w:r w:rsidRPr="00C95B47">
        <w:rPr>
          <w:vertAlign w:val="superscript"/>
          <w:lang w:val="fr-FR"/>
        </w:rPr>
        <w:t>o</w:t>
      </w:r>
      <w:r w:rsidRPr="00C95B47">
        <w:rPr>
          <w:lang w:val="fr-FR"/>
        </w:rPr>
        <w:t> 348. Dans 17</w:t>
      </w:r>
      <w:r w:rsidR="00680C65" w:rsidRPr="00C95B47">
        <w:rPr>
          <w:lang w:val="fr-FR"/>
        </w:rPr>
        <w:t> </w:t>
      </w:r>
      <w:r w:rsidRPr="00C95B47">
        <w:rPr>
          <w:lang w:val="fr-FR"/>
        </w:rPr>
        <w:t>180 affaires, des poursuites avaient été engagées et 5</w:t>
      </w:r>
      <w:r w:rsidR="00680C65" w:rsidRPr="00C95B47">
        <w:rPr>
          <w:lang w:val="fr-FR"/>
        </w:rPr>
        <w:t> </w:t>
      </w:r>
      <w:r w:rsidRPr="00C95B47">
        <w:rPr>
          <w:lang w:val="fr-FR"/>
        </w:rPr>
        <w:t>978 peines avaient été prononcées pendant cette</w:t>
      </w:r>
      <w:r w:rsidR="00C95B47">
        <w:rPr>
          <w:lang w:val="fr-FR"/>
        </w:rPr>
        <w:t> </w:t>
      </w:r>
      <w:r w:rsidRPr="00C95B47">
        <w:rPr>
          <w:lang w:val="fr-FR"/>
        </w:rPr>
        <w:t>période.</w:t>
      </w:r>
    </w:p>
    <w:p w14:paraId="0761435B" w14:textId="4A3335DB" w:rsidR="0081022C" w:rsidRDefault="0081022C" w:rsidP="0081022C">
      <w:pPr>
        <w:pStyle w:val="SingleTxtG"/>
        <w:rPr>
          <w:rFonts w:eastAsia="Calibri"/>
        </w:rPr>
      </w:pPr>
      <w:r>
        <w:rPr>
          <w:lang w:val="fr-FR"/>
        </w:rPr>
        <w:lastRenderedPageBreak/>
        <w:t>50.</w:t>
      </w:r>
      <w:r>
        <w:rPr>
          <w:lang w:val="fr-FR"/>
        </w:rPr>
        <w:tab/>
        <w:t>d)</w:t>
      </w:r>
      <w:r w:rsidR="00C95B47">
        <w:rPr>
          <w:lang w:val="fr-FR"/>
        </w:rPr>
        <w:t> </w:t>
      </w:r>
      <w:r>
        <w:rPr>
          <w:lang w:val="fr-FR"/>
        </w:rPr>
        <w:t>D’après des rapports de 2018 de la Direction générale chargée de la prévention et de l’élimination de toute forme de violence fondée sur le genre et sur les différences de génération, on comptait 12 foyers d’accueil et refuges temporaires à l’échelle nationale.</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5243"/>
      </w:tblGrid>
      <w:tr w:rsidR="0081022C" w:rsidRPr="00680C65" w14:paraId="1CDC09B2" w14:textId="77777777" w:rsidTr="00680C65">
        <w:trPr>
          <w:tblHeader/>
        </w:trPr>
        <w:tc>
          <w:tcPr>
            <w:tcW w:w="2127" w:type="dxa"/>
            <w:tcBorders>
              <w:top w:val="single" w:sz="4" w:space="0" w:color="auto"/>
              <w:bottom w:val="single" w:sz="12" w:space="0" w:color="auto"/>
            </w:tcBorders>
            <w:shd w:val="clear" w:color="auto" w:fill="auto"/>
            <w:vAlign w:val="bottom"/>
          </w:tcPr>
          <w:p w14:paraId="3961B388" w14:textId="77777777" w:rsidR="0081022C" w:rsidRPr="00680C65" w:rsidRDefault="0081022C" w:rsidP="00680C65">
            <w:pPr>
              <w:spacing w:before="80" w:after="80" w:line="200" w:lineRule="exact"/>
              <w:ind w:right="113"/>
              <w:rPr>
                <w:rFonts w:eastAsia="Calibri"/>
                <w:i/>
                <w:sz w:val="16"/>
              </w:rPr>
            </w:pPr>
            <w:r w:rsidRPr="00680C65">
              <w:rPr>
                <w:i/>
                <w:sz w:val="16"/>
                <w:lang w:val="fr-FR"/>
              </w:rPr>
              <w:t>Département</w:t>
            </w:r>
          </w:p>
        </w:tc>
        <w:tc>
          <w:tcPr>
            <w:tcW w:w="5243" w:type="dxa"/>
            <w:tcBorders>
              <w:top w:val="single" w:sz="4" w:space="0" w:color="auto"/>
              <w:bottom w:val="single" w:sz="12" w:space="0" w:color="auto"/>
            </w:tcBorders>
            <w:shd w:val="clear" w:color="auto" w:fill="auto"/>
            <w:vAlign w:val="bottom"/>
          </w:tcPr>
          <w:p w14:paraId="74312818" w14:textId="77777777" w:rsidR="0081022C" w:rsidRPr="00680C65" w:rsidRDefault="0081022C" w:rsidP="00680C65">
            <w:pPr>
              <w:spacing w:before="80" w:after="80" w:line="200" w:lineRule="exact"/>
              <w:ind w:right="113"/>
              <w:rPr>
                <w:rFonts w:eastAsia="Calibri"/>
                <w:i/>
                <w:sz w:val="16"/>
              </w:rPr>
            </w:pPr>
            <w:r w:rsidRPr="00680C65">
              <w:rPr>
                <w:i/>
                <w:sz w:val="16"/>
                <w:lang w:val="fr-FR"/>
              </w:rPr>
              <w:t>Détails</w:t>
            </w:r>
          </w:p>
        </w:tc>
      </w:tr>
      <w:tr w:rsidR="00680C65" w:rsidRPr="00680C65" w14:paraId="473589AC" w14:textId="77777777" w:rsidTr="00680C65">
        <w:trPr>
          <w:trHeight w:hRule="exact" w:val="113"/>
        </w:trPr>
        <w:tc>
          <w:tcPr>
            <w:tcW w:w="2127" w:type="dxa"/>
            <w:tcBorders>
              <w:top w:val="single" w:sz="12" w:space="0" w:color="auto"/>
            </w:tcBorders>
            <w:shd w:val="clear" w:color="auto" w:fill="auto"/>
          </w:tcPr>
          <w:p w14:paraId="173783C9" w14:textId="77777777" w:rsidR="00680C65" w:rsidRPr="00680C65" w:rsidRDefault="00680C65" w:rsidP="00680C65">
            <w:pPr>
              <w:spacing w:before="40" w:after="120"/>
              <w:ind w:right="113"/>
              <w:rPr>
                <w:lang w:val="fr-FR"/>
              </w:rPr>
            </w:pPr>
          </w:p>
        </w:tc>
        <w:tc>
          <w:tcPr>
            <w:tcW w:w="5243" w:type="dxa"/>
            <w:tcBorders>
              <w:top w:val="single" w:sz="12" w:space="0" w:color="auto"/>
            </w:tcBorders>
            <w:shd w:val="clear" w:color="auto" w:fill="auto"/>
          </w:tcPr>
          <w:p w14:paraId="47C76333" w14:textId="77777777" w:rsidR="00680C65" w:rsidRPr="00680C65" w:rsidRDefault="00680C65" w:rsidP="00680C65">
            <w:pPr>
              <w:spacing w:before="40" w:after="120"/>
              <w:ind w:right="113"/>
              <w:rPr>
                <w:lang w:val="fr-FR"/>
              </w:rPr>
            </w:pPr>
          </w:p>
        </w:tc>
      </w:tr>
      <w:tr w:rsidR="0081022C" w:rsidRPr="00680C65" w14:paraId="01B3870F" w14:textId="77777777" w:rsidTr="00680C65">
        <w:tc>
          <w:tcPr>
            <w:tcW w:w="2127" w:type="dxa"/>
            <w:shd w:val="clear" w:color="auto" w:fill="auto"/>
          </w:tcPr>
          <w:p w14:paraId="7151A72E" w14:textId="77777777" w:rsidR="0081022C" w:rsidRPr="00680C65" w:rsidRDefault="0081022C" w:rsidP="00680C65">
            <w:pPr>
              <w:spacing w:before="40" w:after="120"/>
              <w:ind w:right="113"/>
              <w:rPr>
                <w:rFonts w:eastAsia="Calibri"/>
              </w:rPr>
            </w:pPr>
            <w:r w:rsidRPr="00680C65">
              <w:rPr>
                <w:lang w:val="fr-FR"/>
              </w:rPr>
              <w:t>LA PAZ</w:t>
            </w:r>
          </w:p>
        </w:tc>
        <w:tc>
          <w:tcPr>
            <w:tcW w:w="5243" w:type="dxa"/>
            <w:shd w:val="clear" w:color="auto" w:fill="auto"/>
          </w:tcPr>
          <w:p w14:paraId="648791DD" w14:textId="77777777" w:rsidR="0081022C" w:rsidRPr="00680C65" w:rsidRDefault="0081022C" w:rsidP="00680C65">
            <w:pPr>
              <w:spacing w:before="40" w:after="120"/>
              <w:ind w:right="113"/>
            </w:pPr>
            <w:r w:rsidRPr="00680C65">
              <w:rPr>
                <w:lang w:val="fr-FR"/>
              </w:rPr>
              <w:t>Centre d’accueil temporaire des victimes « Refugio Dignidad », qui dépend du Service départemental de gestion des affaires sociales. Il peut héberger 50 femmes avec enfants.</w:t>
            </w:r>
          </w:p>
          <w:p w14:paraId="3FF3A952" w14:textId="5A20320C" w:rsidR="0081022C" w:rsidRPr="00680C65" w:rsidRDefault="0081022C" w:rsidP="00680C65">
            <w:pPr>
              <w:spacing w:before="40" w:after="120"/>
              <w:ind w:right="113"/>
              <w:rPr>
                <w:rFonts w:eastAsia="Calibri"/>
              </w:rPr>
            </w:pPr>
            <w:r w:rsidRPr="00680C65">
              <w:rPr>
                <w:lang w:val="fr-FR"/>
              </w:rPr>
              <w:t>Le projet de construction du centre d’accueil temporaire des victimes de violence, de traite et de trafic illicite, qui devait bénéficier à des personnes des 20 provinces, s’est déroulé en</w:t>
            </w:r>
            <w:r w:rsidR="00680C65">
              <w:rPr>
                <w:lang w:val="fr-FR"/>
              </w:rPr>
              <w:t> </w:t>
            </w:r>
            <w:r w:rsidRPr="00680C65">
              <w:rPr>
                <w:lang w:val="fr-FR"/>
              </w:rPr>
              <w:t>2018.</w:t>
            </w:r>
          </w:p>
        </w:tc>
      </w:tr>
      <w:tr w:rsidR="0081022C" w:rsidRPr="00680C65" w14:paraId="04DD317E" w14:textId="77777777" w:rsidTr="00680C65">
        <w:tc>
          <w:tcPr>
            <w:tcW w:w="2127" w:type="dxa"/>
            <w:shd w:val="clear" w:color="auto" w:fill="auto"/>
          </w:tcPr>
          <w:p w14:paraId="5F50FCE0" w14:textId="77777777" w:rsidR="0081022C" w:rsidRPr="00680C65" w:rsidRDefault="0081022C" w:rsidP="00680C65">
            <w:pPr>
              <w:spacing w:before="40" w:after="120"/>
              <w:ind w:right="113"/>
              <w:rPr>
                <w:rFonts w:eastAsia="Calibri"/>
              </w:rPr>
            </w:pPr>
            <w:r w:rsidRPr="00680C65">
              <w:rPr>
                <w:lang w:val="fr-FR"/>
              </w:rPr>
              <w:t>POTOSI</w:t>
            </w:r>
          </w:p>
        </w:tc>
        <w:tc>
          <w:tcPr>
            <w:tcW w:w="5243" w:type="dxa"/>
            <w:shd w:val="clear" w:color="auto" w:fill="auto"/>
          </w:tcPr>
          <w:p w14:paraId="41020095" w14:textId="77777777" w:rsidR="0081022C" w:rsidRPr="00680C65" w:rsidRDefault="0081022C" w:rsidP="00680C65">
            <w:pPr>
              <w:spacing w:before="40" w:after="120"/>
              <w:ind w:right="113"/>
              <w:rPr>
                <w:rFonts w:eastAsia="Calibri"/>
              </w:rPr>
            </w:pPr>
            <w:r w:rsidRPr="00680C65">
              <w:rPr>
                <w:lang w:val="fr-FR"/>
              </w:rPr>
              <w:t>Le gouvernement départemental de Potosí dispose d’un foyer d’accueil temporaire pour les victimes de violence dans la région de Cantumarca, qui dépend de la ville de Potosí. Inauguré en novembre 2017, il a une capacité d’accueil de 32 personnes.</w:t>
            </w:r>
          </w:p>
        </w:tc>
      </w:tr>
      <w:tr w:rsidR="0081022C" w:rsidRPr="00680C65" w14:paraId="58D39AF9" w14:textId="77777777" w:rsidTr="00680C65">
        <w:tc>
          <w:tcPr>
            <w:tcW w:w="2127" w:type="dxa"/>
            <w:shd w:val="clear" w:color="auto" w:fill="auto"/>
          </w:tcPr>
          <w:p w14:paraId="34C06EB0" w14:textId="77777777" w:rsidR="0081022C" w:rsidRPr="00680C65" w:rsidRDefault="0081022C" w:rsidP="00680C65">
            <w:pPr>
              <w:spacing w:before="40" w:after="120"/>
              <w:ind w:right="113"/>
              <w:rPr>
                <w:rFonts w:eastAsia="Calibri"/>
              </w:rPr>
            </w:pPr>
            <w:r w:rsidRPr="00680C65">
              <w:rPr>
                <w:lang w:val="fr-FR"/>
              </w:rPr>
              <w:t>BENI</w:t>
            </w:r>
          </w:p>
        </w:tc>
        <w:tc>
          <w:tcPr>
            <w:tcW w:w="5243" w:type="dxa"/>
            <w:shd w:val="clear" w:color="auto" w:fill="auto"/>
          </w:tcPr>
          <w:p w14:paraId="55632D74" w14:textId="77777777" w:rsidR="0081022C" w:rsidRPr="00680C65" w:rsidRDefault="0081022C" w:rsidP="00680C65">
            <w:pPr>
              <w:spacing w:before="40" w:after="120"/>
              <w:ind w:right="113"/>
              <w:rPr>
                <w:rFonts w:eastAsia="Calibri"/>
              </w:rPr>
            </w:pPr>
            <w:r w:rsidRPr="00680C65">
              <w:rPr>
                <w:lang w:val="fr-FR"/>
              </w:rPr>
              <w:t>Le gouvernement municipal de Trinidad dispose d’un foyer d’accueil temporaire gérée par le Secrétariat municipal de la sécurité publique. Son but est de promouvoir l’égalité des chances en fournissant aux groupes vulnérables une assistance juridique, psychologique et sociale, ainsi que de la nourriture et un hébergement.</w:t>
            </w:r>
          </w:p>
        </w:tc>
      </w:tr>
      <w:tr w:rsidR="0081022C" w:rsidRPr="00680C65" w14:paraId="756D4CB9" w14:textId="77777777" w:rsidTr="00680C65">
        <w:tc>
          <w:tcPr>
            <w:tcW w:w="2127" w:type="dxa"/>
            <w:shd w:val="clear" w:color="auto" w:fill="auto"/>
          </w:tcPr>
          <w:p w14:paraId="48ED2882" w14:textId="77777777" w:rsidR="0081022C" w:rsidRPr="00680C65" w:rsidRDefault="0081022C" w:rsidP="00680C65">
            <w:pPr>
              <w:spacing w:before="40" w:after="120"/>
              <w:ind w:right="113"/>
              <w:rPr>
                <w:rFonts w:eastAsia="Calibri"/>
              </w:rPr>
            </w:pPr>
            <w:r w:rsidRPr="00680C65">
              <w:rPr>
                <w:lang w:val="fr-FR"/>
              </w:rPr>
              <w:t>ORURO</w:t>
            </w:r>
          </w:p>
        </w:tc>
        <w:tc>
          <w:tcPr>
            <w:tcW w:w="5243" w:type="dxa"/>
            <w:shd w:val="clear" w:color="auto" w:fill="auto"/>
          </w:tcPr>
          <w:p w14:paraId="4D37EC33" w14:textId="77777777" w:rsidR="0081022C" w:rsidRPr="00680C65" w:rsidRDefault="0081022C" w:rsidP="00680C65">
            <w:pPr>
              <w:spacing w:before="40" w:after="120"/>
              <w:ind w:right="113"/>
              <w:rPr>
                <w:rFonts w:eastAsia="Calibri"/>
              </w:rPr>
            </w:pPr>
            <w:r w:rsidRPr="00680C65">
              <w:rPr>
                <w:lang w:val="fr-FR"/>
              </w:rPr>
              <w:t>Le gouvernement municipal autonome gère un foyer d’accueil. Le gouvernement départemental autonome a aussi pour projet de construire un foyer d’accueil ou un refuge temporaire pour les victimes de violence.</w:t>
            </w:r>
          </w:p>
        </w:tc>
      </w:tr>
      <w:tr w:rsidR="0081022C" w:rsidRPr="00680C65" w14:paraId="226E7110" w14:textId="77777777" w:rsidTr="00680C65">
        <w:tc>
          <w:tcPr>
            <w:tcW w:w="2127" w:type="dxa"/>
            <w:shd w:val="clear" w:color="auto" w:fill="auto"/>
          </w:tcPr>
          <w:p w14:paraId="7D253A22" w14:textId="77777777" w:rsidR="0081022C" w:rsidRPr="00680C65" w:rsidRDefault="0081022C" w:rsidP="00680C65">
            <w:pPr>
              <w:spacing w:before="40" w:after="120"/>
              <w:ind w:right="113"/>
              <w:rPr>
                <w:rFonts w:eastAsia="Calibri"/>
              </w:rPr>
            </w:pPr>
            <w:r w:rsidRPr="00680C65">
              <w:rPr>
                <w:lang w:val="fr-FR"/>
              </w:rPr>
              <w:t>COCHABAMBA</w:t>
            </w:r>
          </w:p>
        </w:tc>
        <w:tc>
          <w:tcPr>
            <w:tcW w:w="5243" w:type="dxa"/>
            <w:shd w:val="clear" w:color="auto" w:fill="auto"/>
          </w:tcPr>
          <w:p w14:paraId="18341DF8" w14:textId="77777777" w:rsidR="0081022C" w:rsidRPr="00680C65" w:rsidRDefault="0081022C" w:rsidP="00680C65">
            <w:pPr>
              <w:spacing w:before="40" w:after="120"/>
              <w:ind w:right="113"/>
              <w:rPr>
                <w:rFonts w:eastAsia="Calibri"/>
              </w:rPr>
            </w:pPr>
            <w:r w:rsidRPr="00680C65">
              <w:rPr>
                <w:lang w:val="fr-FR"/>
              </w:rPr>
              <w:t xml:space="preserve">Le gouvernement départemental autonome de Cochabamba met en place un foyer d’accueil baptisé « Programa Esperanza ». </w:t>
            </w:r>
          </w:p>
        </w:tc>
      </w:tr>
      <w:tr w:rsidR="0081022C" w:rsidRPr="00680C65" w14:paraId="728928D7" w14:textId="77777777" w:rsidTr="00680C65">
        <w:tc>
          <w:tcPr>
            <w:tcW w:w="2127" w:type="dxa"/>
            <w:shd w:val="clear" w:color="auto" w:fill="auto"/>
          </w:tcPr>
          <w:p w14:paraId="01F42E9C" w14:textId="77777777" w:rsidR="0081022C" w:rsidRPr="00680C65" w:rsidRDefault="0081022C" w:rsidP="00680C65">
            <w:pPr>
              <w:spacing w:before="40" w:after="120"/>
              <w:ind w:right="113"/>
              <w:rPr>
                <w:rFonts w:eastAsia="Calibri"/>
              </w:rPr>
            </w:pPr>
            <w:r w:rsidRPr="00680C65">
              <w:rPr>
                <w:lang w:val="fr-FR"/>
              </w:rPr>
              <w:t>SANTA CRUZ</w:t>
            </w:r>
          </w:p>
        </w:tc>
        <w:tc>
          <w:tcPr>
            <w:tcW w:w="5243" w:type="dxa"/>
            <w:shd w:val="clear" w:color="auto" w:fill="auto"/>
          </w:tcPr>
          <w:p w14:paraId="0FACC834" w14:textId="60985220" w:rsidR="0081022C" w:rsidRPr="00680C65" w:rsidRDefault="0081022C" w:rsidP="00680C65">
            <w:pPr>
              <w:spacing w:before="40" w:after="120"/>
              <w:ind w:right="113"/>
              <w:rPr>
                <w:rFonts w:eastAsia="Calibri"/>
              </w:rPr>
            </w:pPr>
            <w:r w:rsidRPr="00680C65">
              <w:rPr>
                <w:lang w:val="fr-FR"/>
              </w:rPr>
              <w:t>Le gouvernement départemental autonome de Santa Cruz compte un foyer d’accueil et refuge temporaire, ainsi que quatre centres de prise en charge globale ouverts aux femmes et</w:t>
            </w:r>
            <w:r w:rsidR="00C95B47">
              <w:rPr>
                <w:lang w:val="fr-FR"/>
              </w:rPr>
              <w:t> </w:t>
            </w:r>
            <w:r w:rsidRPr="00680C65">
              <w:rPr>
                <w:lang w:val="fr-FR"/>
              </w:rPr>
              <w:t>aux familles.</w:t>
            </w:r>
          </w:p>
        </w:tc>
      </w:tr>
      <w:tr w:rsidR="0081022C" w:rsidRPr="00680C65" w14:paraId="6B9B7E4D" w14:textId="77777777" w:rsidTr="00680C65">
        <w:tc>
          <w:tcPr>
            <w:tcW w:w="2127" w:type="dxa"/>
            <w:shd w:val="clear" w:color="auto" w:fill="auto"/>
          </w:tcPr>
          <w:p w14:paraId="12F0A88F" w14:textId="77777777" w:rsidR="0081022C" w:rsidRPr="00680C65" w:rsidRDefault="0081022C" w:rsidP="00680C65">
            <w:pPr>
              <w:spacing w:before="40" w:after="120"/>
              <w:ind w:right="113"/>
              <w:rPr>
                <w:rFonts w:eastAsia="Calibri"/>
              </w:rPr>
            </w:pPr>
            <w:r w:rsidRPr="00680C65">
              <w:rPr>
                <w:lang w:val="fr-FR"/>
              </w:rPr>
              <w:t>TARIJA</w:t>
            </w:r>
          </w:p>
        </w:tc>
        <w:tc>
          <w:tcPr>
            <w:tcW w:w="5243" w:type="dxa"/>
            <w:shd w:val="clear" w:color="auto" w:fill="auto"/>
          </w:tcPr>
          <w:p w14:paraId="357F3185" w14:textId="77777777" w:rsidR="0081022C" w:rsidRPr="00680C65" w:rsidRDefault="0081022C" w:rsidP="00680C65">
            <w:pPr>
              <w:spacing w:before="40" w:after="120"/>
              <w:ind w:right="113"/>
              <w:rPr>
                <w:rFonts w:eastAsia="Calibri"/>
              </w:rPr>
            </w:pPr>
            <w:r w:rsidRPr="00680C65">
              <w:rPr>
                <w:lang w:val="fr-FR"/>
              </w:rPr>
              <w:t>Le gouvernement départemental temporaire de Tarija compte deux foyers d’accueil temporaires dans la province de Cercado : le foyer d’accueil temporaire RENACER et le centre Vida Digna. Il dispose aussi d’un Centre spécialisé de prévention et prise en charge thérapeutique, ainsi que du Centre de prise en charge thérapeutique Bermejo.</w:t>
            </w:r>
          </w:p>
        </w:tc>
      </w:tr>
      <w:tr w:rsidR="0081022C" w:rsidRPr="00680C65" w14:paraId="5ECDB768" w14:textId="77777777" w:rsidTr="00680C65">
        <w:tc>
          <w:tcPr>
            <w:tcW w:w="2127" w:type="dxa"/>
            <w:shd w:val="clear" w:color="auto" w:fill="auto"/>
          </w:tcPr>
          <w:p w14:paraId="474938A6" w14:textId="77777777" w:rsidR="0081022C" w:rsidRPr="00680C65" w:rsidRDefault="0081022C" w:rsidP="00680C65">
            <w:pPr>
              <w:spacing w:before="40" w:after="120"/>
              <w:ind w:right="113"/>
              <w:rPr>
                <w:rFonts w:eastAsia="Calibri"/>
              </w:rPr>
            </w:pPr>
            <w:r w:rsidRPr="00680C65">
              <w:rPr>
                <w:lang w:val="fr-FR"/>
              </w:rPr>
              <w:t>PANDO</w:t>
            </w:r>
          </w:p>
        </w:tc>
        <w:tc>
          <w:tcPr>
            <w:tcW w:w="5243" w:type="dxa"/>
            <w:shd w:val="clear" w:color="auto" w:fill="auto"/>
          </w:tcPr>
          <w:p w14:paraId="5F0F08B4" w14:textId="77777777" w:rsidR="0081022C" w:rsidRPr="00680C65" w:rsidRDefault="0081022C" w:rsidP="00680C65">
            <w:pPr>
              <w:spacing w:before="40" w:after="120"/>
              <w:ind w:right="113"/>
              <w:rPr>
                <w:rFonts w:eastAsia="Calibri"/>
              </w:rPr>
            </w:pPr>
            <w:r w:rsidRPr="00680C65">
              <w:rPr>
                <w:lang w:val="fr-FR"/>
              </w:rPr>
              <w:t>Le foyer d’accueil pour femmes est situé dans la communauté de Loma Alto.</w:t>
            </w:r>
          </w:p>
        </w:tc>
      </w:tr>
      <w:tr w:rsidR="0081022C" w:rsidRPr="00680C65" w14:paraId="57E50169" w14:textId="77777777" w:rsidTr="00680C65">
        <w:tc>
          <w:tcPr>
            <w:tcW w:w="2127" w:type="dxa"/>
            <w:tcBorders>
              <w:bottom w:val="single" w:sz="12" w:space="0" w:color="auto"/>
            </w:tcBorders>
            <w:shd w:val="clear" w:color="auto" w:fill="auto"/>
          </w:tcPr>
          <w:p w14:paraId="1501FEB4" w14:textId="77777777" w:rsidR="0081022C" w:rsidRPr="00680C65" w:rsidRDefault="0081022C" w:rsidP="00680C65">
            <w:pPr>
              <w:spacing w:before="40" w:after="120"/>
              <w:ind w:right="113"/>
              <w:rPr>
                <w:rFonts w:eastAsia="Calibri"/>
              </w:rPr>
            </w:pPr>
            <w:r w:rsidRPr="00680C65">
              <w:rPr>
                <w:lang w:val="fr-FR"/>
              </w:rPr>
              <w:t>CHUQUISACA</w:t>
            </w:r>
          </w:p>
        </w:tc>
        <w:tc>
          <w:tcPr>
            <w:tcW w:w="5243" w:type="dxa"/>
            <w:tcBorders>
              <w:bottom w:val="single" w:sz="12" w:space="0" w:color="auto"/>
            </w:tcBorders>
            <w:shd w:val="clear" w:color="auto" w:fill="auto"/>
          </w:tcPr>
          <w:p w14:paraId="089504C7" w14:textId="77777777" w:rsidR="0081022C" w:rsidRPr="00680C65" w:rsidRDefault="0081022C" w:rsidP="00680C65">
            <w:pPr>
              <w:spacing w:before="40" w:after="120"/>
              <w:ind w:right="113"/>
              <w:rPr>
                <w:rFonts w:eastAsia="Calibri"/>
              </w:rPr>
            </w:pPr>
            <w:r w:rsidRPr="00680C65">
              <w:rPr>
                <w:lang w:val="fr-FR"/>
              </w:rPr>
              <w:t>Le département compte un foyer d’accueil d’une capacité de 60 personnes.</w:t>
            </w:r>
          </w:p>
        </w:tc>
      </w:tr>
    </w:tbl>
    <w:p w14:paraId="0773FF0D" w14:textId="0C8932FB" w:rsidR="0081022C" w:rsidRPr="002014CD" w:rsidRDefault="0081022C" w:rsidP="00680C65">
      <w:pPr>
        <w:pStyle w:val="SingleTxtG"/>
        <w:spacing w:before="120"/>
        <w:rPr>
          <w:rFonts w:eastAsia="Calibri"/>
        </w:rPr>
      </w:pPr>
      <w:r>
        <w:rPr>
          <w:lang w:val="fr-FR"/>
        </w:rPr>
        <w:t>51.</w:t>
      </w:r>
      <w:r>
        <w:rPr>
          <w:lang w:val="fr-FR"/>
        </w:rPr>
        <w:tab/>
        <w:t>e)</w:t>
      </w:r>
      <w:r w:rsidR="00680C65">
        <w:rPr>
          <w:lang w:val="fr-FR"/>
        </w:rPr>
        <w:t> </w:t>
      </w:r>
      <w:r>
        <w:rPr>
          <w:lang w:val="fr-FR"/>
        </w:rPr>
        <w:t>Le viol conjugal est explicitement érigé en infraction par l’État bolivien. Aux</w:t>
      </w:r>
      <w:r w:rsidR="00680C65">
        <w:rPr>
          <w:lang w:val="fr-FR"/>
        </w:rPr>
        <w:t> </w:t>
      </w:r>
      <w:r>
        <w:rPr>
          <w:lang w:val="fr-FR"/>
        </w:rPr>
        <w:t xml:space="preserve">termes de l’article 308 du Code pénal, l’infraction pénale de viol est punie d’une peine privative de liberté de </w:t>
      </w:r>
      <w:r w:rsidR="00680C65">
        <w:rPr>
          <w:lang w:val="fr-FR"/>
        </w:rPr>
        <w:t>quinze</w:t>
      </w:r>
      <w:r>
        <w:rPr>
          <w:lang w:val="fr-FR"/>
        </w:rPr>
        <w:t xml:space="preserve"> à </w:t>
      </w:r>
      <w:r w:rsidR="00680C65">
        <w:rPr>
          <w:lang w:val="fr-FR"/>
        </w:rPr>
        <w:t xml:space="preserve">vingt </w:t>
      </w:r>
      <w:r>
        <w:rPr>
          <w:lang w:val="fr-FR"/>
        </w:rPr>
        <w:t>ans. En outre, l’article 310 (al.</w:t>
      </w:r>
      <w:r w:rsidR="00680C65">
        <w:rPr>
          <w:lang w:val="fr-FR"/>
        </w:rPr>
        <w:t> </w:t>
      </w:r>
      <w:r>
        <w:rPr>
          <w:lang w:val="fr-FR"/>
        </w:rPr>
        <w:t>f)), modifié par la quatrième disposition additionnelle de la loi n</w:t>
      </w:r>
      <w:r w:rsidRPr="0060029A">
        <w:rPr>
          <w:vertAlign w:val="superscript"/>
          <w:lang w:val="fr-FR"/>
        </w:rPr>
        <w:t>o</w:t>
      </w:r>
      <w:r>
        <w:rPr>
          <w:lang w:val="fr-FR"/>
        </w:rPr>
        <w:t> 1173, portant sur les circonstances aggravantes de l’infraction pénale de viol, dispose que la peine sera majorée de cinq (5)</w:t>
      </w:r>
      <w:r w:rsidR="00C95B47">
        <w:rPr>
          <w:lang w:val="fr-FR"/>
        </w:rPr>
        <w:t> </w:t>
      </w:r>
      <w:r>
        <w:rPr>
          <w:lang w:val="fr-FR"/>
        </w:rPr>
        <w:t>ans lorsque l’auteur est le conjoint, le concubin de la victime ou la personne avec laquelle la victime entretient ou aurait entretenu un lien intime similaire.</w:t>
      </w:r>
    </w:p>
    <w:p w14:paraId="080C4A67" w14:textId="77777777" w:rsidR="0081022C" w:rsidRPr="002014CD" w:rsidRDefault="0081022C" w:rsidP="00680C65">
      <w:pPr>
        <w:pStyle w:val="H1G"/>
      </w:pPr>
      <w:r>
        <w:rPr>
          <w:lang w:val="fr-FR"/>
        </w:rPr>
        <w:lastRenderedPageBreak/>
        <w:tab/>
      </w:r>
      <w:r>
        <w:rPr>
          <w:lang w:val="fr-FR"/>
        </w:rPr>
        <w:tab/>
        <w:t>Interruption volontaire de grossesse et droits liés à la procréation (art. 2, 3, 6, 7, 17, 24 et 26)</w:t>
      </w:r>
    </w:p>
    <w:p w14:paraId="5A8EF921" w14:textId="77777777" w:rsidR="0081022C" w:rsidRPr="002014CD" w:rsidRDefault="0081022C" w:rsidP="00680C65">
      <w:pPr>
        <w:pStyle w:val="H23G"/>
        <w:rPr>
          <w:rFonts w:eastAsia="Calibri"/>
        </w:rPr>
      </w:pPr>
      <w:r>
        <w:rPr>
          <w:lang w:val="fr-FR"/>
        </w:rPr>
        <w:tab/>
        <w:t>8.</w:t>
      </w:r>
      <w:r>
        <w:rPr>
          <w:lang w:val="fr-FR"/>
        </w:rPr>
        <w:tab/>
        <w:t>Réponse au paragraphe 8 de la liste de points</w:t>
      </w:r>
    </w:p>
    <w:p w14:paraId="39F84B2B" w14:textId="5B6EEEC1" w:rsidR="0081022C" w:rsidRPr="00077BD3" w:rsidRDefault="0081022C" w:rsidP="0081022C">
      <w:pPr>
        <w:pStyle w:val="SingleTxtG"/>
        <w:rPr>
          <w:rFonts w:eastAsia="Calibri"/>
        </w:rPr>
      </w:pPr>
      <w:r w:rsidRPr="00077BD3">
        <w:rPr>
          <w:lang w:val="fr-FR"/>
        </w:rPr>
        <w:t>52.</w:t>
      </w:r>
      <w:r w:rsidRPr="00077BD3">
        <w:rPr>
          <w:lang w:val="fr-FR"/>
        </w:rPr>
        <w:tab/>
        <w:t>a)</w:t>
      </w:r>
      <w:r w:rsidR="00680C65" w:rsidRPr="00077BD3">
        <w:rPr>
          <w:lang w:val="fr-FR"/>
        </w:rPr>
        <w:t> </w:t>
      </w:r>
      <w:r w:rsidRPr="00077BD3">
        <w:rPr>
          <w:lang w:val="fr-FR"/>
        </w:rPr>
        <w:t>Conformément à l’arrêt constitutionnel n</w:t>
      </w:r>
      <w:r w:rsidRPr="00077BD3">
        <w:rPr>
          <w:vertAlign w:val="superscript"/>
          <w:lang w:val="fr-FR"/>
        </w:rPr>
        <w:t>o</w:t>
      </w:r>
      <w:r w:rsidRPr="00077BD3">
        <w:rPr>
          <w:lang w:val="fr-FR"/>
        </w:rPr>
        <w:t> 0206/2014, une femme peut accéder à un avortement légal et sécurisé si sa grossesse résulte d’un viol, d’un inceste, d’atteintes sexuelles sur mineure ou si elle met en danger sa vie ou sa santé. L’arrêt constitutionnel en question dispose notamment qu’aucun dépôt de plainte, inculpation ou mise en accusation formelle n’est obligatoire. Il suffit que la femme qui se présente dans un centre de santé public ou privé afin de subir un avortement au motif que sa grossesse résulte de la commission d’une infraction fasse part de cette situation à l’autorité publique compétente. Le professionnel de santé qui pratiquera l’avortement disposera ainsi d’un élément justifiant expressément le recours à l’avortement. Selon l’interprétation donnée par le Tribunal constitutionnel plurinational dans l’arrêt constitutionnel susmentionné, les victimes de viol ne sont PAS tenues de disposer d’une autorisation judiciaire ou de se prévaloir d’une norme ou d’une réglementation préalable.</w:t>
      </w:r>
    </w:p>
    <w:p w14:paraId="056884D8" w14:textId="575C5D2C" w:rsidR="0081022C" w:rsidRPr="007431C8" w:rsidRDefault="0081022C" w:rsidP="0081022C">
      <w:pPr>
        <w:pStyle w:val="SingleTxtG"/>
        <w:rPr>
          <w:rFonts w:eastAsia="Calibri"/>
        </w:rPr>
      </w:pPr>
      <w:r>
        <w:rPr>
          <w:lang w:val="fr-FR"/>
        </w:rPr>
        <w:t>53.</w:t>
      </w:r>
      <w:r>
        <w:rPr>
          <w:lang w:val="fr-FR"/>
        </w:rPr>
        <w:tab/>
        <w:t>b)</w:t>
      </w:r>
      <w:r w:rsidR="00077BD3">
        <w:rPr>
          <w:lang w:val="fr-FR"/>
        </w:rPr>
        <w:t> </w:t>
      </w:r>
      <w:r>
        <w:rPr>
          <w:lang w:val="fr-FR"/>
        </w:rPr>
        <w:t>Comme indiqué au paragraphe précédent, il n’est PAS nécessaire disposer d’une autorisation judiciaire ou de se prévaloir d’une norme ou d’une réglementation préalable pour recourir légalement à une interruption volontaire de grossesse en Bolivie.</w:t>
      </w:r>
    </w:p>
    <w:p w14:paraId="15BD0C3E" w14:textId="7EA3A8A8" w:rsidR="0081022C" w:rsidRPr="007431C8" w:rsidRDefault="0081022C" w:rsidP="0081022C">
      <w:pPr>
        <w:pStyle w:val="SingleTxtG"/>
        <w:rPr>
          <w:rFonts w:eastAsia="Calibri"/>
        </w:rPr>
      </w:pPr>
      <w:r>
        <w:rPr>
          <w:lang w:val="fr-FR"/>
        </w:rPr>
        <w:t>54.</w:t>
      </w:r>
      <w:r>
        <w:rPr>
          <w:lang w:val="fr-FR"/>
        </w:rPr>
        <w:tab/>
        <w:t>c)</w:t>
      </w:r>
      <w:r w:rsidR="00077BD3">
        <w:rPr>
          <w:lang w:val="fr-FR"/>
        </w:rPr>
        <w:t> </w:t>
      </w:r>
      <w:r>
        <w:rPr>
          <w:lang w:val="fr-FR"/>
        </w:rPr>
        <w:t>En ce qui concerne les poursuites engagées dans des cas d’interruption de grossesse, il convient de préciser que l’article 266 du Code pénal portant sur l’avortement légal a été déclaré partiellement inconstitutionnel par l’arrêt 0206/2014 du 5 février 2014, étant donné que l’obligation d’avoir engagé une action pénale et de présenter une autorisation judiciaire a été déclarée contraire à la Constitution. L’État n’a donc pas engagé de poursuites pour avortement ces cinq dernières années.</w:t>
      </w:r>
    </w:p>
    <w:p w14:paraId="108B5BBA" w14:textId="3D9BDFC9" w:rsidR="0081022C" w:rsidRPr="007431C8" w:rsidRDefault="0081022C" w:rsidP="0081022C">
      <w:pPr>
        <w:pStyle w:val="SingleTxtG"/>
        <w:rPr>
          <w:rFonts w:eastAsia="Calibri"/>
        </w:rPr>
      </w:pPr>
      <w:r>
        <w:rPr>
          <w:lang w:val="fr-FR"/>
        </w:rPr>
        <w:t>55.</w:t>
      </w:r>
      <w:r>
        <w:rPr>
          <w:lang w:val="fr-FR"/>
        </w:rPr>
        <w:tab/>
        <w:t>L’article 266 du Code pénal relatif à l’avortement légal dispose que lorsque l’avortement résulte d’une infraction de viol, d’enlèvement non suivi de mariage, d’atteintes sexuelles sur mineure ou d’inceste, aucune sanction n’est appliquée. L’avortement n’est pas passible de sanctions non plus s’il est pratiqué afin d’éviter un danger pour la vie ou la santé de la mère et si ce danger ne pouvait être évité par d’autres moyens. Dans les deux cas, l’avortement devra être pratiqué par un médecin, avec le consentement de la femme. Les</w:t>
      </w:r>
      <w:r w:rsidR="00077BD3">
        <w:rPr>
          <w:lang w:val="fr-FR"/>
        </w:rPr>
        <w:t> </w:t>
      </w:r>
      <w:r>
        <w:rPr>
          <w:lang w:val="fr-FR"/>
        </w:rPr>
        <w:t>textes mentionnés précédemment ayant été déclarés inconstitutionnels par l’arrêt constitutionnel n</w:t>
      </w:r>
      <w:r w:rsidRPr="00E66BC9">
        <w:rPr>
          <w:vertAlign w:val="superscript"/>
          <w:lang w:val="fr-FR"/>
        </w:rPr>
        <w:t>o</w:t>
      </w:r>
      <w:r>
        <w:rPr>
          <w:lang w:val="fr-FR"/>
        </w:rPr>
        <w:t> 0206/2014 du 5 février 2014, l’État n’a pas engagé de poursuites pour avortement ces cinq dernières années.</w:t>
      </w:r>
    </w:p>
    <w:p w14:paraId="4D4AA0B2" w14:textId="2F5F8FEE" w:rsidR="0081022C" w:rsidRPr="007431C8" w:rsidRDefault="0081022C" w:rsidP="0081022C">
      <w:pPr>
        <w:pStyle w:val="SingleTxtG"/>
        <w:rPr>
          <w:rFonts w:eastAsia="Calibri"/>
        </w:rPr>
      </w:pPr>
      <w:r>
        <w:rPr>
          <w:lang w:val="fr-FR"/>
        </w:rPr>
        <w:t>56.</w:t>
      </w:r>
      <w:r>
        <w:rPr>
          <w:lang w:val="fr-FR"/>
        </w:rPr>
        <w:tab/>
        <w:t>d)</w:t>
      </w:r>
      <w:r w:rsidR="00680C65">
        <w:rPr>
          <w:lang w:val="fr-FR"/>
        </w:rPr>
        <w:t> </w:t>
      </w:r>
      <w:r>
        <w:rPr>
          <w:lang w:val="fr-FR"/>
        </w:rPr>
        <w:t>Conformément à l’arrêt constitutionnel n</w:t>
      </w:r>
      <w:r>
        <w:rPr>
          <w:vertAlign w:val="superscript"/>
          <w:lang w:val="fr-FR"/>
        </w:rPr>
        <w:t>o</w:t>
      </w:r>
      <w:r>
        <w:rPr>
          <w:lang w:val="fr-FR"/>
        </w:rPr>
        <w:t> 0206/2014, une femme peut accéder à un avortement légal et sécurisé lorsque la grossesse résulte d’un viol, d’un inceste, d’atteintes sexuelles sur mineure ou si elle met en danger sa vie ou sa santé. De même, la Procédure technique pour la prestation de soins de santé, dans le cadre de l’arrêt constitutionnel n</w:t>
      </w:r>
      <w:r>
        <w:rPr>
          <w:vertAlign w:val="superscript"/>
          <w:lang w:val="fr-FR"/>
        </w:rPr>
        <w:t>o</w:t>
      </w:r>
      <w:r w:rsidR="00077BD3">
        <w:rPr>
          <w:lang w:val="fr-FR"/>
        </w:rPr>
        <w:t> </w:t>
      </w:r>
      <w:r>
        <w:rPr>
          <w:lang w:val="fr-FR"/>
        </w:rPr>
        <w:t>0206/2014 approuvé par l’arrêté ministériel n</w:t>
      </w:r>
      <w:r>
        <w:rPr>
          <w:vertAlign w:val="superscript"/>
          <w:lang w:val="fr-FR"/>
        </w:rPr>
        <w:t>o</w:t>
      </w:r>
      <w:r w:rsidR="00680C65">
        <w:rPr>
          <w:lang w:val="fr-FR"/>
        </w:rPr>
        <w:t> </w:t>
      </w:r>
      <w:r>
        <w:rPr>
          <w:lang w:val="fr-FR"/>
        </w:rPr>
        <w:t>0027, précise à l’article 8 (al.</w:t>
      </w:r>
      <w:r w:rsidR="00680C65">
        <w:rPr>
          <w:lang w:val="fr-FR"/>
        </w:rPr>
        <w:t> </w:t>
      </w:r>
      <w:r>
        <w:rPr>
          <w:lang w:val="fr-FR"/>
        </w:rPr>
        <w:t>e)) relatif aux obligations des prestataires de services de santé que ces derniers doivent interrompre une grossesse lorsque la vie ou la santé de la femme est en danger ou qu’un rapport médical établit la présence de malformations congénitales formelles, à condition qu’elle signe librement et volontairement un consentement éclairé, et sans autre condition.</w:t>
      </w:r>
    </w:p>
    <w:p w14:paraId="4303BA5C" w14:textId="54BD981A" w:rsidR="0081022C" w:rsidRPr="00077BD3" w:rsidRDefault="0081022C" w:rsidP="00077BD3">
      <w:pPr>
        <w:pStyle w:val="SingleTxtG"/>
        <w:rPr>
          <w:spacing w:val="1"/>
        </w:rPr>
      </w:pPr>
      <w:r w:rsidRPr="00077BD3">
        <w:rPr>
          <w:spacing w:val="1"/>
          <w:lang w:val="fr-FR"/>
        </w:rPr>
        <w:t>57.</w:t>
      </w:r>
      <w:r w:rsidRPr="00077BD3">
        <w:rPr>
          <w:spacing w:val="1"/>
          <w:lang w:val="fr-FR"/>
        </w:rPr>
        <w:tab/>
        <w:t>e)</w:t>
      </w:r>
      <w:r w:rsidR="00680C65" w:rsidRPr="00077BD3">
        <w:rPr>
          <w:spacing w:val="1"/>
          <w:lang w:val="fr-FR"/>
        </w:rPr>
        <w:t> </w:t>
      </w:r>
      <w:r w:rsidRPr="00077BD3">
        <w:rPr>
          <w:spacing w:val="1"/>
          <w:lang w:val="fr-FR"/>
        </w:rPr>
        <w:t>Le Plan plurinational pour la prévention des grossesses chez les adolescentes et les jeunes filles se décline en plusieurs volets, pour lesquels les budgets suivants ont été alloués.</w:t>
      </w:r>
    </w:p>
    <w:tbl>
      <w:tblPr>
        <w:tblW w:w="7370" w:type="dxa"/>
        <w:tblInd w:w="1134" w:type="dxa"/>
        <w:tblLayout w:type="fixed"/>
        <w:tblCellMar>
          <w:left w:w="0" w:type="dxa"/>
          <w:right w:w="0" w:type="dxa"/>
        </w:tblCellMar>
        <w:tblLook w:val="04A0" w:firstRow="1" w:lastRow="0" w:firstColumn="1" w:lastColumn="0" w:noHBand="0" w:noVBand="1"/>
      </w:tblPr>
      <w:tblGrid>
        <w:gridCol w:w="5235"/>
        <w:gridCol w:w="2135"/>
      </w:tblGrid>
      <w:tr w:rsidR="0081022C" w:rsidRPr="00680C65" w14:paraId="31A649DB" w14:textId="77777777" w:rsidTr="00680C65">
        <w:trPr>
          <w:tblHeader/>
        </w:trPr>
        <w:tc>
          <w:tcPr>
            <w:tcW w:w="5235" w:type="dxa"/>
            <w:tcBorders>
              <w:top w:val="single" w:sz="4" w:space="0" w:color="auto"/>
              <w:bottom w:val="single" w:sz="12" w:space="0" w:color="auto"/>
            </w:tcBorders>
            <w:shd w:val="clear" w:color="auto" w:fill="auto"/>
            <w:vAlign w:val="bottom"/>
          </w:tcPr>
          <w:p w14:paraId="01113245" w14:textId="77777777" w:rsidR="0081022C" w:rsidRPr="00680C65" w:rsidRDefault="0081022C" w:rsidP="00680C65">
            <w:pPr>
              <w:suppressAutoHyphens w:val="0"/>
              <w:spacing w:before="80" w:after="80" w:line="200" w:lineRule="exact"/>
              <w:rPr>
                <w:rFonts w:eastAsia="Times New Roman"/>
                <w:i/>
                <w:sz w:val="16"/>
              </w:rPr>
            </w:pPr>
            <w:r w:rsidRPr="00680C65">
              <w:rPr>
                <w:i/>
                <w:sz w:val="16"/>
                <w:lang w:val="fr-FR"/>
              </w:rPr>
              <w:t>Volet</w:t>
            </w:r>
          </w:p>
        </w:tc>
        <w:tc>
          <w:tcPr>
            <w:tcW w:w="2135" w:type="dxa"/>
            <w:tcBorders>
              <w:top w:val="single" w:sz="4" w:space="0" w:color="auto"/>
              <w:bottom w:val="single" w:sz="12" w:space="0" w:color="auto"/>
            </w:tcBorders>
            <w:shd w:val="clear" w:color="auto" w:fill="auto"/>
            <w:vAlign w:val="bottom"/>
          </w:tcPr>
          <w:p w14:paraId="0BC22230" w14:textId="77777777" w:rsidR="0081022C" w:rsidRPr="00680C65" w:rsidRDefault="0081022C" w:rsidP="00680C65">
            <w:pPr>
              <w:suppressAutoHyphens w:val="0"/>
              <w:spacing w:before="80" w:after="80" w:line="200" w:lineRule="exact"/>
              <w:jc w:val="right"/>
              <w:rPr>
                <w:rFonts w:eastAsia="Times New Roman"/>
                <w:i/>
                <w:sz w:val="16"/>
              </w:rPr>
            </w:pPr>
            <w:r w:rsidRPr="00680C65">
              <w:rPr>
                <w:i/>
                <w:sz w:val="16"/>
                <w:lang w:val="fr-FR"/>
              </w:rPr>
              <w:t>Budget en bolivianos</w:t>
            </w:r>
          </w:p>
        </w:tc>
      </w:tr>
      <w:tr w:rsidR="0081022C" w:rsidRPr="00680C65" w14:paraId="032F8208" w14:textId="77777777" w:rsidTr="00680C65">
        <w:tc>
          <w:tcPr>
            <w:tcW w:w="5235" w:type="dxa"/>
            <w:tcBorders>
              <w:top w:val="single" w:sz="12" w:space="0" w:color="auto"/>
            </w:tcBorders>
            <w:shd w:val="clear" w:color="auto" w:fill="auto"/>
          </w:tcPr>
          <w:p w14:paraId="536C214C" w14:textId="1DB7047C" w:rsidR="0081022C" w:rsidRPr="00680C65" w:rsidRDefault="0081022C" w:rsidP="00680C65">
            <w:pPr>
              <w:suppressAutoHyphens w:val="0"/>
              <w:spacing w:before="40" w:after="40" w:line="220" w:lineRule="exact"/>
              <w:rPr>
                <w:rFonts w:eastAsia="Times New Roman"/>
                <w:sz w:val="18"/>
              </w:rPr>
            </w:pPr>
            <w:r w:rsidRPr="00680C65">
              <w:rPr>
                <w:sz w:val="18"/>
                <w:lang w:val="fr-FR"/>
              </w:rPr>
              <w:t>Économie, production et travail</w:t>
            </w:r>
          </w:p>
        </w:tc>
        <w:tc>
          <w:tcPr>
            <w:tcW w:w="2135" w:type="dxa"/>
            <w:tcBorders>
              <w:top w:val="single" w:sz="12" w:space="0" w:color="auto"/>
            </w:tcBorders>
            <w:shd w:val="clear" w:color="auto" w:fill="auto"/>
            <w:vAlign w:val="bottom"/>
          </w:tcPr>
          <w:p w14:paraId="764654C8" w14:textId="77777777" w:rsidR="0081022C" w:rsidRPr="00680C65" w:rsidRDefault="0081022C" w:rsidP="00680C65">
            <w:pPr>
              <w:suppressAutoHyphens w:val="0"/>
              <w:spacing w:before="40" w:after="40" w:line="220" w:lineRule="exact"/>
              <w:jc w:val="right"/>
              <w:rPr>
                <w:rFonts w:eastAsia="Times New Roman"/>
                <w:sz w:val="18"/>
              </w:rPr>
            </w:pPr>
            <w:r w:rsidRPr="00680C65">
              <w:rPr>
                <w:sz w:val="18"/>
                <w:lang w:val="fr-FR"/>
              </w:rPr>
              <w:t xml:space="preserve">1 750 000 </w:t>
            </w:r>
          </w:p>
        </w:tc>
      </w:tr>
      <w:tr w:rsidR="0081022C" w:rsidRPr="00680C65" w14:paraId="1C8C40E5" w14:textId="77777777" w:rsidTr="00680C65">
        <w:tc>
          <w:tcPr>
            <w:tcW w:w="5235" w:type="dxa"/>
            <w:shd w:val="clear" w:color="auto" w:fill="auto"/>
          </w:tcPr>
          <w:p w14:paraId="509C2CAB" w14:textId="1133CF09" w:rsidR="0081022C" w:rsidRPr="00680C65" w:rsidRDefault="0081022C" w:rsidP="00680C65">
            <w:pPr>
              <w:suppressAutoHyphens w:val="0"/>
              <w:spacing w:before="40" w:after="40" w:line="220" w:lineRule="exact"/>
              <w:rPr>
                <w:rFonts w:eastAsia="Times New Roman"/>
                <w:sz w:val="18"/>
              </w:rPr>
            </w:pPr>
            <w:r w:rsidRPr="00680C65">
              <w:rPr>
                <w:sz w:val="18"/>
                <w:lang w:val="fr-FR"/>
              </w:rPr>
              <w:t>Éducation</w:t>
            </w:r>
          </w:p>
        </w:tc>
        <w:tc>
          <w:tcPr>
            <w:tcW w:w="2135" w:type="dxa"/>
            <w:shd w:val="clear" w:color="auto" w:fill="auto"/>
            <w:vAlign w:val="bottom"/>
          </w:tcPr>
          <w:p w14:paraId="126A8C12" w14:textId="77777777" w:rsidR="0081022C" w:rsidRPr="00680C65" w:rsidRDefault="0081022C" w:rsidP="00680C65">
            <w:pPr>
              <w:suppressAutoHyphens w:val="0"/>
              <w:spacing w:before="40" w:after="40" w:line="220" w:lineRule="exact"/>
              <w:jc w:val="right"/>
              <w:rPr>
                <w:rFonts w:eastAsia="Times New Roman"/>
                <w:sz w:val="18"/>
              </w:rPr>
            </w:pPr>
            <w:r w:rsidRPr="00680C65">
              <w:rPr>
                <w:sz w:val="18"/>
                <w:lang w:val="fr-FR"/>
              </w:rPr>
              <w:t xml:space="preserve">2 380 000 </w:t>
            </w:r>
          </w:p>
        </w:tc>
      </w:tr>
      <w:tr w:rsidR="0081022C" w:rsidRPr="00680C65" w14:paraId="31057852" w14:textId="77777777" w:rsidTr="00680C65">
        <w:tc>
          <w:tcPr>
            <w:tcW w:w="5235" w:type="dxa"/>
            <w:shd w:val="clear" w:color="auto" w:fill="auto"/>
          </w:tcPr>
          <w:p w14:paraId="1C79316E" w14:textId="00216F49" w:rsidR="0081022C" w:rsidRPr="00680C65" w:rsidRDefault="0081022C" w:rsidP="00680C65">
            <w:pPr>
              <w:suppressAutoHyphens w:val="0"/>
              <w:spacing w:before="40" w:after="40" w:line="220" w:lineRule="exact"/>
              <w:rPr>
                <w:rFonts w:eastAsia="Times New Roman"/>
                <w:sz w:val="18"/>
              </w:rPr>
            </w:pPr>
            <w:r w:rsidRPr="00680C65">
              <w:rPr>
                <w:sz w:val="18"/>
                <w:lang w:val="fr-FR"/>
              </w:rPr>
              <w:t>Santé</w:t>
            </w:r>
          </w:p>
        </w:tc>
        <w:tc>
          <w:tcPr>
            <w:tcW w:w="2135" w:type="dxa"/>
            <w:shd w:val="clear" w:color="auto" w:fill="auto"/>
            <w:vAlign w:val="bottom"/>
          </w:tcPr>
          <w:p w14:paraId="706A171C" w14:textId="77777777" w:rsidR="0081022C" w:rsidRPr="00680C65" w:rsidRDefault="0081022C" w:rsidP="00680C65">
            <w:pPr>
              <w:suppressAutoHyphens w:val="0"/>
              <w:spacing w:before="40" w:after="40" w:line="220" w:lineRule="exact"/>
              <w:jc w:val="right"/>
              <w:rPr>
                <w:rFonts w:eastAsia="Times New Roman"/>
                <w:sz w:val="18"/>
              </w:rPr>
            </w:pPr>
            <w:r w:rsidRPr="00680C65">
              <w:rPr>
                <w:sz w:val="18"/>
                <w:lang w:val="fr-FR"/>
              </w:rPr>
              <w:t xml:space="preserve">6 678 000 </w:t>
            </w:r>
          </w:p>
        </w:tc>
      </w:tr>
      <w:tr w:rsidR="0081022C" w:rsidRPr="00680C65" w14:paraId="65A4C947" w14:textId="77777777" w:rsidTr="00680C65">
        <w:tc>
          <w:tcPr>
            <w:tcW w:w="5235" w:type="dxa"/>
            <w:shd w:val="clear" w:color="auto" w:fill="auto"/>
          </w:tcPr>
          <w:p w14:paraId="39E5B20A" w14:textId="0B9A40CC" w:rsidR="0081022C" w:rsidRPr="00680C65" w:rsidRDefault="0081022C" w:rsidP="00680C65">
            <w:pPr>
              <w:suppressAutoHyphens w:val="0"/>
              <w:spacing w:before="40" w:after="40" w:line="220" w:lineRule="exact"/>
              <w:rPr>
                <w:rFonts w:eastAsia="Times New Roman"/>
                <w:sz w:val="18"/>
              </w:rPr>
            </w:pPr>
            <w:r w:rsidRPr="00680C65">
              <w:rPr>
                <w:sz w:val="18"/>
                <w:lang w:val="fr-FR"/>
              </w:rPr>
              <w:t>Violence fondée sur le genre</w:t>
            </w:r>
          </w:p>
        </w:tc>
        <w:tc>
          <w:tcPr>
            <w:tcW w:w="2135" w:type="dxa"/>
            <w:shd w:val="clear" w:color="auto" w:fill="auto"/>
            <w:vAlign w:val="bottom"/>
          </w:tcPr>
          <w:p w14:paraId="3BEBF1B7" w14:textId="77777777" w:rsidR="0081022C" w:rsidRPr="00680C65" w:rsidRDefault="0081022C" w:rsidP="00680C65">
            <w:pPr>
              <w:suppressAutoHyphens w:val="0"/>
              <w:spacing w:before="40" w:after="40" w:line="220" w:lineRule="exact"/>
              <w:jc w:val="right"/>
              <w:rPr>
                <w:rFonts w:eastAsia="Times New Roman"/>
                <w:sz w:val="18"/>
              </w:rPr>
            </w:pPr>
            <w:r w:rsidRPr="00680C65">
              <w:rPr>
                <w:sz w:val="18"/>
                <w:lang w:val="fr-FR"/>
              </w:rPr>
              <w:t xml:space="preserve">1 800 000 </w:t>
            </w:r>
          </w:p>
        </w:tc>
      </w:tr>
      <w:tr w:rsidR="0081022C" w:rsidRPr="00680C65" w14:paraId="6221711B" w14:textId="77777777" w:rsidTr="00680C65">
        <w:tc>
          <w:tcPr>
            <w:tcW w:w="5235" w:type="dxa"/>
            <w:shd w:val="clear" w:color="auto" w:fill="auto"/>
          </w:tcPr>
          <w:p w14:paraId="7DCA93CA" w14:textId="37B49240" w:rsidR="0081022C" w:rsidRPr="00680C65" w:rsidRDefault="0081022C" w:rsidP="007C5863">
            <w:pPr>
              <w:suppressAutoHyphens w:val="0"/>
              <w:spacing w:before="40" w:after="40" w:line="220" w:lineRule="exact"/>
              <w:rPr>
                <w:rFonts w:eastAsia="Times New Roman"/>
                <w:sz w:val="18"/>
              </w:rPr>
            </w:pPr>
            <w:r w:rsidRPr="00680C65">
              <w:rPr>
                <w:sz w:val="18"/>
                <w:lang w:val="fr-FR"/>
              </w:rPr>
              <w:t>Citoyenneté et participation à la vie politique</w:t>
            </w:r>
          </w:p>
        </w:tc>
        <w:tc>
          <w:tcPr>
            <w:tcW w:w="2135" w:type="dxa"/>
            <w:shd w:val="clear" w:color="auto" w:fill="auto"/>
            <w:vAlign w:val="bottom"/>
          </w:tcPr>
          <w:p w14:paraId="5F9494E8" w14:textId="77777777" w:rsidR="0081022C" w:rsidRPr="00680C65" w:rsidRDefault="0081022C" w:rsidP="007C5863">
            <w:pPr>
              <w:suppressAutoHyphens w:val="0"/>
              <w:spacing w:before="40" w:after="40" w:line="220" w:lineRule="exact"/>
              <w:jc w:val="right"/>
              <w:rPr>
                <w:rFonts w:eastAsia="Times New Roman"/>
                <w:sz w:val="18"/>
              </w:rPr>
            </w:pPr>
            <w:r w:rsidRPr="00680C65">
              <w:rPr>
                <w:sz w:val="18"/>
                <w:lang w:val="fr-FR"/>
              </w:rPr>
              <w:t xml:space="preserve">1 020 000 </w:t>
            </w:r>
          </w:p>
        </w:tc>
      </w:tr>
      <w:tr w:rsidR="00680C65" w:rsidRPr="00680C65" w14:paraId="3CA806C2" w14:textId="77777777" w:rsidTr="00680C65">
        <w:tc>
          <w:tcPr>
            <w:tcW w:w="5235" w:type="dxa"/>
            <w:tcBorders>
              <w:bottom w:val="single" w:sz="4" w:space="0" w:color="auto"/>
            </w:tcBorders>
            <w:shd w:val="clear" w:color="auto" w:fill="auto"/>
          </w:tcPr>
          <w:p w14:paraId="37FCF712" w14:textId="255B674F" w:rsidR="0081022C" w:rsidRPr="00680C65" w:rsidRDefault="0081022C" w:rsidP="00077BD3">
            <w:pPr>
              <w:keepNext/>
              <w:keepLines/>
              <w:suppressAutoHyphens w:val="0"/>
              <w:spacing w:before="40" w:after="40" w:line="220" w:lineRule="exact"/>
              <w:rPr>
                <w:rFonts w:eastAsia="Times New Roman"/>
                <w:sz w:val="18"/>
              </w:rPr>
            </w:pPr>
            <w:r w:rsidRPr="00680C65">
              <w:rPr>
                <w:sz w:val="18"/>
                <w:lang w:val="fr-FR"/>
              </w:rPr>
              <w:lastRenderedPageBreak/>
              <w:t>Renforcement des institutions</w:t>
            </w:r>
          </w:p>
        </w:tc>
        <w:tc>
          <w:tcPr>
            <w:tcW w:w="2135" w:type="dxa"/>
            <w:tcBorders>
              <w:bottom w:val="single" w:sz="4" w:space="0" w:color="auto"/>
            </w:tcBorders>
            <w:shd w:val="clear" w:color="auto" w:fill="auto"/>
            <w:vAlign w:val="bottom"/>
          </w:tcPr>
          <w:p w14:paraId="7E9F3458" w14:textId="77777777" w:rsidR="0081022C" w:rsidRPr="00680C65" w:rsidRDefault="0081022C" w:rsidP="00077BD3">
            <w:pPr>
              <w:keepNext/>
              <w:keepLines/>
              <w:suppressAutoHyphens w:val="0"/>
              <w:spacing w:before="40" w:after="40" w:line="220" w:lineRule="exact"/>
              <w:jc w:val="right"/>
              <w:rPr>
                <w:rFonts w:eastAsia="Times New Roman"/>
                <w:sz w:val="18"/>
              </w:rPr>
            </w:pPr>
            <w:r w:rsidRPr="00680C65">
              <w:rPr>
                <w:sz w:val="18"/>
                <w:lang w:val="fr-FR"/>
              </w:rPr>
              <w:t xml:space="preserve">760 000 </w:t>
            </w:r>
          </w:p>
        </w:tc>
      </w:tr>
      <w:tr w:rsidR="0081022C" w:rsidRPr="00680C65" w14:paraId="371FEC2A" w14:textId="77777777" w:rsidTr="00680C65">
        <w:tc>
          <w:tcPr>
            <w:tcW w:w="5235" w:type="dxa"/>
            <w:tcBorders>
              <w:top w:val="single" w:sz="4" w:space="0" w:color="auto"/>
              <w:bottom w:val="single" w:sz="12" w:space="0" w:color="auto"/>
            </w:tcBorders>
            <w:shd w:val="clear" w:color="auto" w:fill="auto"/>
          </w:tcPr>
          <w:p w14:paraId="151824CF" w14:textId="10496C9E" w:rsidR="0081022C" w:rsidRPr="00680C65" w:rsidRDefault="0081022C" w:rsidP="00680C65">
            <w:pPr>
              <w:suppressAutoHyphens w:val="0"/>
              <w:spacing w:before="80" w:after="80" w:line="220" w:lineRule="exact"/>
              <w:ind w:left="283"/>
              <w:rPr>
                <w:rFonts w:eastAsia="Times New Roman"/>
                <w:b/>
                <w:sz w:val="18"/>
              </w:rPr>
            </w:pPr>
            <w:r w:rsidRPr="00680C65">
              <w:rPr>
                <w:b/>
                <w:sz w:val="18"/>
                <w:lang w:val="fr-FR"/>
              </w:rPr>
              <w:t>Total du budget quinquennal</w:t>
            </w:r>
          </w:p>
        </w:tc>
        <w:tc>
          <w:tcPr>
            <w:tcW w:w="2135" w:type="dxa"/>
            <w:tcBorders>
              <w:top w:val="single" w:sz="4" w:space="0" w:color="auto"/>
              <w:bottom w:val="single" w:sz="12" w:space="0" w:color="auto"/>
            </w:tcBorders>
            <w:shd w:val="clear" w:color="auto" w:fill="auto"/>
            <w:vAlign w:val="bottom"/>
          </w:tcPr>
          <w:p w14:paraId="5A48D4FE" w14:textId="77777777" w:rsidR="0081022C" w:rsidRPr="00680C65" w:rsidRDefault="0081022C" w:rsidP="00680C65">
            <w:pPr>
              <w:suppressAutoHyphens w:val="0"/>
              <w:spacing w:before="80" w:after="80" w:line="220" w:lineRule="exact"/>
              <w:jc w:val="right"/>
              <w:rPr>
                <w:rFonts w:eastAsia="Times New Roman"/>
                <w:b/>
                <w:sz w:val="18"/>
              </w:rPr>
            </w:pPr>
            <w:r w:rsidRPr="00680C65">
              <w:rPr>
                <w:b/>
                <w:sz w:val="18"/>
                <w:lang w:val="fr-FR"/>
              </w:rPr>
              <w:t xml:space="preserve">12 638 000 </w:t>
            </w:r>
          </w:p>
        </w:tc>
      </w:tr>
    </w:tbl>
    <w:p w14:paraId="5EB3E391" w14:textId="77777777" w:rsidR="0081022C" w:rsidRPr="00680C65" w:rsidRDefault="0081022C" w:rsidP="00680C65">
      <w:pPr>
        <w:pStyle w:val="SingleTxtG"/>
        <w:spacing w:before="120" w:after="240"/>
        <w:ind w:firstLine="170"/>
        <w:rPr>
          <w:rFonts w:eastAsia="Arial"/>
          <w:sz w:val="18"/>
          <w:szCs w:val="18"/>
        </w:rPr>
      </w:pPr>
      <w:r w:rsidRPr="00680C65">
        <w:rPr>
          <w:i/>
          <w:iCs/>
          <w:sz w:val="18"/>
          <w:szCs w:val="18"/>
          <w:lang w:val="fr-FR"/>
        </w:rPr>
        <w:t>Source</w:t>
      </w:r>
      <w:r w:rsidRPr="00680C65">
        <w:rPr>
          <w:sz w:val="18"/>
          <w:szCs w:val="18"/>
          <w:lang w:val="fr-FR"/>
        </w:rPr>
        <w:t> : Plan plurinational pour la prévention des grossesses chez les adolescentes et les jeunes filles.</w:t>
      </w:r>
    </w:p>
    <w:p w14:paraId="362E297D" w14:textId="07B4049A" w:rsidR="0081022C" w:rsidRPr="007431C8" w:rsidRDefault="0081022C" w:rsidP="0081022C">
      <w:pPr>
        <w:pStyle w:val="SingleTxtG"/>
      </w:pPr>
      <w:r>
        <w:rPr>
          <w:lang w:val="fr-FR"/>
        </w:rPr>
        <w:t>58.</w:t>
      </w:r>
      <w:r>
        <w:rPr>
          <w:lang w:val="fr-FR"/>
        </w:rPr>
        <w:tab/>
        <w:t>f)</w:t>
      </w:r>
      <w:r w:rsidR="00680C65">
        <w:rPr>
          <w:lang w:val="fr-FR"/>
        </w:rPr>
        <w:t> </w:t>
      </w:r>
      <w:r>
        <w:rPr>
          <w:lang w:val="fr-FR"/>
        </w:rPr>
        <w:t>En application de la loi n</w:t>
      </w:r>
      <w:r>
        <w:rPr>
          <w:vertAlign w:val="superscript"/>
          <w:lang w:val="fr-FR"/>
        </w:rPr>
        <w:t>o</w:t>
      </w:r>
      <w:r>
        <w:rPr>
          <w:lang w:val="fr-FR"/>
        </w:rPr>
        <w:t> 348, des formations sont dispensées aux prestataires de santé sur la prise en charge globale des victimes de violences sexuelles. Par ailleurs, chacun pouvant être victime de violence, la formation prend en compte le fait que la victime peut être une fille, un garçon, un adolescent, une adolescente, une femme, un homme, une personne âgée, une personne handicapée, et peut avoir une orientation sexuelle et une identité de genre différente.</w:t>
      </w:r>
    </w:p>
    <w:p w14:paraId="23FA64E6" w14:textId="77777777" w:rsidR="0081022C" w:rsidRPr="007431C8" w:rsidRDefault="0081022C" w:rsidP="0081022C">
      <w:pPr>
        <w:pStyle w:val="SingleTxtG"/>
      </w:pPr>
      <w:r>
        <w:rPr>
          <w:lang w:val="fr-FR"/>
        </w:rPr>
        <w:t>59.</w:t>
      </w:r>
      <w:r>
        <w:rPr>
          <w:lang w:val="fr-FR"/>
        </w:rPr>
        <w:tab/>
        <w:t>Dans ce cadre, le Ministère de la santé et des sports, par l’intermédiaire de son Département de prise en charge tout au long de la vie, réalise un plan de formation sur les techniques de contraception. Les formations dispensées ces quatre dernières années sur les techniques de contraception et la sensibilisation aux droits sexuels et reproductifs ont contribué à la qualité des soins de santé offerts à la population.</w:t>
      </w:r>
    </w:p>
    <w:p w14:paraId="57FD7FC7" w14:textId="654E2DD2" w:rsidR="0081022C" w:rsidRPr="002014CD" w:rsidRDefault="0081022C" w:rsidP="00680C65">
      <w:pPr>
        <w:pStyle w:val="H23G"/>
      </w:pPr>
      <w:r>
        <w:rPr>
          <w:lang w:val="fr-FR"/>
        </w:rPr>
        <w:tab/>
      </w:r>
      <w:r>
        <w:rPr>
          <w:lang w:val="fr-FR"/>
        </w:rPr>
        <w:tab/>
        <w:t>Formation sur l’application des techniques de contraception à destination des</w:t>
      </w:r>
      <w:r w:rsidR="00077BD3">
        <w:rPr>
          <w:lang w:val="fr-FR"/>
        </w:rPr>
        <w:t> </w:t>
      </w:r>
      <w:r>
        <w:rPr>
          <w:lang w:val="fr-FR"/>
        </w:rPr>
        <w:t>prestataires de soins de santé primaires</w:t>
      </w:r>
    </w:p>
    <w:p w14:paraId="331BE649" w14:textId="64C38DB5" w:rsidR="0081022C" w:rsidRPr="00EF700A" w:rsidRDefault="0081022C" w:rsidP="0081022C">
      <w:pPr>
        <w:pStyle w:val="SingleTxtG"/>
      </w:pPr>
      <w:r>
        <w:rPr>
          <w:lang w:val="fr-FR"/>
        </w:rPr>
        <w:t>60.</w:t>
      </w:r>
      <w:r>
        <w:rPr>
          <w:lang w:val="fr-FR"/>
        </w:rPr>
        <w:tab/>
        <w:t xml:space="preserve">2016 : </w:t>
      </w:r>
      <w:r w:rsidR="00077BD3">
        <w:rPr>
          <w:lang w:val="fr-FR"/>
        </w:rPr>
        <w:t>A</w:t>
      </w:r>
      <w:r>
        <w:rPr>
          <w:lang w:val="fr-FR"/>
        </w:rPr>
        <w:t>fin de renforcer les capacités du personnel de santé, le Département de prise en charge tout au long de la vie, avec la coopération du FNUAP, a planifié l’élaboration de programmes de formation. En 2016, 288 médecins et 166 infirmières ont été formés aux techniques de contraception et, parallèlement, le personnel de santé a été sensibilisé aux droits sexuels et reproductifs.</w:t>
      </w:r>
    </w:p>
    <w:p w14:paraId="505E5510" w14:textId="1AA03319" w:rsidR="0081022C" w:rsidRPr="00EF700A" w:rsidRDefault="0081022C" w:rsidP="0081022C">
      <w:pPr>
        <w:pStyle w:val="SingleTxtG"/>
      </w:pPr>
      <w:r>
        <w:rPr>
          <w:lang w:val="fr-FR"/>
        </w:rPr>
        <w:t>61.</w:t>
      </w:r>
      <w:r>
        <w:rPr>
          <w:lang w:val="fr-FR"/>
        </w:rPr>
        <w:tab/>
        <w:t xml:space="preserve">2017 : </w:t>
      </w:r>
      <w:r w:rsidR="00077BD3">
        <w:rPr>
          <w:lang w:val="fr-FR"/>
        </w:rPr>
        <w:t>À</w:t>
      </w:r>
      <w:r>
        <w:rPr>
          <w:lang w:val="fr-FR"/>
        </w:rPr>
        <w:t xml:space="preserve"> l’échelle nationale, 240 personnels de santé ont été formés et sensibilisés, en théorie et en pratique, à la contraception et 531 personnels ont été sensibilisés aux droits sexuels et reproductifs et à l’importance de la contraception pour les femmes et les hommes, conformément à la réglementation.</w:t>
      </w:r>
    </w:p>
    <w:p w14:paraId="4DF218C9" w14:textId="4966CBEA" w:rsidR="0081022C" w:rsidRPr="00EF700A" w:rsidRDefault="0081022C" w:rsidP="0081022C">
      <w:pPr>
        <w:pStyle w:val="SingleTxtG"/>
      </w:pPr>
      <w:r>
        <w:rPr>
          <w:lang w:val="fr-FR"/>
        </w:rPr>
        <w:t>62.</w:t>
      </w:r>
      <w:r>
        <w:rPr>
          <w:lang w:val="fr-FR"/>
        </w:rPr>
        <w:tab/>
        <w:t>2018 : 259</w:t>
      </w:r>
      <w:r w:rsidR="00680C65">
        <w:rPr>
          <w:lang w:val="fr-FR"/>
        </w:rPr>
        <w:t> </w:t>
      </w:r>
      <w:r>
        <w:rPr>
          <w:lang w:val="fr-FR"/>
        </w:rPr>
        <w:t>personnels de santé ont été formés à la contraception et au respect de la réglementation pour garantir le droit de la population à la santé sexuelle et reproductive.</w:t>
      </w:r>
    </w:p>
    <w:p w14:paraId="5BADA5EB" w14:textId="1E7BF1D6" w:rsidR="0081022C" w:rsidRPr="00EF700A" w:rsidRDefault="0081022C" w:rsidP="0081022C">
      <w:pPr>
        <w:pStyle w:val="SingleTxtG"/>
      </w:pPr>
      <w:r>
        <w:rPr>
          <w:lang w:val="fr-FR"/>
        </w:rPr>
        <w:t>63.</w:t>
      </w:r>
      <w:r>
        <w:rPr>
          <w:lang w:val="fr-FR"/>
        </w:rPr>
        <w:tab/>
        <w:t xml:space="preserve">2019 : </w:t>
      </w:r>
      <w:r w:rsidR="00077BD3">
        <w:rPr>
          <w:lang w:val="fr-FR"/>
        </w:rPr>
        <w:t>D</w:t>
      </w:r>
      <w:r>
        <w:rPr>
          <w:lang w:val="fr-FR"/>
        </w:rPr>
        <w:t>ans le cadre du Plan de travail annuel, 111 personnels de santé ont été formés à la contraception et sensibilisés au respect de la réglementation pour garantir les droits sexuels et reproductifs de la population, et en particulier les droits des femmes de choisir les méthodes contraceptives et d’y accéder.</w:t>
      </w:r>
    </w:p>
    <w:p w14:paraId="2FC30C7A" w14:textId="5F5B19F0" w:rsidR="0081022C" w:rsidRPr="007431C8" w:rsidRDefault="0081022C" w:rsidP="0081022C">
      <w:pPr>
        <w:pStyle w:val="SingleTxtG"/>
      </w:pPr>
      <w:r>
        <w:rPr>
          <w:lang w:val="fr-FR"/>
        </w:rPr>
        <w:t>64.</w:t>
      </w:r>
      <w:r>
        <w:rPr>
          <w:lang w:val="fr-FR"/>
        </w:rPr>
        <w:tab/>
        <w:t xml:space="preserve">2020 : </w:t>
      </w:r>
      <w:r w:rsidR="00077BD3">
        <w:rPr>
          <w:lang w:val="fr-FR"/>
        </w:rPr>
        <w:t>E</w:t>
      </w:r>
      <w:r>
        <w:rPr>
          <w:lang w:val="fr-FR"/>
        </w:rPr>
        <w:t>n dépit des difficultés liées à la continuité des services de santé sexuelle et reproductive et du manque de matériel de biosécurité pour le personnel de santé et les patients, plusieurs réussites sont à noter :</w:t>
      </w:r>
    </w:p>
    <w:p w14:paraId="68C27192" w14:textId="139CC463" w:rsidR="0081022C" w:rsidRPr="002014CD" w:rsidRDefault="0081022C" w:rsidP="00680C65">
      <w:pPr>
        <w:pStyle w:val="Bullet1G"/>
      </w:pPr>
      <w:r>
        <w:rPr>
          <w:lang w:val="fr-FR"/>
        </w:rPr>
        <w:t>Un don d’équipements de protection individuelle (du FNUAP et de l’Ambassade de Suède) a été reçu et distribué en juin, juillet, août et septembre dans 55 maternités et centres assurant des accouchements de niveau I, II et III</w:t>
      </w:r>
      <w:r w:rsidR="00680C65">
        <w:rPr>
          <w:lang w:val="fr-FR"/>
        </w:rPr>
        <w:t> ;</w:t>
      </w:r>
    </w:p>
    <w:p w14:paraId="068BD24C" w14:textId="3C18BDD0" w:rsidR="0081022C" w:rsidRPr="002014CD" w:rsidRDefault="0081022C" w:rsidP="00680C65">
      <w:pPr>
        <w:pStyle w:val="Bullet1G"/>
      </w:pPr>
      <w:r>
        <w:rPr>
          <w:lang w:val="fr-FR"/>
        </w:rPr>
        <w:t>Dix campagnes sur la contraception ont été menées dans les neuf départements. Elles</w:t>
      </w:r>
      <w:r w:rsidR="007C5863">
        <w:rPr>
          <w:lang w:val="fr-FR"/>
        </w:rPr>
        <w:t> </w:t>
      </w:r>
      <w:r>
        <w:rPr>
          <w:lang w:val="fr-FR"/>
        </w:rPr>
        <w:t>ont permis de fournir 1</w:t>
      </w:r>
      <w:r w:rsidR="007C5863">
        <w:rPr>
          <w:lang w:val="fr-FR"/>
        </w:rPr>
        <w:t> </w:t>
      </w:r>
      <w:r>
        <w:rPr>
          <w:lang w:val="fr-FR"/>
        </w:rPr>
        <w:t>552 implants sous-cutanés, 167 dispositifs intra-utérins (DIU) et 10</w:t>
      </w:r>
      <w:r w:rsidR="007C5863">
        <w:rPr>
          <w:lang w:val="fr-FR"/>
        </w:rPr>
        <w:t> </w:t>
      </w:r>
      <w:r>
        <w:rPr>
          <w:lang w:val="fr-FR"/>
        </w:rPr>
        <w:t>314 préservatifs avec le soutien du FNUAP et de Marie Stopes</w:t>
      </w:r>
      <w:r w:rsidR="00680C65">
        <w:rPr>
          <w:lang w:val="fr-FR"/>
        </w:rPr>
        <w:t> ;</w:t>
      </w:r>
    </w:p>
    <w:p w14:paraId="3D0F626F" w14:textId="4EE72ECD" w:rsidR="0081022C" w:rsidRPr="002014CD" w:rsidRDefault="0081022C" w:rsidP="00680C65">
      <w:pPr>
        <w:pStyle w:val="Bullet1G"/>
      </w:pPr>
      <w:r>
        <w:rPr>
          <w:lang w:val="fr-FR"/>
        </w:rPr>
        <w:t>Des cours virtuels ont été organisés sur la réglementation relative à la prise en charge globale de la santé sexuelle et reproductive des personnes handicapées. Ils ont permis de former 172 personnels de santé</w:t>
      </w:r>
      <w:r w:rsidR="00680C65">
        <w:rPr>
          <w:lang w:val="fr-FR"/>
        </w:rPr>
        <w:t> ;</w:t>
      </w:r>
    </w:p>
    <w:p w14:paraId="12401857" w14:textId="77777777" w:rsidR="0081022C" w:rsidRPr="002014CD" w:rsidRDefault="0081022C" w:rsidP="00680C65">
      <w:pPr>
        <w:pStyle w:val="Bullet1G"/>
      </w:pPr>
      <w:r>
        <w:rPr>
          <w:lang w:val="fr-FR"/>
        </w:rPr>
        <w:t>Plusieurs séminaires ont eu lieu en juillet et août 2020 : santé mentale chez les professionnels de la santé en période de COVID-19, prise en charge de la violence dans les services en période de COVID-19, prévention et maîtrise des infections par la COVID-19, caractéristiques et défis psychologiques, « soutien émotionnel lors des téléconsultations et santé mentale dans le cadre du télétravail pour les professionnels de santé ».</w:t>
      </w:r>
    </w:p>
    <w:p w14:paraId="3FF2772E" w14:textId="6B811051" w:rsidR="0081022C" w:rsidRPr="007431C8" w:rsidRDefault="0081022C" w:rsidP="0081022C">
      <w:pPr>
        <w:pStyle w:val="SingleTxtG"/>
      </w:pPr>
      <w:r>
        <w:rPr>
          <w:lang w:val="fr-FR"/>
        </w:rPr>
        <w:lastRenderedPageBreak/>
        <w:t>65.</w:t>
      </w:r>
      <w:r>
        <w:rPr>
          <w:lang w:val="fr-FR"/>
        </w:rPr>
        <w:tab/>
        <w:t xml:space="preserve">2021 : </w:t>
      </w:r>
      <w:r w:rsidR="007C5863">
        <w:rPr>
          <w:lang w:val="fr-FR"/>
        </w:rPr>
        <w:t>P</w:t>
      </w:r>
      <w:r>
        <w:rPr>
          <w:lang w:val="fr-FR"/>
        </w:rPr>
        <w:t>lusieurs activités menées par le Ministère de la santé et des sports ont permis d’établir un cadre réglementaire qui servira de base au travail des professionnels de la santé, notamment :</w:t>
      </w:r>
    </w:p>
    <w:p w14:paraId="53D2F4AE" w14:textId="7A6166BA" w:rsidR="0081022C" w:rsidRPr="002014CD" w:rsidRDefault="0081022C" w:rsidP="00680C65">
      <w:pPr>
        <w:pStyle w:val="Bullet1G"/>
      </w:pPr>
      <w:r>
        <w:rPr>
          <w:lang w:val="fr-FR"/>
        </w:rPr>
        <w:t>Plan d’action pour promouvoir la continuité des services de santé sexuelle et reproductive pendant et après la pandémie de COVID-19</w:t>
      </w:r>
      <w:r w:rsidR="00680C65">
        <w:rPr>
          <w:lang w:val="fr-FR"/>
        </w:rPr>
        <w:t> ;</w:t>
      </w:r>
    </w:p>
    <w:p w14:paraId="5F01904D" w14:textId="12C3E4C7" w:rsidR="0081022C" w:rsidRPr="002014CD" w:rsidRDefault="0081022C" w:rsidP="00680C65">
      <w:pPr>
        <w:pStyle w:val="Bullet1G"/>
      </w:pPr>
      <w:r>
        <w:rPr>
          <w:lang w:val="fr-FR"/>
        </w:rPr>
        <w:t>Norme de prise en charge globale des personnes LGBTIQ+ dans les établissements de santé</w:t>
      </w:r>
      <w:r w:rsidR="00680C65">
        <w:rPr>
          <w:lang w:val="fr-FR"/>
        </w:rPr>
        <w:t> ;</w:t>
      </w:r>
    </w:p>
    <w:p w14:paraId="5A09B2B0" w14:textId="54DAD454" w:rsidR="0081022C" w:rsidRPr="002014CD" w:rsidRDefault="0081022C" w:rsidP="00680C65">
      <w:pPr>
        <w:pStyle w:val="Bullet1G"/>
      </w:pPr>
      <w:r>
        <w:rPr>
          <w:lang w:val="fr-FR"/>
        </w:rPr>
        <w:t>Lignes directrices en matière de santé sexuelle et reproductive (2021-2025)</w:t>
      </w:r>
      <w:r w:rsidR="00680C65">
        <w:rPr>
          <w:lang w:val="fr-FR"/>
        </w:rPr>
        <w:t> ;</w:t>
      </w:r>
    </w:p>
    <w:p w14:paraId="4118E62D" w14:textId="4D48F331" w:rsidR="0081022C" w:rsidRPr="002014CD" w:rsidRDefault="0081022C" w:rsidP="00680C65">
      <w:pPr>
        <w:pStyle w:val="Bullet1G"/>
      </w:pPr>
      <w:r>
        <w:rPr>
          <w:lang w:val="fr-FR"/>
        </w:rPr>
        <w:t>Norme nationale, règles, protocoles et procédures en matière de contraception (2021)</w:t>
      </w:r>
      <w:r w:rsidR="00680C65">
        <w:rPr>
          <w:lang w:val="fr-FR"/>
        </w:rPr>
        <w:t> ;</w:t>
      </w:r>
    </w:p>
    <w:p w14:paraId="734316D3" w14:textId="77777777" w:rsidR="0081022C" w:rsidRPr="002014CD" w:rsidRDefault="0081022C" w:rsidP="00680C65">
      <w:pPr>
        <w:pStyle w:val="Bullet1G"/>
      </w:pPr>
      <w:r>
        <w:rPr>
          <w:lang w:val="fr-FR"/>
        </w:rPr>
        <w:t>Tableau des procédures de prise en charge intégrale tout au long de la vie (2021).</w:t>
      </w:r>
    </w:p>
    <w:p w14:paraId="6FCF8B9E" w14:textId="77777777" w:rsidR="0081022C" w:rsidRPr="007431C8" w:rsidRDefault="0081022C" w:rsidP="0081022C">
      <w:pPr>
        <w:pStyle w:val="SingleTxtG"/>
      </w:pPr>
      <w:r>
        <w:rPr>
          <w:lang w:val="fr-FR"/>
        </w:rPr>
        <w:t>66.</w:t>
      </w:r>
      <w:r>
        <w:rPr>
          <w:lang w:val="fr-FR"/>
        </w:rPr>
        <w:tab/>
        <w:t>Les activités suivantes ont été menées en 2021 pour favoriser l’accès à la santé sexuelle et reproductive :</w:t>
      </w:r>
    </w:p>
    <w:p w14:paraId="082C2D0E" w14:textId="4D007771" w:rsidR="0081022C" w:rsidRPr="002014CD" w:rsidRDefault="0081022C" w:rsidP="00680C65">
      <w:pPr>
        <w:pStyle w:val="Bullet1G"/>
      </w:pPr>
      <w:r>
        <w:rPr>
          <w:lang w:val="fr-FR"/>
        </w:rPr>
        <w:t>Des salons de la santé ont été organisés à Potosí, Sucre, Irupana, El</w:t>
      </w:r>
      <w:r w:rsidR="007C5863">
        <w:rPr>
          <w:lang w:val="fr-FR"/>
        </w:rPr>
        <w:t> </w:t>
      </w:r>
      <w:r>
        <w:rPr>
          <w:lang w:val="fr-FR"/>
        </w:rPr>
        <w:t>Alto et La</w:t>
      </w:r>
      <w:r w:rsidR="00680C65">
        <w:rPr>
          <w:lang w:val="fr-FR"/>
        </w:rPr>
        <w:t> </w:t>
      </w:r>
      <w:r>
        <w:rPr>
          <w:lang w:val="fr-FR"/>
        </w:rPr>
        <w:t>Paz ; 100</w:t>
      </w:r>
      <w:r w:rsidR="00680C65">
        <w:rPr>
          <w:lang w:val="fr-FR"/>
        </w:rPr>
        <w:t> </w:t>
      </w:r>
      <w:r>
        <w:rPr>
          <w:lang w:val="fr-FR"/>
        </w:rPr>
        <w:t>femmes ont reçu des implants sous-cutanés, 800 femmes ont bénéficié de conseils en matière de santé sexuelle et reproductive et des campagnes relatives à la contraception ont eu lieu dans les départements de Cochabamba et du Beni</w:t>
      </w:r>
      <w:r w:rsidR="00680C65">
        <w:rPr>
          <w:lang w:val="fr-FR"/>
        </w:rPr>
        <w:t> ;</w:t>
      </w:r>
    </w:p>
    <w:p w14:paraId="21C920EB" w14:textId="54266A7B" w:rsidR="0081022C" w:rsidRPr="002014CD" w:rsidRDefault="0081022C" w:rsidP="00680C65">
      <w:pPr>
        <w:pStyle w:val="Bullet1G"/>
      </w:pPr>
      <w:r>
        <w:rPr>
          <w:lang w:val="fr-FR"/>
        </w:rPr>
        <w:t>Des équipements de protection individuelle, des méthodes contraceptives et des médicaments vitaux ont été reçus et distribués à 138 services de maternité et d’accouchement de niveau</w:t>
      </w:r>
      <w:r w:rsidR="00680C65">
        <w:rPr>
          <w:lang w:val="fr-FR"/>
        </w:rPr>
        <w:t> </w:t>
      </w:r>
      <w:r>
        <w:rPr>
          <w:lang w:val="fr-FR"/>
        </w:rPr>
        <w:t>I, II et III.</w:t>
      </w:r>
    </w:p>
    <w:p w14:paraId="3C009F01" w14:textId="02F09C2B" w:rsidR="0081022C" w:rsidRPr="003F5702" w:rsidRDefault="0081022C" w:rsidP="0081022C">
      <w:pPr>
        <w:pStyle w:val="SingleTxtG"/>
      </w:pPr>
      <w:r w:rsidRPr="003F5702">
        <w:rPr>
          <w:lang w:val="fr-FR"/>
        </w:rPr>
        <w:t>67.</w:t>
      </w:r>
      <w:r w:rsidRPr="003F5702">
        <w:rPr>
          <w:lang w:val="fr-FR"/>
        </w:rPr>
        <w:tab/>
        <w:t>Le Département de prise en charge tout au long de la vie, qui dépend de l’Unité chargée des réseaux de services de santé et de qualité, veille à l’amélioration constante des services dans les établissements de santé afin de fournir des soins de qualité à la population. Dans le cadre de ces actions, des formations et des actions de sensibilisation sur les questions de droits sexuels et reproductifs sont également proposées afin que les femmes et les hommes, y</w:t>
      </w:r>
      <w:r w:rsidR="00680C65" w:rsidRPr="003F5702">
        <w:rPr>
          <w:lang w:val="fr-FR"/>
        </w:rPr>
        <w:t> </w:t>
      </w:r>
      <w:r w:rsidRPr="003F5702">
        <w:rPr>
          <w:lang w:val="fr-FR"/>
        </w:rPr>
        <w:t>compris les adolescentes et adolescents, puissent faire un choix éclairé en matière de contraception.</w:t>
      </w:r>
    </w:p>
    <w:p w14:paraId="7EE0B5B6" w14:textId="77777777" w:rsidR="0081022C" w:rsidRPr="007431C8" w:rsidRDefault="0081022C" w:rsidP="0081022C">
      <w:pPr>
        <w:pStyle w:val="SingleTxtG"/>
      </w:pPr>
      <w:r>
        <w:rPr>
          <w:lang w:val="fr-FR"/>
        </w:rPr>
        <w:t>68.</w:t>
      </w:r>
      <w:r>
        <w:rPr>
          <w:lang w:val="fr-FR"/>
        </w:rPr>
        <w:tab/>
        <w:t>D’autre part, le Ministère de la santé et des sports, en réponse à l’arrêt constitutionnel n</w:t>
      </w:r>
      <w:r>
        <w:rPr>
          <w:vertAlign w:val="superscript"/>
          <w:lang w:val="fr-FR"/>
        </w:rPr>
        <w:t>o</w:t>
      </w:r>
      <w:r>
        <w:rPr>
          <w:lang w:val="fr-FR"/>
        </w:rPr>
        <w:t> 0206/2014 relatif à l’interruption légale de grossesse, a élaboré et mis en œuvre un document technique normatif, la Procédure technique pour la prestation de services de santé en application de l’arrêt constitutionnel plurinational n</w:t>
      </w:r>
      <w:r>
        <w:rPr>
          <w:vertAlign w:val="superscript"/>
          <w:lang w:val="fr-FR"/>
        </w:rPr>
        <w:t>o</w:t>
      </w:r>
      <w:r>
        <w:rPr>
          <w:lang w:val="fr-FR"/>
        </w:rPr>
        <w:t> 0206/2014, qui établit des procédures spécifiques pour les interruptions légales de grossesse dans les services de santé des différents niveaux de soins. En outre, le Modèle de prise en charge des victimes de violence sexuelle a été élaboré et mis en œuvre pour garantir une prise en charge des victimes de violences sexuelles dans de bonnes conditions de sécurité.</w:t>
      </w:r>
    </w:p>
    <w:p w14:paraId="0DA80AD8" w14:textId="2A4F5BB6" w:rsidR="0081022C" w:rsidRPr="003F5702" w:rsidRDefault="0081022C" w:rsidP="0081022C">
      <w:pPr>
        <w:pStyle w:val="SingleTxtG"/>
      </w:pPr>
      <w:r w:rsidRPr="003F5702">
        <w:rPr>
          <w:lang w:val="fr-FR"/>
        </w:rPr>
        <w:t>69.</w:t>
      </w:r>
      <w:r w:rsidRPr="003F5702">
        <w:rPr>
          <w:lang w:val="fr-FR"/>
        </w:rPr>
        <w:tab/>
        <w:t>En 2018 et 2019, l’utilisation de la mifépristone associée au misoprostol pour pratiquer des avortements sécurisés a été intégrée au système de santé. Des formations à des techniques plus sûres, telles que l’aspiration manuelle intra-utérine (AMIU), en fonction de l’âge gestationnel, ont été proposées. Après les interventions obstétriques, une contraception est également proposée, sous forme de méthodes de contraception disponibles au sein du système de santé (contraceptifs oraux, DIU, implants sous-cutanés, injections, préservatifs et</w:t>
      </w:r>
      <w:r w:rsidR="003F5702">
        <w:rPr>
          <w:lang w:val="fr-FR"/>
        </w:rPr>
        <w:t> </w:t>
      </w:r>
      <w:r w:rsidRPr="003F5702">
        <w:rPr>
          <w:lang w:val="fr-FR"/>
        </w:rPr>
        <w:t>stérilisation).</w:t>
      </w:r>
    </w:p>
    <w:p w14:paraId="02B4C089" w14:textId="77777777" w:rsidR="0081022C" w:rsidRPr="007431C8" w:rsidRDefault="0081022C" w:rsidP="0081022C">
      <w:pPr>
        <w:pStyle w:val="SingleTxtG"/>
      </w:pPr>
      <w:r>
        <w:rPr>
          <w:lang w:val="fr-FR"/>
        </w:rPr>
        <w:t>70.</w:t>
      </w:r>
      <w:r>
        <w:rPr>
          <w:lang w:val="fr-FR"/>
        </w:rPr>
        <w:tab/>
        <w:t>À ce jour, diverses avancées ont été obtenues en 2021 :</w:t>
      </w:r>
    </w:p>
    <w:p w14:paraId="6B4B06DB" w14:textId="33618CA7" w:rsidR="0081022C" w:rsidRPr="002014CD" w:rsidRDefault="00680C65" w:rsidP="00680C65">
      <w:pPr>
        <w:pStyle w:val="Bullet1G"/>
      </w:pPr>
      <w:r>
        <w:rPr>
          <w:lang w:val="fr-FR"/>
        </w:rPr>
        <w:t>C</w:t>
      </w:r>
      <w:r w:rsidR="0081022C">
        <w:rPr>
          <w:lang w:val="fr-FR"/>
        </w:rPr>
        <w:t>ontrôle des établissements de santé de huit départements qui respectent et mettent en œuvre le Modèle de prise en charge intégrale des victimes de violences sexuelles, la Procédure technique en application de l’arrêt constitutionnel n</w:t>
      </w:r>
      <w:r w:rsidR="0081022C">
        <w:rPr>
          <w:vertAlign w:val="superscript"/>
          <w:lang w:val="fr-FR"/>
        </w:rPr>
        <w:t>o</w:t>
      </w:r>
      <w:r w:rsidR="0081022C">
        <w:rPr>
          <w:lang w:val="fr-FR"/>
        </w:rPr>
        <w:t> 0206/2014 et l’utilisation du misoprostol en gynécologie obstétrique ;</w:t>
      </w:r>
    </w:p>
    <w:p w14:paraId="3852FD84" w14:textId="635863F6" w:rsidR="0081022C" w:rsidRPr="002014CD" w:rsidRDefault="00680C65" w:rsidP="00680C65">
      <w:pPr>
        <w:pStyle w:val="Bullet1G"/>
      </w:pPr>
      <w:r>
        <w:rPr>
          <w:lang w:val="fr-FR"/>
        </w:rPr>
        <w:t>R</w:t>
      </w:r>
      <w:r w:rsidR="0081022C">
        <w:rPr>
          <w:lang w:val="fr-FR"/>
        </w:rPr>
        <w:t>établissement du Comité national interinstitutions sur la violence en milieu médical ;</w:t>
      </w:r>
    </w:p>
    <w:p w14:paraId="62D48865" w14:textId="0029269F" w:rsidR="0081022C" w:rsidRPr="002014CD" w:rsidRDefault="00680C65" w:rsidP="00680C65">
      <w:pPr>
        <w:pStyle w:val="Bullet1G"/>
      </w:pPr>
      <w:r>
        <w:rPr>
          <w:lang w:val="fr-FR"/>
        </w:rPr>
        <w:t>P</w:t>
      </w:r>
      <w:r w:rsidR="0081022C">
        <w:rPr>
          <w:lang w:val="fr-FR"/>
        </w:rPr>
        <w:t>hase de test de mise en œuvre de la plateforme numérique du certificat médical unique pour les cas de violence ;</w:t>
      </w:r>
    </w:p>
    <w:p w14:paraId="0E81638F" w14:textId="3FE9E983" w:rsidR="0081022C" w:rsidRPr="002014CD" w:rsidRDefault="00680C65" w:rsidP="003F5702">
      <w:pPr>
        <w:pStyle w:val="Bullet1G"/>
        <w:keepNext/>
        <w:keepLines/>
      </w:pPr>
      <w:r>
        <w:rPr>
          <w:lang w:val="fr-FR"/>
        </w:rPr>
        <w:lastRenderedPageBreak/>
        <w:t>A</w:t>
      </w:r>
      <w:r w:rsidR="0081022C">
        <w:rPr>
          <w:lang w:val="fr-FR"/>
        </w:rPr>
        <w:t>ctivités de formation, de renforcement des capacités, de promotion et de sensibilisation permanente en matière de prévention en direction du personnel du système national de santé, afin de garantir une prise en charge globale et rapide des femmes victimes de violence.</w:t>
      </w:r>
    </w:p>
    <w:p w14:paraId="14D528C3" w14:textId="79A35325" w:rsidR="0081022C" w:rsidRPr="002014CD" w:rsidRDefault="0081022C" w:rsidP="00680C65">
      <w:pPr>
        <w:pStyle w:val="H1G"/>
      </w:pPr>
      <w:r>
        <w:rPr>
          <w:lang w:val="fr-FR"/>
        </w:rPr>
        <w:tab/>
      </w:r>
      <w:r>
        <w:rPr>
          <w:lang w:val="fr-FR"/>
        </w:rPr>
        <w:tab/>
        <w:t>Interdiction de la torture et des autres peines ou traitements cruels, inhumains ou dégradants (art. 7, 9, 14 et 24)</w:t>
      </w:r>
    </w:p>
    <w:p w14:paraId="50898313" w14:textId="77777777" w:rsidR="0081022C" w:rsidRPr="002014CD" w:rsidRDefault="0081022C" w:rsidP="00680C65">
      <w:pPr>
        <w:pStyle w:val="H23G"/>
      </w:pPr>
      <w:r>
        <w:rPr>
          <w:lang w:val="fr-FR"/>
        </w:rPr>
        <w:tab/>
        <w:t>9.</w:t>
      </w:r>
      <w:r>
        <w:rPr>
          <w:lang w:val="fr-FR"/>
        </w:rPr>
        <w:tab/>
        <w:t>Réponse au paragraphe 9 de la liste de points</w:t>
      </w:r>
    </w:p>
    <w:p w14:paraId="46765F9F" w14:textId="37036696" w:rsidR="0081022C" w:rsidRPr="002014CD" w:rsidRDefault="0081022C" w:rsidP="00680C65">
      <w:pPr>
        <w:pStyle w:val="H4G"/>
      </w:pPr>
      <w:r>
        <w:rPr>
          <w:lang w:val="fr-FR"/>
        </w:rPr>
        <w:tab/>
      </w:r>
      <w:r>
        <w:rPr>
          <w:lang w:val="fr-FR"/>
        </w:rPr>
        <w:tab/>
        <w:t>Réponse au paragraphe 9</w:t>
      </w:r>
      <w:r w:rsidR="00680C65">
        <w:rPr>
          <w:lang w:val="fr-FR"/>
        </w:rPr>
        <w:t> </w:t>
      </w:r>
      <w:r>
        <w:rPr>
          <w:lang w:val="fr-FR"/>
        </w:rPr>
        <w:t>a) de la liste de points</w:t>
      </w:r>
    </w:p>
    <w:p w14:paraId="463F29EF" w14:textId="77777777" w:rsidR="0081022C" w:rsidRPr="00EF700A" w:rsidRDefault="0081022C" w:rsidP="0081022C">
      <w:pPr>
        <w:pStyle w:val="SingleTxtG"/>
      </w:pPr>
      <w:r>
        <w:rPr>
          <w:lang w:val="fr-FR"/>
        </w:rPr>
        <w:t>71.</w:t>
      </w:r>
      <w:r>
        <w:rPr>
          <w:lang w:val="fr-FR"/>
        </w:rPr>
        <w:tab/>
        <w:t>L’État bolivien s’est attelé à la modification la définition pénale de la torture, pour la mettre en conformité avec les normes internationales. Ladite définition a été inscrite à l’article 87 de la loi n</w:t>
      </w:r>
      <w:r>
        <w:rPr>
          <w:vertAlign w:val="superscript"/>
          <w:lang w:val="fr-FR"/>
        </w:rPr>
        <w:t>o</w:t>
      </w:r>
      <w:r>
        <w:rPr>
          <w:lang w:val="fr-FR"/>
        </w:rPr>
        <w:t> 1005 portant Code du système pénal du 20 décembre 2017. Cependant, du fait de mobilisations et d’une grève des parlementaires de l’opposition, le texte législatif en question a été abrogé par la loi n</w:t>
      </w:r>
      <w:r>
        <w:rPr>
          <w:vertAlign w:val="superscript"/>
          <w:lang w:val="fr-FR"/>
        </w:rPr>
        <w:t>o</w:t>
      </w:r>
      <w:r>
        <w:rPr>
          <w:lang w:val="fr-FR"/>
        </w:rPr>
        <w:t> 1027 du 25 janvier 2018.</w:t>
      </w:r>
    </w:p>
    <w:p w14:paraId="00388122" w14:textId="3297463E" w:rsidR="0081022C" w:rsidRPr="00EF700A" w:rsidRDefault="0081022C" w:rsidP="0081022C">
      <w:pPr>
        <w:pStyle w:val="SingleTxtG"/>
      </w:pPr>
      <w:r>
        <w:rPr>
          <w:lang w:val="fr-FR"/>
        </w:rPr>
        <w:t>72.</w:t>
      </w:r>
      <w:r>
        <w:rPr>
          <w:lang w:val="fr-FR"/>
        </w:rPr>
        <w:tab/>
        <w:t>Depuis, l’État bolivien s’est efforcé de concrétiser cette modification au moyen de diverses initiatives, qui ont été entravées par la perturbation de l’ordre constitutionnel, puisque toutes les propositions ont été rejetées par le Gouvernement par intérim. À cet égard, il faut noter que, par un accord signé le 12 décembre 2019 entre la Commission interaméricaine des droits de l’homme (CIDH) et l’État plurinational de Bolivie, le Groupe interdisciplinaire d’experts indépendants a été créé, en vue de contribuer à l’enquête sur les actes de violence et les violations des droits de l’homme qui se sont produits dans le pays entre le 1</w:t>
      </w:r>
      <w:r>
        <w:rPr>
          <w:vertAlign w:val="superscript"/>
          <w:lang w:val="fr-FR"/>
        </w:rPr>
        <w:t>er</w:t>
      </w:r>
      <w:r>
        <w:rPr>
          <w:lang w:val="fr-FR"/>
        </w:rPr>
        <w:t> septembre et le 31 décembre 2019.</w:t>
      </w:r>
    </w:p>
    <w:p w14:paraId="12BE9786" w14:textId="77777777" w:rsidR="0081022C" w:rsidRPr="00EF700A" w:rsidRDefault="0081022C" w:rsidP="0081022C">
      <w:pPr>
        <w:pStyle w:val="SingleTxtG"/>
      </w:pPr>
      <w:r>
        <w:rPr>
          <w:lang w:val="fr-FR"/>
        </w:rPr>
        <w:t>73.</w:t>
      </w:r>
      <w:r>
        <w:rPr>
          <w:lang w:val="fr-FR"/>
        </w:rPr>
        <w:tab/>
        <w:t>Le 23 juillet, le Groupe a publié un rapport recommandant à l’État bolivien une série d’actions en lien avec les événements et les faits observés entre le 1</w:t>
      </w:r>
      <w:r>
        <w:rPr>
          <w:vertAlign w:val="superscript"/>
          <w:lang w:val="fr-FR"/>
        </w:rPr>
        <w:t>er</w:t>
      </w:r>
      <w:r>
        <w:rPr>
          <w:lang w:val="fr-FR"/>
        </w:rPr>
        <w:t> septembre et le 31 décembre 2019. Il est notamment recommandé à la Bolivie d’adapter la définition pénale de la torture de sorte que, d’une part, elle englobe tous les comportements envisagés dans les normes internationales et que, d’autre part, les sanctions prévues soient à la mesure de la gravité des faits, conformément à ces normes.</w:t>
      </w:r>
    </w:p>
    <w:p w14:paraId="34C79C90" w14:textId="77777777" w:rsidR="0081022C" w:rsidRPr="00EF700A" w:rsidRDefault="0081022C" w:rsidP="0081022C">
      <w:pPr>
        <w:pStyle w:val="SingleTxtG"/>
      </w:pPr>
      <w:r>
        <w:rPr>
          <w:lang w:val="fr-FR"/>
        </w:rPr>
        <w:t>74.</w:t>
      </w:r>
      <w:r>
        <w:rPr>
          <w:lang w:val="fr-FR"/>
        </w:rPr>
        <w:tab/>
        <w:t>Par conséquent, afin de rédiger une proposition en adéquation avec les normes internationales, le Ministère de la justice et de la transparence institutionnelle, dans le cas particulier de l’infraction de torture et de mauvais traitements actuellement en vigueur, entend adapter sa définition afin d’inclure tous les comportements prévus dans les normes internationales et de faire en sorte que les sanctions soient à la mesure de la gravité des actes, conformément à ces normes.</w:t>
      </w:r>
    </w:p>
    <w:p w14:paraId="68CE20F3" w14:textId="7C9996C2" w:rsidR="0081022C" w:rsidRPr="00C418EE" w:rsidRDefault="0081022C" w:rsidP="00EE1C8E">
      <w:pPr>
        <w:pStyle w:val="H4G"/>
      </w:pPr>
      <w:r>
        <w:rPr>
          <w:lang w:val="fr-FR"/>
        </w:rPr>
        <w:tab/>
      </w:r>
      <w:r>
        <w:rPr>
          <w:lang w:val="fr-FR"/>
        </w:rPr>
        <w:tab/>
      </w:r>
      <w:r w:rsidRPr="00CC6028">
        <w:rPr>
          <w:lang w:val="fr-FR"/>
        </w:rPr>
        <w:t>Réponse au paragraphe 9 (al.</w:t>
      </w:r>
      <w:r w:rsidR="00EE1C8E" w:rsidRPr="00CC6028">
        <w:rPr>
          <w:lang w:val="fr-FR"/>
        </w:rPr>
        <w:t> </w:t>
      </w:r>
      <w:r w:rsidRPr="00CC6028">
        <w:rPr>
          <w:lang w:val="fr-FR"/>
        </w:rPr>
        <w:t>b), c) et d)) de la liste de points</w:t>
      </w:r>
    </w:p>
    <w:p w14:paraId="46D2F81F" w14:textId="77777777" w:rsidR="0081022C" w:rsidRPr="00C418EE" w:rsidRDefault="0081022C" w:rsidP="0081022C">
      <w:pPr>
        <w:pStyle w:val="SingleTxtG"/>
      </w:pPr>
      <w:r>
        <w:rPr>
          <w:lang w:val="fr-FR"/>
        </w:rPr>
        <w:t>75.</w:t>
      </w:r>
      <w:r>
        <w:rPr>
          <w:lang w:val="fr-FR"/>
        </w:rPr>
        <w:tab/>
        <w:t>L’État bolivien a ratifié la Convention contre la torture et autres peines ou traitements cruels, inhumains ou dégradants par la loi n</w:t>
      </w:r>
      <w:r>
        <w:rPr>
          <w:vertAlign w:val="superscript"/>
          <w:lang w:val="fr-FR"/>
        </w:rPr>
        <w:t>o</w:t>
      </w:r>
      <w:r>
        <w:rPr>
          <w:lang w:val="fr-FR"/>
        </w:rPr>
        <w:t> 1939 du 10 février 1999 et a ratifié le Protocole facultatif se rapportant à la Convention contre la torture et autres peines ou traitements cruels, inhumains ou dégradants par la loi n</w:t>
      </w:r>
      <w:r>
        <w:rPr>
          <w:vertAlign w:val="superscript"/>
          <w:lang w:val="fr-FR"/>
        </w:rPr>
        <w:t>o</w:t>
      </w:r>
      <w:r>
        <w:rPr>
          <w:lang w:val="fr-FR"/>
        </w:rPr>
        <w:t> 3298 du 12 décembre 2005.</w:t>
      </w:r>
    </w:p>
    <w:p w14:paraId="2685A20B" w14:textId="465558F2" w:rsidR="0081022C" w:rsidRPr="00EF700A" w:rsidRDefault="0081022C" w:rsidP="00EE1C8E">
      <w:pPr>
        <w:pStyle w:val="H4G"/>
      </w:pPr>
      <w:r>
        <w:rPr>
          <w:lang w:val="fr-FR"/>
        </w:rPr>
        <w:tab/>
      </w:r>
      <w:r>
        <w:rPr>
          <w:lang w:val="fr-FR"/>
        </w:rPr>
        <w:tab/>
        <w:t>Réponse au paragraphe 9 (al.</w:t>
      </w:r>
      <w:r w:rsidR="00EE1C8E">
        <w:rPr>
          <w:lang w:val="fr-FR"/>
        </w:rPr>
        <w:t> </w:t>
      </w:r>
      <w:r>
        <w:rPr>
          <w:lang w:val="fr-FR"/>
        </w:rPr>
        <w:t>e) et f)) de la liste de points</w:t>
      </w:r>
    </w:p>
    <w:p w14:paraId="6FA63F3C" w14:textId="77777777" w:rsidR="0081022C" w:rsidRPr="00EF700A" w:rsidRDefault="0081022C" w:rsidP="0081022C">
      <w:pPr>
        <w:pStyle w:val="SingleTxtG"/>
      </w:pPr>
      <w:r>
        <w:rPr>
          <w:lang w:val="fr-FR"/>
        </w:rPr>
        <w:t>76.</w:t>
      </w:r>
      <w:r>
        <w:rPr>
          <w:lang w:val="fr-FR"/>
        </w:rPr>
        <w:tab/>
        <w:t>Conformément aux dispositions du Protocole facultatif se rapportant à la Convention contre la torture et autres peines ou traitements cruels, inhumains ou dégradants, l’État bolivien a promulgué la loi n</w:t>
      </w:r>
      <w:r>
        <w:rPr>
          <w:vertAlign w:val="superscript"/>
          <w:lang w:val="fr-FR"/>
        </w:rPr>
        <w:t>o</w:t>
      </w:r>
      <w:r>
        <w:rPr>
          <w:lang w:val="fr-FR"/>
        </w:rPr>
        <w:t> 1397 du 29 septembre 2021 portant modification de la loi n</w:t>
      </w:r>
      <w:r>
        <w:rPr>
          <w:vertAlign w:val="superscript"/>
          <w:lang w:val="fr-FR"/>
        </w:rPr>
        <w:t>o</w:t>
      </w:r>
      <w:r>
        <w:rPr>
          <w:lang w:val="fr-FR"/>
        </w:rPr>
        <w:t> 870 du 13 décembre 2016 relative au Défenseur du peuple, qui abroge la loi n</w:t>
      </w:r>
      <w:r>
        <w:rPr>
          <w:vertAlign w:val="superscript"/>
          <w:lang w:val="fr-FR"/>
        </w:rPr>
        <w:t>o</w:t>
      </w:r>
      <w:r>
        <w:rPr>
          <w:lang w:val="fr-FR"/>
        </w:rPr>
        <w:t> 474 du 30 décembre 2013 et le décret suprême n</w:t>
      </w:r>
      <w:r>
        <w:rPr>
          <w:vertAlign w:val="superscript"/>
          <w:lang w:val="fr-FR"/>
        </w:rPr>
        <w:t>o</w:t>
      </w:r>
      <w:r>
        <w:rPr>
          <w:lang w:val="fr-FR"/>
        </w:rPr>
        <w:t> 2082 du 20 août 2014, et qui désigne le Bureau du Défenseur du peuple comme mécanisme national de prévention de la torture de l’État plurinational de Bolivie.</w:t>
      </w:r>
    </w:p>
    <w:p w14:paraId="57D4C653" w14:textId="77777777" w:rsidR="0081022C" w:rsidRPr="00290896" w:rsidRDefault="0081022C" w:rsidP="0081022C">
      <w:pPr>
        <w:pStyle w:val="SingleTxtG"/>
        <w:rPr>
          <w:spacing w:val="-2"/>
        </w:rPr>
      </w:pPr>
      <w:r w:rsidRPr="00290896">
        <w:rPr>
          <w:spacing w:val="-2"/>
          <w:lang w:val="fr-FR"/>
        </w:rPr>
        <w:t>77.</w:t>
      </w:r>
      <w:r w:rsidRPr="00290896">
        <w:rPr>
          <w:spacing w:val="-2"/>
          <w:lang w:val="fr-FR"/>
        </w:rPr>
        <w:tab/>
        <w:t xml:space="preserve">Ainsi, aux termes de la troisième disposition transitoire de ce texte de loi, le Bureau du Défenseur du peuple est chargé des procédures administratives, judiciaires et autres, ainsi que des autres questions administratives auxquelles prend part le Service de prévention de la torture. </w:t>
      </w:r>
      <w:r w:rsidRPr="00290896">
        <w:rPr>
          <w:lang w:val="fr-FR"/>
        </w:rPr>
        <w:lastRenderedPageBreak/>
        <w:t>Le Bureau du Défenseur du peuple adoptera donc les règlements nécessaires à cet effet. À ce jour, cette transition n’est pas terminée et la réglementation est en cours d’élaboration.</w:t>
      </w:r>
    </w:p>
    <w:p w14:paraId="18C93CCA" w14:textId="77777777" w:rsidR="0081022C" w:rsidRPr="002014CD" w:rsidRDefault="0081022C" w:rsidP="00EE1C8E">
      <w:pPr>
        <w:pStyle w:val="H23G"/>
      </w:pPr>
      <w:r>
        <w:rPr>
          <w:lang w:val="fr-FR"/>
        </w:rPr>
        <w:tab/>
        <w:t>10.</w:t>
      </w:r>
      <w:r>
        <w:rPr>
          <w:lang w:val="fr-FR"/>
        </w:rPr>
        <w:tab/>
        <w:t>Réponse au paragraphe 10 de la liste de points</w:t>
      </w:r>
    </w:p>
    <w:p w14:paraId="7B2DD4AA" w14:textId="00E63053" w:rsidR="0081022C" w:rsidRPr="00EF700A" w:rsidRDefault="0081022C" w:rsidP="0081022C">
      <w:pPr>
        <w:pStyle w:val="SingleTxtG"/>
      </w:pPr>
      <w:r>
        <w:rPr>
          <w:lang w:val="fr-FR"/>
        </w:rPr>
        <w:t>78.</w:t>
      </w:r>
      <w:r>
        <w:rPr>
          <w:lang w:val="fr-FR"/>
        </w:rPr>
        <w:tab/>
        <w:t>La Direction générale de la lutte contre la traite et le trafic illicite d’êtres humains du Vice-Ministère de la sécurité publique signale que, bien que le lynchage ne soit pas érigé en infraction dans le Code pénal, les conséquences de cet acte correspondent à différentes infractions, telles que les lésions corporelles graves ou très graves, ou le meurtre. Par</w:t>
      </w:r>
      <w:r w:rsidR="00EE1C8E">
        <w:rPr>
          <w:lang w:val="fr-FR"/>
        </w:rPr>
        <w:t> </w:t>
      </w:r>
      <w:r>
        <w:rPr>
          <w:lang w:val="fr-FR"/>
        </w:rPr>
        <w:t>conséquent, les statistiques officielles ne comprennent pas de données sur les lynchages. L’Observatoire bolivien de la sécurité publique et de la lutte contre les drogues a indiqué qu’en tant qu’organe chargé de la collecte et de la diffusion d’informations sur la sécurité publique, il disposait des données suivantes :</w:t>
      </w:r>
    </w:p>
    <w:tbl>
      <w:tblPr>
        <w:tblW w:w="7370" w:type="dxa"/>
        <w:tblInd w:w="1134" w:type="dxa"/>
        <w:tblLayout w:type="fixed"/>
        <w:tblCellMar>
          <w:left w:w="0" w:type="dxa"/>
          <w:right w:w="0" w:type="dxa"/>
        </w:tblCellMar>
        <w:tblLook w:val="04A0" w:firstRow="1" w:lastRow="0" w:firstColumn="1" w:lastColumn="0" w:noHBand="0" w:noVBand="1"/>
      </w:tblPr>
      <w:tblGrid>
        <w:gridCol w:w="639"/>
        <w:gridCol w:w="1629"/>
        <w:gridCol w:w="958"/>
        <w:gridCol w:w="960"/>
        <w:gridCol w:w="958"/>
        <w:gridCol w:w="960"/>
        <w:gridCol w:w="1266"/>
      </w:tblGrid>
      <w:tr w:rsidR="0081022C" w:rsidRPr="00EE1C8E" w14:paraId="5C6A3A23" w14:textId="77777777" w:rsidTr="00EE1C8E">
        <w:trPr>
          <w:tblHeader/>
        </w:trPr>
        <w:tc>
          <w:tcPr>
            <w:tcW w:w="434" w:type="pct"/>
            <w:vMerge w:val="restart"/>
            <w:tcBorders>
              <w:top w:val="single" w:sz="4" w:space="0" w:color="auto"/>
              <w:bottom w:val="single" w:sz="12" w:space="0" w:color="auto"/>
            </w:tcBorders>
            <w:shd w:val="clear" w:color="auto" w:fill="auto"/>
            <w:vAlign w:val="bottom"/>
          </w:tcPr>
          <w:p w14:paraId="2844824F" w14:textId="77777777" w:rsidR="0081022C" w:rsidRPr="00EE1C8E" w:rsidRDefault="0081022C" w:rsidP="00EE1C8E">
            <w:pPr>
              <w:suppressAutoHyphens w:val="0"/>
              <w:spacing w:before="80" w:after="80" w:line="200" w:lineRule="exact"/>
              <w:rPr>
                <w:rFonts w:eastAsia="Times New Roman"/>
                <w:i/>
                <w:kern w:val="14"/>
                <w:sz w:val="16"/>
              </w:rPr>
            </w:pPr>
            <w:r w:rsidRPr="00EE1C8E">
              <w:rPr>
                <w:i/>
                <w:kern w:val="14"/>
                <w:sz w:val="16"/>
                <w:lang w:val="fr-FR"/>
              </w:rPr>
              <w:t>No</w:t>
            </w:r>
          </w:p>
        </w:tc>
        <w:tc>
          <w:tcPr>
            <w:tcW w:w="1105" w:type="pct"/>
            <w:vMerge w:val="restart"/>
            <w:tcBorders>
              <w:top w:val="single" w:sz="4" w:space="0" w:color="auto"/>
              <w:bottom w:val="single" w:sz="12" w:space="0" w:color="auto"/>
            </w:tcBorders>
            <w:shd w:val="clear" w:color="auto" w:fill="auto"/>
            <w:vAlign w:val="bottom"/>
          </w:tcPr>
          <w:p w14:paraId="6747D09C" w14:textId="77777777" w:rsidR="0081022C" w:rsidRPr="00EE1C8E" w:rsidRDefault="0081022C" w:rsidP="00EE1C8E">
            <w:pPr>
              <w:suppressAutoHyphens w:val="0"/>
              <w:spacing w:before="80" w:after="80" w:line="200" w:lineRule="exact"/>
              <w:rPr>
                <w:rFonts w:eastAsia="Times New Roman"/>
                <w:i/>
                <w:kern w:val="14"/>
                <w:sz w:val="16"/>
              </w:rPr>
            </w:pPr>
            <w:r w:rsidRPr="00EE1C8E">
              <w:rPr>
                <w:i/>
                <w:kern w:val="14"/>
                <w:sz w:val="16"/>
                <w:lang w:val="fr-FR"/>
              </w:rPr>
              <w:t>Département</w:t>
            </w:r>
          </w:p>
        </w:tc>
        <w:tc>
          <w:tcPr>
            <w:tcW w:w="2601" w:type="pct"/>
            <w:gridSpan w:val="4"/>
            <w:tcBorders>
              <w:top w:val="single" w:sz="4" w:space="0" w:color="auto"/>
              <w:bottom w:val="single" w:sz="4" w:space="0" w:color="auto"/>
            </w:tcBorders>
            <w:shd w:val="clear" w:color="auto" w:fill="auto"/>
            <w:vAlign w:val="bottom"/>
          </w:tcPr>
          <w:p w14:paraId="491AEE8D" w14:textId="77777777" w:rsidR="0081022C" w:rsidRPr="00EE1C8E" w:rsidRDefault="0081022C" w:rsidP="00EE1C8E">
            <w:pPr>
              <w:suppressAutoHyphens w:val="0"/>
              <w:spacing w:before="80" w:after="80" w:line="200" w:lineRule="exact"/>
              <w:jc w:val="center"/>
              <w:rPr>
                <w:rFonts w:eastAsia="Times New Roman"/>
                <w:i/>
                <w:kern w:val="14"/>
                <w:sz w:val="16"/>
              </w:rPr>
            </w:pPr>
            <w:r w:rsidRPr="00EE1C8E">
              <w:rPr>
                <w:i/>
                <w:kern w:val="14"/>
                <w:sz w:val="16"/>
                <w:lang w:val="fr-FR"/>
              </w:rPr>
              <w:t>Année</w:t>
            </w:r>
          </w:p>
        </w:tc>
        <w:tc>
          <w:tcPr>
            <w:tcW w:w="860" w:type="pct"/>
            <w:vMerge w:val="restart"/>
            <w:tcBorders>
              <w:top w:val="single" w:sz="4" w:space="0" w:color="auto"/>
              <w:bottom w:val="single" w:sz="12" w:space="0" w:color="auto"/>
            </w:tcBorders>
            <w:shd w:val="clear" w:color="auto" w:fill="auto"/>
            <w:vAlign w:val="bottom"/>
          </w:tcPr>
          <w:p w14:paraId="293E770F" w14:textId="77777777" w:rsidR="0081022C" w:rsidRPr="00EE1C8E" w:rsidRDefault="0081022C" w:rsidP="00EE1C8E">
            <w:pPr>
              <w:suppressAutoHyphens w:val="0"/>
              <w:spacing w:before="80" w:after="80" w:line="200" w:lineRule="exact"/>
              <w:jc w:val="right"/>
              <w:rPr>
                <w:rFonts w:eastAsia="Times New Roman"/>
                <w:i/>
                <w:kern w:val="14"/>
                <w:sz w:val="16"/>
              </w:rPr>
            </w:pPr>
            <w:r w:rsidRPr="00EE1C8E">
              <w:rPr>
                <w:i/>
                <w:kern w:val="14"/>
                <w:sz w:val="16"/>
                <w:lang w:val="fr-FR"/>
              </w:rPr>
              <w:t>Total général</w:t>
            </w:r>
          </w:p>
        </w:tc>
      </w:tr>
      <w:tr w:rsidR="0081022C" w:rsidRPr="00EE1C8E" w14:paraId="3F63596A" w14:textId="77777777" w:rsidTr="00EE1C8E">
        <w:trPr>
          <w:tblHeader/>
        </w:trPr>
        <w:tc>
          <w:tcPr>
            <w:tcW w:w="434" w:type="pct"/>
            <w:vMerge/>
            <w:tcBorders>
              <w:top w:val="single" w:sz="12" w:space="0" w:color="auto"/>
              <w:bottom w:val="single" w:sz="12" w:space="0" w:color="auto"/>
            </w:tcBorders>
            <w:shd w:val="clear" w:color="auto" w:fill="auto"/>
            <w:vAlign w:val="bottom"/>
          </w:tcPr>
          <w:p w14:paraId="724539B0" w14:textId="77777777" w:rsidR="0081022C" w:rsidRPr="00EE1C8E" w:rsidRDefault="0081022C" w:rsidP="00EE1C8E">
            <w:pPr>
              <w:suppressAutoHyphens w:val="0"/>
              <w:spacing w:before="80" w:after="80" w:line="200" w:lineRule="exact"/>
              <w:rPr>
                <w:rFonts w:eastAsia="Times New Roman"/>
                <w:i/>
                <w:kern w:val="14"/>
                <w:sz w:val="16"/>
                <w:lang w:bidi="es-ES"/>
              </w:rPr>
            </w:pPr>
          </w:p>
        </w:tc>
        <w:tc>
          <w:tcPr>
            <w:tcW w:w="1105" w:type="pct"/>
            <w:vMerge/>
            <w:tcBorders>
              <w:top w:val="single" w:sz="12" w:space="0" w:color="auto"/>
              <w:bottom w:val="single" w:sz="12" w:space="0" w:color="auto"/>
            </w:tcBorders>
            <w:shd w:val="clear" w:color="auto" w:fill="auto"/>
            <w:vAlign w:val="bottom"/>
          </w:tcPr>
          <w:p w14:paraId="64C30122" w14:textId="77777777" w:rsidR="0081022C" w:rsidRPr="00EE1C8E" w:rsidRDefault="0081022C" w:rsidP="00EE1C8E">
            <w:pPr>
              <w:suppressAutoHyphens w:val="0"/>
              <w:spacing w:before="80" w:after="80" w:line="200" w:lineRule="exact"/>
              <w:rPr>
                <w:rFonts w:eastAsia="Times New Roman"/>
                <w:i/>
                <w:kern w:val="14"/>
                <w:sz w:val="16"/>
                <w:lang w:bidi="es-ES"/>
              </w:rPr>
            </w:pPr>
          </w:p>
        </w:tc>
        <w:tc>
          <w:tcPr>
            <w:tcW w:w="650" w:type="pct"/>
            <w:tcBorders>
              <w:top w:val="single" w:sz="4" w:space="0" w:color="auto"/>
              <w:bottom w:val="single" w:sz="12" w:space="0" w:color="auto"/>
            </w:tcBorders>
            <w:shd w:val="clear" w:color="auto" w:fill="auto"/>
            <w:vAlign w:val="bottom"/>
          </w:tcPr>
          <w:p w14:paraId="280F5A48" w14:textId="77777777" w:rsidR="0081022C" w:rsidRPr="00EE1C8E" w:rsidRDefault="0081022C" w:rsidP="00EE1C8E">
            <w:pPr>
              <w:suppressAutoHyphens w:val="0"/>
              <w:spacing w:before="80" w:after="80" w:line="200" w:lineRule="exact"/>
              <w:jc w:val="center"/>
              <w:rPr>
                <w:i/>
                <w:kern w:val="14"/>
                <w:sz w:val="16"/>
              </w:rPr>
            </w:pPr>
            <w:r w:rsidRPr="00EE1C8E">
              <w:rPr>
                <w:i/>
                <w:kern w:val="14"/>
                <w:sz w:val="16"/>
                <w:lang w:val="fr-FR"/>
              </w:rPr>
              <w:t>2018</w:t>
            </w:r>
          </w:p>
        </w:tc>
        <w:tc>
          <w:tcPr>
            <w:tcW w:w="651" w:type="pct"/>
            <w:tcBorders>
              <w:top w:val="single" w:sz="4" w:space="0" w:color="auto"/>
              <w:bottom w:val="single" w:sz="12" w:space="0" w:color="auto"/>
            </w:tcBorders>
            <w:shd w:val="clear" w:color="auto" w:fill="auto"/>
            <w:vAlign w:val="bottom"/>
          </w:tcPr>
          <w:p w14:paraId="70074954" w14:textId="77777777" w:rsidR="0081022C" w:rsidRPr="00EE1C8E" w:rsidRDefault="0081022C" w:rsidP="00EE1C8E">
            <w:pPr>
              <w:suppressAutoHyphens w:val="0"/>
              <w:spacing w:before="80" w:after="80" w:line="200" w:lineRule="exact"/>
              <w:jc w:val="center"/>
              <w:rPr>
                <w:i/>
                <w:kern w:val="14"/>
                <w:sz w:val="16"/>
              </w:rPr>
            </w:pPr>
            <w:r w:rsidRPr="00EE1C8E">
              <w:rPr>
                <w:i/>
                <w:kern w:val="14"/>
                <w:sz w:val="16"/>
                <w:lang w:val="fr-FR"/>
              </w:rPr>
              <w:t>2019</w:t>
            </w:r>
          </w:p>
        </w:tc>
        <w:tc>
          <w:tcPr>
            <w:tcW w:w="650" w:type="pct"/>
            <w:tcBorders>
              <w:top w:val="single" w:sz="4" w:space="0" w:color="auto"/>
              <w:bottom w:val="single" w:sz="12" w:space="0" w:color="auto"/>
            </w:tcBorders>
            <w:shd w:val="clear" w:color="auto" w:fill="auto"/>
            <w:vAlign w:val="bottom"/>
          </w:tcPr>
          <w:p w14:paraId="62951F2A" w14:textId="77777777" w:rsidR="0081022C" w:rsidRPr="00EE1C8E" w:rsidRDefault="0081022C" w:rsidP="00EE1C8E">
            <w:pPr>
              <w:suppressAutoHyphens w:val="0"/>
              <w:spacing w:before="80" w:after="80" w:line="200" w:lineRule="exact"/>
              <w:jc w:val="center"/>
              <w:rPr>
                <w:i/>
                <w:kern w:val="14"/>
                <w:sz w:val="16"/>
              </w:rPr>
            </w:pPr>
            <w:r w:rsidRPr="00EE1C8E">
              <w:rPr>
                <w:i/>
                <w:kern w:val="14"/>
                <w:sz w:val="16"/>
                <w:lang w:val="fr-FR"/>
              </w:rPr>
              <w:t>2020</w:t>
            </w:r>
          </w:p>
        </w:tc>
        <w:tc>
          <w:tcPr>
            <w:tcW w:w="651" w:type="pct"/>
            <w:tcBorders>
              <w:top w:val="single" w:sz="4" w:space="0" w:color="auto"/>
              <w:bottom w:val="single" w:sz="12" w:space="0" w:color="auto"/>
            </w:tcBorders>
            <w:shd w:val="clear" w:color="auto" w:fill="auto"/>
            <w:vAlign w:val="bottom"/>
          </w:tcPr>
          <w:p w14:paraId="0DD96DA5" w14:textId="77777777" w:rsidR="0081022C" w:rsidRPr="00EE1C8E" w:rsidRDefault="0081022C" w:rsidP="00EE1C8E">
            <w:pPr>
              <w:suppressAutoHyphens w:val="0"/>
              <w:spacing w:before="80" w:after="80" w:line="200" w:lineRule="exact"/>
              <w:jc w:val="center"/>
              <w:rPr>
                <w:i/>
                <w:kern w:val="14"/>
                <w:sz w:val="16"/>
              </w:rPr>
            </w:pPr>
            <w:r w:rsidRPr="00EE1C8E">
              <w:rPr>
                <w:i/>
                <w:kern w:val="14"/>
                <w:sz w:val="16"/>
                <w:lang w:val="fr-FR"/>
              </w:rPr>
              <w:t>2021</w:t>
            </w:r>
          </w:p>
        </w:tc>
        <w:tc>
          <w:tcPr>
            <w:tcW w:w="860" w:type="pct"/>
            <w:vMerge/>
            <w:tcBorders>
              <w:top w:val="single" w:sz="12" w:space="0" w:color="auto"/>
              <w:bottom w:val="single" w:sz="12" w:space="0" w:color="auto"/>
            </w:tcBorders>
            <w:shd w:val="clear" w:color="auto" w:fill="auto"/>
            <w:vAlign w:val="bottom"/>
          </w:tcPr>
          <w:p w14:paraId="69500F2E" w14:textId="77777777" w:rsidR="0081022C" w:rsidRPr="00EE1C8E" w:rsidRDefault="0081022C" w:rsidP="00EE1C8E">
            <w:pPr>
              <w:suppressAutoHyphens w:val="0"/>
              <w:spacing w:before="80" w:after="80" w:line="200" w:lineRule="exact"/>
              <w:rPr>
                <w:rFonts w:eastAsia="Times New Roman"/>
                <w:i/>
                <w:kern w:val="14"/>
                <w:sz w:val="16"/>
                <w:lang w:bidi="es-ES"/>
              </w:rPr>
            </w:pPr>
          </w:p>
        </w:tc>
      </w:tr>
      <w:tr w:rsidR="0081022C" w:rsidRPr="00EE1C8E" w14:paraId="6B4E728B" w14:textId="77777777" w:rsidTr="00EE1C8E">
        <w:tc>
          <w:tcPr>
            <w:tcW w:w="434" w:type="pct"/>
            <w:tcBorders>
              <w:top w:val="single" w:sz="12" w:space="0" w:color="auto"/>
            </w:tcBorders>
            <w:shd w:val="clear" w:color="auto" w:fill="auto"/>
          </w:tcPr>
          <w:p w14:paraId="6169FB17"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1</w:t>
            </w:r>
          </w:p>
        </w:tc>
        <w:tc>
          <w:tcPr>
            <w:tcW w:w="1105" w:type="pct"/>
            <w:tcBorders>
              <w:top w:val="single" w:sz="12" w:space="0" w:color="auto"/>
            </w:tcBorders>
            <w:shd w:val="clear" w:color="auto" w:fill="auto"/>
            <w:vAlign w:val="bottom"/>
          </w:tcPr>
          <w:p w14:paraId="39D29B6A"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Cochabamba</w:t>
            </w:r>
          </w:p>
        </w:tc>
        <w:tc>
          <w:tcPr>
            <w:tcW w:w="650" w:type="pct"/>
            <w:tcBorders>
              <w:top w:val="single" w:sz="12" w:space="0" w:color="auto"/>
            </w:tcBorders>
            <w:shd w:val="clear" w:color="auto" w:fill="auto"/>
            <w:vAlign w:val="bottom"/>
          </w:tcPr>
          <w:p w14:paraId="5FA10739"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3</w:t>
            </w:r>
          </w:p>
        </w:tc>
        <w:tc>
          <w:tcPr>
            <w:tcW w:w="651" w:type="pct"/>
            <w:tcBorders>
              <w:top w:val="single" w:sz="12" w:space="0" w:color="auto"/>
            </w:tcBorders>
            <w:shd w:val="clear" w:color="auto" w:fill="auto"/>
            <w:vAlign w:val="bottom"/>
          </w:tcPr>
          <w:p w14:paraId="3F9F0E1E"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3</w:t>
            </w:r>
          </w:p>
        </w:tc>
        <w:tc>
          <w:tcPr>
            <w:tcW w:w="650" w:type="pct"/>
            <w:tcBorders>
              <w:top w:val="single" w:sz="12" w:space="0" w:color="auto"/>
            </w:tcBorders>
            <w:shd w:val="clear" w:color="auto" w:fill="auto"/>
            <w:vAlign w:val="bottom"/>
          </w:tcPr>
          <w:p w14:paraId="53ED6AC4"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w:t>
            </w:r>
          </w:p>
        </w:tc>
        <w:tc>
          <w:tcPr>
            <w:tcW w:w="651" w:type="pct"/>
            <w:tcBorders>
              <w:top w:val="single" w:sz="12" w:space="0" w:color="auto"/>
            </w:tcBorders>
            <w:shd w:val="clear" w:color="auto" w:fill="auto"/>
            <w:vAlign w:val="bottom"/>
          </w:tcPr>
          <w:p w14:paraId="5625C12F"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11</w:t>
            </w:r>
          </w:p>
        </w:tc>
        <w:tc>
          <w:tcPr>
            <w:tcW w:w="860" w:type="pct"/>
            <w:tcBorders>
              <w:top w:val="single" w:sz="12" w:space="0" w:color="auto"/>
            </w:tcBorders>
            <w:shd w:val="clear" w:color="auto" w:fill="auto"/>
            <w:vAlign w:val="bottom"/>
          </w:tcPr>
          <w:p w14:paraId="01711C11"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18</w:t>
            </w:r>
          </w:p>
        </w:tc>
      </w:tr>
      <w:tr w:rsidR="0081022C" w:rsidRPr="00EE1C8E" w14:paraId="78B147BB" w14:textId="77777777" w:rsidTr="00EE1C8E">
        <w:tc>
          <w:tcPr>
            <w:tcW w:w="434" w:type="pct"/>
            <w:shd w:val="clear" w:color="auto" w:fill="auto"/>
          </w:tcPr>
          <w:p w14:paraId="3B8D2B72"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2</w:t>
            </w:r>
          </w:p>
        </w:tc>
        <w:tc>
          <w:tcPr>
            <w:tcW w:w="1105" w:type="pct"/>
            <w:shd w:val="clear" w:color="auto" w:fill="auto"/>
            <w:vAlign w:val="bottom"/>
          </w:tcPr>
          <w:p w14:paraId="31C8777A"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La Paz</w:t>
            </w:r>
          </w:p>
        </w:tc>
        <w:tc>
          <w:tcPr>
            <w:tcW w:w="650" w:type="pct"/>
            <w:shd w:val="clear" w:color="auto" w:fill="auto"/>
            <w:vAlign w:val="bottom"/>
          </w:tcPr>
          <w:p w14:paraId="729C4C99"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71337C25"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5F2E8D4D"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17EFB88A"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7</w:t>
            </w:r>
          </w:p>
        </w:tc>
        <w:tc>
          <w:tcPr>
            <w:tcW w:w="860" w:type="pct"/>
            <w:shd w:val="clear" w:color="auto" w:fill="auto"/>
            <w:vAlign w:val="bottom"/>
          </w:tcPr>
          <w:p w14:paraId="62873962"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7</w:t>
            </w:r>
          </w:p>
        </w:tc>
      </w:tr>
      <w:tr w:rsidR="0081022C" w:rsidRPr="00EE1C8E" w14:paraId="09A7109B" w14:textId="77777777" w:rsidTr="00EE1C8E">
        <w:tc>
          <w:tcPr>
            <w:tcW w:w="434" w:type="pct"/>
            <w:shd w:val="clear" w:color="auto" w:fill="auto"/>
          </w:tcPr>
          <w:p w14:paraId="4419B6B0"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3</w:t>
            </w:r>
          </w:p>
        </w:tc>
        <w:tc>
          <w:tcPr>
            <w:tcW w:w="1105" w:type="pct"/>
            <w:shd w:val="clear" w:color="auto" w:fill="auto"/>
            <w:vAlign w:val="bottom"/>
          </w:tcPr>
          <w:p w14:paraId="29824B31"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Santa Cruz</w:t>
            </w:r>
          </w:p>
        </w:tc>
        <w:tc>
          <w:tcPr>
            <w:tcW w:w="650" w:type="pct"/>
            <w:shd w:val="clear" w:color="auto" w:fill="auto"/>
            <w:vAlign w:val="bottom"/>
          </w:tcPr>
          <w:p w14:paraId="068B54B2"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w:t>
            </w:r>
          </w:p>
        </w:tc>
        <w:tc>
          <w:tcPr>
            <w:tcW w:w="651" w:type="pct"/>
            <w:shd w:val="clear" w:color="auto" w:fill="auto"/>
            <w:vAlign w:val="bottom"/>
          </w:tcPr>
          <w:p w14:paraId="2A3CE57D"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7D3CC86B"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w:t>
            </w:r>
          </w:p>
        </w:tc>
        <w:tc>
          <w:tcPr>
            <w:tcW w:w="651" w:type="pct"/>
            <w:shd w:val="clear" w:color="auto" w:fill="auto"/>
            <w:vAlign w:val="bottom"/>
          </w:tcPr>
          <w:p w14:paraId="1FE1B32C"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860" w:type="pct"/>
            <w:shd w:val="clear" w:color="auto" w:fill="auto"/>
            <w:vAlign w:val="bottom"/>
          </w:tcPr>
          <w:p w14:paraId="30A37407"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2</w:t>
            </w:r>
          </w:p>
        </w:tc>
      </w:tr>
      <w:tr w:rsidR="0081022C" w:rsidRPr="00EE1C8E" w14:paraId="510B7D47" w14:textId="77777777" w:rsidTr="00EE1C8E">
        <w:tc>
          <w:tcPr>
            <w:tcW w:w="434" w:type="pct"/>
            <w:shd w:val="clear" w:color="auto" w:fill="auto"/>
          </w:tcPr>
          <w:p w14:paraId="6934B88A"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4</w:t>
            </w:r>
          </w:p>
        </w:tc>
        <w:tc>
          <w:tcPr>
            <w:tcW w:w="1105" w:type="pct"/>
            <w:shd w:val="clear" w:color="auto" w:fill="auto"/>
            <w:vAlign w:val="bottom"/>
          </w:tcPr>
          <w:p w14:paraId="269862BF"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Beni</w:t>
            </w:r>
          </w:p>
        </w:tc>
        <w:tc>
          <w:tcPr>
            <w:tcW w:w="650" w:type="pct"/>
            <w:shd w:val="clear" w:color="auto" w:fill="auto"/>
            <w:vAlign w:val="bottom"/>
          </w:tcPr>
          <w:p w14:paraId="3F110058"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0A470A56"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62643AF7"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3A36F8A3"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w:t>
            </w:r>
          </w:p>
        </w:tc>
        <w:tc>
          <w:tcPr>
            <w:tcW w:w="860" w:type="pct"/>
            <w:shd w:val="clear" w:color="auto" w:fill="auto"/>
            <w:vAlign w:val="bottom"/>
          </w:tcPr>
          <w:p w14:paraId="69ED560F"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1</w:t>
            </w:r>
          </w:p>
        </w:tc>
      </w:tr>
      <w:tr w:rsidR="0081022C" w:rsidRPr="00EE1C8E" w14:paraId="74CE9F5A" w14:textId="77777777" w:rsidTr="00EE1C8E">
        <w:tc>
          <w:tcPr>
            <w:tcW w:w="434" w:type="pct"/>
            <w:shd w:val="clear" w:color="auto" w:fill="auto"/>
          </w:tcPr>
          <w:p w14:paraId="40D1E1FD"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5</w:t>
            </w:r>
          </w:p>
        </w:tc>
        <w:tc>
          <w:tcPr>
            <w:tcW w:w="1105" w:type="pct"/>
            <w:shd w:val="clear" w:color="auto" w:fill="auto"/>
            <w:vAlign w:val="bottom"/>
          </w:tcPr>
          <w:p w14:paraId="4ED76E8B"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Chuquisaca</w:t>
            </w:r>
          </w:p>
        </w:tc>
        <w:tc>
          <w:tcPr>
            <w:tcW w:w="650" w:type="pct"/>
            <w:shd w:val="clear" w:color="auto" w:fill="auto"/>
            <w:vAlign w:val="bottom"/>
          </w:tcPr>
          <w:p w14:paraId="39B896D9"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797FE031"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39C89E14"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60653CDB"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860" w:type="pct"/>
            <w:shd w:val="clear" w:color="auto" w:fill="auto"/>
            <w:vAlign w:val="bottom"/>
          </w:tcPr>
          <w:p w14:paraId="26DC845D"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r>
      <w:tr w:rsidR="0081022C" w:rsidRPr="00EE1C8E" w14:paraId="243DE00A" w14:textId="77777777" w:rsidTr="00EE1C8E">
        <w:tc>
          <w:tcPr>
            <w:tcW w:w="434" w:type="pct"/>
            <w:shd w:val="clear" w:color="auto" w:fill="auto"/>
          </w:tcPr>
          <w:p w14:paraId="35C4290C"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6</w:t>
            </w:r>
          </w:p>
        </w:tc>
        <w:tc>
          <w:tcPr>
            <w:tcW w:w="1105" w:type="pct"/>
            <w:shd w:val="clear" w:color="auto" w:fill="auto"/>
            <w:vAlign w:val="bottom"/>
          </w:tcPr>
          <w:p w14:paraId="416773D2"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Oruro</w:t>
            </w:r>
          </w:p>
        </w:tc>
        <w:tc>
          <w:tcPr>
            <w:tcW w:w="650" w:type="pct"/>
            <w:shd w:val="clear" w:color="auto" w:fill="auto"/>
            <w:vAlign w:val="bottom"/>
          </w:tcPr>
          <w:p w14:paraId="38D31D8D"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16217108"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1BFA0C56"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62B7FD35"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860" w:type="pct"/>
            <w:shd w:val="clear" w:color="auto" w:fill="auto"/>
            <w:vAlign w:val="bottom"/>
          </w:tcPr>
          <w:p w14:paraId="4779BC69"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r>
      <w:tr w:rsidR="0081022C" w:rsidRPr="00EE1C8E" w14:paraId="53357012" w14:textId="77777777" w:rsidTr="00EE1C8E">
        <w:tc>
          <w:tcPr>
            <w:tcW w:w="434" w:type="pct"/>
            <w:shd w:val="clear" w:color="auto" w:fill="auto"/>
          </w:tcPr>
          <w:p w14:paraId="74C89594"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7</w:t>
            </w:r>
          </w:p>
        </w:tc>
        <w:tc>
          <w:tcPr>
            <w:tcW w:w="1105" w:type="pct"/>
            <w:shd w:val="clear" w:color="auto" w:fill="auto"/>
            <w:vAlign w:val="bottom"/>
          </w:tcPr>
          <w:p w14:paraId="4E1F4693"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Potosí</w:t>
            </w:r>
          </w:p>
        </w:tc>
        <w:tc>
          <w:tcPr>
            <w:tcW w:w="650" w:type="pct"/>
            <w:shd w:val="clear" w:color="auto" w:fill="auto"/>
            <w:vAlign w:val="bottom"/>
          </w:tcPr>
          <w:p w14:paraId="20E36054"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4DF331B5"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05C6D9A1"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3897A60B"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860" w:type="pct"/>
            <w:shd w:val="clear" w:color="auto" w:fill="auto"/>
            <w:vAlign w:val="bottom"/>
          </w:tcPr>
          <w:p w14:paraId="2CC9C273"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r>
      <w:tr w:rsidR="0081022C" w:rsidRPr="00EE1C8E" w14:paraId="730F7DFA" w14:textId="77777777" w:rsidTr="00EE1C8E">
        <w:tc>
          <w:tcPr>
            <w:tcW w:w="434" w:type="pct"/>
            <w:shd w:val="clear" w:color="auto" w:fill="auto"/>
          </w:tcPr>
          <w:p w14:paraId="44194884"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8</w:t>
            </w:r>
          </w:p>
        </w:tc>
        <w:tc>
          <w:tcPr>
            <w:tcW w:w="1105" w:type="pct"/>
            <w:shd w:val="clear" w:color="auto" w:fill="auto"/>
            <w:vAlign w:val="bottom"/>
          </w:tcPr>
          <w:p w14:paraId="18FFD1F6"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Tarija</w:t>
            </w:r>
          </w:p>
        </w:tc>
        <w:tc>
          <w:tcPr>
            <w:tcW w:w="650" w:type="pct"/>
            <w:shd w:val="clear" w:color="auto" w:fill="auto"/>
            <w:vAlign w:val="bottom"/>
          </w:tcPr>
          <w:p w14:paraId="29269453"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4814F258"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shd w:val="clear" w:color="auto" w:fill="auto"/>
            <w:vAlign w:val="bottom"/>
          </w:tcPr>
          <w:p w14:paraId="66A1EAAA"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shd w:val="clear" w:color="auto" w:fill="auto"/>
            <w:vAlign w:val="bottom"/>
          </w:tcPr>
          <w:p w14:paraId="6CB46DA5"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860" w:type="pct"/>
            <w:shd w:val="clear" w:color="auto" w:fill="auto"/>
            <w:vAlign w:val="bottom"/>
          </w:tcPr>
          <w:p w14:paraId="60DF56BD"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r>
      <w:tr w:rsidR="0081022C" w:rsidRPr="00EE1C8E" w14:paraId="079BA2AC" w14:textId="77777777" w:rsidTr="00EE1C8E">
        <w:tc>
          <w:tcPr>
            <w:tcW w:w="434" w:type="pct"/>
            <w:tcBorders>
              <w:bottom w:val="single" w:sz="4" w:space="0" w:color="auto"/>
            </w:tcBorders>
            <w:shd w:val="clear" w:color="auto" w:fill="auto"/>
          </w:tcPr>
          <w:p w14:paraId="3460E08C"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9</w:t>
            </w:r>
          </w:p>
        </w:tc>
        <w:tc>
          <w:tcPr>
            <w:tcW w:w="1105" w:type="pct"/>
            <w:tcBorders>
              <w:bottom w:val="single" w:sz="4" w:space="0" w:color="auto"/>
            </w:tcBorders>
            <w:shd w:val="clear" w:color="auto" w:fill="auto"/>
            <w:vAlign w:val="bottom"/>
          </w:tcPr>
          <w:p w14:paraId="0393371A" w14:textId="77777777" w:rsidR="0081022C" w:rsidRPr="00EE1C8E" w:rsidRDefault="0081022C" w:rsidP="00EE1C8E">
            <w:pPr>
              <w:suppressAutoHyphens w:val="0"/>
              <w:spacing w:before="40" w:after="40" w:line="220" w:lineRule="exact"/>
              <w:rPr>
                <w:rFonts w:eastAsia="Times New Roman"/>
                <w:sz w:val="18"/>
              </w:rPr>
            </w:pPr>
            <w:r w:rsidRPr="00EE1C8E">
              <w:rPr>
                <w:sz w:val="18"/>
                <w:lang w:val="fr-FR"/>
              </w:rPr>
              <w:t>Pando</w:t>
            </w:r>
          </w:p>
        </w:tc>
        <w:tc>
          <w:tcPr>
            <w:tcW w:w="650" w:type="pct"/>
            <w:tcBorders>
              <w:bottom w:val="single" w:sz="4" w:space="0" w:color="auto"/>
            </w:tcBorders>
            <w:shd w:val="clear" w:color="auto" w:fill="auto"/>
            <w:vAlign w:val="bottom"/>
          </w:tcPr>
          <w:p w14:paraId="41B58490"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tcBorders>
              <w:bottom w:val="single" w:sz="4" w:space="0" w:color="auto"/>
            </w:tcBorders>
            <w:shd w:val="clear" w:color="auto" w:fill="auto"/>
            <w:vAlign w:val="bottom"/>
          </w:tcPr>
          <w:p w14:paraId="6BAB50EA"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0" w:type="pct"/>
            <w:tcBorders>
              <w:bottom w:val="single" w:sz="4" w:space="0" w:color="auto"/>
            </w:tcBorders>
            <w:shd w:val="clear" w:color="auto" w:fill="auto"/>
            <w:vAlign w:val="bottom"/>
          </w:tcPr>
          <w:p w14:paraId="264C2196"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651" w:type="pct"/>
            <w:tcBorders>
              <w:bottom w:val="single" w:sz="4" w:space="0" w:color="auto"/>
            </w:tcBorders>
            <w:shd w:val="clear" w:color="auto" w:fill="auto"/>
            <w:vAlign w:val="bottom"/>
          </w:tcPr>
          <w:p w14:paraId="51B145A4"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c>
          <w:tcPr>
            <w:tcW w:w="860" w:type="pct"/>
            <w:tcBorders>
              <w:bottom w:val="single" w:sz="4" w:space="0" w:color="auto"/>
            </w:tcBorders>
            <w:shd w:val="clear" w:color="auto" w:fill="auto"/>
            <w:vAlign w:val="bottom"/>
          </w:tcPr>
          <w:p w14:paraId="18C98FBA" w14:textId="77777777" w:rsidR="0081022C" w:rsidRPr="00EE1C8E" w:rsidRDefault="0081022C" w:rsidP="00EE1C8E">
            <w:pPr>
              <w:suppressAutoHyphens w:val="0"/>
              <w:spacing w:before="40" w:after="40" w:line="220" w:lineRule="exact"/>
              <w:jc w:val="right"/>
              <w:rPr>
                <w:rFonts w:eastAsia="Times New Roman"/>
                <w:sz w:val="18"/>
              </w:rPr>
            </w:pPr>
            <w:r w:rsidRPr="00EE1C8E">
              <w:rPr>
                <w:sz w:val="18"/>
                <w:lang w:val="fr-FR"/>
              </w:rPr>
              <w:t>0</w:t>
            </w:r>
          </w:p>
        </w:tc>
      </w:tr>
      <w:tr w:rsidR="0081022C" w:rsidRPr="00EE1C8E" w14:paraId="63A77A7A" w14:textId="77777777" w:rsidTr="00EE1C8E">
        <w:tblPrEx>
          <w:tblLook w:val="0000" w:firstRow="0" w:lastRow="0" w:firstColumn="0" w:lastColumn="0" w:noHBand="0" w:noVBand="0"/>
        </w:tblPrEx>
        <w:tc>
          <w:tcPr>
            <w:tcW w:w="1539" w:type="pct"/>
            <w:gridSpan w:val="2"/>
            <w:tcBorders>
              <w:top w:val="single" w:sz="4" w:space="0" w:color="auto"/>
              <w:bottom w:val="single" w:sz="12" w:space="0" w:color="auto"/>
            </w:tcBorders>
            <w:shd w:val="clear" w:color="auto" w:fill="auto"/>
          </w:tcPr>
          <w:p w14:paraId="78BC5AA0" w14:textId="49146A24" w:rsidR="0081022C" w:rsidRPr="00EE1C8E" w:rsidRDefault="0081022C" w:rsidP="00EE1C8E">
            <w:pPr>
              <w:suppressAutoHyphens w:val="0"/>
              <w:spacing w:before="80" w:after="80" w:line="220" w:lineRule="exact"/>
              <w:ind w:left="283"/>
              <w:rPr>
                <w:rFonts w:eastAsia="Times New Roman"/>
                <w:b/>
                <w:sz w:val="18"/>
              </w:rPr>
            </w:pPr>
            <w:r w:rsidRPr="00EE1C8E">
              <w:rPr>
                <w:b/>
                <w:sz w:val="18"/>
                <w:lang w:val="fr-FR"/>
              </w:rPr>
              <w:t>Sous-total</w:t>
            </w:r>
          </w:p>
        </w:tc>
        <w:tc>
          <w:tcPr>
            <w:tcW w:w="650" w:type="pct"/>
            <w:tcBorders>
              <w:top w:val="single" w:sz="4" w:space="0" w:color="auto"/>
              <w:bottom w:val="single" w:sz="12" w:space="0" w:color="auto"/>
            </w:tcBorders>
            <w:shd w:val="clear" w:color="auto" w:fill="auto"/>
            <w:vAlign w:val="bottom"/>
          </w:tcPr>
          <w:p w14:paraId="6CEDAA87" w14:textId="77777777" w:rsidR="0081022C" w:rsidRPr="00EE1C8E" w:rsidRDefault="0081022C" w:rsidP="00EE1C8E">
            <w:pPr>
              <w:suppressAutoHyphens w:val="0"/>
              <w:spacing w:before="80" w:after="80" w:line="220" w:lineRule="exact"/>
              <w:jc w:val="right"/>
              <w:rPr>
                <w:rFonts w:eastAsia="Times New Roman"/>
                <w:b/>
                <w:sz w:val="18"/>
              </w:rPr>
            </w:pPr>
            <w:r w:rsidRPr="00EE1C8E">
              <w:rPr>
                <w:b/>
                <w:sz w:val="18"/>
                <w:lang w:val="fr-FR"/>
              </w:rPr>
              <w:t>4</w:t>
            </w:r>
          </w:p>
        </w:tc>
        <w:tc>
          <w:tcPr>
            <w:tcW w:w="651" w:type="pct"/>
            <w:tcBorders>
              <w:top w:val="single" w:sz="4" w:space="0" w:color="auto"/>
              <w:bottom w:val="single" w:sz="12" w:space="0" w:color="auto"/>
            </w:tcBorders>
            <w:shd w:val="clear" w:color="auto" w:fill="auto"/>
            <w:vAlign w:val="bottom"/>
          </w:tcPr>
          <w:p w14:paraId="74B3E75D" w14:textId="77777777" w:rsidR="0081022C" w:rsidRPr="00EE1C8E" w:rsidRDefault="0081022C" w:rsidP="00EE1C8E">
            <w:pPr>
              <w:suppressAutoHyphens w:val="0"/>
              <w:spacing w:before="80" w:after="80" w:line="220" w:lineRule="exact"/>
              <w:jc w:val="right"/>
              <w:rPr>
                <w:rFonts w:eastAsia="Times New Roman"/>
                <w:b/>
                <w:sz w:val="18"/>
              </w:rPr>
            </w:pPr>
            <w:r w:rsidRPr="00EE1C8E">
              <w:rPr>
                <w:b/>
                <w:sz w:val="18"/>
                <w:lang w:val="fr-FR"/>
              </w:rPr>
              <w:t>3</w:t>
            </w:r>
          </w:p>
        </w:tc>
        <w:tc>
          <w:tcPr>
            <w:tcW w:w="650" w:type="pct"/>
            <w:tcBorders>
              <w:top w:val="single" w:sz="4" w:space="0" w:color="auto"/>
              <w:bottom w:val="single" w:sz="12" w:space="0" w:color="auto"/>
            </w:tcBorders>
            <w:shd w:val="clear" w:color="auto" w:fill="auto"/>
            <w:vAlign w:val="bottom"/>
          </w:tcPr>
          <w:p w14:paraId="34BFD166" w14:textId="77777777" w:rsidR="0081022C" w:rsidRPr="00EE1C8E" w:rsidRDefault="0081022C" w:rsidP="00EE1C8E">
            <w:pPr>
              <w:suppressAutoHyphens w:val="0"/>
              <w:spacing w:before="80" w:after="80" w:line="220" w:lineRule="exact"/>
              <w:jc w:val="right"/>
              <w:rPr>
                <w:rFonts w:eastAsia="Times New Roman"/>
                <w:b/>
                <w:sz w:val="18"/>
              </w:rPr>
            </w:pPr>
            <w:r w:rsidRPr="00EE1C8E">
              <w:rPr>
                <w:b/>
                <w:sz w:val="18"/>
                <w:lang w:val="fr-FR"/>
              </w:rPr>
              <w:t>2</w:t>
            </w:r>
          </w:p>
        </w:tc>
        <w:tc>
          <w:tcPr>
            <w:tcW w:w="651" w:type="pct"/>
            <w:tcBorders>
              <w:top w:val="single" w:sz="4" w:space="0" w:color="auto"/>
              <w:bottom w:val="single" w:sz="12" w:space="0" w:color="auto"/>
            </w:tcBorders>
            <w:shd w:val="clear" w:color="auto" w:fill="auto"/>
            <w:vAlign w:val="bottom"/>
          </w:tcPr>
          <w:p w14:paraId="3DD0FE36" w14:textId="77777777" w:rsidR="0081022C" w:rsidRPr="00EE1C8E" w:rsidRDefault="0081022C" w:rsidP="00EE1C8E">
            <w:pPr>
              <w:suppressAutoHyphens w:val="0"/>
              <w:spacing w:before="80" w:after="80" w:line="220" w:lineRule="exact"/>
              <w:jc w:val="right"/>
              <w:rPr>
                <w:rFonts w:eastAsia="Times New Roman"/>
                <w:b/>
                <w:sz w:val="18"/>
              </w:rPr>
            </w:pPr>
            <w:r w:rsidRPr="00EE1C8E">
              <w:rPr>
                <w:b/>
                <w:sz w:val="18"/>
                <w:lang w:val="fr-FR"/>
              </w:rPr>
              <w:t>19</w:t>
            </w:r>
          </w:p>
        </w:tc>
        <w:tc>
          <w:tcPr>
            <w:tcW w:w="860" w:type="pct"/>
            <w:tcBorders>
              <w:top w:val="single" w:sz="4" w:space="0" w:color="auto"/>
              <w:bottom w:val="single" w:sz="12" w:space="0" w:color="auto"/>
            </w:tcBorders>
            <w:shd w:val="clear" w:color="auto" w:fill="auto"/>
            <w:vAlign w:val="bottom"/>
          </w:tcPr>
          <w:p w14:paraId="15B53463" w14:textId="77777777" w:rsidR="0081022C" w:rsidRPr="00EE1C8E" w:rsidRDefault="0081022C" w:rsidP="00EE1C8E">
            <w:pPr>
              <w:suppressAutoHyphens w:val="0"/>
              <w:spacing w:before="80" w:after="80" w:line="220" w:lineRule="exact"/>
              <w:jc w:val="right"/>
              <w:rPr>
                <w:rFonts w:eastAsia="Times New Roman"/>
                <w:b/>
                <w:sz w:val="18"/>
              </w:rPr>
            </w:pPr>
            <w:r w:rsidRPr="00EE1C8E">
              <w:rPr>
                <w:b/>
                <w:sz w:val="18"/>
                <w:lang w:val="fr-FR"/>
              </w:rPr>
              <w:t>28</w:t>
            </w:r>
          </w:p>
        </w:tc>
      </w:tr>
    </w:tbl>
    <w:p w14:paraId="2B128339" w14:textId="77777777" w:rsidR="0081022C" w:rsidRPr="00EF700A" w:rsidRDefault="0081022C" w:rsidP="00EE1C8E">
      <w:pPr>
        <w:pStyle w:val="SingleTxtG"/>
        <w:spacing w:before="120"/>
      </w:pPr>
      <w:r>
        <w:rPr>
          <w:lang w:val="fr-FR"/>
        </w:rPr>
        <w:t>79.</w:t>
      </w:r>
      <w:r>
        <w:rPr>
          <w:lang w:val="fr-FR"/>
        </w:rPr>
        <w:tab/>
        <w:t xml:space="preserve">Ces lynchages ont principalement pour causes l’insécurité publique, la criminalité et les affaires non résolues par le système judiciaire. Pour lutter contre ces actes et contre d’autres atteintes à la sécurité publique, le plan </w:t>
      </w:r>
      <w:r>
        <w:rPr>
          <w:i/>
          <w:iCs/>
          <w:lang w:val="fr-FR"/>
        </w:rPr>
        <w:t>Mi barrio seguro</w:t>
      </w:r>
      <w:r>
        <w:rPr>
          <w:lang w:val="fr-FR"/>
        </w:rPr>
        <w:t xml:space="preserve"> (Mon quartier sûr) a été mis en œuvre dans différentes régions et divers secteurs du pays. En fonction de l’identification de zones à risque et de leur géoréférencement, le plan s’applique spécifiquement et exclusivement aux caractéristiques du secteur, et des ateliers et campagnes de sensibilisation sur la violence domestique, la violence fondée sur le genre, la traite des êtres humains et les lynchages sont organisés.</w:t>
      </w:r>
    </w:p>
    <w:p w14:paraId="0040E093" w14:textId="3161A940" w:rsidR="0081022C" w:rsidRPr="00EF700A" w:rsidRDefault="0081022C" w:rsidP="0081022C">
      <w:pPr>
        <w:pStyle w:val="SingleTxtG"/>
      </w:pPr>
      <w:r>
        <w:rPr>
          <w:lang w:val="fr-FR"/>
        </w:rPr>
        <w:t>80.</w:t>
      </w:r>
      <w:r>
        <w:rPr>
          <w:lang w:val="fr-FR"/>
        </w:rPr>
        <w:tab/>
        <w:t>Ce plan a été exécuté dans les zones de Senkata, La</w:t>
      </w:r>
      <w:r w:rsidR="001E2C2B">
        <w:rPr>
          <w:lang w:val="fr-FR"/>
        </w:rPr>
        <w:t> </w:t>
      </w:r>
      <w:r>
        <w:rPr>
          <w:lang w:val="fr-FR"/>
        </w:rPr>
        <w:t>Ceja et Camino a Laja, dans la ville d’El</w:t>
      </w:r>
      <w:r w:rsidR="001E2C2B">
        <w:rPr>
          <w:lang w:val="fr-FR"/>
        </w:rPr>
        <w:t> </w:t>
      </w:r>
      <w:r>
        <w:rPr>
          <w:lang w:val="fr-FR"/>
        </w:rPr>
        <w:t>Alto, ainsi que dans les zones de Plan 3000, G77, Los</w:t>
      </w:r>
      <w:r w:rsidR="001E2C2B">
        <w:rPr>
          <w:lang w:val="fr-FR"/>
        </w:rPr>
        <w:t> </w:t>
      </w:r>
      <w:r>
        <w:rPr>
          <w:lang w:val="fr-FR"/>
        </w:rPr>
        <w:t>Lotes et Villa Primero de Mayo, dans la ville de Santa Cruz. Cette année, il sera mis en œuvre dans les départements de Pando, Tarija et Cochabamba.</w:t>
      </w:r>
    </w:p>
    <w:p w14:paraId="53F42A16" w14:textId="145CAC40" w:rsidR="0081022C" w:rsidRPr="00EF700A" w:rsidRDefault="0081022C" w:rsidP="0081022C">
      <w:pPr>
        <w:pStyle w:val="SingleTxtG"/>
      </w:pPr>
      <w:r>
        <w:rPr>
          <w:lang w:val="fr-FR"/>
        </w:rPr>
        <w:t>81.</w:t>
      </w:r>
      <w:r>
        <w:rPr>
          <w:lang w:val="fr-FR"/>
        </w:rPr>
        <w:tab/>
        <w:t>La Division de statistique du Département national de planification de la police, qui relève de la Direction nationale des forces spéciales contre le crime, fait état d’un total de 28 lynchages enregistrés en</w:t>
      </w:r>
      <w:r w:rsidR="004B47B4">
        <w:rPr>
          <w:lang w:val="fr-FR"/>
        </w:rPr>
        <w:t>s</w:t>
      </w:r>
      <w:r>
        <w:rPr>
          <w:lang w:val="fr-FR"/>
        </w:rPr>
        <w:t>tre 2017 et juillet 2021 à l’échelle nationale.</w:t>
      </w:r>
    </w:p>
    <w:p w14:paraId="58FF8128" w14:textId="77777777" w:rsidR="0081022C" w:rsidRPr="00EF700A" w:rsidRDefault="0081022C" w:rsidP="0081022C">
      <w:pPr>
        <w:pStyle w:val="SingleTxtG"/>
      </w:pPr>
      <w:r>
        <w:rPr>
          <w:lang w:val="fr-FR"/>
        </w:rPr>
        <w:t>82.</w:t>
      </w:r>
      <w:r>
        <w:rPr>
          <w:lang w:val="fr-FR"/>
        </w:rPr>
        <w:tab/>
        <w:t>Le Bureau du Procureur spécialisé dans les atteintes à la vie, dans le cadre du modèle de gestion budgétaire axée sur les résultats, constitue l’unité d’enquête la plus importante, qui bénéficie de la meilleure prise en charge institutionnelle. Il a pour mission principale d’exercer l’action publique pour les actes qui suppriment ou mettent en danger certain la vie en tant que bien juridique protégé.</w:t>
      </w:r>
    </w:p>
    <w:p w14:paraId="5D0ACAB9" w14:textId="77777777" w:rsidR="0081022C" w:rsidRPr="00EF700A" w:rsidRDefault="0081022C" w:rsidP="0081022C">
      <w:pPr>
        <w:pStyle w:val="SingleTxtG"/>
      </w:pPr>
      <w:r>
        <w:rPr>
          <w:lang w:val="fr-FR"/>
        </w:rPr>
        <w:t>83.</w:t>
      </w:r>
      <w:r>
        <w:rPr>
          <w:lang w:val="fr-FR"/>
        </w:rPr>
        <w:tab/>
        <w:t>S’agissant des mesures adoptées, le ministère public, conformément aux pouvoirs et aux fonctions qui lui sont conférés, poursuit les comportements délictueux en exerçant l’action publique, comme le prévoient l’article 225 de la Constitution, les traités et conventions internationaux en vigueur et les lois. À ce titre, il mène les enquêtes correspondant aux infractions commises et tous les travaux d’investigation nécessaires selon la diligence raisonnable pour établir la vérité historique des faits de lynchage.</w:t>
      </w:r>
    </w:p>
    <w:p w14:paraId="02100A54" w14:textId="77777777" w:rsidR="0081022C" w:rsidRPr="002014CD" w:rsidRDefault="0081022C" w:rsidP="00EE1C8E">
      <w:pPr>
        <w:pStyle w:val="H23G"/>
      </w:pPr>
      <w:r>
        <w:rPr>
          <w:lang w:val="fr-FR"/>
        </w:rPr>
        <w:lastRenderedPageBreak/>
        <w:tab/>
        <w:t>11.</w:t>
      </w:r>
      <w:r>
        <w:rPr>
          <w:lang w:val="fr-FR"/>
        </w:rPr>
        <w:tab/>
        <w:t>Réponse au paragraphe 11 de la liste de points</w:t>
      </w:r>
    </w:p>
    <w:p w14:paraId="3C68FA4E" w14:textId="77777777" w:rsidR="0081022C" w:rsidRPr="00EF700A" w:rsidRDefault="0081022C" w:rsidP="0081022C">
      <w:pPr>
        <w:pStyle w:val="SingleTxtG"/>
      </w:pPr>
      <w:r>
        <w:rPr>
          <w:lang w:val="fr-FR"/>
        </w:rPr>
        <w:t>84.</w:t>
      </w:r>
      <w:r>
        <w:rPr>
          <w:lang w:val="fr-FR"/>
        </w:rPr>
        <w:tab/>
        <w:t>La compétence de la juridiction militaire est clairement définie dans les articles 117 et 120 de la Constitution politique de l’État. L’article 48 du Code de procédure pénale précise qu’en cas de doute, la justice ordinaire prime sur la justice militaire. La Loi fondamentale de l’État établit à l’article 180 (par. III) que la juridiction militaire juge les délits de nature militaire réglementés par la loi.</w:t>
      </w:r>
    </w:p>
    <w:p w14:paraId="22574840" w14:textId="40727CC3" w:rsidR="0081022C" w:rsidRPr="00EF700A" w:rsidRDefault="0081022C" w:rsidP="0081022C">
      <w:pPr>
        <w:pStyle w:val="SingleTxtG"/>
      </w:pPr>
      <w:r>
        <w:rPr>
          <w:lang w:val="fr-FR"/>
        </w:rPr>
        <w:t>85.</w:t>
      </w:r>
      <w:r>
        <w:rPr>
          <w:lang w:val="fr-FR"/>
        </w:rPr>
        <w:tab/>
        <w:t>La justice militaire est compétente pour connaître des infractions commises dans l’exercice des fonctions militaires. Trois conditions s’appliquent : 1)</w:t>
      </w:r>
      <w:r w:rsidR="00C123CF">
        <w:rPr>
          <w:lang w:val="fr-FR"/>
        </w:rPr>
        <w:t> </w:t>
      </w:r>
      <w:r>
        <w:rPr>
          <w:lang w:val="fr-FR"/>
        </w:rPr>
        <w:t>les Boliviens et les étrangers sont soumis à la juridiction militaire pour les infractions relatives aux affaires militaires (art. 10 de la loi relative à l’organisation de la justice militaire), étant entendu que seules les actions (définies dans le Code pénal militaire) portant atteinte aux biens juridiques militaires sont soumises à cette juridiction ; 2)</w:t>
      </w:r>
      <w:r w:rsidR="00C123CF">
        <w:rPr>
          <w:lang w:val="fr-FR"/>
        </w:rPr>
        <w:t> </w:t>
      </w:r>
      <w:r>
        <w:rPr>
          <w:lang w:val="fr-FR"/>
        </w:rPr>
        <w:t xml:space="preserve">le Code pénal militaire s’applique, entre autres, à toutes les infractions commises par les membres des forces armées dans l’exercice ou à l’occasion de l’exercice des fonctions militaires, à l’intérieur ou à l’extérieur des casernes, campements et zones militaires, et sur tout le territoire de la République en cas de guerre à l’intérieur ou à l’extérieur du pays (art. 1.1) ; par conséquent, pour que ce </w:t>
      </w:r>
      <w:r w:rsidR="00C123CF">
        <w:rPr>
          <w:lang w:val="fr-FR"/>
        </w:rPr>
        <w:t>c</w:t>
      </w:r>
      <w:r>
        <w:rPr>
          <w:lang w:val="fr-FR"/>
        </w:rPr>
        <w:t>ode et la juridiction militaire s’appliquent aux membres des forces armées, les infractions doivent nécessairement être commises dans l’exercice ou à l’occasion de l’exercice des fonctions militaires, à l’intérieur ou à l’extérieur des zones militaires.</w:t>
      </w:r>
    </w:p>
    <w:p w14:paraId="097B756D" w14:textId="77777777" w:rsidR="0081022C" w:rsidRPr="00EF700A" w:rsidRDefault="0081022C" w:rsidP="0081022C">
      <w:pPr>
        <w:pStyle w:val="SingleTxtG"/>
      </w:pPr>
      <w:r>
        <w:rPr>
          <w:lang w:val="fr-FR"/>
        </w:rPr>
        <w:t>86.</w:t>
      </w:r>
      <w:r>
        <w:rPr>
          <w:lang w:val="fr-FR"/>
        </w:rPr>
        <w:tab/>
        <w:t>Cependant, seules les infractions portant atteinte aux biens juridiques militaires peuvent être considérées comme des infractions militaires, c’est-à-dire celles qui compromettent les intérêts protégés par le droit pénal, dans le cadre de la mission constitutionnelle des forces armées, des moyens destinés à l’accomplissement de cette mission et de leur organisation, hiérarchie et discipline. Il s’ensuit que la compétence des tribunaux militaires doit se limiter aux questions relatives au domaine militaire, et plus spécifiquement aux devoirs propres à la fonction militaire.</w:t>
      </w:r>
    </w:p>
    <w:p w14:paraId="60549696" w14:textId="77777777" w:rsidR="0081022C" w:rsidRPr="00EF700A" w:rsidRDefault="0081022C" w:rsidP="0081022C">
      <w:pPr>
        <w:pStyle w:val="SingleTxtG"/>
      </w:pPr>
      <w:r>
        <w:rPr>
          <w:lang w:val="fr-FR"/>
        </w:rPr>
        <w:t>87.</w:t>
      </w:r>
      <w:r>
        <w:rPr>
          <w:lang w:val="fr-FR"/>
        </w:rPr>
        <w:tab/>
        <w:t>Compte tenu de ce qui précède, les tribunaux militaires ne sont pas compétents pour connaître des infractions commises en dehors du service. Si c’était le cas, les biens juridiques considérés comme des valeurs, des attentes et des intérêts fondamentaux, sans lesquels toute vie sociale serait impossible, précaire ou indigne, reconnus comme des droits à l’article 7 de la Constitution politique de l’État et dans les Pactes et les normes internationales relatives aux droits de l’homme, ne trouveraient pas de protection effective dans le droit pénal ordinaire, et encore moins au sein de la juridiction pénale ordinaire.</w:t>
      </w:r>
    </w:p>
    <w:p w14:paraId="2821D6FB" w14:textId="77777777" w:rsidR="0081022C" w:rsidRPr="00EF700A" w:rsidRDefault="0081022C" w:rsidP="0081022C">
      <w:pPr>
        <w:pStyle w:val="SingleTxtG"/>
        <w:rPr>
          <w:b/>
          <w:i/>
        </w:rPr>
      </w:pPr>
      <w:r>
        <w:rPr>
          <w:lang w:val="fr-FR"/>
        </w:rPr>
        <w:t>88.</w:t>
      </w:r>
      <w:r>
        <w:rPr>
          <w:lang w:val="fr-FR"/>
        </w:rPr>
        <w:tab/>
        <w:t>Aux termes de l’article 26 de la loi organique sur les forces armées, des articles 9, 10, 11 et 12 de la loi sur l’organisation de la justice militaire et de l’article 1 du Code pénal militaire, pour que la juridiction militaire soit compétente, il ne suffit pas que l’auteur soit membre des forces armées, mais il faut encore qu’il ait fait preuve d’un comportement répréhensible dans l’exercice de l’une des missions de l’institution militaire qui, selon les dispositions de l’article 224 du Code pénal militaire, a pour principal objet de préserver la sécurité, la stabilité et la souveraineté du pays.</w:t>
      </w:r>
    </w:p>
    <w:p w14:paraId="35411089" w14:textId="5B514D78" w:rsidR="0081022C" w:rsidRPr="00EF700A" w:rsidRDefault="0081022C" w:rsidP="0081022C">
      <w:pPr>
        <w:pStyle w:val="SingleTxtG"/>
      </w:pPr>
      <w:r>
        <w:rPr>
          <w:lang w:val="fr-FR"/>
        </w:rPr>
        <w:t>89.</w:t>
      </w:r>
      <w:r>
        <w:rPr>
          <w:lang w:val="fr-FR"/>
        </w:rPr>
        <w:tab/>
        <w:t>L’arrêt constitutionnel plurinational n</w:t>
      </w:r>
      <w:r>
        <w:rPr>
          <w:vertAlign w:val="superscript"/>
          <w:lang w:val="fr-FR"/>
        </w:rPr>
        <w:t>o</w:t>
      </w:r>
      <w:r>
        <w:rPr>
          <w:lang w:val="fr-FR"/>
        </w:rPr>
        <w:t> 0872/2018-S4 du 20 décembre 2018 conclut que la juridiction ordinaire est la règle et la juridiction militaire l’exception. Il précise que, de manière générale, la juridiction militaire n’est compétente que si l’infraction présumée a été commise par un militaire dans l’exercice ou à l’occasion de l’exercice de ses fonctions, à</w:t>
      </w:r>
      <w:r w:rsidR="00C123CF">
        <w:rPr>
          <w:lang w:val="fr-FR"/>
        </w:rPr>
        <w:t> </w:t>
      </w:r>
      <w:r>
        <w:rPr>
          <w:lang w:val="fr-FR"/>
        </w:rPr>
        <w:t>l’intérieur ou à l’extérieur des zones militaires ; si l’acte a porté atteinte à un bien juridique militaire, acte qui doit également être expressément érigé en infraction et avoir été commis dans le cadre de la mission constitutionnelle des forces armées. Si l’acte en question viole des droits fondamentaux et garanties fondamentales, il ne peut en aucun cas faire l’objet d’une enquête de la juridiction pénale militaire, puisqu’il relève de la justice ordinaire.</w:t>
      </w:r>
    </w:p>
    <w:p w14:paraId="1C2417D6" w14:textId="77777777" w:rsidR="0081022C" w:rsidRPr="002014CD" w:rsidRDefault="0081022C" w:rsidP="00EE1C8E">
      <w:pPr>
        <w:pStyle w:val="H23G"/>
      </w:pPr>
      <w:r>
        <w:rPr>
          <w:lang w:val="fr-FR"/>
        </w:rPr>
        <w:tab/>
        <w:t>12.</w:t>
      </w:r>
      <w:r>
        <w:rPr>
          <w:lang w:val="fr-FR"/>
        </w:rPr>
        <w:tab/>
        <w:t>Réponse au paragraphe 12 de la liste de points</w:t>
      </w:r>
    </w:p>
    <w:p w14:paraId="2FB32BD5" w14:textId="77777777" w:rsidR="0081022C" w:rsidRPr="00EF700A" w:rsidRDefault="0081022C" w:rsidP="0081022C">
      <w:pPr>
        <w:pStyle w:val="SingleTxtG"/>
      </w:pPr>
      <w:r>
        <w:rPr>
          <w:lang w:val="fr-FR"/>
        </w:rPr>
        <w:t>90.</w:t>
      </w:r>
      <w:r>
        <w:rPr>
          <w:lang w:val="fr-FR"/>
        </w:rPr>
        <w:tab/>
        <w:t>Le Code de l’enfance et de l’adolescence consacre le droit des enfants et des adolescents à l’intégrité de la personne et à la protection contre toute forme de violence portant atteinte à leur intégrité physique, psychologique et sexuelle, et précise que tout enfant a le droit d’être bien traité, ce qui passe notamment par une éducation non violente, et qu’en conséquence, tout châtiment corporel, violent ou humiliant est interdit.</w:t>
      </w:r>
    </w:p>
    <w:p w14:paraId="07A561F9" w14:textId="3A8AD684" w:rsidR="0081022C" w:rsidRPr="00EF700A" w:rsidRDefault="0081022C" w:rsidP="0081022C">
      <w:pPr>
        <w:pStyle w:val="SingleTxtG"/>
      </w:pPr>
      <w:r>
        <w:rPr>
          <w:lang w:val="fr-FR"/>
        </w:rPr>
        <w:lastRenderedPageBreak/>
        <w:t>91.</w:t>
      </w:r>
      <w:r>
        <w:rPr>
          <w:lang w:val="fr-FR"/>
        </w:rPr>
        <w:tab/>
        <w:t>Afin de protéger le droit à l’intégrité de la personne, les Services de défense des enfants et des adolescents sont habilités, sans avoir à produire de mandat exprès, à saisir les autorités compétentes de plaintes, de demandes et de recours en lien avec des comportements violents et autres faits de violence, infractions ou délits visant des enfants, y</w:t>
      </w:r>
      <w:r w:rsidR="00EE1C8E">
        <w:rPr>
          <w:lang w:val="fr-FR"/>
        </w:rPr>
        <w:t> </w:t>
      </w:r>
      <w:r>
        <w:rPr>
          <w:lang w:val="fr-FR"/>
        </w:rPr>
        <w:t>compris lorsqu’ils appartiennent à des populations rurales et à des peuples autochtones paysans.</w:t>
      </w:r>
    </w:p>
    <w:p w14:paraId="6EAC4DE5" w14:textId="77777777" w:rsidR="0081022C" w:rsidRPr="00EF700A" w:rsidRDefault="0081022C" w:rsidP="0081022C">
      <w:pPr>
        <w:pStyle w:val="SingleTxtG"/>
      </w:pPr>
      <w:r>
        <w:rPr>
          <w:lang w:val="fr-FR"/>
        </w:rPr>
        <w:t>92.</w:t>
      </w:r>
      <w:r>
        <w:rPr>
          <w:lang w:val="fr-FR"/>
        </w:rPr>
        <w:tab/>
        <w:t>Dans le cadre de cette réglementation, le Ministère de l’éducation a élaboré des normes internes pour garantir une éducation sans violence :</w:t>
      </w:r>
    </w:p>
    <w:p w14:paraId="63352C1F" w14:textId="34F63FD1" w:rsidR="0081022C" w:rsidRPr="002014CD" w:rsidRDefault="0081022C" w:rsidP="00EE1C8E">
      <w:pPr>
        <w:pStyle w:val="Bullet1G"/>
      </w:pPr>
      <w:r>
        <w:rPr>
          <w:lang w:val="fr-FR"/>
        </w:rPr>
        <w:t>L’arrêté ministériel n</w:t>
      </w:r>
      <w:r>
        <w:rPr>
          <w:vertAlign w:val="superscript"/>
          <w:lang w:val="fr-FR"/>
        </w:rPr>
        <w:t>o</w:t>
      </w:r>
      <w:r>
        <w:rPr>
          <w:lang w:val="fr-FR"/>
        </w:rPr>
        <w:t> 001/2016-2020 instaure des mandats spécifiques sur l’interdiction de toute forme de violence ou de maltraitance et rend les actions de prévention</w:t>
      </w:r>
      <w:r w:rsidRPr="004F7C86">
        <w:rPr>
          <w:lang w:val="fr-FR"/>
        </w:rPr>
        <w:t xml:space="preserve"> </w:t>
      </w:r>
      <w:r>
        <w:rPr>
          <w:lang w:val="fr-FR"/>
        </w:rPr>
        <w:t>obligatoires</w:t>
      </w:r>
      <w:r w:rsidR="00EE1C8E">
        <w:rPr>
          <w:lang w:val="fr-FR"/>
        </w:rPr>
        <w:t> ;</w:t>
      </w:r>
    </w:p>
    <w:p w14:paraId="09EA8AB0" w14:textId="7F3725A7" w:rsidR="0081022C" w:rsidRPr="002014CD" w:rsidRDefault="0081022C" w:rsidP="00EE1C8E">
      <w:pPr>
        <w:pStyle w:val="Bullet1G"/>
      </w:pPr>
      <w:r>
        <w:rPr>
          <w:lang w:val="fr-FR"/>
        </w:rPr>
        <w:t>Pendant l’année scolaire 2021, la politique de « tolérance zéro » à l’égard du harcèlement et des violences à l’école continuera de s’appliquer, dans les salles de classe, les couloirs et autres espaces de l’établissement scolaire, ainsi que sur les réseaux sociaux, aussi bien à l’intérieur qu’à l’extérieur de l’établissement scolaire. De même, les enseignants doivent mettre au point des supports contre toutes les formes de violence à l’école, qui doivent s’articuler autour de l’éducation aux valeurs sociocommunautaires</w:t>
      </w:r>
      <w:r w:rsidR="00EE1C8E">
        <w:rPr>
          <w:lang w:val="fr-FR"/>
        </w:rPr>
        <w:t> ;</w:t>
      </w:r>
    </w:p>
    <w:p w14:paraId="05D74B39" w14:textId="2D789132" w:rsidR="0081022C" w:rsidRPr="002014CD" w:rsidRDefault="0081022C" w:rsidP="00EE1C8E">
      <w:pPr>
        <w:pStyle w:val="Bullet1G"/>
      </w:pPr>
      <w:r>
        <w:rPr>
          <w:lang w:val="fr-FR"/>
        </w:rPr>
        <w:t>Tout membre de la communauté éducative (enseignant, personnel administratif, parent ou élève) qui détecte une situation de violence a l’obligation de la signaler aux autorités compétentes</w:t>
      </w:r>
      <w:r w:rsidR="00EE1C8E">
        <w:rPr>
          <w:lang w:val="fr-FR"/>
        </w:rPr>
        <w:t> ;</w:t>
      </w:r>
    </w:p>
    <w:p w14:paraId="2F6D6F8C" w14:textId="77836078" w:rsidR="0081022C" w:rsidRPr="002014CD" w:rsidRDefault="0081022C" w:rsidP="00EE1C8E">
      <w:pPr>
        <w:pStyle w:val="Bullet1G"/>
      </w:pPr>
      <w:r>
        <w:rPr>
          <w:lang w:val="fr-FR"/>
        </w:rPr>
        <w:t>Le Ministère de l’éducation a fait appel à des avocats de la défense pour intégrer les Directions départementales de l’éducation afin d’apporter une aide juridique aux élèves victimes de violences sexuelles</w:t>
      </w:r>
      <w:r w:rsidR="00EE1C8E">
        <w:rPr>
          <w:lang w:val="fr-FR"/>
        </w:rPr>
        <w:t> ;</w:t>
      </w:r>
    </w:p>
    <w:p w14:paraId="145D1D49" w14:textId="77777777" w:rsidR="0081022C" w:rsidRPr="002014CD" w:rsidRDefault="0081022C" w:rsidP="00EE1C8E">
      <w:pPr>
        <w:pStyle w:val="Bullet1G"/>
        <w:rPr>
          <w:shd w:val="clear" w:color="auto" w:fill="FFFFFF"/>
        </w:rPr>
      </w:pPr>
      <w:r>
        <w:rPr>
          <w:lang w:val="fr-FR"/>
        </w:rPr>
        <w:t>Des lignes directrices ont été élaborées pour la création du Plan de coexistence pacifique et harmonieuse, adopté par arrêté ministériel n</w:t>
      </w:r>
      <w:r>
        <w:rPr>
          <w:vertAlign w:val="superscript"/>
          <w:lang w:val="fr-FR"/>
        </w:rPr>
        <w:t>o</w:t>
      </w:r>
      <w:r>
        <w:rPr>
          <w:lang w:val="fr-FR"/>
        </w:rPr>
        <w:t> 0208/2021.</w:t>
      </w:r>
    </w:p>
    <w:p w14:paraId="533941AD" w14:textId="5915D3AE" w:rsidR="0081022C" w:rsidRPr="002014CD" w:rsidRDefault="0081022C" w:rsidP="00EE1C8E">
      <w:pPr>
        <w:pStyle w:val="H1G"/>
      </w:pPr>
      <w:r>
        <w:rPr>
          <w:lang w:val="fr-FR"/>
        </w:rPr>
        <w:tab/>
      </w:r>
      <w:r>
        <w:rPr>
          <w:lang w:val="fr-FR"/>
        </w:rPr>
        <w:tab/>
        <w:t>Usage excessif de la force (art. 2, 6, 7 et 14)</w:t>
      </w:r>
    </w:p>
    <w:p w14:paraId="5699609D" w14:textId="77777777" w:rsidR="0081022C" w:rsidRPr="002014CD" w:rsidRDefault="0081022C" w:rsidP="00EE1C8E">
      <w:pPr>
        <w:pStyle w:val="H23G"/>
      </w:pPr>
      <w:r>
        <w:rPr>
          <w:lang w:val="fr-FR"/>
        </w:rPr>
        <w:tab/>
        <w:t>13.</w:t>
      </w:r>
      <w:r>
        <w:rPr>
          <w:lang w:val="fr-FR"/>
        </w:rPr>
        <w:tab/>
        <w:t>Réponse au paragraphe 13 de la liste de points</w:t>
      </w:r>
    </w:p>
    <w:p w14:paraId="551C4DE9" w14:textId="3BE001AC" w:rsidR="0081022C" w:rsidRPr="00EF700A" w:rsidRDefault="0081022C" w:rsidP="0081022C">
      <w:pPr>
        <w:pStyle w:val="SingleTxtG"/>
      </w:pPr>
      <w:r>
        <w:rPr>
          <w:lang w:val="fr-FR"/>
        </w:rPr>
        <w:t>93.</w:t>
      </w:r>
      <w:r>
        <w:rPr>
          <w:lang w:val="fr-FR"/>
        </w:rPr>
        <w:tab/>
        <w:t>S’agissant des faits survenus à Pando et à Sucre en 2008, le parquet départemental de La</w:t>
      </w:r>
      <w:r w:rsidR="00C123CF">
        <w:rPr>
          <w:lang w:val="fr-FR"/>
        </w:rPr>
        <w:t> </w:t>
      </w:r>
      <w:r>
        <w:rPr>
          <w:lang w:val="fr-FR"/>
        </w:rPr>
        <w:t>Paz a fourni les informations suivantes sur les parties à la procédure dans l’affaire LPZ0806950, ouverte le 17 septembre 2008 :</w:t>
      </w:r>
    </w:p>
    <w:p w14:paraId="39E5CC8B" w14:textId="3486F8A5" w:rsidR="0081022C" w:rsidRPr="002014CD" w:rsidRDefault="0081022C" w:rsidP="00EE1C8E">
      <w:pPr>
        <w:pStyle w:val="Bullet1G"/>
      </w:pPr>
      <w:r>
        <w:rPr>
          <w:lang w:val="fr-FR"/>
        </w:rPr>
        <w:t>Plaignant : procédure d’office</w:t>
      </w:r>
      <w:r w:rsidR="00EE1C8E">
        <w:rPr>
          <w:lang w:val="fr-FR"/>
        </w:rPr>
        <w:t> ;</w:t>
      </w:r>
    </w:p>
    <w:p w14:paraId="3FE4D5B9" w14:textId="20E68389" w:rsidR="0081022C" w:rsidRPr="002014CD" w:rsidRDefault="0081022C" w:rsidP="00EE1C8E">
      <w:pPr>
        <w:pStyle w:val="Bullet1G"/>
      </w:pPr>
      <w:r>
        <w:rPr>
          <w:lang w:val="fr-FR"/>
        </w:rPr>
        <w:t>Victime : Ramiro Tiñini Alvarado</w:t>
      </w:r>
      <w:r w:rsidR="00EE1C8E">
        <w:rPr>
          <w:lang w:val="fr-FR"/>
        </w:rPr>
        <w:t> ;</w:t>
      </w:r>
    </w:p>
    <w:p w14:paraId="48E80342" w14:textId="1306234A" w:rsidR="0081022C" w:rsidRDefault="0081022C" w:rsidP="00EE1C8E">
      <w:pPr>
        <w:pStyle w:val="Bullet1G"/>
        <w:rPr>
          <w:lang w:val="fr-FR"/>
        </w:rPr>
      </w:pPr>
      <w:r>
        <w:rPr>
          <w:lang w:val="fr-FR"/>
        </w:rPr>
        <w:t>Accusés : Leopoldo Fernández Ferreira, Juan Marcelo Mejido Flores et autres, pour terrorisme, meurtre, homicide, lésions corporelles graves et légères et association criminelle et autres</w:t>
      </w:r>
      <w:r w:rsidR="00EE1C8E">
        <w:rPr>
          <w:lang w:val="fr-FR"/>
        </w:rPr>
        <w:t> ;</w:t>
      </w:r>
    </w:p>
    <w:p w14:paraId="15E9FE1A" w14:textId="6DCBA1C0" w:rsidR="0081022C" w:rsidRPr="00EE1C8E" w:rsidRDefault="0081022C" w:rsidP="00EE1C8E">
      <w:pPr>
        <w:pStyle w:val="Bullet1G"/>
      </w:pPr>
      <w:r>
        <w:rPr>
          <w:lang w:val="fr-FR"/>
        </w:rPr>
        <w:t xml:space="preserve">État actuel de l’affaire : en août 2021, une condamnation a été prononcée contre Leopoldo Fernández Ferreira (peine de </w:t>
      </w:r>
      <w:r w:rsidR="00EE1C8E">
        <w:rPr>
          <w:lang w:val="fr-FR"/>
        </w:rPr>
        <w:t>quinze ans</w:t>
      </w:r>
      <w:r>
        <w:rPr>
          <w:lang w:val="fr-FR"/>
        </w:rPr>
        <w:t xml:space="preserve"> pour homicide), Hernán Justiniano Negrete (peine de </w:t>
      </w:r>
      <w:r w:rsidR="00EE1C8E">
        <w:rPr>
          <w:lang w:val="fr-FR"/>
        </w:rPr>
        <w:t xml:space="preserve">huit </w:t>
      </w:r>
      <w:r>
        <w:rPr>
          <w:lang w:val="fr-FR"/>
        </w:rPr>
        <w:t>ans pour complicité d’homicide), Ivin Ventura Vogoth (</w:t>
      </w:r>
      <w:r w:rsidR="00EE1C8E">
        <w:rPr>
          <w:lang w:val="fr-FR"/>
        </w:rPr>
        <w:t xml:space="preserve">neuf </w:t>
      </w:r>
      <w:r>
        <w:rPr>
          <w:lang w:val="fr-FR"/>
        </w:rPr>
        <w:t>ans pour complicité d’homicide), Juan Marcelo Mejido Flores (</w:t>
      </w:r>
      <w:r w:rsidR="00EE1C8E">
        <w:rPr>
          <w:lang w:val="fr-FR"/>
        </w:rPr>
        <w:t xml:space="preserve">cinq </w:t>
      </w:r>
      <w:r>
        <w:rPr>
          <w:lang w:val="fr-FR"/>
        </w:rPr>
        <w:t>ans pour lésions corporelles graves et légères). Le ministère public comme les accusés ayant fait appel de cette décision, l’affaire est toujours en cours.</w:t>
      </w:r>
    </w:p>
    <w:p w14:paraId="4CC5F8FF" w14:textId="55494899" w:rsidR="0081022C" w:rsidRPr="00EF700A" w:rsidRDefault="0081022C" w:rsidP="0081022C">
      <w:pPr>
        <w:pStyle w:val="SingleTxtG"/>
      </w:pPr>
      <w:r>
        <w:rPr>
          <w:lang w:val="fr-FR"/>
        </w:rPr>
        <w:t>94.</w:t>
      </w:r>
      <w:r>
        <w:rPr>
          <w:lang w:val="fr-FR"/>
        </w:rPr>
        <w:tab/>
        <w:t>De même, dans le cadre des faits survenus à Pando et à Sucre en 2008, le parquet départemental de Chuquisaca a instruit l’affaire n</w:t>
      </w:r>
      <w:r>
        <w:rPr>
          <w:vertAlign w:val="superscript"/>
          <w:lang w:val="fr-FR"/>
        </w:rPr>
        <w:t>o</w:t>
      </w:r>
      <w:r>
        <w:rPr>
          <w:lang w:val="fr-FR"/>
        </w:rPr>
        <w:t> FIS0801076, ouverte en mai 2008. Les</w:t>
      </w:r>
      <w:r w:rsidR="00EE1C8E">
        <w:rPr>
          <w:lang w:val="fr-FR"/>
        </w:rPr>
        <w:t> </w:t>
      </w:r>
      <w:r>
        <w:rPr>
          <w:lang w:val="fr-FR"/>
        </w:rPr>
        <w:t>parties à la procédure sont les suivantes :</w:t>
      </w:r>
    </w:p>
    <w:p w14:paraId="61EE2866" w14:textId="4F191C79" w:rsidR="0081022C" w:rsidRPr="002014CD" w:rsidRDefault="0081022C" w:rsidP="00EE1C8E">
      <w:pPr>
        <w:pStyle w:val="Bullet1G"/>
      </w:pPr>
      <w:r>
        <w:rPr>
          <w:lang w:val="fr-FR"/>
        </w:rPr>
        <w:t>Demandeur : Ángel Vallejos, en sa qualité de victime</w:t>
      </w:r>
      <w:r w:rsidR="00EE1C8E">
        <w:rPr>
          <w:lang w:val="fr-FR"/>
        </w:rPr>
        <w:t> ;</w:t>
      </w:r>
    </w:p>
    <w:p w14:paraId="0890C220" w14:textId="6AB92A67" w:rsidR="0081022C" w:rsidRPr="002014CD" w:rsidRDefault="0081022C" w:rsidP="00EE1C8E">
      <w:pPr>
        <w:pStyle w:val="Bullet1G"/>
      </w:pPr>
      <w:r>
        <w:rPr>
          <w:lang w:val="fr-FR"/>
        </w:rPr>
        <w:t xml:space="preserve">Accusés : Jaime Barrón Poveda, Aydee Nava Andrade, Fidel </w:t>
      </w:r>
      <w:r w:rsidRPr="00CC6028">
        <w:rPr>
          <w:lang w:val="fr-FR"/>
        </w:rPr>
        <w:t>Herrera Ressini, Jhon</w:t>
      </w:r>
      <w:r w:rsidR="006F44A7" w:rsidRPr="00CC6028">
        <w:rPr>
          <w:lang w:val="fr-FR"/>
        </w:rPr>
        <w:t> </w:t>
      </w:r>
      <w:r w:rsidRPr="00CC6028">
        <w:rPr>
          <w:lang w:val="fr-FR"/>
        </w:rPr>
        <w:t xml:space="preserve">Caba, Sabina Cuellar Leaños </w:t>
      </w:r>
      <w:r w:rsidR="00D842DB" w:rsidRPr="00CC6028">
        <w:rPr>
          <w:lang w:val="fr-FR"/>
        </w:rPr>
        <w:t xml:space="preserve">et autres, pour les infractions suivantes : </w:t>
      </w:r>
      <w:r w:rsidRPr="00CC6028">
        <w:rPr>
          <w:lang w:val="fr-FR"/>
        </w:rPr>
        <w:t>lésions corporelles graves et légères, sédition, mauvais traitements et torture, coercition, menaces, privation de liberté, fabrication, commerce ou possession</w:t>
      </w:r>
      <w:r>
        <w:rPr>
          <w:lang w:val="fr-FR"/>
        </w:rPr>
        <w:t xml:space="preserve"> de substances </w:t>
      </w:r>
      <w:r>
        <w:rPr>
          <w:lang w:val="fr-FR"/>
        </w:rPr>
        <w:lastRenderedPageBreak/>
        <w:t>explosives ou asphyxiantes, trouble ou perturbation de l’ordre public, incitation publique à commettre une infraction</w:t>
      </w:r>
      <w:r w:rsidR="00EE1C8E">
        <w:rPr>
          <w:lang w:val="fr-FR"/>
        </w:rPr>
        <w:t> ;</w:t>
      </w:r>
    </w:p>
    <w:p w14:paraId="3473FCC6" w14:textId="5CA437EB" w:rsidR="0081022C" w:rsidRPr="002014CD" w:rsidRDefault="0081022C" w:rsidP="00EE1C8E">
      <w:pPr>
        <w:pStyle w:val="Bullet1G"/>
      </w:pPr>
      <w:r>
        <w:rPr>
          <w:lang w:val="fr-FR"/>
        </w:rPr>
        <w:t>État actuel de l’affaire : les accusés ont demandé l’extinction de l’action pénale pour cause de prescription. Le ministère public a alors porté plainte pour crimes contre l’humanité. La Première Chambre pénale du tribunal départemental de justice de Chuquisaca a cependant ordonné le classement de la procédure.</w:t>
      </w:r>
    </w:p>
    <w:p w14:paraId="60B505C7" w14:textId="77777777" w:rsidR="0081022C" w:rsidRPr="00EF700A" w:rsidRDefault="0081022C" w:rsidP="0081022C">
      <w:pPr>
        <w:pStyle w:val="SingleTxtG"/>
      </w:pPr>
      <w:r>
        <w:rPr>
          <w:lang w:val="fr-FR"/>
        </w:rPr>
        <w:t>95.</w:t>
      </w:r>
      <w:r>
        <w:rPr>
          <w:lang w:val="fr-FR"/>
        </w:rPr>
        <w:tab/>
        <w:t>En outre, le tribunal d’instance de la ville de Padilla a rendu le jugement de condamnation n</w:t>
      </w:r>
      <w:r>
        <w:rPr>
          <w:vertAlign w:val="superscript"/>
          <w:lang w:val="fr-FR"/>
        </w:rPr>
        <w:t>o</w:t>
      </w:r>
      <w:r>
        <w:rPr>
          <w:lang w:val="fr-FR"/>
        </w:rPr>
        <w:t> 04/2016 du 2 février 2016 contre Jaime Barrón, Jhon Cava, Sabina Cuellar, Fidel Herrera, Aydee Nava, Epifania Terrazas, Jamil Pileo, Juan Antonio, Jesús Mendoza, Juan Carlos Zambrana, Cristian Jaime Flores Vedia, Franz Quispe Fernández, Juan Carlos Zambrana, Iván Álvaro Ríos et Flavio Huallpa Flores, déclarés coupables du chef de coercition aggravée.</w:t>
      </w:r>
    </w:p>
    <w:p w14:paraId="1BAB98EF" w14:textId="71A04670" w:rsidR="0081022C" w:rsidRPr="00EF700A" w:rsidRDefault="0081022C" w:rsidP="0081022C">
      <w:pPr>
        <w:pStyle w:val="SingleTxtG"/>
      </w:pPr>
      <w:r>
        <w:rPr>
          <w:lang w:val="fr-FR"/>
        </w:rPr>
        <w:t>96.</w:t>
      </w:r>
      <w:r>
        <w:rPr>
          <w:lang w:val="fr-FR"/>
        </w:rPr>
        <w:tab/>
        <w:t>En ce qui concerne l’indemnisation des victimes, le Ministère de la justice de l’époque a fourni une liste officielle des noms des personnes décédées lors des événements des 24 et 25 novembre 2007 dans le département de Chuquisaca. En coordination avec l’Unité d’appui à la gestion des services sociaux, qui dépend du Ministère de la Présidence, une aide sociale humanitaire a été versée aux familles des défunts, sous forme d’un montant forfaitaire unique de 50</w:t>
      </w:r>
      <w:r w:rsidR="00EE1C8E">
        <w:rPr>
          <w:lang w:val="fr-FR"/>
        </w:rPr>
        <w:t> </w:t>
      </w:r>
      <w:r>
        <w:rPr>
          <w:lang w:val="fr-FR"/>
        </w:rPr>
        <w:t>000 bolivianos (cinquante mille bolivianos), en application du décret suprême n</w:t>
      </w:r>
      <w:r>
        <w:rPr>
          <w:vertAlign w:val="superscript"/>
          <w:lang w:val="fr-FR"/>
        </w:rPr>
        <w:t>o</w:t>
      </w:r>
      <w:r>
        <w:rPr>
          <w:lang w:val="fr-FR"/>
        </w:rPr>
        <w:t> 29759 du 24 octobre 2008, qui prévoit l’octroi d’une aide sociale humanitaire aux familles des victimes du conflit en question, afin de soulager leur situation.</w:t>
      </w:r>
    </w:p>
    <w:p w14:paraId="2116C30C" w14:textId="77777777" w:rsidR="0081022C" w:rsidRPr="004B0800" w:rsidRDefault="0081022C" w:rsidP="0081022C">
      <w:pPr>
        <w:pStyle w:val="SingleTxtG"/>
      </w:pPr>
      <w:r>
        <w:rPr>
          <w:lang w:val="fr-FR"/>
        </w:rPr>
        <w:t>97.</w:t>
      </w:r>
      <w:r>
        <w:rPr>
          <w:lang w:val="fr-FR"/>
        </w:rPr>
        <w:tab/>
        <w:t>S’agissant des enquêtes menées sur les actes de violence commis dans le cadre des opérations électorales d’octobre 2019, le Bureau du Procureur général de la Nation a fourni les informations suivantes sur l’intervention des parquets départementaux :</w:t>
      </w:r>
    </w:p>
    <w:p w14:paraId="01455C02" w14:textId="5183032B" w:rsidR="0081022C" w:rsidRPr="002014CD" w:rsidRDefault="0081022C" w:rsidP="00EE1C8E">
      <w:pPr>
        <w:pStyle w:val="Bullet1G"/>
      </w:pPr>
      <w:r>
        <w:rPr>
          <w:lang w:val="fr-FR"/>
        </w:rPr>
        <w:t>Le parquet départemental de La</w:t>
      </w:r>
      <w:r w:rsidR="006C2403">
        <w:rPr>
          <w:lang w:val="fr-FR"/>
        </w:rPr>
        <w:t> </w:t>
      </w:r>
      <w:r>
        <w:rPr>
          <w:lang w:val="fr-FR"/>
        </w:rPr>
        <w:t>Paz a indiqué que 10 procédures pénales avaient été engagées. Sept d’entre elles, pour mauvais traitements et torture, ont été classées ; deux procédures pour mauvais traitements et torture en sont au stade de l’enquête préliminaire et une affaire nommée « Senkata », pour lésions corporelles graves et légères et homicide, est actuellement en phase préparatoire</w:t>
      </w:r>
      <w:r w:rsidR="00EE1C8E">
        <w:rPr>
          <w:lang w:val="fr-FR"/>
        </w:rPr>
        <w:t> ;</w:t>
      </w:r>
    </w:p>
    <w:p w14:paraId="5CE7787D" w14:textId="468D6110" w:rsidR="0081022C" w:rsidRPr="002014CD" w:rsidRDefault="0081022C" w:rsidP="00EE1C8E">
      <w:pPr>
        <w:pStyle w:val="Bullet1G"/>
      </w:pPr>
      <w:r>
        <w:rPr>
          <w:lang w:val="fr-FR"/>
        </w:rPr>
        <w:t>Le parquet départemental de Cochabamba a fait état de neuf affaires.</w:t>
      </w:r>
      <w:r w:rsidR="006C2403">
        <w:rPr>
          <w:lang w:val="fr-FR"/>
        </w:rPr>
        <w:t xml:space="preserve"> </w:t>
      </w:r>
      <w:r>
        <w:rPr>
          <w:lang w:val="fr-FR"/>
        </w:rPr>
        <w:t>Cinq d’entre elles, pour lésions corporelles graves et légères, ont été classées. Deux autres, pour lésions corporelles graves et légères, fabrication, commerce ou possession de substances explosives ou asphyxiantes, homicide lors d’une rixe ou à la suite d’une agression, incitation publique à commettre une infraction, entre autres, ainsi qu’une procédure pour lésions corporelles graves et légères en sont au stade de l’enquête préliminaire. Enfin, l’affaire nommée « Sacaba », pour lésions corporelles graves et légères, homicide, lésions corporelles très graves et meurtre, est actuellement en phase préparatoire</w:t>
      </w:r>
      <w:r w:rsidR="00EE1C8E">
        <w:rPr>
          <w:lang w:val="fr-FR"/>
        </w:rPr>
        <w:t> ;</w:t>
      </w:r>
    </w:p>
    <w:p w14:paraId="3706435B" w14:textId="5219F817" w:rsidR="0081022C" w:rsidRPr="002014CD" w:rsidRDefault="0081022C" w:rsidP="00EE1C8E">
      <w:pPr>
        <w:pStyle w:val="Bullet1G"/>
      </w:pPr>
      <w:r>
        <w:rPr>
          <w:lang w:val="fr-FR"/>
        </w:rPr>
        <w:t>Le parquet départemental de Potosí a fait état d’une procédure pour homicide et tentative d’homicide, actuellement en phase préparatoire.</w:t>
      </w:r>
    </w:p>
    <w:p w14:paraId="0652C73D" w14:textId="56A80FD9" w:rsidR="0081022C" w:rsidRPr="00EF700A" w:rsidRDefault="0081022C" w:rsidP="0081022C">
      <w:pPr>
        <w:pStyle w:val="SingleTxtG"/>
      </w:pPr>
      <w:r>
        <w:rPr>
          <w:lang w:val="fr-FR"/>
        </w:rPr>
        <w:t>98.</w:t>
      </w:r>
      <w:r>
        <w:rPr>
          <w:lang w:val="fr-FR"/>
        </w:rPr>
        <w:tab/>
        <w:t>Dans les circonscriptions judiciaires de La</w:t>
      </w:r>
      <w:r w:rsidR="006C2403">
        <w:rPr>
          <w:lang w:val="fr-FR"/>
        </w:rPr>
        <w:t> </w:t>
      </w:r>
      <w:r>
        <w:rPr>
          <w:lang w:val="fr-FR"/>
        </w:rPr>
        <w:t>Paz et Cochabamba, le Ministère de l’intérieur a pris part aux procédures engagées contre les accusés Luis Fernando López Julio, Arturo Carlos Murillo Prijic, Víctor Hugo Zamora Castedo, Luis Fernando Valverde Ferrufino, Franko Orlando Suarez Gonzales, Sergio Carlos Orellana Centellas, Rodolfo Antonio Montero Torricos, Jaime Zurita Trujillo, Juan Carlos Juchani Sacaico et Alfredo Cuellar pour homicide, lésions corporelles graves et légères et meurtre.</w:t>
      </w:r>
    </w:p>
    <w:p w14:paraId="30B22615" w14:textId="77777777" w:rsidR="0081022C" w:rsidRPr="004B0800" w:rsidRDefault="0081022C" w:rsidP="0081022C">
      <w:pPr>
        <w:pStyle w:val="SingleTxtG"/>
      </w:pPr>
      <w:r>
        <w:rPr>
          <w:lang w:val="fr-FR"/>
        </w:rPr>
        <w:t>99.</w:t>
      </w:r>
      <w:r>
        <w:rPr>
          <w:lang w:val="fr-FR"/>
        </w:rPr>
        <w:tab/>
        <w:t>Eu égard aux mesures adoptées pour prévenir et éliminer l’usage excessif de la force par les membres des forces de l’ordre, le Ministère de l’intérieur, par l’intermédiaire du Département national des ressources humaines, de la formation et de la diffusion, a adressé en 2021 des circulaires aux Directions départementales des droits de l’homme de tout le territoire, afin qu’elles planifient, organisent et dispensent des formations sur les questions liées à l’usage de la force et des armes à feu.</w:t>
      </w:r>
    </w:p>
    <w:p w14:paraId="3D6BD2F0" w14:textId="77777777" w:rsidR="0081022C" w:rsidRPr="00EF700A" w:rsidRDefault="0081022C" w:rsidP="0081022C">
      <w:pPr>
        <w:pStyle w:val="SingleTxtG"/>
      </w:pPr>
      <w:r>
        <w:rPr>
          <w:lang w:val="fr-FR"/>
        </w:rPr>
        <w:t>100.</w:t>
      </w:r>
      <w:r>
        <w:rPr>
          <w:lang w:val="fr-FR"/>
        </w:rPr>
        <w:tab/>
        <w:t>Entre le 1</w:t>
      </w:r>
      <w:r>
        <w:rPr>
          <w:vertAlign w:val="superscript"/>
          <w:lang w:val="fr-FR"/>
        </w:rPr>
        <w:t>er</w:t>
      </w:r>
      <w:r>
        <w:rPr>
          <w:lang w:val="fr-FR"/>
        </w:rPr>
        <w:t xml:space="preserve"> janvier et le 31 décembre 2020, 163 sessions de formation ont été organisées en présentiel et à distance sur l’usage de la force et des armes à feu, notamment sur les normes internationales de recours à la force et sur les armes à feu utilisées dans le </w:t>
      </w:r>
      <w:r>
        <w:rPr>
          <w:lang w:val="fr-FR"/>
        </w:rPr>
        <w:lastRenderedPageBreak/>
        <w:t>cadre du maintien de la sécurité publique et du rétablissement de l’ordre public. Au total, 852 fonctionnaires de police y ont participé, dont 125 femmes et 754 hommes.</w:t>
      </w:r>
    </w:p>
    <w:p w14:paraId="6C881CD3" w14:textId="77777777" w:rsidR="0081022C" w:rsidRPr="00EF700A" w:rsidRDefault="0081022C" w:rsidP="0081022C">
      <w:pPr>
        <w:pStyle w:val="SingleTxtG"/>
      </w:pPr>
      <w:r>
        <w:rPr>
          <w:lang w:val="fr-FR"/>
        </w:rPr>
        <w:t>101.</w:t>
      </w:r>
      <w:r>
        <w:rPr>
          <w:lang w:val="fr-FR"/>
        </w:rPr>
        <w:tab/>
        <w:t>Entre le 1</w:t>
      </w:r>
      <w:r>
        <w:rPr>
          <w:vertAlign w:val="superscript"/>
          <w:lang w:val="fr-FR"/>
        </w:rPr>
        <w:t>er</w:t>
      </w:r>
      <w:r>
        <w:rPr>
          <w:lang w:val="fr-FR"/>
        </w:rPr>
        <w:t> janvier et le 31 juillet 2021, 135 sessions de formation ont été organisées en présentiel et à distance sur l’usage de la force et des armes à feu, notamment sur les normes internationales de recours à la force et sur les armes à feu utilisées dans le cadre du maintien de la sécurité publique et du rétablissement de l’ordre public. Au total, 833 fonctionnaires de police y ont participé, dont 132 femmes et 701 hommes.</w:t>
      </w:r>
    </w:p>
    <w:p w14:paraId="3CC6AA1D" w14:textId="63C8B9A6" w:rsidR="0081022C" w:rsidRPr="00EF700A" w:rsidRDefault="0081022C" w:rsidP="0081022C">
      <w:pPr>
        <w:pStyle w:val="SingleTxtG"/>
      </w:pPr>
      <w:r>
        <w:rPr>
          <w:lang w:val="fr-FR"/>
        </w:rPr>
        <w:t>102.</w:t>
      </w:r>
      <w:r>
        <w:rPr>
          <w:lang w:val="fr-FR"/>
        </w:rPr>
        <w:tab/>
        <w:t>De même, en 2020 et 2021, des formations sur les personnes détenues ont été dispensées en présentiel et à distance, dans le cadre d’un dispositif de sensibilisation aux droits de l’homme des personnes privées de liberté. Ainsi, dans les villes de La</w:t>
      </w:r>
      <w:r w:rsidR="00EE1C8E">
        <w:rPr>
          <w:lang w:val="fr-FR"/>
        </w:rPr>
        <w:t> </w:t>
      </w:r>
      <w:r>
        <w:rPr>
          <w:lang w:val="fr-FR"/>
        </w:rPr>
        <w:t>Paz, Cochabamba et Santa Cruz, 21 sessions de formation ont été suivies en 2020 par 347 fonctionnaires de police, dont 94 femmes et 253 hommes ; et 28 sessions de formation ont été dispensées en 2021 à 173 fonctionnaires de police, dont 56 femmes et 117 hommes.</w:t>
      </w:r>
    </w:p>
    <w:p w14:paraId="2C78DDE6" w14:textId="77777777" w:rsidR="0081022C" w:rsidRPr="00EF700A" w:rsidRDefault="0081022C" w:rsidP="0081022C">
      <w:pPr>
        <w:pStyle w:val="SingleTxtG"/>
      </w:pPr>
      <w:r>
        <w:rPr>
          <w:lang w:val="fr-FR"/>
        </w:rPr>
        <w:t>103.</w:t>
      </w:r>
      <w:r>
        <w:rPr>
          <w:lang w:val="fr-FR"/>
        </w:rPr>
        <w:tab/>
        <w:t>Concernant d’éventuelles plaintes pour usage excessif de la force et leur issue, la Force spéciale de lutte contre la criminalité de sept départements du pays a indiqué en août 2021 qu’aucune affaire ouverte ni aucune plainte déposée pour usage excessif de la force par des agents de police dans le cadre de différentes interventions ne figurait dans ses registres.</w:t>
      </w:r>
    </w:p>
    <w:p w14:paraId="33E57F58" w14:textId="77777777" w:rsidR="0081022C" w:rsidRPr="00EF700A" w:rsidRDefault="0081022C" w:rsidP="0081022C">
      <w:pPr>
        <w:pStyle w:val="SingleTxtG"/>
      </w:pPr>
      <w:r>
        <w:rPr>
          <w:lang w:val="fr-FR"/>
        </w:rPr>
        <w:t>104.</w:t>
      </w:r>
      <w:r>
        <w:rPr>
          <w:lang w:val="fr-FR"/>
        </w:rPr>
        <w:tab/>
        <w:t>Au sein des forces armées de l’État, l’usage excessif de la force est régi par le Manuel sur l’usage de la force dans les conflits internes, adopté par décret suprême n</w:t>
      </w:r>
      <w:r>
        <w:rPr>
          <w:vertAlign w:val="superscript"/>
          <w:lang w:val="fr-FR"/>
        </w:rPr>
        <w:t>o</w:t>
      </w:r>
      <w:r>
        <w:rPr>
          <w:lang w:val="fr-FR"/>
        </w:rPr>
        <w:t> 27977 du 14 janvier 2005, qui réglemente le recours aux forces militaires et aux armes dans les conflits internes.</w:t>
      </w:r>
    </w:p>
    <w:p w14:paraId="0653350E" w14:textId="77777777" w:rsidR="0081022C" w:rsidRPr="00EF700A" w:rsidRDefault="0081022C" w:rsidP="0081022C">
      <w:pPr>
        <w:pStyle w:val="SingleTxtG"/>
      </w:pPr>
      <w:r>
        <w:rPr>
          <w:lang w:val="fr-FR"/>
        </w:rPr>
        <w:t>105.</w:t>
      </w:r>
      <w:r>
        <w:rPr>
          <w:lang w:val="fr-FR"/>
        </w:rPr>
        <w:tab/>
        <w:t>Eu égard aux plaintes relatives aux violations des droits de l’homme, un observatoire a été créé au sein des forces armées. Autour de divers domaines thématiques tels que le genre, la violence, le racisme et la discrimination, il promeut la formation aux droits de l’homme et au droit international humanitaire en direction du personnel militaire et civil, en organisant des ateliers et des séminaires dans l’objectif de protéger le respect des droits de l’homme.</w:t>
      </w:r>
    </w:p>
    <w:p w14:paraId="412704A5" w14:textId="77777777" w:rsidR="0081022C" w:rsidRPr="00EF700A" w:rsidRDefault="0081022C" w:rsidP="0081022C">
      <w:pPr>
        <w:pStyle w:val="SingleTxtG"/>
      </w:pPr>
      <w:r>
        <w:rPr>
          <w:lang w:val="fr-FR"/>
        </w:rPr>
        <w:t>106.</w:t>
      </w:r>
      <w:r>
        <w:rPr>
          <w:lang w:val="fr-FR"/>
        </w:rPr>
        <w:tab/>
        <w:t>Le Ministère de la défense, dans le cadre des mesures prises pour lutter contre tout usage excessif de la force au sein des forces armées, a adapté les programmes universitaires, en augmentant le volume horaire consacré aux droits de l’homme et au droit international humanitaire dans les instituts de formation militaire.</w:t>
      </w:r>
    </w:p>
    <w:p w14:paraId="10EA0E61" w14:textId="7A1C16CE" w:rsidR="0081022C" w:rsidRPr="002014CD" w:rsidRDefault="0081022C" w:rsidP="00EE1C8E">
      <w:pPr>
        <w:pStyle w:val="H1G"/>
      </w:pPr>
      <w:r>
        <w:rPr>
          <w:lang w:val="fr-FR"/>
        </w:rPr>
        <w:tab/>
      </w:r>
      <w:r>
        <w:rPr>
          <w:lang w:val="fr-FR"/>
        </w:rPr>
        <w:tab/>
        <w:t xml:space="preserve">Personnes privées de liberté et conditions de détention </w:t>
      </w:r>
      <w:r w:rsidR="00F743CB">
        <w:rPr>
          <w:lang w:val="fr-FR"/>
        </w:rPr>
        <w:br/>
      </w:r>
      <w:r>
        <w:rPr>
          <w:lang w:val="fr-FR"/>
        </w:rPr>
        <w:t>(art. 6, 7, 9, 10, 14 et 26)</w:t>
      </w:r>
    </w:p>
    <w:p w14:paraId="7E3649F2" w14:textId="77777777" w:rsidR="0081022C" w:rsidRPr="002014CD" w:rsidRDefault="0081022C" w:rsidP="00EE1C8E">
      <w:pPr>
        <w:pStyle w:val="H23G"/>
      </w:pPr>
      <w:r>
        <w:rPr>
          <w:lang w:val="fr-FR"/>
        </w:rPr>
        <w:tab/>
        <w:t>14.</w:t>
      </w:r>
      <w:r>
        <w:rPr>
          <w:lang w:val="fr-FR"/>
        </w:rPr>
        <w:tab/>
        <w:t>Réponse au paragraphe 14 de la liste de points</w:t>
      </w:r>
    </w:p>
    <w:p w14:paraId="03BFB74A" w14:textId="77777777" w:rsidR="0081022C" w:rsidRPr="00EF700A" w:rsidRDefault="0081022C" w:rsidP="0081022C">
      <w:pPr>
        <w:pStyle w:val="SingleTxtG"/>
      </w:pPr>
      <w:r>
        <w:rPr>
          <w:lang w:val="fr-FR"/>
        </w:rPr>
        <w:t>107.</w:t>
      </w:r>
      <w:r>
        <w:rPr>
          <w:lang w:val="fr-FR"/>
        </w:rPr>
        <w:tab/>
        <w:t>La loi relative à l’accélération des procédures et au renforcement de la lutte globale contre la violence à l’égard des femmes, des adolescents et des enfants (loi n</w:t>
      </w:r>
      <w:r>
        <w:rPr>
          <w:vertAlign w:val="superscript"/>
          <w:lang w:val="fr-FR"/>
        </w:rPr>
        <w:t>o</w:t>
      </w:r>
      <w:r>
        <w:rPr>
          <w:lang w:val="fr-FR"/>
        </w:rPr>
        <w:t> 1173) a été promulguée. Son but est d’aboutir à des jugements rapides et en temps voulu en matière pénale, d’offrir une protection aux victimes de violence (femmes, enfants et adolescents), d’éviter la revictimisation, de réduire le nombre de placements en détention provisoire et d’assurer une protection aux femmes enceintes, aux mères allaitantes ayant un enfant de moins d’un an ou un enfant handicapé de moins de 6 ans à leur charge, ainsi qu’aux personnes âgées. Elle vise également à garantir le droit à l’accès à la technologie, entre autres.</w:t>
      </w:r>
    </w:p>
    <w:p w14:paraId="6CE7346C" w14:textId="77777777" w:rsidR="0081022C" w:rsidRPr="00EF700A" w:rsidRDefault="0081022C" w:rsidP="0081022C">
      <w:pPr>
        <w:pStyle w:val="SingleTxtG"/>
      </w:pPr>
      <w:r>
        <w:rPr>
          <w:lang w:val="fr-FR"/>
        </w:rPr>
        <w:t>108.</w:t>
      </w:r>
      <w:r>
        <w:rPr>
          <w:lang w:val="fr-FR"/>
        </w:rPr>
        <w:tab/>
        <w:t>Concernant les mesures de substitution à la détention provisoire, la Direction du système pénitentiaire a signé des conventions et des accords avec des universités et des organisations non gouvernementales afin de fournir des conseils juridiques émanant des mécanismes de procédure. En outre, grâce à des salles pouvant accueillir la personne détenue, avec un équipement informatique, un ordinateur portable ou un téléphone mobile, ainsi qu’une connexion à Internet, 9 535 audiences virtuelles ont pu être organisées en 2020 et 3 296 audiences virtuelles dans 37 prisons des neuf départements du pays au cours de l’année 2021. Les détenus ont ainsi pu bénéficier de mesures d’assignation à résidence, de libération conditionnelle ou à de substitution à la détention provisoire.</w:t>
      </w:r>
    </w:p>
    <w:p w14:paraId="7CD30951" w14:textId="77777777" w:rsidR="0081022C" w:rsidRPr="00EF700A" w:rsidRDefault="0081022C" w:rsidP="00EE1C8E">
      <w:pPr>
        <w:pStyle w:val="SingleTxtG"/>
        <w:keepNext/>
        <w:keepLines/>
      </w:pPr>
      <w:r>
        <w:rPr>
          <w:lang w:val="fr-FR"/>
        </w:rPr>
        <w:lastRenderedPageBreak/>
        <w:t>109.</w:t>
      </w:r>
      <w:r>
        <w:rPr>
          <w:lang w:val="fr-FR"/>
        </w:rPr>
        <w:tab/>
        <w:t>Les autorités du système pénitentiaire ont dressé des listes de personnes détenues appartenant aux groupes vulnérables. Sur demande des détenus, les tribunaux départementaux et le Service plurinational de défense publique ont pris des mesures de substitution à la détention ou d’assignation à résidence.</w:t>
      </w:r>
    </w:p>
    <w:p w14:paraId="471972D1" w14:textId="77777777" w:rsidR="0081022C" w:rsidRPr="00EF700A" w:rsidRDefault="0081022C" w:rsidP="0081022C">
      <w:pPr>
        <w:pStyle w:val="SingleTxtG"/>
      </w:pPr>
      <w:r>
        <w:rPr>
          <w:lang w:val="fr-FR"/>
        </w:rPr>
        <w:t>110.</w:t>
      </w:r>
      <w:r>
        <w:rPr>
          <w:lang w:val="fr-FR"/>
        </w:rPr>
        <w:tab/>
        <w:t>Lors de journées destinées à désengorger la justice, les demandes d’amnistie et de grâce ont été enregistrées. Des informations sur les détenus ont également été recensées, notamment le type d’infraction ou durée de la peine, dans le but d’organiser des audiences à l’issue desquelles une mesure de substitution à la détention, une libération immédiate ou un quelconque avantage au sein de l’établissement pénitentiaire pourrait être octroyé le cas échéant.</w:t>
      </w:r>
    </w:p>
    <w:p w14:paraId="3656A8A6" w14:textId="77777777" w:rsidR="0081022C" w:rsidRPr="00EF700A" w:rsidRDefault="0081022C" w:rsidP="0081022C">
      <w:pPr>
        <w:pStyle w:val="SingleTxtG"/>
      </w:pPr>
      <w:r>
        <w:rPr>
          <w:lang w:val="fr-FR"/>
        </w:rPr>
        <w:t>111.</w:t>
      </w:r>
      <w:r>
        <w:rPr>
          <w:lang w:val="fr-FR"/>
        </w:rPr>
        <w:tab/>
        <w:t>Dans le cadre du Système pénal pour adolescents, des mesures socioéducatives sont prises au sein des centres d’orientation en remplacement de la privation de liberté, conformément au Code de l’enfance et de l’adolescence. À ce jour, 639 mineurs bénéficient d’une telle mesure.</w:t>
      </w:r>
    </w:p>
    <w:p w14:paraId="3590B149" w14:textId="77777777" w:rsidR="0081022C" w:rsidRPr="00EF700A" w:rsidRDefault="0081022C" w:rsidP="0081022C">
      <w:pPr>
        <w:pStyle w:val="SingleTxtG"/>
      </w:pPr>
      <w:r>
        <w:rPr>
          <w:lang w:val="fr-FR"/>
        </w:rPr>
        <w:t>112.</w:t>
      </w:r>
      <w:r>
        <w:rPr>
          <w:lang w:val="fr-FR"/>
        </w:rPr>
        <w:tab/>
        <w:t>S’agissant des bracelets électroniques, la loi n</w:t>
      </w:r>
      <w:r>
        <w:rPr>
          <w:vertAlign w:val="superscript"/>
          <w:lang w:val="fr-FR"/>
        </w:rPr>
        <w:t>o</w:t>
      </w:r>
      <w:r>
        <w:rPr>
          <w:lang w:val="fr-FR"/>
        </w:rPr>
        <w:t> 1226 du 23 septembre 2019 portant modification de la loi n</w:t>
      </w:r>
      <w:r>
        <w:rPr>
          <w:vertAlign w:val="superscript"/>
          <w:lang w:val="fr-FR"/>
        </w:rPr>
        <w:t>o</w:t>
      </w:r>
      <w:r>
        <w:rPr>
          <w:lang w:val="fr-FR"/>
        </w:rPr>
        <w:t> 1173 du 3 mai 2019 visant à accélérer la procédure pénale et à renforcer la lutte globale contre la violence à l’égard des enfants, des adolescents et des femmes, prévoit, parmi les mesures individuelles de sûreté, l’utilisation et le fonctionnement technique de dispositifs électroniques de surveillance, de suivi et de localisation physique. Dans ce contexte, un projet pilote de mise en œuvre de 500 dispositifs électroniques de surveillance sous forme de bracelets électroniques a été lancé. Si l’objectif principal est de garantir la sécurité publique, l’utilisation de ces dispositifs vise aussi à humaniser le système pénitentiaire.</w:t>
      </w:r>
    </w:p>
    <w:p w14:paraId="0AEE1437" w14:textId="77777777" w:rsidR="0081022C" w:rsidRPr="00EF700A" w:rsidRDefault="0081022C" w:rsidP="0081022C">
      <w:pPr>
        <w:pStyle w:val="SingleTxtG"/>
        <w:rPr>
          <w:iCs/>
        </w:rPr>
      </w:pPr>
      <w:r>
        <w:rPr>
          <w:lang w:val="fr-FR"/>
        </w:rPr>
        <w:t>113.</w:t>
      </w:r>
      <w:r>
        <w:rPr>
          <w:lang w:val="fr-FR"/>
        </w:rPr>
        <w:tab/>
        <w:t>Les décrets de grâce et d’amnistie ont été en œuvre dans le respect des conditions fixées dans chacun d’entre eux. Ainsi, s’il était énoncé dans le décret d’amnistie que le jugement de condamnation devait être exécutoire, cette condition a été respectée.</w:t>
      </w:r>
    </w:p>
    <w:p w14:paraId="6A8A3B86" w14:textId="01BA2D86" w:rsidR="0081022C" w:rsidRPr="00EF700A" w:rsidRDefault="0081022C" w:rsidP="0081022C">
      <w:pPr>
        <w:pStyle w:val="SingleTxtG"/>
      </w:pPr>
      <w:r>
        <w:rPr>
          <w:lang w:val="fr-FR"/>
        </w:rPr>
        <w:t>114.</w:t>
      </w:r>
      <w:r>
        <w:rPr>
          <w:lang w:val="fr-FR"/>
        </w:rPr>
        <w:tab/>
        <w:t>En matière d’aide judiciaire, le Département de l’aide juridique garantit le droit à la défense matérielle et technique en apportant une orientation juridique</w:t>
      </w:r>
      <w:r w:rsidRPr="00ED131B">
        <w:rPr>
          <w:lang w:val="fr-FR"/>
        </w:rPr>
        <w:t xml:space="preserve"> </w:t>
      </w:r>
      <w:r>
        <w:rPr>
          <w:lang w:val="fr-FR"/>
        </w:rPr>
        <w:t>à l’intérieur des établissements pénitentiaires. Par l’intermédiaire du Service plurinational de défense publique, un conseil (avocat de la défense) est assigné au détenu afin d’assurer sa défense technique dans le cadre de la procédure pénale. Ce service d’orientation juridique a bénéficié à 8</w:t>
      </w:r>
      <w:r w:rsidR="00F743CB">
        <w:rPr>
          <w:lang w:val="fr-FR"/>
        </w:rPr>
        <w:t> </w:t>
      </w:r>
      <w:r>
        <w:rPr>
          <w:lang w:val="fr-FR"/>
        </w:rPr>
        <w:t>371 personnes et 546 demandes de défense publique ont été traitées.</w:t>
      </w:r>
    </w:p>
    <w:p w14:paraId="541A70B3" w14:textId="357668AE" w:rsidR="0081022C" w:rsidRPr="00EF700A" w:rsidRDefault="0081022C" w:rsidP="0081022C">
      <w:pPr>
        <w:pStyle w:val="SingleTxtG"/>
      </w:pPr>
      <w:r>
        <w:rPr>
          <w:lang w:val="fr-FR"/>
        </w:rPr>
        <w:t>115.</w:t>
      </w:r>
      <w:r>
        <w:rPr>
          <w:lang w:val="fr-FR"/>
        </w:rPr>
        <w:tab/>
        <w:t xml:space="preserve">Le 7 décembre 2020, la Direction générale du système pénitentiaire a signé un accord avec le Service plurinational de défense publique dans le but de mettre en œuvre les modules de consultation de ce </w:t>
      </w:r>
      <w:r w:rsidR="00F743CB">
        <w:rPr>
          <w:lang w:val="fr-FR"/>
        </w:rPr>
        <w:t>s</w:t>
      </w:r>
      <w:r>
        <w:rPr>
          <w:lang w:val="fr-FR"/>
        </w:rPr>
        <w:t>ervice dans les prisons de San</w:t>
      </w:r>
      <w:r w:rsidR="00774521">
        <w:rPr>
          <w:lang w:val="fr-FR"/>
        </w:rPr>
        <w:t> </w:t>
      </w:r>
      <w:r>
        <w:rPr>
          <w:lang w:val="fr-FR"/>
        </w:rPr>
        <w:t>Pedro, d’El</w:t>
      </w:r>
      <w:r w:rsidR="00774521">
        <w:rPr>
          <w:lang w:val="fr-FR"/>
        </w:rPr>
        <w:t> </w:t>
      </w:r>
      <w:r>
        <w:rPr>
          <w:lang w:val="fr-FR"/>
        </w:rPr>
        <w:t>Abra et dans le centre de réadaptation de Santa Cruz Palmasola. L’objectif est de permettre aux détenus de suivre les actions entreprises par les défenseurs publics dans le système de suivi des affaires.</w:t>
      </w:r>
    </w:p>
    <w:p w14:paraId="156267E2" w14:textId="77777777" w:rsidR="0081022C" w:rsidRPr="00EF700A" w:rsidRDefault="0081022C" w:rsidP="0081022C">
      <w:pPr>
        <w:pStyle w:val="SingleTxtG"/>
      </w:pPr>
      <w:r>
        <w:rPr>
          <w:lang w:val="fr-FR"/>
        </w:rPr>
        <w:t>116.</w:t>
      </w:r>
      <w:r>
        <w:rPr>
          <w:lang w:val="fr-FR"/>
        </w:rPr>
        <w:tab/>
        <w:t>Les détenus disposent de plusieurs mécanismes pour dénoncer des violations de leurs droits : les auditions, le registre des requêtes et des plaintes et l’urne destinée au dépôt de plaintes au sein des établissements pénitentiaires.</w:t>
      </w:r>
    </w:p>
    <w:p w14:paraId="7B380F4E" w14:textId="2E775F30" w:rsidR="0081022C" w:rsidRPr="002014CD" w:rsidRDefault="0081022C" w:rsidP="00EE1C8E">
      <w:pPr>
        <w:pStyle w:val="H23G"/>
      </w:pPr>
      <w:r>
        <w:rPr>
          <w:lang w:val="fr-FR"/>
        </w:rPr>
        <w:tab/>
        <w:t>15.</w:t>
      </w:r>
      <w:r>
        <w:rPr>
          <w:lang w:val="fr-FR"/>
        </w:rPr>
        <w:tab/>
        <w:t>Réponse au paragraphe 15 de la liste de points</w:t>
      </w:r>
    </w:p>
    <w:p w14:paraId="30B02B1B" w14:textId="77777777" w:rsidR="0081022C" w:rsidRPr="00EF700A" w:rsidRDefault="0081022C" w:rsidP="0081022C">
      <w:pPr>
        <w:pStyle w:val="SingleTxtG"/>
      </w:pPr>
      <w:r>
        <w:rPr>
          <w:lang w:val="fr-FR"/>
        </w:rPr>
        <w:t>117.</w:t>
      </w:r>
      <w:r>
        <w:rPr>
          <w:lang w:val="fr-FR"/>
        </w:rPr>
        <w:tab/>
        <w:t>Plusieurs mesures ont été prises par l’État pour réduire la surpopulation carcérale et humaniser les conditions de détention, notamment l’octroi d’amnisties et de grâces, la tenue d’audiences virtuelles, les journées destinées à désengorger la justice et l’agrandissement et la construction de nouveaux centres pénitentiaires. Le décret présidentiel n</w:t>
      </w:r>
      <w:r>
        <w:rPr>
          <w:vertAlign w:val="superscript"/>
          <w:lang w:val="fr-FR"/>
        </w:rPr>
        <w:t>o</w:t>
      </w:r>
      <w:r>
        <w:rPr>
          <w:lang w:val="fr-FR"/>
        </w:rPr>
        <w:t> 4461 ayant été abrogé, un nouveau projet de décret présidentiel d’amnistie et de grâce est en cours de préparation, avec pour objectif de protéger les droits fondamentaux des personnes détenues et de garantir le droit à une procédure régulière et l’accès à une justice efficace et diligente.</w:t>
      </w:r>
    </w:p>
    <w:p w14:paraId="717289BD" w14:textId="6C205B02" w:rsidR="0081022C" w:rsidRPr="00EF700A" w:rsidRDefault="0081022C" w:rsidP="0081022C">
      <w:pPr>
        <w:pStyle w:val="SingleTxtG"/>
      </w:pPr>
      <w:r>
        <w:rPr>
          <w:lang w:val="fr-FR"/>
        </w:rPr>
        <w:t>118.</w:t>
      </w:r>
      <w:r>
        <w:rPr>
          <w:lang w:val="fr-FR"/>
        </w:rPr>
        <w:tab/>
        <w:t>En outre, les centres pénitentiaires de Palmasola/Santa Cruz et les prisons pour hommes et pour femmes de Qalahuma à Viacha/L</w:t>
      </w:r>
      <w:r w:rsidR="00F743CB">
        <w:rPr>
          <w:lang w:val="fr-FR"/>
        </w:rPr>
        <w:t> </w:t>
      </w:r>
      <w:r>
        <w:rPr>
          <w:lang w:val="fr-FR"/>
        </w:rPr>
        <w:t xml:space="preserve"> Paz ont été rénovés et équipés. Des</w:t>
      </w:r>
      <w:r w:rsidR="00774521">
        <w:rPr>
          <w:lang w:val="fr-FR"/>
        </w:rPr>
        <w:t> </w:t>
      </w:r>
      <w:r>
        <w:rPr>
          <w:lang w:val="fr-FR"/>
        </w:rPr>
        <w:t xml:space="preserve">extensions ont été construites dans le centre CERPROM Montero (Santa Cruz), qui remplit tous les critères humanitaires, à savoir un approvisionnement en eau, de bonnes conditions d’hygiène, deux cabinets de médecine générale, un cabinet dentaire, une infirmerie, deux salles d’audience, etc. ; ainsi qu’à la prison de Cantumarca (Potosí) et dans </w:t>
      </w:r>
      <w:r>
        <w:rPr>
          <w:lang w:val="fr-FR"/>
        </w:rPr>
        <w:lastRenderedPageBreak/>
        <w:t>les nouveaux locaux de la prison de Riberalta (Beni). La construction des complexes pénitentiaires de Chonchocoro (La</w:t>
      </w:r>
      <w:r w:rsidR="00F743CB">
        <w:rPr>
          <w:lang w:val="fr-FR"/>
        </w:rPr>
        <w:t> </w:t>
      </w:r>
      <w:r>
        <w:rPr>
          <w:lang w:val="fr-FR"/>
        </w:rPr>
        <w:t>Paz), Palmasola (Santa Cruz) et Araní (Cochabamba) est en projet. Grâce à ces mesures, la surpopulation a été réduite de 50 % entre 2017 et 2021 ; dans la prison pour hommes de Palmasola, le niveau de surpopulation a été réduit à 50 %, et la prison pour femmes de Palmasola ne présente pas de problème de surpopulation.</w:t>
      </w:r>
    </w:p>
    <w:p w14:paraId="521B1D2E" w14:textId="3D4C23CB" w:rsidR="0081022C" w:rsidRPr="00EF700A" w:rsidRDefault="0081022C" w:rsidP="0081022C">
      <w:pPr>
        <w:pStyle w:val="SingleTxtG"/>
      </w:pPr>
      <w:r>
        <w:rPr>
          <w:lang w:val="fr-FR"/>
        </w:rPr>
        <w:t>119.</w:t>
      </w:r>
      <w:r>
        <w:rPr>
          <w:lang w:val="fr-FR"/>
        </w:rPr>
        <w:tab/>
        <w:t>Afin d’accélérer les procédures et d’éviter tout retard dans le système judiciaire, des équipements ont été fournis pour permettre la tenue d’audiences virtuelles dans les prisons. Ainsi, 9</w:t>
      </w:r>
      <w:r w:rsidR="00774521">
        <w:rPr>
          <w:lang w:val="fr-FR"/>
        </w:rPr>
        <w:t> </w:t>
      </w:r>
      <w:r>
        <w:rPr>
          <w:lang w:val="fr-FR"/>
        </w:rPr>
        <w:t>535 audiences ont été organisées en 2020 et 22</w:t>
      </w:r>
      <w:r w:rsidR="00774521">
        <w:rPr>
          <w:lang w:val="fr-FR"/>
        </w:rPr>
        <w:t> </w:t>
      </w:r>
      <w:r>
        <w:rPr>
          <w:lang w:val="fr-FR"/>
        </w:rPr>
        <w:t>177 en 2021.</w:t>
      </w:r>
    </w:p>
    <w:p w14:paraId="753B61EC" w14:textId="77777777" w:rsidR="0081022C" w:rsidRPr="00EF700A" w:rsidRDefault="0081022C" w:rsidP="0081022C">
      <w:pPr>
        <w:pStyle w:val="SingleTxtG"/>
      </w:pPr>
      <w:r>
        <w:rPr>
          <w:lang w:val="fr-FR"/>
        </w:rPr>
        <w:t>120.</w:t>
      </w:r>
      <w:r>
        <w:rPr>
          <w:lang w:val="fr-FR"/>
        </w:rPr>
        <w:tab/>
        <w:t>Pour ce qui est des initiatives d’administration autonome dans les prisons, plusieurs mesures ont été prises pour garantir la cohabitation pacifique dans les centres pénitentiaires : les compétences du personnel ont été renforcées afin d’améliorer le système de sécurité dans les prisons au sein desquelles des violences sont commises, et les effectifs ont progressivement augmenté, en coordination avec la Direction nationale du personnel du Commandement général de la police bolivienne.</w:t>
      </w:r>
    </w:p>
    <w:p w14:paraId="02289060" w14:textId="788B0B1F" w:rsidR="0081022C" w:rsidRPr="00EF700A" w:rsidRDefault="0081022C" w:rsidP="0081022C">
      <w:pPr>
        <w:pStyle w:val="SingleTxtG"/>
      </w:pPr>
      <w:r>
        <w:rPr>
          <w:lang w:val="fr-FR"/>
        </w:rPr>
        <w:t>121.</w:t>
      </w:r>
      <w:r>
        <w:rPr>
          <w:lang w:val="fr-FR"/>
        </w:rPr>
        <w:tab/>
        <w:t>De même, afin de prévenir la violence carcérale, la Direction nationale du régime pénitentiaire a donné l’ordre, par la circulaire fax n</w:t>
      </w:r>
      <w:r>
        <w:rPr>
          <w:vertAlign w:val="superscript"/>
          <w:lang w:val="fr-FR"/>
        </w:rPr>
        <w:t>o</w:t>
      </w:r>
      <w:r w:rsidR="001F36A4">
        <w:rPr>
          <w:lang w:val="fr-FR"/>
        </w:rPr>
        <w:t> </w:t>
      </w:r>
      <w:r>
        <w:rPr>
          <w:lang w:val="fr-FR"/>
        </w:rPr>
        <w:t>11/2020, d’éviter les morts en garde à vue et de punir les responsables, précisant qu’aucun acte de torture ou autre forme de traitement cruel et inhumain ne saurait être toléré, et que les responsables présumés devaient être identifiés et remis aux autorités compétentes.</w:t>
      </w:r>
    </w:p>
    <w:p w14:paraId="69376D3E" w14:textId="0DE356EA" w:rsidR="0081022C" w:rsidRPr="00EF700A" w:rsidRDefault="0081022C" w:rsidP="0081022C">
      <w:pPr>
        <w:pStyle w:val="SingleTxtG"/>
      </w:pPr>
      <w:r>
        <w:rPr>
          <w:lang w:val="fr-FR"/>
        </w:rPr>
        <w:t>122.</w:t>
      </w:r>
      <w:r>
        <w:rPr>
          <w:lang w:val="fr-FR"/>
        </w:rPr>
        <w:tab/>
        <w:t>Dans la circulaire fax n</w:t>
      </w:r>
      <w:r>
        <w:rPr>
          <w:vertAlign w:val="superscript"/>
          <w:lang w:val="fr-FR"/>
        </w:rPr>
        <w:t>o</w:t>
      </w:r>
      <w:r>
        <w:rPr>
          <w:lang w:val="fr-FR"/>
        </w:rPr>
        <w:t> 001/2021, la même Direction mentionne l’application de mesures de contrôle renforcé des services de sécurité interne et externe dans l’enceinte de la</w:t>
      </w:r>
      <w:r w:rsidR="001F36A4">
        <w:rPr>
          <w:lang w:val="fr-FR"/>
        </w:rPr>
        <w:t> </w:t>
      </w:r>
      <w:r>
        <w:rPr>
          <w:lang w:val="fr-FR"/>
        </w:rPr>
        <w:t>prison.</w:t>
      </w:r>
    </w:p>
    <w:p w14:paraId="0E66D07A" w14:textId="77777777" w:rsidR="0081022C" w:rsidRPr="002014CD" w:rsidRDefault="0081022C" w:rsidP="001F36A4">
      <w:pPr>
        <w:pStyle w:val="H23G"/>
      </w:pPr>
      <w:r>
        <w:rPr>
          <w:lang w:val="fr-FR"/>
        </w:rPr>
        <w:tab/>
        <w:t>16.</w:t>
      </w:r>
      <w:r>
        <w:rPr>
          <w:lang w:val="fr-FR"/>
        </w:rPr>
        <w:tab/>
        <w:t>Réponse au paragraphe 16 de la liste de points</w:t>
      </w:r>
    </w:p>
    <w:p w14:paraId="1958807C" w14:textId="77777777" w:rsidR="0081022C" w:rsidRPr="00EF700A" w:rsidRDefault="0081022C" w:rsidP="0081022C">
      <w:pPr>
        <w:pStyle w:val="SingleTxtG"/>
      </w:pPr>
      <w:r>
        <w:rPr>
          <w:lang w:val="fr-FR"/>
        </w:rPr>
        <w:t>123.</w:t>
      </w:r>
      <w:r>
        <w:rPr>
          <w:lang w:val="fr-FR"/>
        </w:rPr>
        <w:tab/>
        <w:t>S’agissant des systèmes de protection de remplacement pour les mineurs :</w:t>
      </w:r>
    </w:p>
    <w:p w14:paraId="7345D64E" w14:textId="59AF3461" w:rsidR="0081022C" w:rsidRPr="00EF700A" w:rsidRDefault="0081022C" w:rsidP="001F36A4">
      <w:pPr>
        <w:pStyle w:val="Bullet1G"/>
      </w:pPr>
      <w:r>
        <w:rPr>
          <w:lang w:val="fr-FR"/>
        </w:rPr>
        <w:t>L’État interdit la présence d’enfants dans les centres de privation de liberté. Ainsi, la loi n</w:t>
      </w:r>
      <w:r w:rsidRPr="00A77D08">
        <w:rPr>
          <w:vertAlign w:val="superscript"/>
          <w:lang w:val="fr-FR"/>
        </w:rPr>
        <w:t>o</w:t>
      </w:r>
      <w:r>
        <w:rPr>
          <w:lang w:val="fr-FR"/>
        </w:rPr>
        <w:t> 508 du Code de l’enfance et de l’adolescence établit à l’article 106 les droits et garanties accordés aux enfants dont la mère ou le père est privé de liberté : « a)</w:t>
      </w:r>
      <w:r w:rsidR="001F36A4">
        <w:rPr>
          <w:lang w:val="fr-FR"/>
        </w:rPr>
        <w:t> </w:t>
      </w:r>
      <w:r>
        <w:rPr>
          <w:lang w:val="fr-FR"/>
        </w:rPr>
        <w:t xml:space="preserve">l’enfant peut rester avec la mère ou le père qui est en liberté ; </w:t>
      </w:r>
      <w:r w:rsidRPr="00651807">
        <w:rPr>
          <w:lang w:val="fr-FR"/>
        </w:rPr>
        <w:t>b)</w:t>
      </w:r>
      <w:r w:rsidR="001F36A4">
        <w:rPr>
          <w:lang w:val="fr-FR"/>
        </w:rPr>
        <w:t> </w:t>
      </w:r>
      <w:r w:rsidRPr="00651807">
        <w:rPr>
          <w:lang w:val="fr-FR"/>
        </w:rPr>
        <w:t>si les deux parents sont privés de liberté, l</w:t>
      </w:r>
      <w:r>
        <w:rPr>
          <w:lang w:val="fr-FR"/>
        </w:rPr>
        <w:t>’</w:t>
      </w:r>
      <w:r w:rsidRPr="00651807">
        <w:rPr>
          <w:lang w:val="fr-FR"/>
        </w:rPr>
        <w:t>enfant sera placé chez des proches ou au sein d</w:t>
      </w:r>
      <w:r>
        <w:rPr>
          <w:lang w:val="fr-FR"/>
        </w:rPr>
        <w:t>’</w:t>
      </w:r>
      <w:r w:rsidRPr="00651807">
        <w:rPr>
          <w:lang w:val="fr-FR"/>
        </w:rPr>
        <w:t>une famille d</w:t>
      </w:r>
      <w:r>
        <w:rPr>
          <w:lang w:val="fr-FR"/>
        </w:rPr>
        <w:t>’</w:t>
      </w:r>
      <w:r w:rsidRPr="00651807">
        <w:rPr>
          <w:lang w:val="fr-FR"/>
        </w:rPr>
        <w:t>accueil, conformément aux dispositions du présent code</w:t>
      </w:r>
      <w:r>
        <w:rPr>
          <w:lang w:val="fr-FR"/>
        </w:rPr>
        <w:t> </w:t>
      </w:r>
      <w:r w:rsidRPr="00651807">
        <w:rPr>
          <w:lang w:val="fr-FR"/>
        </w:rPr>
        <w:t>; à défaut, il intégrera un programme spécifique ou un centre d</w:t>
      </w:r>
      <w:r>
        <w:rPr>
          <w:lang w:val="fr-FR"/>
        </w:rPr>
        <w:t>’</w:t>
      </w:r>
      <w:r w:rsidRPr="00651807">
        <w:rPr>
          <w:lang w:val="fr-FR"/>
        </w:rPr>
        <w:t>accueil pendant la durée de la détention, si possible dans la localité où ses parents purgent leur peine ; c)</w:t>
      </w:r>
      <w:r w:rsidR="001F36A4">
        <w:rPr>
          <w:lang w:val="fr-FR"/>
        </w:rPr>
        <w:t> </w:t>
      </w:r>
      <w:r w:rsidRPr="00651807">
        <w:rPr>
          <w:lang w:val="fr-FR"/>
        </w:rPr>
        <w:t>à titre exceptionnel, les enfants de moins de six (6) ans peuvent rester avec leur mère, mais en aucun cas dans un établissement pénitentiaire pour hommes. Des centres de développement infantile ou des services de garde d</w:t>
      </w:r>
      <w:r>
        <w:rPr>
          <w:lang w:val="fr-FR"/>
        </w:rPr>
        <w:t>’</w:t>
      </w:r>
      <w:r w:rsidRPr="00651807">
        <w:rPr>
          <w:lang w:val="fr-FR"/>
        </w:rPr>
        <w:t>enfants doivent être mis en place à proximité des prisons pour femmes ; d)</w:t>
      </w:r>
      <w:r w:rsidR="001F36A4">
        <w:rPr>
          <w:lang w:val="fr-FR"/>
        </w:rPr>
        <w:t> </w:t>
      </w:r>
      <w:r>
        <w:rPr>
          <w:lang w:val="fr-FR"/>
        </w:rPr>
        <w:t xml:space="preserve">l’enfant doit pouvoir </w:t>
      </w:r>
      <w:r w:rsidRPr="00651807">
        <w:rPr>
          <w:lang w:val="fr-FR"/>
        </w:rPr>
        <w:t xml:space="preserve">accéder à des programmes de soins et </w:t>
      </w:r>
      <w:r>
        <w:rPr>
          <w:lang w:val="fr-FR"/>
        </w:rPr>
        <w:t>d’aide au développement globa</w:t>
      </w:r>
      <w:r w:rsidRPr="00651807">
        <w:rPr>
          <w:lang w:val="fr-FR"/>
        </w:rPr>
        <w:t xml:space="preserve">l, en fonction de </w:t>
      </w:r>
      <w:r>
        <w:rPr>
          <w:lang w:val="fr-FR"/>
        </w:rPr>
        <w:t>sa</w:t>
      </w:r>
      <w:r w:rsidRPr="00651807">
        <w:rPr>
          <w:lang w:val="fr-FR"/>
        </w:rPr>
        <w:t xml:space="preserve"> situation</w:t>
      </w:r>
      <w:r>
        <w:rPr>
          <w:i/>
          <w:iCs/>
          <w:lang w:val="fr-FR"/>
        </w:rPr>
        <w:t> ;</w:t>
      </w:r>
      <w:r>
        <w:rPr>
          <w:lang w:val="fr-FR"/>
        </w:rPr>
        <w:t xml:space="preserve"> et e)</w:t>
      </w:r>
      <w:r w:rsidR="001F36A4">
        <w:rPr>
          <w:lang w:val="fr-FR"/>
        </w:rPr>
        <w:t> </w:t>
      </w:r>
      <w:r>
        <w:rPr>
          <w:lang w:val="fr-FR"/>
        </w:rPr>
        <w:t>maintenir des liens affectifs avec sa mère, son père ou les deux, la famille élargie, la famille d’accueil ou le centre d’accueil devant faciliter des visites régulières à ces derniers. »</w:t>
      </w:r>
      <w:r w:rsidR="006A4B5C">
        <w:rPr>
          <w:lang w:val="fr-FR"/>
        </w:rPr>
        <w:t>.</w:t>
      </w:r>
      <w:r>
        <w:rPr>
          <w:lang w:val="fr-FR"/>
        </w:rPr>
        <w:t xml:space="preserve"> Le Ministère de l’intérieur, par l’intermédiaire, le cas échéant, des autorités de la Direction générale du système pénitentiaire, est garant du respect de ce texte, ainsi que de la mise en œuvre des politiques publiques relatives à l’enfance, de l’investissement social dans le secteur de l’enfance et des mécanismes de protection des droits des enfants ayant un parent privé de liberté, si les parents n’ont pas d’autres solutions réelles et sûres pour ces enfants.</w:t>
      </w:r>
    </w:p>
    <w:p w14:paraId="593B768E" w14:textId="77777777" w:rsidR="0081022C" w:rsidRPr="00EF700A" w:rsidRDefault="0081022C" w:rsidP="0081022C">
      <w:pPr>
        <w:pStyle w:val="SingleTxtG"/>
      </w:pPr>
      <w:r>
        <w:rPr>
          <w:lang w:val="fr-FR"/>
        </w:rPr>
        <w:t>124.</w:t>
      </w:r>
      <w:r>
        <w:rPr>
          <w:lang w:val="fr-FR"/>
        </w:rPr>
        <w:tab/>
        <w:t>Concernant le nombre de mineurs vivant dans les établissements pénitentiaires, des mesures volontaristes ont également été prises, en coordination avec les Services de défense des enfants et des adolescents, en faveur de la sortie des enfants et des adolescents vivant en prison avec leurs parents, dans l’intérêt de leur développement global. À l’âge de six ans et un jour, les enfants sortent et sont placés auprès de proches, ce qui a permis de réduire de 30 % le nombre d’enfants en prison par rapport à 2017.</w:t>
      </w:r>
    </w:p>
    <w:p w14:paraId="5940081E" w14:textId="77777777" w:rsidR="0081022C" w:rsidRPr="004B0800" w:rsidRDefault="0081022C" w:rsidP="0081022C">
      <w:pPr>
        <w:pStyle w:val="SingleTxtG"/>
        <w:rPr>
          <w:b/>
        </w:rPr>
      </w:pPr>
      <w:r>
        <w:rPr>
          <w:lang w:val="fr-FR"/>
        </w:rPr>
        <w:t>125.</w:t>
      </w:r>
      <w:r>
        <w:rPr>
          <w:lang w:val="fr-FR"/>
        </w:rPr>
        <w:tab/>
        <w:t>S’agissant des adolescents pénalement responsables, l’État a promulgué la loi n</w:t>
      </w:r>
      <w:r>
        <w:rPr>
          <w:vertAlign w:val="superscript"/>
          <w:lang w:val="fr-FR"/>
        </w:rPr>
        <w:t>o</w:t>
      </w:r>
      <w:r>
        <w:rPr>
          <w:lang w:val="fr-FR"/>
        </w:rPr>
        <w:t xml:space="preserve"> 548 du 17 juillet 2014 portant création du Code de l’enfance et de l’adolescence, en vue de promouvoir, de favoriser et de réglementer l’exercice des droits des enfants et des </w:t>
      </w:r>
      <w:r>
        <w:rPr>
          <w:lang w:val="fr-FR"/>
        </w:rPr>
        <w:lastRenderedPageBreak/>
        <w:t>adolescents, grâce à l’instauration d’un système plurinational global visant à garantir ces droits, sous la responsabilité partagée de l’État à tous ses niveaux, de la famille et de la société. Ce système se compose du Système plurinational de protection globale des enfants et des adolescents et du Système pénal pour adolescents.</w:t>
      </w:r>
    </w:p>
    <w:p w14:paraId="08843B45" w14:textId="77777777" w:rsidR="0081022C" w:rsidRPr="00EF700A" w:rsidRDefault="0081022C" w:rsidP="0081022C">
      <w:pPr>
        <w:pStyle w:val="SingleTxtG"/>
      </w:pPr>
      <w:r>
        <w:rPr>
          <w:lang w:val="fr-FR"/>
        </w:rPr>
        <w:t>126.</w:t>
      </w:r>
      <w:r>
        <w:rPr>
          <w:lang w:val="fr-FR"/>
        </w:rPr>
        <w:tab/>
        <w:t>À cet égard, le pays compte au total 17 centres de réinsertion sociale, qui accueillent 394 adolescents, dont 19 filles et 375 garçons ; et 9 centres d’orientation qui prennent en charge des adolescents pénalement responsables. Au total, 783 adolescents sont pris en charge, dont 132 en détention provisoire.</w:t>
      </w:r>
    </w:p>
    <w:p w14:paraId="53E28DC6" w14:textId="77777777" w:rsidR="0081022C" w:rsidRPr="00EF700A" w:rsidRDefault="0081022C" w:rsidP="0081022C">
      <w:pPr>
        <w:pStyle w:val="SingleTxtG"/>
      </w:pPr>
      <w:r>
        <w:rPr>
          <w:lang w:val="fr-FR"/>
        </w:rPr>
        <w:t>127.</w:t>
      </w:r>
      <w:r>
        <w:rPr>
          <w:lang w:val="fr-FR"/>
        </w:rPr>
        <w:tab/>
        <w:t>Plusieurs avancées obtenues au sein du système pénal pour adolescents du pays sont à souligner :</w:t>
      </w:r>
    </w:p>
    <w:p w14:paraId="3565B840" w14:textId="5D11307F" w:rsidR="0081022C" w:rsidRPr="002014CD" w:rsidRDefault="001F36A4" w:rsidP="001F36A4">
      <w:pPr>
        <w:pStyle w:val="Bullet1G"/>
      </w:pPr>
      <w:r>
        <w:rPr>
          <w:lang w:val="fr-FR"/>
        </w:rPr>
        <w:t>R</w:t>
      </w:r>
      <w:r w:rsidR="0081022C">
        <w:rPr>
          <w:lang w:val="fr-FR"/>
        </w:rPr>
        <w:t>éduction de la détention provisoire, de 92 % en 2012 à 48 % en 2018 ;</w:t>
      </w:r>
    </w:p>
    <w:p w14:paraId="1A5A487E" w14:textId="43D6B899" w:rsidR="0081022C" w:rsidRPr="002014CD" w:rsidRDefault="001F36A4" w:rsidP="001F36A4">
      <w:pPr>
        <w:pStyle w:val="Bullet1G"/>
      </w:pPr>
      <w:r>
        <w:rPr>
          <w:lang w:val="fr-FR"/>
        </w:rPr>
        <w:t>M</w:t>
      </w:r>
      <w:r w:rsidR="0081022C">
        <w:rPr>
          <w:lang w:val="fr-FR"/>
        </w:rPr>
        <w:t>ise en œuvre de mécanismes de justice réparatrice permettant aux adolescents et aux victimes de se rencontrer ;</w:t>
      </w:r>
    </w:p>
    <w:p w14:paraId="149BCA11" w14:textId="559C605B" w:rsidR="0081022C" w:rsidRPr="002014CD" w:rsidRDefault="001F36A4" w:rsidP="001F36A4">
      <w:pPr>
        <w:pStyle w:val="Bullet1G"/>
      </w:pPr>
      <w:r>
        <w:rPr>
          <w:lang w:val="fr-FR"/>
        </w:rPr>
        <w:t>C</w:t>
      </w:r>
      <w:r w:rsidR="0081022C">
        <w:rPr>
          <w:lang w:val="fr-FR"/>
        </w:rPr>
        <w:t>réation de groupes de travail départementaux sur la justice pénale pour adolescents, qui ont permis de mettre en relation les acteurs du système pénal pour adolescents ;</w:t>
      </w:r>
    </w:p>
    <w:p w14:paraId="37A39BCF" w14:textId="306FCC1A" w:rsidR="0081022C" w:rsidRPr="002014CD" w:rsidRDefault="001F36A4" w:rsidP="001F36A4">
      <w:pPr>
        <w:pStyle w:val="Bullet1G"/>
      </w:pPr>
      <w:r w:rsidRPr="001F36A4">
        <w:rPr>
          <w:caps/>
          <w:lang w:val="fr-FR"/>
        </w:rPr>
        <w:t>é</w:t>
      </w:r>
      <w:r w:rsidR="0081022C">
        <w:rPr>
          <w:lang w:val="fr-FR"/>
        </w:rPr>
        <w:t>laboration de directives, de protocoles, de manuels et de guides pour guider le travail des institutions du système pénal pour adolescents.</w:t>
      </w:r>
    </w:p>
    <w:p w14:paraId="1A9D1F6E" w14:textId="3904B150" w:rsidR="0081022C" w:rsidRPr="00EF700A" w:rsidRDefault="0081022C" w:rsidP="0081022C">
      <w:pPr>
        <w:pStyle w:val="SingleTxtG"/>
      </w:pPr>
      <w:r>
        <w:rPr>
          <w:lang w:val="fr-FR"/>
        </w:rPr>
        <w:t>128.</w:t>
      </w:r>
      <w:r>
        <w:rPr>
          <w:lang w:val="fr-FR"/>
        </w:rPr>
        <w:tab/>
        <w:t>Compte tenu de l’urgence sanitaire due à la pandémie de COVID-19, le Vice</w:t>
      </w:r>
      <w:r w:rsidR="001F36A4">
        <w:rPr>
          <w:lang w:val="fr-FR"/>
        </w:rPr>
        <w:noBreakHyphen/>
      </w:r>
      <w:r>
        <w:rPr>
          <w:lang w:val="fr-FR"/>
        </w:rPr>
        <w:t>Ministère de l’égalité des chances a demandé à tous les centres d’orientation et de réinsertion sociale dépendant des Instances techniques départementales de gestion sociale de communiquer des informations sur la situation des adolescents pénalement responsables, en</w:t>
      </w:r>
      <w:r w:rsidR="006450E2">
        <w:rPr>
          <w:lang w:val="fr-FR"/>
        </w:rPr>
        <w:t> </w:t>
      </w:r>
      <w:r>
        <w:rPr>
          <w:lang w:val="fr-FR"/>
        </w:rPr>
        <w:t>vue d’élaborer des stratégies de protection pour cette population vulnérable.</w:t>
      </w:r>
    </w:p>
    <w:p w14:paraId="18CB8087" w14:textId="438F8716" w:rsidR="0081022C" w:rsidRPr="002014CD" w:rsidRDefault="0081022C" w:rsidP="001F36A4">
      <w:pPr>
        <w:pStyle w:val="H1G"/>
      </w:pPr>
      <w:r>
        <w:rPr>
          <w:lang w:val="fr-FR"/>
        </w:rPr>
        <w:tab/>
      </w:r>
      <w:r>
        <w:rPr>
          <w:lang w:val="fr-FR"/>
        </w:rPr>
        <w:tab/>
        <w:t xml:space="preserve">Élimination du travail forcé et de la traite des personnes </w:t>
      </w:r>
      <w:r w:rsidR="006450E2">
        <w:rPr>
          <w:lang w:val="fr-FR"/>
        </w:rPr>
        <w:br/>
      </w:r>
      <w:r>
        <w:rPr>
          <w:lang w:val="fr-FR"/>
        </w:rPr>
        <w:t>(art. 7, 8, 14 et</w:t>
      </w:r>
      <w:r w:rsidR="006450E2">
        <w:rPr>
          <w:lang w:val="fr-FR"/>
        </w:rPr>
        <w:t xml:space="preserve"> </w:t>
      </w:r>
      <w:r>
        <w:rPr>
          <w:lang w:val="fr-FR"/>
        </w:rPr>
        <w:t>24)</w:t>
      </w:r>
    </w:p>
    <w:p w14:paraId="520E6C0C" w14:textId="77777777" w:rsidR="0081022C" w:rsidRPr="002014CD" w:rsidRDefault="0081022C" w:rsidP="001F36A4">
      <w:pPr>
        <w:pStyle w:val="H23G"/>
      </w:pPr>
      <w:r>
        <w:rPr>
          <w:lang w:val="fr-FR"/>
        </w:rPr>
        <w:tab/>
        <w:t>17.</w:t>
      </w:r>
      <w:r>
        <w:rPr>
          <w:lang w:val="fr-FR"/>
        </w:rPr>
        <w:tab/>
        <w:t>Réponse au paragraphe 17 de la liste de points</w:t>
      </w:r>
    </w:p>
    <w:p w14:paraId="0E53DA42" w14:textId="77777777" w:rsidR="0081022C" w:rsidRPr="00EF700A" w:rsidRDefault="0081022C" w:rsidP="0081022C">
      <w:pPr>
        <w:pStyle w:val="SingleTxtG"/>
      </w:pPr>
      <w:r>
        <w:rPr>
          <w:lang w:val="fr-FR"/>
        </w:rPr>
        <w:t>129.</w:t>
      </w:r>
      <w:r>
        <w:rPr>
          <w:lang w:val="fr-FR"/>
        </w:rPr>
        <w:tab/>
        <w:t>L’État bolivien a mis en œuvre le projet d’élimination progressive de toutes les formes de travail forcé dont sont victimes des familles autochtones du Chaco, de l’Amazonie et du Nord intégré de Santa Cruz, adopté le 7 mai 2014, date de la signature de l’accord n</w:t>
      </w:r>
      <w:r>
        <w:rPr>
          <w:vertAlign w:val="superscript"/>
          <w:lang w:val="fr-FR"/>
        </w:rPr>
        <w:t>o</w:t>
      </w:r>
      <w:r>
        <w:rPr>
          <w:lang w:val="fr-FR"/>
        </w:rPr>
        <w:t> 81026161 entre l’État plurinational de Bolivie et le Gouvernement suisse.</w:t>
      </w:r>
    </w:p>
    <w:p w14:paraId="41E8DDE8" w14:textId="350AAEC1" w:rsidR="0081022C" w:rsidRPr="007B66BA" w:rsidRDefault="0081022C" w:rsidP="0081022C">
      <w:pPr>
        <w:pStyle w:val="SingleTxtG"/>
        <w:rPr>
          <w:spacing w:val="-1"/>
        </w:rPr>
      </w:pPr>
      <w:r w:rsidRPr="007B66BA">
        <w:rPr>
          <w:spacing w:val="-1"/>
          <w:lang w:val="fr-FR"/>
        </w:rPr>
        <w:t>130.</w:t>
      </w:r>
      <w:r w:rsidRPr="007B66BA">
        <w:rPr>
          <w:spacing w:val="-1"/>
          <w:lang w:val="fr-FR"/>
        </w:rPr>
        <w:tab/>
        <w:t>Les caractéristiques et composantes du projet s’articulent autour de trois axes stratégiques : 1)</w:t>
      </w:r>
      <w:r w:rsidR="001F36A4" w:rsidRPr="007B66BA">
        <w:rPr>
          <w:spacing w:val="-1"/>
          <w:lang w:val="fr-FR"/>
        </w:rPr>
        <w:t> </w:t>
      </w:r>
      <w:r w:rsidRPr="007B66BA">
        <w:rPr>
          <w:spacing w:val="-1"/>
          <w:lang w:val="fr-FR"/>
        </w:rPr>
        <w:t>présence de l’État ; 2)</w:t>
      </w:r>
      <w:r w:rsidR="001F36A4" w:rsidRPr="007B66BA">
        <w:rPr>
          <w:spacing w:val="-1"/>
          <w:lang w:val="fr-FR"/>
        </w:rPr>
        <w:t> </w:t>
      </w:r>
      <w:r w:rsidRPr="007B66BA">
        <w:rPr>
          <w:spacing w:val="-1"/>
          <w:lang w:val="fr-FR"/>
        </w:rPr>
        <w:t>droits de l’homme fondamentaux ; 3)</w:t>
      </w:r>
      <w:r w:rsidR="001F36A4" w:rsidRPr="007B66BA">
        <w:rPr>
          <w:spacing w:val="-1"/>
          <w:lang w:val="fr-FR"/>
        </w:rPr>
        <w:t> </w:t>
      </w:r>
      <w:r w:rsidRPr="007B66BA">
        <w:rPr>
          <w:spacing w:val="-1"/>
          <w:lang w:val="fr-FR"/>
        </w:rPr>
        <w:t xml:space="preserve">renforcement institutionnel dans le Chaco, l’Amazonie bolivienne et le Nord intégré de Santa Cruz. Dans le cadre de l’Agenda patriotique 2025, dont le pilier fondamental est l’éradication de l’extrême pauvreté, ce projet s’adresse aux populations en situation de grande vulnérabilité par l’intermédiaire des Directions régionales du travail de Camiri, Montero, Trinidad et Riberalta, en étendant son champ d’intervention jusqu’à Guayaramerín et au Nord intégré de Santa Cruz. Des inspecteurs spécialisés dans le travail forcé dépendant de l’Unité des droits fondamentaux collaborent avec des acteurs sociaux en relation avec les travailleuses et travailleurs appartenant aux peuples autochtones (récolte de la canne à sucre, élevage, production de châtaignes). Il convient de noter en particulier que le modèle d’inspection socioprofessionnelle </w:t>
      </w:r>
      <w:r w:rsidRPr="007B66BA">
        <w:rPr>
          <w:lang w:val="fr-FR"/>
        </w:rPr>
        <w:t>globale fait appel à divers acteurs sociaux, dont les autorités syndicales et locales.</w:t>
      </w:r>
    </w:p>
    <w:p w14:paraId="1D95F582" w14:textId="70F92C3A" w:rsidR="0081022C" w:rsidRPr="007B66BA" w:rsidRDefault="0081022C" w:rsidP="0081022C">
      <w:pPr>
        <w:pStyle w:val="SingleTxtG"/>
        <w:rPr>
          <w:spacing w:val="-2"/>
        </w:rPr>
      </w:pPr>
      <w:r w:rsidRPr="007B66BA">
        <w:rPr>
          <w:lang w:val="fr-FR"/>
        </w:rPr>
        <w:t>131.</w:t>
      </w:r>
      <w:r w:rsidRPr="007B66BA">
        <w:rPr>
          <w:lang w:val="fr-FR"/>
        </w:rPr>
        <w:tab/>
        <w:t>Selon les objectifs fixés pour 2014, au moins 5</w:t>
      </w:r>
      <w:r w:rsidR="001F36A4" w:rsidRPr="007B66BA">
        <w:rPr>
          <w:lang w:val="fr-FR"/>
        </w:rPr>
        <w:t> </w:t>
      </w:r>
      <w:r w:rsidRPr="007B66BA">
        <w:rPr>
          <w:lang w:val="fr-FR"/>
        </w:rPr>
        <w:t>011 travailleurs en situation de travail forcé ou d’autres pratiques similaires dans les régions du Chaco et de l’Amazonie bolivienne</w:t>
      </w:r>
      <w:r w:rsidRPr="007B66BA">
        <w:rPr>
          <w:spacing w:val="-2"/>
          <w:lang w:val="fr-FR"/>
        </w:rPr>
        <w:t xml:space="preserve"> (soit 2 %) devaient prendre connaissance de leurs droits grâce à des actions globales contribuant </w:t>
      </w:r>
      <w:r w:rsidRPr="007B66BA">
        <w:rPr>
          <w:lang w:val="fr-FR"/>
        </w:rPr>
        <w:t>à la réalisation des droits socioprofessionnels et des droits fondamentaux du</w:t>
      </w:r>
      <w:r w:rsidR="007B66BA" w:rsidRPr="007B66BA">
        <w:rPr>
          <w:lang w:val="fr-FR"/>
        </w:rPr>
        <w:t xml:space="preserve"> </w:t>
      </w:r>
      <w:r w:rsidRPr="007B66BA">
        <w:rPr>
          <w:lang w:val="fr-FR"/>
        </w:rPr>
        <w:t>travail.</w:t>
      </w:r>
    </w:p>
    <w:p w14:paraId="1CF8491B" w14:textId="77777777" w:rsidR="0081022C" w:rsidRPr="00EF700A" w:rsidRDefault="0081022C" w:rsidP="0081022C">
      <w:pPr>
        <w:pStyle w:val="SingleTxtG"/>
      </w:pPr>
      <w:r>
        <w:rPr>
          <w:lang w:val="fr-FR"/>
        </w:rPr>
        <w:t>132.</w:t>
      </w:r>
      <w:r>
        <w:rPr>
          <w:lang w:val="fr-FR"/>
        </w:rPr>
        <w:tab/>
        <w:t xml:space="preserve">Par ailleurs, le Ministère du travail, de l’emploi et de la protection sociale, par l’intermédiaire de l’Unité des droits fondamentaux, vérifie et contrôle l’application et le respect de la réglementation sociale et du travail en vigueur dans le pays. Il mène pour cela des inspections spécialisées ou globales, implantant la présence de l’État dans les régions éloignées du pays. Ces interventions techniques opérationnelles sont menées dans divers lieux de travail (entreprises agricoles, entreprises d’élevage, scieries, industrie du bois, etc.) </w:t>
      </w:r>
      <w:r>
        <w:rPr>
          <w:lang w:val="fr-FR"/>
        </w:rPr>
        <w:lastRenderedPageBreak/>
        <w:t>pour rétablir les travailleurs salariés ruraux dans leurs droits socioprofessionnels et fondamentaux et pour garantir le respect du salaire minimum national fixé par la loi.</w:t>
      </w:r>
    </w:p>
    <w:p w14:paraId="7C195238" w14:textId="77777777" w:rsidR="0081022C" w:rsidRPr="00EF700A" w:rsidRDefault="0081022C" w:rsidP="0081022C">
      <w:pPr>
        <w:pStyle w:val="SingleTxtG"/>
      </w:pPr>
      <w:r>
        <w:rPr>
          <w:lang w:val="fr-FR"/>
        </w:rPr>
        <w:t>133.</w:t>
      </w:r>
      <w:r>
        <w:rPr>
          <w:lang w:val="fr-FR"/>
        </w:rPr>
        <w:tab/>
        <w:t>Un salaire minimum national a été instauré par le décret suprême n</w:t>
      </w:r>
      <w:r>
        <w:rPr>
          <w:vertAlign w:val="superscript"/>
          <w:lang w:val="fr-FR"/>
        </w:rPr>
        <w:t>o</w:t>
      </w:r>
      <w:r>
        <w:rPr>
          <w:lang w:val="fr-FR"/>
        </w:rPr>
        <w:t> 4501 du 1</w:t>
      </w:r>
      <w:r w:rsidRPr="00373158">
        <w:rPr>
          <w:vertAlign w:val="superscript"/>
          <w:lang w:val="fr-FR"/>
        </w:rPr>
        <w:t>er</w:t>
      </w:r>
      <w:r>
        <w:rPr>
          <w:lang w:val="fr-FR"/>
        </w:rPr>
        <w:t> mai 2021. En outre, grâce aux inspections spécialisées ou globales menées dans les zones rurales, les employeurs se conforment progressivement aux réglementations établissant les droits socioprofessionnels de leurs employés, notamment en leur offrant des vêtements de travail, une assurance à court et à long terme, des prestations sociales et d’autres avantages selon les cas. L’État garantit ainsi la protection des droits fondamentaux du travail.</w:t>
      </w:r>
    </w:p>
    <w:p w14:paraId="72741E22" w14:textId="77777777" w:rsidR="0081022C" w:rsidRPr="00EF700A" w:rsidRDefault="0081022C" w:rsidP="0081022C">
      <w:pPr>
        <w:pStyle w:val="SingleTxtG"/>
      </w:pPr>
      <w:r>
        <w:rPr>
          <w:lang w:val="fr-FR"/>
        </w:rPr>
        <w:t>134.</w:t>
      </w:r>
      <w:r>
        <w:rPr>
          <w:lang w:val="fr-FR"/>
        </w:rPr>
        <w:tab/>
        <w:t>S’agissant des plaintes pour travail forcé ou sous servitude et de leur issue, ainsi que du rôle de l’Institut national de la réforme agraire à l’égard des affaires dont il est saisi, l’article 15 (par. V) de la Constitution politique de l’État établit que nul ne peut être soumis à la servitude ou à l’esclavage. En outre, l’article 397 (par. I) dispose que le travail est la source fondamentale d’acquisition et de conservation de la propriété agraire, de sorte que les propriétaires doivent respecter ce rôle social ou socioéconomique afin de protéger leurs droits, selon la nature du bien.</w:t>
      </w:r>
    </w:p>
    <w:p w14:paraId="6BB4FEDA" w14:textId="77777777" w:rsidR="0081022C" w:rsidRPr="00EF700A" w:rsidRDefault="0081022C" w:rsidP="0081022C">
      <w:pPr>
        <w:pStyle w:val="SingleTxtG"/>
      </w:pPr>
      <w:r>
        <w:rPr>
          <w:lang w:val="fr-FR"/>
        </w:rPr>
        <w:t>135.</w:t>
      </w:r>
      <w:r>
        <w:rPr>
          <w:lang w:val="fr-FR"/>
        </w:rPr>
        <w:tab/>
        <w:t>La loi n</w:t>
      </w:r>
      <w:r>
        <w:rPr>
          <w:vertAlign w:val="superscript"/>
          <w:lang w:val="fr-FR"/>
        </w:rPr>
        <w:t>o</w:t>
      </w:r>
      <w:r>
        <w:rPr>
          <w:lang w:val="fr-FR"/>
        </w:rPr>
        <w:t> 1715 du 18 octobre 1996 relative au Service national de la réforme agraire, modifiée par la loi n</w:t>
      </w:r>
      <w:r>
        <w:rPr>
          <w:vertAlign w:val="superscript"/>
          <w:lang w:val="fr-FR"/>
        </w:rPr>
        <w:t>o</w:t>
      </w:r>
      <w:r>
        <w:rPr>
          <w:lang w:val="fr-FR"/>
        </w:rPr>
        <w:t> 3545 du 28 novembre 2006 relative à la reconduction de la réforme agraire, établit qu’en matière agraire, la fonction économique et sociale doit être exercée au bénéfice de la société, de l’intérêt collectif et du propriétaire foncier. En outre, l’article 157 du décret suprême n</w:t>
      </w:r>
      <w:r>
        <w:rPr>
          <w:vertAlign w:val="superscript"/>
          <w:lang w:val="fr-FR"/>
        </w:rPr>
        <w:t>o</w:t>
      </w:r>
      <w:r>
        <w:rPr>
          <w:lang w:val="fr-FR"/>
        </w:rPr>
        <w:t> 29215 du 2 août 2007 prévoit que l’existence d’un système de servitude, de travail forcé, de péonage pour dettes et/ou de réduction en esclavage de familles ou de personnes captives dans les zones rurales nuit à la société et à l’intérêt collectif, empêchant la mise en œuvre du rôle économique et social de l’agriculture.</w:t>
      </w:r>
    </w:p>
    <w:p w14:paraId="19A1DED1" w14:textId="6E3DCD44" w:rsidR="0081022C" w:rsidRPr="00EF700A" w:rsidRDefault="0081022C" w:rsidP="0081022C">
      <w:pPr>
        <w:pStyle w:val="SingleTxtG"/>
      </w:pPr>
      <w:r>
        <w:rPr>
          <w:lang w:val="fr-FR"/>
        </w:rPr>
        <w:t>136.</w:t>
      </w:r>
      <w:r>
        <w:rPr>
          <w:lang w:val="fr-FR"/>
        </w:rPr>
        <w:tab/>
        <w:t>Le décret suprême n</w:t>
      </w:r>
      <w:r>
        <w:rPr>
          <w:vertAlign w:val="superscript"/>
          <w:lang w:val="fr-FR"/>
        </w:rPr>
        <w:t>o</w:t>
      </w:r>
      <w:r>
        <w:rPr>
          <w:lang w:val="fr-FR"/>
        </w:rPr>
        <w:t> 29802 du 19 novembre 2008 définit ce qu’il faut entendre par systèmes de servitude, travail forcé, péonage pour dettes et réduction en esclavage de familles ou de personnes captives ou systèmes similaires</w:t>
      </w:r>
      <w:r w:rsidR="00565D16">
        <w:rPr>
          <w:lang w:val="fr-FR"/>
        </w:rPr>
        <w:t xml:space="preserve"> </w:t>
      </w:r>
      <w:r>
        <w:rPr>
          <w:lang w:val="fr-FR"/>
        </w:rPr>
        <w:t>en matière agraire. Il précise que l’Institut national de réforme agraire est chargé de vérifier et d’établir l’existence de ces systèmes de servitude, de travail forcé ou systèmes similaires dans le cadre du contrôle de la mise en œuvre du rôle économique et social.</w:t>
      </w:r>
    </w:p>
    <w:p w14:paraId="71EDC7DF" w14:textId="77777777" w:rsidR="0081022C" w:rsidRPr="00EF700A" w:rsidRDefault="0081022C" w:rsidP="0081022C">
      <w:pPr>
        <w:pStyle w:val="SingleTxtG"/>
      </w:pPr>
      <w:r>
        <w:rPr>
          <w:lang w:val="fr-FR"/>
        </w:rPr>
        <w:t>137.</w:t>
      </w:r>
      <w:r>
        <w:rPr>
          <w:lang w:val="fr-FR"/>
        </w:rPr>
        <w:tab/>
        <w:t>L’Institut national de réforme agraire n’a enregistré aucune plainte liée au travail forcé ou sous servitude.</w:t>
      </w:r>
    </w:p>
    <w:p w14:paraId="4A19AEF2" w14:textId="77777777" w:rsidR="0081022C" w:rsidRPr="002014CD" w:rsidRDefault="0081022C" w:rsidP="001F36A4">
      <w:pPr>
        <w:pStyle w:val="H23G"/>
      </w:pPr>
      <w:r>
        <w:rPr>
          <w:lang w:val="fr-FR"/>
        </w:rPr>
        <w:tab/>
        <w:t>18.</w:t>
      </w:r>
      <w:r>
        <w:rPr>
          <w:lang w:val="fr-FR"/>
        </w:rPr>
        <w:tab/>
        <w:t>Réponse au paragraphe 18 de la liste de points</w:t>
      </w:r>
    </w:p>
    <w:p w14:paraId="56595A59" w14:textId="77777777" w:rsidR="0081022C" w:rsidRPr="00EF700A" w:rsidRDefault="0081022C" w:rsidP="0081022C">
      <w:pPr>
        <w:pStyle w:val="SingleTxtG"/>
      </w:pPr>
      <w:r>
        <w:rPr>
          <w:lang w:val="fr-FR"/>
        </w:rPr>
        <w:t>138.</w:t>
      </w:r>
      <w:r>
        <w:rPr>
          <w:lang w:val="fr-FR"/>
        </w:rPr>
        <w:tab/>
        <w:t>L’État bolivien se fonde sur des principes, des valeurs et des mandats constitutionnels pour garantir aux enfants l’exercice plein, effectif et préférentiel de leurs droits. Il met en œuvre des mécanismes et des instruments publics à des fins de prévention et pour protéger et défendre ces droits. À cet égard, la législation fixe l’âge minimum d’admission à l’emploi à 14 ans, réglemente le travail domestique en tant que travailleur indépendant, employé et salarié, interdit l’exploitation par le travail et l’exploitation économique des enfants, et interdit expressément les travaux dangereux, insalubres ou portant atteinte à la dignité des enfants, par leur nature ou en raison des circonstances dans lesquelles ils sont exercés, ainsi que ceux qui compromettent la poursuite de leur scolarisation.</w:t>
      </w:r>
    </w:p>
    <w:p w14:paraId="3CEBD968" w14:textId="77777777" w:rsidR="0081022C" w:rsidRPr="00EF700A" w:rsidRDefault="0081022C" w:rsidP="0081022C">
      <w:pPr>
        <w:pStyle w:val="SingleTxtG"/>
      </w:pPr>
      <w:r>
        <w:rPr>
          <w:lang w:val="fr-FR"/>
        </w:rPr>
        <w:t>139.</w:t>
      </w:r>
      <w:r>
        <w:rPr>
          <w:lang w:val="fr-FR"/>
        </w:rPr>
        <w:tab/>
        <w:t>En vertu des mandats constitutionnels, l’État a promulgué la loi n</w:t>
      </w:r>
      <w:r>
        <w:rPr>
          <w:vertAlign w:val="superscript"/>
          <w:lang w:val="fr-FR"/>
        </w:rPr>
        <w:t>o</w:t>
      </w:r>
      <w:r>
        <w:rPr>
          <w:lang w:val="fr-FR"/>
        </w:rPr>
        <w:t> 548 du 17 juillet 2014 portant création du Code de l’enfance et de l’adolescence en vue de promouvoir, de favoriser et de réglementer l’exercice des droits des enfants et des adolescents, grâce à l’instauration d’un système plurinational global visant à garantir ces droits, sous la responsabilité partagée de l’État à tous ses niveaux, de la famille et de la société. Ce système se compose du Système plurinational de protection globale des enfants et des adolescents et le Système pénal pour adolescents.</w:t>
      </w:r>
    </w:p>
    <w:p w14:paraId="3F0032CA" w14:textId="5CD51DBD" w:rsidR="0081022C" w:rsidRPr="00EF700A" w:rsidRDefault="0081022C" w:rsidP="0081022C">
      <w:pPr>
        <w:pStyle w:val="SingleTxtG"/>
      </w:pPr>
      <w:r>
        <w:rPr>
          <w:lang w:val="fr-FR"/>
        </w:rPr>
        <w:t>140.</w:t>
      </w:r>
      <w:r>
        <w:rPr>
          <w:lang w:val="fr-FR"/>
        </w:rPr>
        <w:tab/>
        <w:t xml:space="preserve">Le Système plurinational de protection globale des enfants et des adolescents est constitué d’un ensemble coordonné d’organes, d’instances, d’institutions, d’organisations, d’entités et de services. Il est chargé d’exécuter le Plan plurinational en faveur de l’enfance et de l’adolescence, dont l’objectif est de garantir le plein exercice des droits des enfants et des adolescents à tous les niveaux de gouvernement. En tant qu’organe directeur à la tête de ce secteur, le Ministère de la justice et de la transparence institutionnelle a publié l’arrêté </w:t>
      </w:r>
      <w:r>
        <w:rPr>
          <w:lang w:val="fr-FR"/>
        </w:rPr>
        <w:lastRenderedPageBreak/>
        <w:t>ministériel n</w:t>
      </w:r>
      <w:r>
        <w:rPr>
          <w:vertAlign w:val="superscript"/>
          <w:lang w:val="fr-FR"/>
        </w:rPr>
        <w:t>o</w:t>
      </w:r>
      <w:r>
        <w:rPr>
          <w:lang w:val="fr-FR"/>
        </w:rPr>
        <w:t> 040/2021 du 12 avril 2021, adoptant comme priorité institutionnelle les lignes directrices pour la prise en charge et la protection globales des enfants de moins de six (6)</w:t>
      </w:r>
      <w:r w:rsidR="00507788">
        <w:rPr>
          <w:lang w:val="fr-FR"/>
        </w:rPr>
        <w:t> </w:t>
      </w:r>
      <w:r>
        <w:rPr>
          <w:lang w:val="fr-FR"/>
        </w:rPr>
        <w:t>ans, qui appartiennent à la petite enfance. Leurs axes thématiques sont les suivants : a)</w:t>
      </w:r>
      <w:r w:rsidR="001F36A4">
        <w:rPr>
          <w:lang w:val="fr-FR"/>
        </w:rPr>
        <w:t> </w:t>
      </w:r>
      <w:r>
        <w:rPr>
          <w:lang w:val="fr-FR"/>
        </w:rPr>
        <w:t>prévention de toute forme de violence contre la petite enfance ; b)</w:t>
      </w:r>
      <w:r w:rsidR="001F36A4">
        <w:rPr>
          <w:lang w:val="fr-FR"/>
        </w:rPr>
        <w:t> </w:t>
      </w:r>
      <w:r>
        <w:rPr>
          <w:lang w:val="fr-FR"/>
        </w:rPr>
        <w:t>promotion et diffusion des droits de la petite enfance ; c)</w:t>
      </w:r>
      <w:r w:rsidR="001F36A4">
        <w:rPr>
          <w:lang w:val="fr-FR"/>
        </w:rPr>
        <w:t> </w:t>
      </w:r>
      <w:r>
        <w:rPr>
          <w:lang w:val="fr-FR"/>
        </w:rPr>
        <w:t>élaboration de systèmes d’information sur les droits des enfants de moins de six (6) ans ; d)</w:t>
      </w:r>
      <w:r w:rsidR="001F36A4">
        <w:rPr>
          <w:lang w:val="fr-FR"/>
        </w:rPr>
        <w:t> </w:t>
      </w:r>
      <w:r>
        <w:rPr>
          <w:lang w:val="fr-FR"/>
        </w:rPr>
        <w:t>rédaction de lignes directrices sur le fonctionnement et la réouverture de centres pour la petite enfance.</w:t>
      </w:r>
    </w:p>
    <w:p w14:paraId="05A93838" w14:textId="77777777" w:rsidR="0081022C" w:rsidRPr="00EF700A" w:rsidRDefault="0081022C" w:rsidP="0081022C">
      <w:pPr>
        <w:pStyle w:val="SingleTxtG"/>
      </w:pPr>
      <w:r>
        <w:rPr>
          <w:lang w:val="fr-FR"/>
        </w:rPr>
        <w:t>141.</w:t>
      </w:r>
      <w:r>
        <w:rPr>
          <w:lang w:val="fr-FR"/>
        </w:rPr>
        <w:tab/>
        <w:t>Par ailleurs, le Conseil de coordination sectorielle et intersectorielle réuni en formation plénière a chargé l’État plurinational de Bolivie, par la résolution n</w:t>
      </w:r>
      <w:r>
        <w:rPr>
          <w:vertAlign w:val="superscript"/>
          <w:lang w:val="fr-FR"/>
        </w:rPr>
        <w:t>o</w:t>
      </w:r>
      <w:r>
        <w:rPr>
          <w:lang w:val="fr-FR"/>
        </w:rPr>
        <w:t> 001/2015 du 9 avril 2015 relative aux politiques publiques en faveur des enfants et des adolescents, d’énoncer les conditions de l’exercice des droits des enfants, en favorisant leur développement global, leur participation et leur place centrale ; et de mettre fin à la violence et à d’autres situations portant atteinte à leurs droits. Ces actions doivent être menées en collaboration avec les mouvements sociaux, les familles, les institutions de la société civile et la société dans son ensemble.</w:t>
      </w:r>
    </w:p>
    <w:p w14:paraId="47DE5EBC" w14:textId="77777777" w:rsidR="0081022C" w:rsidRPr="00EF700A" w:rsidRDefault="0081022C" w:rsidP="0081022C">
      <w:pPr>
        <w:pStyle w:val="SingleTxtG"/>
      </w:pPr>
      <w:r>
        <w:rPr>
          <w:lang w:val="fr-FR"/>
        </w:rPr>
        <w:t>142.</w:t>
      </w:r>
      <w:r>
        <w:rPr>
          <w:lang w:val="fr-FR"/>
        </w:rPr>
        <w:tab/>
        <w:t>De même, le 24 septembre 2015, conformément à l’article 15 de la douzième disposition de la loi n</w:t>
      </w:r>
      <w:r>
        <w:rPr>
          <w:vertAlign w:val="superscript"/>
          <w:lang w:val="fr-FR"/>
        </w:rPr>
        <w:t>o</w:t>
      </w:r>
      <w:r>
        <w:rPr>
          <w:lang w:val="fr-FR"/>
        </w:rPr>
        <w:t> 548, le Ministère de la justice et de la transparence institutionnelle, en coordination avec les Ministères de l’intérieur et de la santé, le Tribunal suprême de justice et le Bureau du Procureur général de la Nation, a tenu une réunion pour coordonner le Programme global de lutte contre la violence sexuelle en mettant l’accent sur la prévention, les soins et la protection, dans l’objectif général de garantir l’exercice du droit à l’intégrité sexuelle des enfants et des adolescents.</w:t>
      </w:r>
    </w:p>
    <w:p w14:paraId="38E53A73" w14:textId="7298FE53" w:rsidR="0081022C" w:rsidRPr="007B66BA" w:rsidRDefault="0081022C" w:rsidP="0081022C">
      <w:pPr>
        <w:pStyle w:val="SingleTxtG"/>
        <w:rPr>
          <w:spacing w:val="-1"/>
        </w:rPr>
      </w:pPr>
      <w:r w:rsidRPr="007B66BA">
        <w:rPr>
          <w:spacing w:val="-1"/>
          <w:lang w:val="fr-FR"/>
        </w:rPr>
        <w:t>143.</w:t>
      </w:r>
      <w:r w:rsidRPr="007B66BA">
        <w:rPr>
          <w:spacing w:val="-1"/>
          <w:lang w:val="fr-FR"/>
        </w:rPr>
        <w:tab/>
        <w:t>L’exécution du Programme global de lutte contre la violence sexuelle a elle-même donné lieu à l’ouverture de centres spécialisés de prévention et prise en charge thérapeutique dans plusieurs départements de Bolivie. Ce service public gratuit fournit des services spécialisés de prévention primaire et secondaire au moyen d’ateliers destinés aux enfants et aux adolescents, aux parents, aux enseignants et aux directions d’établissements scolaires des municipalités du département de La</w:t>
      </w:r>
      <w:r w:rsidR="00507788" w:rsidRPr="007B66BA">
        <w:rPr>
          <w:spacing w:val="-1"/>
          <w:lang w:val="fr-FR"/>
        </w:rPr>
        <w:t> </w:t>
      </w:r>
      <w:r w:rsidRPr="007B66BA">
        <w:rPr>
          <w:spacing w:val="-1"/>
          <w:lang w:val="fr-FR"/>
        </w:rPr>
        <w:t>Paz, ainsi qu’aux groupes à haut risque, afin de construire une culture de respect des droits des enfants et des adolescents. Dans le cadre de la prévention tertiaire de la violence sexuelle, des soins thérapeutiques brefs et systémiques sont également prodigués aux enfants et adolescents victimes de violences sexuelles et à leur famille, par l’intermédiaire de séances en chambre de Gesell, de thérapie mobile et de thérapie en ligne.</w:t>
      </w:r>
    </w:p>
    <w:p w14:paraId="4D0013AF" w14:textId="2775ABA3" w:rsidR="0081022C" w:rsidRPr="007B66BA" w:rsidRDefault="0081022C" w:rsidP="0081022C">
      <w:pPr>
        <w:pStyle w:val="SingleTxtG"/>
      </w:pPr>
      <w:r w:rsidRPr="007B66BA">
        <w:rPr>
          <w:lang w:val="fr-FR"/>
        </w:rPr>
        <w:t>144.</w:t>
      </w:r>
      <w:r w:rsidRPr="007B66BA">
        <w:rPr>
          <w:lang w:val="fr-FR"/>
        </w:rPr>
        <w:tab/>
        <w:t xml:space="preserve">Il existe aussi d’autres programmes de prise en charge globale des victimes de violence : </w:t>
      </w:r>
      <w:r w:rsidR="00507788" w:rsidRPr="007B66BA">
        <w:rPr>
          <w:lang w:val="fr-FR"/>
        </w:rPr>
        <w:t>s</w:t>
      </w:r>
      <w:r w:rsidRPr="007B66BA">
        <w:rPr>
          <w:lang w:val="fr-FR"/>
        </w:rPr>
        <w:t>ervice juridique intégral municipal, prise en charge globale des enfants et adolescents victimes de violence, prévention et prise en charge de la violence au sein des municipalités, prise en charge thérapeutique et globale des enfants et adolescents victimes de tous types de violence.</w:t>
      </w:r>
    </w:p>
    <w:p w14:paraId="17000C79" w14:textId="6E9B0635" w:rsidR="0081022C" w:rsidRPr="00EF700A" w:rsidRDefault="0081022C" w:rsidP="0081022C">
      <w:pPr>
        <w:pStyle w:val="SingleTxtG"/>
      </w:pPr>
      <w:r>
        <w:rPr>
          <w:lang w:val="fr-FR"/>
        </w:rPr>
        <w:t>145.</w:t>
      </w:r>
      <w:r>
        <w:rPr>
          <w:lang w:val="fr-FR"/>
        </w:rPr>
        <w:tab/>
        <w:t>Par décret suprême n</w:t>
      </w:r>
      <w:r>
        <w:rPr>
          <w:vertAlign w:val="superscript"/>
          <w:lang w:val="fr-FR"/>
        </w:rPr>
        <w:t>o</w:t>
      </w:r>
      <w:r>
        <w:rPr>
          <w:lang w:val="fr-FR"/>
        </w:rPr>
        <w:t> 2944 du 12 octobre 2016, l’Institut national de la statistique a été autorisé à augmenter les fonds alloués à la sous-rubrique 25220 « Consultants individuels en ligne » pour réaliser l’enquête sur les ménages et l’enquête sur les enfants et les adolescents qui travaillent ou qui sont employés. Cela a permis de constater qu’en 2019, 724 000 enfants et adolescents travaillaient, contre 739</w:t>
      </w:r>
      <w:r w:rsidR="00507788">
        <w:rPr>
          <w:lang w:val="fr-FR"/>
        </w:rPr>
        <w:t> </w:t>
      </w:r>
      <w:r>
        <w:rPr>
          <w:lang w:val="fr-FR"/>
        </w:rPr>
        <w:t>000 en 2016.</w:t>
      </w:r>
    </w:p>
    <w:p w14:paraId="77EB4702" w14:textId="7436F58D" w:rsidR="0081022C" w:rsidRPr="00EF700A" w:rsidRDefault="0081022C" w:rsidP="0081022C">
      <w:pPr>
        <w:pStyle w:val="SingleTxtG"/>
      </w:pPr>
      <w:r>
        <w:rPr>
          <w:lang w:val="fr-FR"/>
        </w:rPr>
        <w:t>146.</w:t>
      </w:r>
      <w:r>
        <w:rPr>
          <w:lang w:val="fr-FR"/>
        </w:rPr>
        <w:tab/>
        <w:t>Entre 2016 et 2019, le nombre d’enfants et d’adolescents qui travaillaient ou exerçaient un emploi dangereux a été réduit, passant de 393</w:t>
      </w:r>
      <w:r w:rsidR="001F36A4">
        <w:rPr>
          <w:lang w:val="fr-FR"/>
        </w:rPr>
        <w:t> </w:t>
      </w:r>
      <w:r>
        <w:rPr>
          <w:lang w:val="fr-FR"/>
        </w:rPr>
        <w:t>000 personnes (13 %) en 2016 à</w:t>
      </w:r>
      <w:r w:rsidR="001F36A4">
        <w:rPr>
          <w:lang w:val="fr-FR"/>
        </w:rPr>
        <w:t> </w:t>
      </w:r>
      <w:r>
        <w:rPr>
          <w:lang w:val="fr-FR"/>
        </w:rPr>
        <w:t>297</w:t>
      </w:r>
      <w:r w:rsidR="001F36A4">
        <w:rPr>
          <w:lang w:val="fr-FR"/>
        </w:rPr>
        <w:t> </w:t>
      </w:r>
      <w:r>
        <w:rPr>
          <w:lang w:val="fr-FR"/>
        </w:rPr>
        <w:t>000 personnes (9,7 %) en 2019.</w:t>
      </w:r>
    </w:p>
    <w:p w14:paraId="18101BC1" w14:textId="5D467880" w:rsidR="0081022C" w:rsidRPr="00EF700A" w:rsidRDefault="0081022C" w:rsidP="0081022C">
      <w:pPr>
        <w:pStyle w:val="SingleTxtG"/>
      </w:pPr>
      <w:r>
        <w:rPr>
          <w:lang w:val="fr-FR"/>
        </w:rPr>
        <w:t>147.</w:t>
      </w:r>
      <w:r>
        <w:rPr>
          <w:lang w:val="fr-FR"/>
        </w:rPr>
        <w:tab/>
        <w:t>Par ailleurs, les inspections globales menées par le Ministère du travail, de l’emploi et de la protection sociale dans le secteur de la récolte de la canne à sucre dans la région de Bermejo (Tarija) ont montré que le travail des enfants avait disparu dans ce secteur. Des</w:t>
      </w:r>
      <w:r w:rsidR="001F36A4">
        <w:rPr>
          <w:lang w:val="fr-FR"/>
        </w:rPr>
        <w:t> </w:t>
      </w:r>
      <w:r>
        <w:rPr>
          <w:lang w:val="fr-FR"/>
        </w:rPr>
        <w:t>initiatives mises en œuvre en coopération avec l’UNICEF ont permis d’y contribuer, par</w:t>
      </w:r>
      <w:r w:rsidR="004709B9">
        <w:rPr>
          <w:lang w:val="fr-FR"/>
        </w:rPr>
        <w:t> </w:t>
      </w:r>
      <w:r>
        <w:rPr>
          <w:lang w:val="fr-FR"/>
        </w:rPr>
        <w:t xml:space="preserve">exemple le programme TRIPLE SELLO, grâce auquel les raffineries de sucre reçoivent une certification attestant l’absence de travail des enfants. En outre, selon les dernières inspections menées par le Ministère du travail, de l’emploi et de la protection sociale, aucun enfant ne travaille dans les centres miniers. Le travail dans les secteurs de la canne à sucre et des exploitations minières est considéré comme dangereux par la législation bolivienne en vigueur. Enfin, il convient de noter qu’en 2019, 175 inspections axées sur le travail des </w:t>
      </w:r>
      <w:r>
        <w:rPr>
          <w:lang w:val="fr-FR"/>
        </w:rPr>
        <w:lastRenderedPageBreak/>
        <w:t xml:space="preserve">enfants et des adolescents ont été menées, alors que pendant l’année 2020, ce chiffre a chuté à 43 pendant la période du Gouvernement </w:t>
      </w:r>
      <w:r w:rsidRPr="00EF1CAE">
        <w:rPr>
          <w:i/>
          <w:iCs/>
          <w:lang w:val="fr-FR"/>
        </w:rPr>
        <w:t>de</w:t>
      </w:r>
      <w:r w:rsidR="004709B9">
        <w:rPr>
          <w:i/>
          <w:iCs/>
          <w:lang w:val="fr-FR"/>
        </w:rPr>
        <w:t> </w:t>
      </w:r>
      <w:r w:rsidRPr="00EF1CAE">
        <w:rPr>
          <w:i/>
          <w:iCs/>
          <w:lang w:val="fr-FR"/>
        </w:rPr>
        <w:t>facto</w:t>
      </w:r>
      <w:r>
        <w:rPr>
          <w:lang w:val="fr-FR"/>
        </w:rPr>
        <w:t>.</w:t>
      </w:r>
    </w:p>
    <w:p w14:paraId="3D0570B0" w14:textId="77777777" w:rsidR="0081022C" w:rsidRPr="00EF700A" w:rsidRDefault="0081022C" w:rsidP="0081022C">
      <w:pPr>
        <w:pStyle w:val="SingleTxtG"/>
      </w:pPr>
      <w:r>
        <w:rPr>
          <w:lang w:val="fr-FR"/>
        </w:rPr>
        <w:t>148.</w:t>
      </w:r>
      <w:r>
        <w:rPr>
          <w:lang w:val="fr-FR"/>
        </w:rPr>
        <w:tab/>
        <w:t>Concernant les données mises à jour sur les plaintes reçues pour travail des enfants et exploitation sexuelle, ainsi que leur issue, entre l’année 2017 et le 31 juillet 2021, 15 cas de travail des enfants et 35 cas d’exploitation sexuelle ont été signalés à l’échelle nationale, comme le montre le tableau suivant.</w:t>
      </w:r>
    </w:p>
    <w:tbl>
      <w:tblPr>
        <w:tblW w:w="7370" w:type="dxa"/>
        <w:tblInd w:w="1134" w:type="dxa"/>
        <w:tblLayout w:type="fixed"/>
        <w:tblCellMar>
          <w:left w:w="0" w:type="dxa"/>
          <w:right w:w="0" w:type="dxa"/>
        </w:tblCellMar>
        <w:tblLook w:val="04A0" w:firstRow="1" w:lastRow="0" w:firstColumn="1" w:lastColumn="0" w:noHBand="0" w:noVBand="1"/>
      </w:tblPr>
      <w:tblGrid>
        <w:gridCol w:w="1842"/>
        <w:gridCol w:w="1417"/>
        <w:gridCol w:w="1560"/>
        <w:gridCol w:w="860"/>
        <w:gridCol w:w="982"/>
        <w:gridCol w:w="709"/>
      </w:tblGrid>
      <w:tr w:rsidR="0081022C" w:rsidRPr="001F36A4" w14:paraId="38B9C2A4" w14:textId="77777777" w:rsidTr="001F36A4">
        <w:trPr>
          <w:tblHeader/>
        </w:trPr>
        <w:tc>
          <w:tcPr>
            <w:tcW w:w="1842" w:type="dxa"/>
            <w:tcBorders>
              <w:top w:val="single" w:sz="4" w:space="0" w:color="auto"/>
              <w:bottom w:val="single" w:sz="12" w:space="0" w:color="auto"/>
            </w:tcBorders>
            <w:shd w:val="clear" w:color="auto" w:fill="auto"/>
            <w:vAlign w:val="bottom"/>
          </w:tcPr>
          <w:p w14:paraId="14C0E4E9" w14:textId="77777777" w:rsidR="0081022C" w:rsidRPr="001F36A4" w:rsidRDefault="0081022C" w:rsidP="001F36A4">
            <w:pPr>
              <w:suppressAutoHyphens w:val="0"/>
              <w:spacing w:before="80" w:after="80" w:line="200" w:lineRule="exact"/>
              <w:rPr>
                <w:i/>
                <w:sz w:val="16"/>
              </w:rPr>
            </w:pPr>
          </w:p>
        </w:tc>
        <w:tc>
          <w:tcPr>
            <w:tcW w:w="1417" w:type="dxa"/>
            <w:tcBorders>
              <w:top w:val="single" w:sz="4" w:space="0" w:color="auto"/>
              <w:bottom w:val="single" w:sz="12" w:space="0" w:color="auto"/>
            </w:tcBorders>
            <w:shd w:val="clear" w:color="auto" w:fill="auto"/>
            <w:vAlign w:val="bottom"/>
          </w:tcPr>
          <w:p w14:paraId="471A715F" w14:textId="77777777" w:rsidR="0081022C" w:rsidRPr="001F36A4" w:rsidRDefault="0081022C" w:rsidP="001F36A4">
            <w:pPr>
              <w:suppressAutoHyphens w:val="0"/>
              <w:spacing w:before="80" w:after="80" w:line="200" w:lineRule="exact"/>
              <w:jc w:val="right"/>
              <w:rPr>
                <w:i/>
                <w:sz w:val="16"/>
              </w:rPr>
            </w:pPr>
            <w:r w:rsidRPr="001F36A4">
              <w:rPr>
                <w:i/>
                <w:sz w:val="16"/>
                <w:lang w:val="fr-FR"/>
              </w:rPr>
              <w:t>Stade préliminaire</w:t>
            </w:r>
          </w:p>
        </w:tc>
        <w:tc>
          <w:tcPr>
            <w:tcW w:w="1560" w:type="dxa"/>
            <w:tcBorders>
              <w:top w:val="single" w:sz="4" w:space="0" w:color="auto"/>
              <w:bottom w:val="single" w:sz="12" w:space="0" w:color="auto"/>
            </w:tcBorders>
            <w:shd w:val="clear" w:color="auto" w:fill="auto"/>
            <w:vAlign w:val="bottom"/>
          </w:tcPr>
          <w:p w14:paraId="5C7C223A" w14:textId="77777777" w:rsidR="0081022C" w:rsidRPr="001F36A4" w:rsidRDefault="0081022C" w:rsidP="001F36A4">
            <w:pPr>
              <w:suppressAutoHyphens w:val="0"/>
              <w:spacing w:before="80" w:after="80" w:line="200" w:lineRule="exact"/>
              <w:jc w:val="right"/>
              <w:rPr>
                <w:i/>
                <w:sz w:val="16"/>
              </w:rPr>
            </w:pPr>
            <w:r w:rsidRPr="001F36A4">
              <w:rPr>
                <w:i/>
                <w:sz w:val="16"/>
                <w:lang w:val="fr-FR"/>
              </w:rPr>
              <w:t>Stade préparatoire</w:t>
            </w:r>
          </w:p>
        </w:tc>
        <w:tc>
          <w:tcPr>
            <w:tcW w:w="860" w:type="dxa"/>
            <w:tcBorders>
              <w:top w:val="single" w:sz="4" w:space="0" w:color="auto"/>
              <w:bottom w:val="single" w:sz="12" w:space="0" w:color="auto"/>
            </w:tcBorders>
            <w:shd w:val="clear" w:color="auto" w:fill="auto"/>
            <w:vAlign w:val="bottom"/>
          </w:tcPr>
          <w:p w14:paraId="2139E74F" w14:textId="77777777" w:rsidR="0081022C" w:rsidRPr="001F36A4" w:rsidRDefault="0081022C" w:rsidP="001F36A4">
            <w:pPr>
              <w:suppressAutoHyphens w:val="0"/>
              <w:spacing w:before="80" w:after="80" w:line="200" w:lineRule="exact"/>
              <w:jc w:val="right"/>
              <w:rPr>
                <w:i/>
                <w:sz w:val="16"/>
              </w:rPr>
            </w:pPr>
            <w:r w:rsidRPr="001F36A4">
              <w:rPr>
                <w:i/>
                <w:sz w:val="16"/>
                <w:lang w:val="fr-FR"/>
              </w:rPr>
              <w:t>Procès</w:t>
            </w:r>
          </w:p>
        </w:tc>
        <w:tc>
          <w:tcPr>
            <w:tcW w:w="982" w:type="dxa"/>
            <w:tcBorders>
              <w:top w:val="single" w:sz="4" w:space="0" w:color="auto"/>
              <w:bottom w:val="single" w:sz="12" w:space="0" w:color="auto"/>
            </w:tcBorders>
            <w:shd w:val="clear" w:color="auto" w:fill="auto"/>
            <w:vAlign w:val="bottom"/>
          </w:tcPr>
          <w:p w14:paraId="456B8C2E" w14:textId="77777777" w:rsidR="0081022C" w:rsidRPr="001F36A4" w:rsidRDefault="0081022C" w:rsidP="001F36A4">
            <w:pPr>
              <w:suppressAutoHyphens w:val="0"/>
              <w:spacing w:before="80" w:after="80" w:line="200" w:lineRule="exact"/>
              <w:jc w:val="right"/>
              <w:rPr>
                <w:i/>
                <w:sz w:val="16"/>
              </w:rPr>
            </w:pPr>
            <w:r w:rsidRPr="001F36A4">
              <w:rPr>
                <w:i/>
                <w:sz w:val="16"/>
                <w:lang w:val="fr-FR"/>
              </w:rPr>
              <w:t>Affaire close</w:t>
            </w:r>
          </w:p>
        </w:tc>
        <w:tc>
          <w:tcPr>
            <w:tcW w:w="709" w:type="dxa"/>
            <w:tcBorders>
              <w:top w:val="single" w:sz="4" w:space="0" w:color="auto"/>
              <w:bottom w:val="single" w:sz="12" w:space="0" w:color="auto"/>
            </w:tcBorders>
            <w:shd w:val="clear" w:color="auto" w:fill="auto"/>
            <w:vAlign w:val="bottom"/>
          </w:tcPr>
          <w:p w14:paraId="49ED8951" w14:textId="77777777" w:rsidR="0081022C" w:rsidRPr="001F36A4" w:rsidRDefault="0081022C" w:rsidP="001F36A4">
            <w:pPr>
              <w:suppressAutoHyphens w:val="0"/>
              <w:spacing w:before="80" w:after="80" w:line="200" w:lineRule="exact"/>
              <w:jc w:val="right"/>
              <w:rPr>
                <w:i/>
                <w:sz w:val="16"/>
              </w:rPr>
            </w:pPr>
            <w:r w:rsidRPr="001F36A4">
              <w:rPr>
                <w:i/>
                <w:sz w:val="16"/>
                <w:lang w:val="fr-FR"/>
              </w:rPr>
              <w:t>Total</w:t>
            </w:r>
          </w:p>
        </w:tc>
      </w:tr>
      <w:tr w:rsidR="0081022C" w:rsidRPr="001F36A4" w14:paraId="430133B1" w14:textId="77777777" w:rsidTr="001F36A4">
        <w:tc>
          <w:tcPr>
            <w:tcW w:w="1842" w:type="dxa"/>
            <w:tcBorders>
              <w:top w:val="single" w:sz="12" w:space="0" w:color="auto"/>
            </w:tcBorders>
            <w:shd w:val="clear" w:color="auto" w:fill="auto"/>
          </w:tcPr>
          <w:p w14:paraId="496CDBBA" w14:textId="77777777" w:rsidR="0081022C" w:rsidRPr="001F36A4" w:rsidRDefault="0081022C" w:rsidP="001F36A4">
            <w:pPr>
              <w:suppressAutoHyphens w:val="0"/>
              <w:spacing w:before="40" w:after="40" w:line="220" w:lineRule="exact"/>
              <w:rPr>
                <w:sz w:val="18"/>
              </w:rPr>
            </w:pPr>
            <w:r w:rsidRPr="001F36A4">
              <w:rPr>
                <w:sz w:val="18"/>
                <w:lang w:val="fr-FR"/>
              </w:rPr>
              <w:t xml:space="preserve">Travail des enfants </w:t>
            </w:r>
          </w:p>
        </w:tc>
        <w:tc>
          <w:tcPr>
            <w:tcW w:w="1417" w:type="dxa"/>
            <w:tcBorders>
              <w:top w:val="single" w:sz="12" w:space="0" w:color="auto"/>
            </w:tcBorders>
            <w:shd w:val="clear" w:color="auto" w:fill="auto"/>
            <w:vAlign w:val="bottom"/>
          </w:tcPr>
          <w:p w14:paraId="703659B7" w14:textId="77777777" w:rsidR="0081022C" w:rsidRPr="001F36A4" w:rsidRDefault="0081022C" w:rsidP="001F36A4">
            <w:pPr>
              <w:suppressAutoHyphens w:val="0"/>
              <w:spacing w:before="40" w:after="40" w:line="220" w:lineRule="exact"/>
              <w:jc w:val="right"/>
              <w:rPr>
                <w:sz w:val="18"/>
              </w:rPr>
            </w:pPr>
            <w:r w:rsidRPr="001F36A4">
              <w:rPr>
                <w:sz w:val="18"/>
                <w:lang w:val="fr-FR"/>
              </w:rPr>
              <w:t>1</w:t>
            </w:r>
          </w:p>
        </w:tc>
        <w:tc>
          <w:tcPr>
            <w:tcW w:w="1560" w:type="dxa"/>
            <w:tcBorders>
              <w:top w:val="single" w:sz="12" w:space="0" w:color="auto"/>
            </w:tcBorders>
            <w:shd w:val="clear" w:color="auto" w:fill="auto"/>
            <w:vAlign w:val="bottom"/>
          </w:tcPr>
          <w:p w14:paraId="701CB7F1" w14:textId="77777777" w:rsidR="0081022C" w:rsidRPr="001F36A4" w:rsidRDefault="0081022C" w:rsidP="001F36A4">
            <w:pPr>
              <w:suppressAutoHyphens w:val="0"/>
              <w:spacing w:before="40" w:after="40" w:line="220" w:lineRule="exact"/>
              <w:jc w:val="right"/>
              <w:rPr>
                <w:sz w:val="18"/>
              </w:rPr>
            </w:pPr>
            <w:r w:rsidRPr="001F36A4">
              <w:rPr>
                <w:sz w:val="18"/>
                <w:lang w:val="fr-FR"/>
              </w:rPr>
              <w:t>7</w:t>
            </w:r>
          </w:p>
        </w:tc>
        <w:tc>
          <w:tcPr>
            <w:tcW w:w="860" w:type="dxa"/>
            <w:tcBorders>
              <w:top w:val="single" w:sz="12" w:space="0" w:color="auto"/>
            </w:tcBorders>
            <w:shd w:val="clear" w:color="auto" w:fill="auto"/>
            <w:vAlign w:val="bottom"/>
          </w:tcPr>
          <w:p w14:paraId="18C97923" w14:textId="77777777" w:rsidR="0081022C" w:rsidRPr="001F36A4" w:rsidRDefault="0081022C" w:rsidP="001F36A4">
            <w:pPr>
              <w:suppressAutoHyphens w:val="0"/>
              <w:spacing w:before="40" w:after="40" w:line="220" w:lineRule="exact"/>
              <w:jc w:val="right"/>
              <w:rPr>
                <w:sz w:val="18"/>
              </w:rPr>
            </w:pPr>
            <w:r w:rsidRPr="001F36A4">
              <w:rPr>
                <w:sz w:val="18"/>
                <w:lang w:val="fr-FR"/>
              </w:rPr>
              <w:t>6</w:t>
            </w:r>
          </w:p>
        </w:tc>
        <w:tc>
          <w:tcPr>
            <w:tcW w:w="982" w:type="dxa"/>
            <w:tcBorders>
              <w:top w:val="single" w:sz="12" w:space="0" w:color="auto"/>
            </w:tcBorders>
            <w:shd w:val="clear" w:color="auto" w:fill="auto"/>
            <w:vAlign w:val="bottom"/>
          </w:tcPr>
          <w:p w14:paraId="0438EC71" w14:textId="77777777" w:rsidR="0081022C" w:rsidRPr="001F36A4" w:rsidRDefault="0081022C" w:rsidP="001F36A4">
            <w:pPr>
              <w:suppressAutoHyphens w:val="0"/>
              <w:spacing w:before="40" w:after="40" w:line="220" w:lineRule="exact"/>
              <w:jc w:val="right"/>
              <w:rPr>
                <w:sz w:val="18"/>
              </w:rPr>
            </w:pPr>
            <w:r w:rsidRPr="001F36A4">
              <w:rPr>
                <w:sz w:val="18"/>
                <w:lang w:val="fr-FR"/>
              </w:rPr>
              <w:t>1</w:t>
            </w:r>
          </w:p>
        </w:tc>
        <w:tc>
          <w:tcPr>
            <w:tcW w:w="709" w:type="dxa"/>
            <w:tcBorders>
              <w:top w:val="single" w:sz="12" w:space="0" w:color="auto"/>
            </w:tcBorders>
            <w:shd w:val="clear" w:color="auto" w:fill="auto"/>
            <w:vAlign w:val="bottom"/>
          </w:tcPr>
          <w:p w14:paraId="16D34B6C" w14:textId="77777777" w:rsidR="0081022C" w:rsidRPr="001F36A4" w:rsidRDefault="0081022C" w:rsidP="001F36A4">
            <w:pPr>
              <w:suppressAutoHyphens w:val="0"/>
              <w:spacing w:before="40" w:after="40" w:line="220" w:lineRule="exact"/>
              <w:jc w:val="right"/>
              <w:rPr>
                <w:sz w:val="18"/>
              </w:rPr>
            </w:pPr>
            <w:r w:rsidRPr="001F36A4">
              <w:rPr>
                <w:sz w:val="18"/>
                <w:lang w:val="fr-FR"/>
              </w:rPr>
              <w:t>15</w:t>
            </w:r>
          </w:p>
        </w:tc>
      </w:tr>
      <w:tr w:rsidR="0081022C" w:rsidRPr="001F36A4" w14:paraId="0067A2C6" w14:textId="77777777" w:rsidTr="001F36A4">
        <w:tc>
          <w:tcPr>
            <w:tcW w:w="1842" w:type="dxa"/>
            <w:tcBorders>
              <w:bottom w:val="single" w:sz="12" w:space="0" w:color="auto"/>
            </w:tcBorders>
            <w:shd w:val="clear" w:color="auto" w:fill="auto"/>
          </w:tcPr>
          <w:p w14:paraId="2028F5C1" w14:textId="77777777" w:rsidR="0081022C" w:rsidRPr="001F36A4" w:rsidRDefault="0081022C" w:rsidP="001F36A4">
            <w:pPr>
              <w:suppressAutoHyphens w:val="0"/>
              <w:spacing w:before="40" w:after="40" w:line="220" w:lineRule="exact"/>
              <w:rPr>
                <w:sz w:val="18"/>
              </w:rPr>
            </w:pPr>
            <w:r w:rsidRPr="001F36A4">
              <w:rPr>
                <w:sz w:val="18"/>
                <w:lang w:val="fr-FR"/>
              </w:rPr>
              <w:t>Exploitation sexuelle</w:t>
            </w:r>
          </w:p>
        </w:tc>
        <w:tc>
          <w:tcPr>
            <w:tcW w:w="1417" w:type="dxa"/>
            <w:tcBorders>
              <w:bottom w:val="single" w:sz="12" w:space="0" w:color="auto"/>
            </w:tcBorders>
            <w:shd w:val="clear" w:color="auto" w:fill="auto"/>
            <w:vAlign w:val="bottom"/>
          </w:tcPr>
          <w:p w14:paraId="5E68A888" w14:textId="77777777" w:rsidR="0081022C" w:rsidRPr="001F36A4" w:rsidRDefault="0081022C" w:rsidP="001F36A4">
            <w:pPr>
              <w:suppressAutoHyphens w:val="0"/>
              <w:spacing w:before="40" w:after="40" w:line="220" w:lineRule="exact"/>
              <w:jc w:val="right"/>
              <w:rPr>
                <w:sz w:val="18"/>
              </w:rPr>
            </w:pPr>
            <w:r w:rsidRPr="001F36A4">
              <w:rPr>
                <w:sz w:val="18"/>
                <w:lang w:val="fr-FR"/>
              </w:rPr>
              <w:t>8</w:t>
            </w:r>
          </w:p>
        </w:tc>
        <w:tc>
          <w:tcPr>
            <w:tcW w:w="1560" w:type="dxa"/>
            <w:tcBorders>
              <w:bottom w:val="single" w:sz="12" w:space="0" w:color="auto"/>
            </w:tcBorders>
            <w:shd w:val="clear" w:color="auto" w:fill="auto"/>
            <w:vAlign w:val="bottom"/>
          </w:tcPr>
          <w:p w14:paraId="701644D1" w14:textId="77777777" w:rsidR="0081022C" w:rsidRPr="001F36A4" w:rsidRDefault="0081022C" w:rsidP="001F36A4">
            <w:pPr>
              <w:suppressAutoHyphens w:val="0"/>
              <w:spacing w:before="40" w:after="40" w:line="220" w:lineRule="exact"/>
              <w:jc w:val="right"/>
              <w:rPr>
                <w:sz w:val="18"/>
              </w:rPr>
            </w:pPr>
            <w:r w:rsidRPr="001F36A4">
              <w:rPr>
                <w:sz w:val="18"/>
                <w:lang w:val="fr-FR"/>
              </w:rPr>
              <w:t>17</w:t>
            </w:r>
          </w:p>
        </w:tc>
        <w:tc>
          <w:tcPr>
            <w:tcW w:w="860" w:type="dxa"/>
            <w:tcBorders>
              <w:bottom w:val="single" w:sz="12" w:space="0" w:color="auto"/>
            </w:tcBorders>
            <w:shd w:val="clear" w:color="auto" w:fill="auto"/>
            <w:vAlign w:val="bottom"/>
          </w:tcPr>
          <w:p w14:paraId="215AF6D8" w14:textId="77777777" w:rsidR="0081022C" w:rsidRPr="001F36A4" w:rsidRDefault="0081022C" w:rsidP="001F36A4">
            <w:pPr>
              <w:suppressAutoHyphens w:val="0"/>
              <w:spacing w:before="40" w:after="40" w:line="220" w:lineRule="exact"/>
              <w:jc w:val="right"/>
              <w:rPr>
                <w:sz w:val="18"/>
              </w:rPr>
            </w:pPr>
            <w:r w:rsidRPr="001F36A4">
              <w:rPr>
                <w:sz w:val="18"/>
                <w:lang w:val="fr-FR"/>
              </w:rPr>
              <w:t>9</w:t>
            </w:r>
          </w:p>
        </w:tc>
        <w:tc>
          <w:tcPr>
            <w:tcW w:w="982" w:type="dxa"/>
            <w:tcBorders>
              <w:bottom w:val="single" w:sz="12" w:space="0" w:color="auto"/>
            </w:tcBorders>
            <w:shd w:val="clear" w:color="auto" w:fill="auto"/>
            <w:vAlign w:val="bottom"/>
          </w:tcPr>
          <w:p w14:paraId="39BC8C1E" w14:textId="77777777" w:rsidR="0081022C" w:rsidRPr="001F36A4" w:rsidRDefault="0081022C" w:rsidP="001F36A4">
            <w:pPr>
              <w:suppressAutoHyphens w:val="0"/>
              <w:spacing w:before="40" w:after="40" w:line="220" w:lineRule="exact"/>
              <w:jc w:val="right"/>
              <w:rPr>
                <w:sz w:val="18"/>
              </w:rPr>
            </w:pPr>
            <w:r w:rsidRPr="001F36A4">
              <w:rPr>
                <w:sz w:val="18"/>
                <w:lang w:val="fr-FR"/>
              </w:rPr>
              <w:t>1</w:t>
            </w:r>
          </w:p>
        </w:tc>
        <w:tc>
          <w:tcPr>
            <w:tcW w:w="709" w:type="dxa"/>
            <w:tcBorders>
              <w:bottom w:val="single" w:sz="12" w:space="0" w:color="auto"/>
            </w:tcBorders>
            <w:shd w:val="clear" w:color="auto" w:fill="auto"/>
            <w:vAlign w:val="bottom"/>
          </w:tcPr>
          <w:p w14:paraId="115837F6" w14:textId="77777777" w:rsidR="0081022C" w:rsidRPr="001F36A4" w:rsidRDefault="0081022C" w:rsidP="001F36A4">
            <w:pPr>
              <w:suppressAutoHyphens w:val="0"/>
              <w:spacing w:before="40" w:after="40" w:line="220" w:lineRule="exact"/>
              <w:jc w:val="right"/>
              <w:rPr>
                <w:sz w:val="18"/>
              </w:rPr>
            </w:pPr>
            <w:r w:rsidRPr="001F36A4">
              <w:rPr>
                <w:sz w:val="18"/>
                <w:lang w:val="fr-FR"/>
              </w:rPr>
              <w:t>35</w:t>
            </w:r>
          </w:p>
        </w:tc>
      </w:tr>
    </w:tbl>
    <w:p w14:paraId="22DC4792" w14:textId="039C46FA" w:rsidR="0081022C" w:rsidRPr="001F36A4" w:rsidRDefault="0081022C" w:rsidP="001F36A4">
      <w:pPr>
        <w:pStyle w:val="SingleTxtG"/>
        <w:spacing w:before="120" w:after="240"/>
        <w:ind w:firstLine="170"/>
        <w:rPr>
          <w:sz w:val="18"/>
          <w:szCs w:val="18"/>
        </w:rPr>
      </w:pPr>
      <w:r w:rsidRPr="001F36A4">
        <w:rPr>
          <w:i/>
          <w:iCs/>
          <w:sz w:val="18"/>
          <w:szCs w:val="18"/>
          <w:lang w:val="fr-FR"/>
        </w:rPr>
        <w:t>Source</w:t>
      </w:r>
      <w:r w:rsidRPr="001F36A4">
        <w:rPr>
          <w:sz w:val="18"/>
          <w:szCs w:val="18"/>
          <w:lang w:val="fr-FR"/>
        </w:rPr>
        <w:t xml:space="preserve"> : </w:t>
      </w:r>
      <w:r w:rsidR="004709B9">
        <w:rPr>
          <w:sz w:val="18"/>
          <w:szCs w:val="18"/>
          <w:lang w:val="fr-FR"/>
        </w:rPr>
        <w:t>M</w:t>
      </w:r>
      <w:r w:rsidRPr="001F36A4">
        <w:rPr>
          <w:sz w:val="18"/>
          <w:szCs w:val="18"/>
          <w:lang w:val="fr-FR"/>
        </w:rPr>
        <w:t xml:space="preserve">inistère public </w:t>
      </w:r>
      <w:r w:rsidR="001F36A4">
        <w:rPr>
          <w:sz w:val="18"/>
          <w:szCs w:val="18"/>
          <w:lang w:val="fr-FR"/>
        </w:rPr>
        <w:t>−</w:t>
      </w:r>
      <w:r w:rsidRPr="001F36A4">
        <w:rPr>
          <w:sz w:val="18"/>
          <w:szCs w:val="18"/>
          <w:lang w:val="fr-FR"/>
        </w:rPr>
        <w:t xml:space="preserve"> Bureau du Procureur général de la Nation </w:t>
      </w:r>
      <w:r w:rsidR="001F36A4">
        <w:rPr>
          <w:sz w:val="18"/>
          <w:szCs w:val="18"/>
          <w:lang w:val="fr-FR"/>
        </w:rPr>
        <w:t>−</w:t>
      </w:r>
      <w:r w:rsidRPr="001F36A4">
        <w:rPr>
          <w:sz w:val="18"/>
          <w:szCs w:val="18"/>
          <w:lang w:val="fr-FR"/>
        </w:rPr>
        <w:t xml:space="preserve"> Bureau du Procureur spécialisé dans les faits de violence.</w:t>
      </w:r>
    </w:p>
    <w:p w14:paraId="77B26402" w14:textId="77777777" w:rsidR="0081022C" w:rsidRPr="002014CD" w:rsidRDefault="0081022C" w:rsidP="0081022C">
      <w:pPr>
        <w:pStyle w:val="SingleTxtG"/>
      </w:pPr>
      <w:r>
        <w:rPr>
          <w:lang w:val="fr-FR"/>
        </w:rPr>
        <w:t>149.</w:t>
      </w:r>
      <w:r>
        <w:rPr>
          <w:lang w:val="fr-FR"/>
        </w:rPr>
        <w:tab/>
        <w:t>À cet égard, le ministère public, en application de la Constitution politique de l’État et de la loi n</w:t>
      </w:r>
      <w:r>
        <w:rPr>
          <w:vertAlign w:val="superscript"/>
          <w:lang w:val="fr-FR"/>
        </w:rPr>
        <w:t>o</w:t>
      </w:r>
      <w:r>
        <w:rPr>
          <w:lang w:val="fr-FR"/>
        </w:rPr>
        <w:t> 260, ordonne des mesures de protection des victimes directes et indirectes, selon le cas. Il protège ainsi le droit à la vie, à l’intégrité physique, émotionnelle, sexuelle, patrimoniale, économique et professionnelle, ainsi qu’à la dignité. En tant que mécanisme de soutien et de protection des victimes de la violence liée au travail des enfants ou à l’exploitation sexuelle, il permet d’empêcher que de telles pratiques se perpétuent. Lorsqu’il a connaissance d’un acte de violence, il exerce également l’action publique au moyen d’une plainte écrite ou orale.</w:t>
      </w:r>
    </w:p>
    <w:p w14:paraId="11B3A341" w14:textId="77777777" w:rsidR="0081022C" w:rsidRPr="002014CD" w:rsidRDefault="0081022C" w:rsidP="001F36A4">
      <w:pPr>
        <w:pStyle w:val="H23G"/>
      </w:pPr>
      <w:r>
        <w:rPr>
          <w:lang w:val="fr-FR"/>
        </w:rPr>
        <w:tab/>
        <w:t>19.</w:t>
      </w:r>
      <w:r>
        <w:rPr>
          <w:lang w:val="fr-FR"/>
        </w:rPr>
        <w:tab/>
        <w:t>Réponse au paragraphe 18 de la liste de points</w:t>
      </w:r>
    </w:p>
    <w:p w14:paraId="338AB846" w14:textId="1D5B9D18" w:rsidR="0081022C" w:rsidRPr="00EF700A" w:rsidRDefault="0081022C" w:rsidP="0081022C">
      <w:pPr>
        <w:pStyle w:val="SingleTxtG"/>
      </w:pPr>
      <w:r>
        <w:rPr>
          <w:lang w:val="fr-FR"/>
        </w:rPr>
        <w:t>150.</w:t>
      </w:r>
      <w:r>
        <w:rPr>
          <w:lang w:val="fr-FR"/>
        </w:rPr>
        <w:tab/>
        <w:t>a)</w:t>
      </w:r>
      <w:r w:rsidR="001F36A4">
        <w:rPr>
          <w:lang w:val="fr-FR"/>
        </w:rPr>
        <w:t> </w:t>
      </w:r>
      <w:r>
        <w:rPr>
          <w:lang w:val="fr-FR"/>
        </w:rPr>
        <w:t>L’État plurinational de Bolivie a encouragé la signature d’accords bilatéraux avec le Pérou et l’Argentine pour la protection des victimes de la traite, du trafic d’êtres humains et d’infractions connexes, conformément à l’article 45 de la loi n</w:t>
      </w:r>
      <w:r>
        <w:rPr>
          <w:vertAlign w:val="superscript"/>
          <w:lang w:val="fr-FR"/>
        </w:rPr>
        <w:t>o</w:t>
      </w:r>
      <w:r>
        <w:rPr>
          <w:lang w:val="fr-FR"/>
        </w:rPr>
        <w:t> 263.</w:t>
      </w:r>
    </w:p>
    <w:p w14:paraId="6BCC3017" w14:textId="77777777" w:rsidR="0081022C" w:rsidRPr="00EF700A" w:rsidRDefault="0081022C" w:rsidP="0081022C">
      <w:pPr>
        <w:pStyle w:val="SingleTxtG"/>
      </w:pPr>
      <w:r>
        <w:rPr>
          <w:lang w:val="fr-FR"/>
        </w:rPr>
        <w:t>151.</w:t>
      </w:r>
      <w:r>
        <w:rPr>
          <w:lang w:val="fr-FR"/>
        </w:rPr>
        <w:tab/>
        <w:t>L’accord signé avec le Pérou a été ratifié au moyen de la loi n</w:t>
      </w:r>
      <w:r>
        <w:rPr>
          <w:vertAlign w:val="superscript"/>
          <w:lang w:val="fr-FR"/>
        </w:rPr>
        <w:t>o</w:t>
      </w:r>
      <w:r>
        <w:rPr>
          <w:lang w:val="fr-FR"/>
        </w:rPr>
        <w:t> 765 du 11 décembre 2015, actuellement en vigueur.</w:t>
      </w:r>
    </w:p>
    <w:p w14:paraId="135DDA52" w14:textId="77777777" w:rsidR="0081022C" w:rsidRPr="00EF700A" w:rsidRDefault="0081022C" w:rsidP="0081022C">
      <w:pPr>
        <w:pStyle w:val="SingleTxtG"/>
      </w:pPr>
      <w:r>
        <w:rPr>
          <w:lang w:val="fr-FR"/>
        </w:rPr>
        <w:t>152.</w:t>
      </w:r>
      <w:r>
        <w:rPr>
          <w:lang w:val="fr-FR"/>
        </w:rPr>
        <w:tab/>
        <w:t>Concernant l’accord signé avec l’Argentine, les activités que les deux pays devaient mener dans les domaines de la prévention, de la prise en charge, de la protection, de la réadaptation, des sanctions et des poursuites pénales pour les infractions de traite et de trafic illicite ont été définies lors d’une réunion technique qui s’est tenue en juin 2021.</w:t>
      </w:r>
    </w:p>
    <w:p w14:paraId="128D27ED" w14:textId="4EA7C609" w:rsidR="0081022C" w:rsidRPr="00EF700A" w:rsidRDefault="0081022C" w:rsidP="0081022C">
      <w:pPr>
        <w:pStyle w:val="SingleTxtG"/>
      </w:pPr>
      <w:r>
        <w:rPr>
          <w:lang w:val="fr-FR"/>
        </w:rPr>
        <w:t>153.</w:t>
      </w:r>
      <w:r>
        <w:rPr>
          <w:lang w:val="fr-FR"/>
        </w:rPr>
        <w:tab/>
        <w:t>En outre, le Secrétariat technique du Conseil plurinational de lutte contre la traite et le trafic d’êtres humains a travaillé sur huit instruments internationaux relatifs à la traite et au trafic des personnes avec le Paraguay, l’Uruguay, le Brésil et le Chili, ainsi qu’avec l’Espagne, le Venezuela et les États-Unis d’Amérique. Le Protocole contre le trafic illicite de migrants par terre, air et mer, additionnel à la Convention des Nations</w:t>
      </w:r>
      <w:r w:rsidR="00C23F94">
        <w:rPr>
          <w:lang w:val="fr-FR"/>
        </w:rPr>
        <w:t> </w:t>
      </w:r>
      <w:r>
        <w:rPr>
          <w:lang w:val="fr-FR"/>
        </w:rPr>
        <w:t>Unies contre la criminalité transnationale organisée et le Protocole de 2014 relatif à la Convention sur le travail forcé ont notamment été signés.</w:t>
      </w:r>
    </w:p>
    <w:p w14:paraId="4C41620C" w14:textId="77777777" w:rsidR="0081022C" w:rsidRPr="00EF700A" w:rsidRDefault="0081022C" w:rsidP="0081022C">
      <w:pPr>
        <w:pStyle w:val="SingleTxtG"/>
      </w:pPr>
      <w:r>
        <w:rPr>
          <w:lang w:val="fr-FR"/>
        </w:rPr>
        <w:t>154.</w:t>
      </w:r>
      <w:r>
        <w:rPr>
          <w:lang w:val="fr-FR"/>
        </w:rPr>
        <w:tab/>
        <w:t>Ces instruments sont en cours de négociation, de ratification et de signature.</w:t>
      </w:r>
    </w:p>
    <w:p w14:paraId="035B53FC" w14:textId="012F8A8D" w:rsidR="0081022C" w:rsidRPr="00EF700A" w:rsidRDefault="0081022C" w:rsidP="0081022C">
      <w:pPr>
        <w:pStyle w:val="SingleTxtG"/>
      </w:pPr>
      <w:r>
        <w:rPr>
          <w:lang w:val="fr-FR"/>
        </w:rPr>
        <w:t>155.</w:t>
      </w:r>
      <w:r>
        <w:rPr>
          <w:lang w:val="fr-FR"/>
        </w:rPr>
        <w:tab/>
        <w:t>b)</w:t>
      </w:r>
      <w:r w:rsidR="001F36A4">
        <w:rPr>
          <w:lang w:val="fr-FR"/>
        </w:rPr>
        <w:t> </w:t>
      </w:r>
      <w:r>
        <w:rPr>
          <w:lang w:val="fr-FR"/>
        </w:rPr>
        <w:t>Mise en œuvre du Plan national de lutte contre la traite et le trafic illicite des personnes 2015-2019, dont découle le Plan multisectoriel de développement global visant à lutter contre la traite et le trafic illicite des personnes 2016-2020, qui a servi de base à l’élaboration de rapports sur la mise en œuvre de la politique plurinationale de lutte contre la traite, le trafic illicite d’êtres humains et les infractions connexes, ainsi que le Plan annuel d’activités publié chaque année par le Conseil plurinational de lutte contre la traite et le trafic illicite des personnes. En outre, le 16 décembre 2020, dans le cadre de l’élaboration du Plan 2021-2025, l’Accord interinstitutionnel entre le Ministère de la justice et de la transparence institutionnelle et l’Organisation internationale pour les migrations a été conclu par la signature de l’acte de création du Comité technique en vue de la mise en œuvre du projet PX 0.205 relatif au renforcement des capacités du Gouvernement bolivien en matière de lutte efficace contre la traite des personnes et le trafic de migrants. Ce projet a pour but de favoriser la mise en œuvre de trois éléments : 1)</w:t>
      </w:r>
      <w:r w:rsidR="00C23F94">
        <w:rPr>
          <w:lang w:val="fr-FR"/>
        </w:rPr>
        <w:t> </w:t>
      </w:r>
      <w:r>
        <w:rPr>
          <w:lang w:val="fr-FR"/>
        </w:rPr>
        <w:t>une proposition de politique globale ; 2)</w:t>
      </w:r>
      <w:r w:rsidR="00C23F94">
        <w:rPr>
          <w:lang w:val="fr-FR"/>
        </w:rPr>
        <w:t> </w:t>
      </w:r>
      <w:r>
        <w:rPr>
          <w:lang w:val="fr-FR"/>
        </w:rPr>
        <w:t>un</w:t>
      </w:r>
      <w:r w:rsidR="00C23F94">
        <w:rPr>
          <w:lang w:val="fr-FR"/>
        </w:rPr>
        <w:t> </w:t>
      </w:r>
      <w:r>
        <w:rPr>
          <w:lang w:val="fr-FR"/>
        </w:rPr>
        <w:t>plan multisectoriel ; 3)</w:t>
      </w:r>
      <w:r w:rsidR="00C23F94">
        <w:rPr>
          <w:lang w:val="fr-FR"/>
        </w:rPr>
        <w:t> </w:t>
      </w:r>
      <w:r>
        <w:rPr>
          <w:lang w:val="fr-FR"/>
        </w:rPr>
        <w:t>un modèle de plan départemental.</w:t>
      </w:r>
    </w:p>
    <w:p w14:paraId="61B1940E" w14:textId="307DB58D" w:rsidR="0081022C" w:rsidRPr="007B66BA" w:rsidRDefault="0081022C" w:rsidP="0081022C">
      <w:pPr>
        <w:pStyle w:val="SingleTxtG"/>
      </w:pPr>
      <w:r w:rsidRPr="007B66BA">
        <w:rPr>
          <w:lang w:val="fr-FR"/>
        </w:rPr>
        <w:lastRenderedPageBreak/>
        <w:t>156.</w:t>
      </w:r>
      <w:r w:rsidRPr="007B66BA">
        <w:rPr>
          <w:lang w:val="fr-FR"/>
        </w:rPr>
        <w:tab/>
        <w:t>c)</w:t>
      </w:r>
      <w:r w:rsidR="004709B9" w:rsidRPr="007B66BA">
        <w:rPr>
          <w:lang w:val="fr-FR"/>
        </w:rPr>
        <w:t> </w:t>
      </w:r>
      <w:r w:rsidRPr="007B66BA">
        <w:rPr>
          <w:lang w:val="fr-FR"/>
        </w:rPr>
        <w:t>Exécution du Programme de réinsertion professionnelle des victimes de la traite et du trafic illicite des personnes, qui relève du Ministère du travail, de l’emploi et de la sécurité sociale. Ce ministère, dans le cadre de la loi n</w:t>
      </w:r>
      <w:r w:rsidRPr="007B66BA">
        <w:rPr>
          <w:vertAlign w:val="superscript"/>
          <w:lang w:val="fr-FR"/>
        </w:rPr>
        <w:t>o</w:t>
      </w:r>
      <w:r w:rsidRPr="007B66BA">
        <w:rPr>
          <w:lang w:val="fr-FR"/>
        </w:rPr>
        <w:t> 263 contre la traite et le trafic illicite des personnes, adoptera un programme spécial pour faciliter la réinsertion professionnelle des victimes de ces crimes.</w:t>
      </w:r>
    </w:p>
    <w:p w14:paraId="7489CF0D" w14:textId="6A18105C" w:rsidR="0081022C" w:rsidRPr="00EF700A" w:rsidRDefault="0081022C" w:rsidP="0081022C">
      <w:pPr>
        <w:pStyle w:val="SingleTxtG"/>
      </w:pPr>
      <w:r>
        <w:rPr>
          <w:lang w:val="fr-FR"/>
        </w:rPr>
        <w:t>157.</w:t>
      </w:r>
      <w:r>
        <w:rPr>
          <w:lang w:val="fr-FR"/>
        </w:rPr>
        <w:tab/>
        <w:t>d)</w:t>
      </w:r>
      <w:r w:rsidR="004709B9">
        <w:rPr>
          <w:lang w:val="fr-FR"/>
        </w:rPr>
        <w:t> </w:t>
      </w:r>
      <w:r>
        <w:rPr>
          <w:lang w:val="fr-FR"/>
        </w:rPr>
        <w:t>Élaboration du Protocole unique de prise en charge spécialisée des victimes de la traite et du trafic illicite des personnes 2012, sur lequel travaille le Ministère de la justice et de la transparence institutionnelle en coordination avec le ministère public, dans le cadre de la loi n</w:t>
      </w:r>
      <w:r>
        <w:rPr>
          <w:vertAlign w:val="superscript"/>
          <w:lang w:val="fr-FR"/>
        </w:rPr>
        <w:t>o</w:t>
      </w:r>
      <w:r>
        <w:rPr>
          <w:lang w:val="fr-FR"/>
        </w:rPr>
        <w:t> 263 et de la loi n</w:t>
      </w:r>
      <w:r>
        <w:rPr>
          <w:vertAlign w:val="superscript"/>
          <w:lang w:val="fr-FR"/>
        </w:rPr>
        <w:t>o</w:t>
      </w:r>
      <w:r>
        <w:rPr>
          <w:lang w:val="fr-FR"/>
        </w:rPr>
        <w:t> 1173.</w:t>
      </w:r>
    </w:p>
    <w:p w14:paraId="65D90A20" w14:textId="34C2CE62" w:rsidR="0081022C" w:rsidRPr="00EF700A" w:rsidRDefault="0081022C" w:rsidP="0081022C">
      <w:pPr>
        <w:pStyle w:val="SingleTxtG"/>
      </w:pPr>
      <w:r>
        <w:rPr>
          <w:lang w:val="fr-FR"/>
        </w:rPr>
        <w:t>158.</w:t>
      </w:r>
      <w:r>
        <w:rPr>
          <w:lang w:val="fr-FR"/>
        </w:rPr>
        <w:tab/>
        <w:t>e)</w:t>
      </w:r>
      <w:r w:rsidR="004709B9">
        <w:rPr>
          <w:lang w:val="fr-FR"/>
        </w:rPr>
        <w:t> </w:t>
      </w:r>
      <w:r>
        <w:rPr>
          <w:lang w:val="fr-FR"/>
        </w:rPr>
        <w:t>Élaboration du Guide pour la formulation des plans départementaux de lutte contre la traite et le trafic illicite des personnes 2015 par le Conseil plurinational de lutte contre la traite et le trafic illicite des personnes, en application de l’article 10 (par. 4) et de l’article 15 de la loi n</w:t>
      </w:r>
      <w:r>
        <w:rPr>
          <w:vertAlign w:val="superscript"/>
          <w:lang w:val="fr-FR"/>
        </w:rPr>
        <w:t>o</w:t>
      </w:r>
      <w:r>
        <w:rPr>
          <w:lang w:val="fr-FR"/>
        </w:rPr>
        <w:t> 263, en vue de renforcer le processus d’élaboration de ces plans départementaux. Grâce aux enseignements tirés de l’élaboration de la Politique plurinationale et du Plan national de lutte contre la traite, le trafic illicite d’êtres humains et les infractions connexes 2013-2017, ce document établit de grandes orientations pour les gouvernements départementaux et les gouvernements municipaux (grandes villes, villes de taille intermédiaire ou villes frontalières) afin qu’ils puissent mettre au point et adopter en toute autonomie leur plan départemental. Quatre étapes de référence pour l’élaboration du plan départemental y sont décrites, accompagnées de suggestions d’actions, des responsables de la mise en œuvre de l’étape et des résultats attendus. Par la suite, le 16 décembre 2020, l’accord interinstitutionnel entre le Ministère de la justice et de la transparence institutionnelle et l’Organisation internationale pour les migrations a été signé, dans le but de promouvoir l’élaboration et la mise en œuvre du Plan multisectoriel. Un modèle de plan départemental, qui fournira des lignes directrices pour l’élaboration de plans départementaux contre la traite et le trafic illicite des personnes, est également prévu.</w:t>
      </w:r>
    </w:p>
    <w:p w14:paraId="526656C0" w14:textId="7A9791C1" w:rsidR="0081022C" w:rsidRPr="00EF700A" w:rsidRDefault="0081022C" w:rsidP="0081022C">
      <w:pPr>
        <w:pStyle w:val="SingleTxtG"/>
      </w:pPr>
      <w:r>
        <w:rPr>
          <w:lang w:val="fr-FR"/>
        </w:rPr>
        <w:t>159.</w:t>
      </w:r>
      <w:r>
        <w:rPr>
          <w:lang w:val="fr-FR"/>
        </w:rPr>
        <w:tab/>
        <w:t>f)</w:t>
      </w:r>
      <w:r w:rsidR="00C23F94">
        <w:rPr>
          <w:lang w:val="fr-FR"/>
        </w:rPr>
        <w:t> </w:t>
      </w:r>
      <w:r>
        <w:rPr>
          <w:lang w:val="fr-FR"/>
        </w:rPr>
        <w:t>Élaboration du Protocole pour le rapatriement des personnes de nationalité bolivienne victimes de traite et de trafic illicite d’êtres humains à l’étranger. Il définit les étapes que doivent suivre les consulats ou les sections et directions consulaires du Ministère des affaires étrangères, la Direction générale de lutte contre la traite et le trafic illicite d’êtres humains du Ministère des affaires étrangères et la Direction générale de lutte contre la traite et le trafic illicite d’êtres humains du Ministère de l’intérieur, dans le but de rapatrier les citoyens boliviens victimes de la traite et du trafic illicite de migrants.</w:t>
      </w:r>
    </w:p>
    <w:p w14:paraId="3B1AD785" w14:textId="77777777" w:rsidR="0081022C" w:rsidRPr="00EF700A" w:rsidRDefault="0081022C" w:rsidP="0081022C">
      <w:pPr>
        <w:pStyle w:val="SingleTxtG"/>
      </w:pPr>
      <w:r>
        <w:rPr>
          <w:lang w:val="fr-FR"/>
        </w:rPr>
        <w:t>160.</w:t>
      </w:r>
      <w:r>
        <w:rPr>
          <w:lang w:val="fr-FR"/>
        </w:rPr>
        <w:tab/>
        <w:t>En matière de prévention, plusieurs campagnes contre la traite des êtres humains et le trafic illicite de migrants ont été menées de 2013 à 2020.</w:t>
      </w:r>
    </w:p>
    <w:p w14:paraId="0FCAE602" w14:textId="77777777" w:rsidR="0081022C" w:rsidRPr="00EF700A" w:rsidRDefault="0081022C" w:rsidP="0081022C">
      <w:pPr>
        <w:pStyle w:val="SingleTxtG"/>
      </w:pPr>
      <w:r>
        <w:rPr>
          <w:lang w:val="fr-FR"/>
        </w:rPr>
        <w:t>161.</w:t>
      </w:r>
      <w:r>
        <w:rPr>
          <w:lang w:val="fr-FR"/>
        </w:rPr>
        <w:tab/>
        <w:t>De même, à l’échelle nationale, neuf divisions chargées de la lutte contre la traite et le trafic d’êtres humains ont été créées au sein de la Force spéciale de lutte contre la criminalité de la police bolivienne, responsable de la prévention, des enquêtes et de la lutte contre des infractions telles que le proxénétisme, la traite des personnes, le trafic d’êtres humains, la pornographie, etc.</w:t>
      </w:r>
    </w:p>
    <w:p w14:paraId="75E68249" w14:textId="77777777" w:rsidR="0081022C" w:rsidRPr="00EF700A" w:rsidRDefault="0081022C" w:rsidP="0081022C">
      <w:pPr>
        <w:pStyle w:val="SingleTxtG"/>
      </w:pPr>
      <w:r>
        <w:rPr>
          <w:lang w:val="fr-FR"/>
        </w:rPr>
        <w:t>162.</w:t>
      </w:r>
      <w:r>
        <w:rPr>
          <w:lang w:val="fr-FR"/>
        </w:rPr>
        <w:tab/>
        <w:t>En outre, le Ministère de la justice, qui préside le Conseil plurinational contre la traite et le trafic illicite des personnes, a coordonné avec le ministère public la mise à jour du Protocole unique de prise en charge spécialisée des victimes de la traite et du trafic illicite des personnes adopté par la résolution FGE/JLP/DAJ/2017/2020 du 27 novembre 2020 dans le cadre de la loi n</w:t>
      </w:r>
      <w:r>
        <w:rPr>
          <w:vertAlign w:val="superscript"/>
          <w:lang w:val="fr-FR"/>
        </w:rPr>
        <w:t>o</w:t>
      </w:r>
      <w:r>
        <w:rPr>
          <w:lang w:val="fr-FR"/>
        </w:rPr>
        <w:t> 263 et de la loi n</w:t>
      </w:r>
      <w:r>
        <w:rPr>
          <w:vertAlign w:val="superscript"/>
          <w:lang w:val="fr-FR"/>
        </w:rPr>
        <w:t>o</w:t>
      </w:r>
      <w:r>
        <w:rPr>
          <w:lang w:val="fr-FR"/>
        </w:rPr>
        <w:t> 1173.</w:t>
      </w:r>
    </w:p>
    <w:p w14:paraId="27212721" w14:textId="77777777" w:rsidR="0081022C" w:rsidRPr="007B66BA" w:rsidRDefault="0081022C" w:rsidP="0081022C">
      <w:pPr>
        <w:pStyle w:val="SingleTxtG"/>
        <w:rPr>
          <w:spacing w:val="-1"/>
          <w:shd w:val="clear" w:color="auto" w:fill="FFFFFF"/>
        </w:rPr>
      </w:pPr>
      <w:r w:rsidRPr="007B66BA">
        <w:rPr>
          <w:spacing w:val="-1"/>
          <w:lang w:val="fr-FR"/>
        </w:rPr>
        <w:t>163.</w:t>
      </w:r>
      <w:r w:rsidRPr="007B66BA">
        <w:rPr>
          <w:spacing w:val="-1"/>
          <w:lang w:val="fr-FR"/>
        </w:rPr>
        <w:tab/>
        <w:t>Concernant le nombre de plaintes déposées pour des faits de traite, de trafic illicite d’êtres humains et d’infractions connexes, les données disponibles sont présentées ci-dessous.</w:t>
      </w:r>
    </w:p>
    <w:p w14:paraId="3DE6D329" w14:textId="77777777" w:rsidR="0081022C" w:rsidRPr="00B54D3D" w:rsidRDefault="0081022C" w:rsidP="00C23F94">
      <w:pPr>
        <w:pStyle w:val="H23G"/>
      </w:pPr>
      <w:r>
        <w:rPr>
          <w:lang w:val="fr-FR"/>
        </w:rPr>
        <w:tab/>
      </w:r>
      <w:r>
        <w:rPr>
          <w:lang w:val="fr-FR"/>
        </w:rPr>
        <w:tab/>
        <w:t>Nombre de plaintes pour traite d’êtres humains (2019-2021)</w:t>
      </w:r>
    </w:p>
    <w:tbl>
      <w:tblPr>
        <w:tblW w:w="7370" w:type="dxa"/>
        <w:tblInd w:w="1134" w:type="dxa"/>
        <w:tblLayout w:type="fixed"/>
        <w:tblCellMar>
          <w:left w:w="0" w:type="dxa"/>
          <w:right w:w="0" w:type="dxa"/>
        </w:tblCellMar>
        <w:tblLook w:val="04A0" w:firstRow="1" w:lastRow="0" w:firstColumn="1" w:lastColumn="0" w:noHBand="0" w:noVBand="1"/>
      </w:tblPr>
      <w:tblGrid>
        <w:gridCol w:w="2525"/>
        <w:gridCol w:w="1615"/>
        <w:gridCol w:w="1615"/>
        <w:gridCol w:w="1615"/>
      </w:tblGrid>
      <w:tr w:rsidR="0081022C" w:rsidRPr="00C23F94" w14:paraId="4365BFCE" w14:textId="77777777" w:rsidTr="00C23F94">
        <w:trPr>
          <w:tblHeader/>
        </w:trPr>
        <w:tc>
          <w:tcPr>
            <w:tcW w:w="2525" w:type="dxa"/>
            <w:tcBorders>
              <w:top w:val="single" w:sz="4" w:space="0" w:color="auto"/>
              <w:bottom w:val="single" w:sz="12" w:space="0" w:color="auto"/>
            </w:tcBorders>
            <w:shd w:val="clear" w:color="auto" w:fill="auto"/>
            <w:noWrap/>
            <w:vAlign w:val="bottom"/>
            <w:hideMark/>
          </w:tcPr>
          <w:p w14:paraId="5B3FB23F" w14:textId="77777777" w:rsidR="0081022C" w:rsidRPr="00C23F94" w:rsidRDefault="0081022C" w:rsidP="00C23F94">
            <w:pPr>
              <w:suppressAutoHyphens w:val="0"/>
              <w:spacing w:before="80" w:after="80" w:line="200" w:lineRule="exact"/>
              <w:rPr>
                <w:i/>
                <w:sz w:val="16"/>
              </w:rPr>
            </w:pPr>
            <w:r w:rsidRPr="00C23F94">
              <w:rPr>
                <w:i/>
                <w:sz w:val="16"/>
                <w:lang w:val="fr-FR"/>
              </w:rPr>
              <w:t>Département</w:t>
            </w:r>
          </w:p>
        </w:tc>
        <w:tc>
          <w:tcPr>
            <w:tcW w:w="1615" w:type="dxa"/>
            <w:tcBorders>
              <w:top w:val="single" w:sz="4" w:space="0" w:color="auto"/>
              <w:bottom w:val="single" w:sz="12" w:space="0" w:color="auto"/>
            </w:tcBorders>
            <w:shd w:val="clear" w:color="auto" w:fill="auto"/>
            <w:noWrap/>
            <w:vAlign w:val="bottom"/>
            <w:hideMark/>
          </w:tcPr>
          <w:p w14:paraId="35A5F95F" w14:textId="77777777" w:rsidR="0081022C" w:rsidRPr="00C23F94" w:rsidRDefault="0081022C" w:rsidP="00C23F94">
            <w:pPr>
              <w:suppressAutoHyphens w:val="0"/>
              <w:spacing w:before="80" w:after="80" w:line="200" w:lineRule="exact"/>
              <w:jc w:val="right"/>
              <w:rPr>
                <w:i/>
                <w:sz w:val="16"/>
              </w:rPr>
            </w:pPr>
            <w:r w:rsidRPr="00C23F94">
              <w:rPr>
                <w:i/>
                <w:sz w:val="16"/>
                <w:lang w:val="fr-FR"/>
              </w:rPr>
              <w:t>2019</w:t>
            </w:r>
          </w:p>
        </w:tc>
        <w:tc>
          <w:tcPr>
            <w:tcW w:w="1615" w:type="dxa"/>
            <w:tcBorders>
              <w:top w:val="single" w:sz="4" w:space="0" w:color="auto"/>
              <w:bottom w:val="single" w:sz="12" w:space="0" w:color="auto"/>
            </w:tcBorders>
            <w:shd w:val="clear" w:color="auto" w:fill="auto"/>
            <w:noWrap/>
            <w:vAlign w:val="bottom"/>
            <w:hideMark/>
          </w:tcPr>
          <w:p w14:paraId="3B5C8D39" w14:textId="77777777" w:rsidR="0081022C" w:rsidRPr="00C23F94" w:rsidRDefault="0081022C" w:rsidP="00C23F94">
            <w:pPr>
              <w:suppressAutoHyphens w:val="0"/>
              <w:spacing w:before="80" w:after="80" w:line="200" w:lineRule="exact"/>
              <w:jc w:val="right"/>
              <w:rPr>
                <w:i/>
                <w:sz w:val="16"/>
              </w:rPr>
            </w:pPr>
            <w:r w:rsidRPr="00C23F94">
              <w:rPr>
                <w:i/>
                <w:sz w:val="16"/>
                <w:lang w:val="fr-FR"/>
              </w:rPr>
              <w:t>2020</w:t>
            </w:r>
          </w:p>
        </w:tc>
        <w:tc>
          <w:tcPr>
            <w:tcW w:w="1615" w:type="dxa"/>
            <w:tcBorders>
              <w:top w:val="single" w:sz="4" w:space="0" w:color="auto"/>
              <w:bottom w:val="single" w:sz="12" w:space="0" w:color="auto"/>
            </w:tcBorders>
            <w:shd w:val="clear" w:color="auto" w:fill="auto"/>
            <w:noWrap/>
            <w:vAlign w:val="bottom"/>
            <w:hideMark/>
          </w:tcPr>
          <w:p w14:paraId="68A2AA22" w14:textId="77777777" w:rsidR="0081022C" w:rsidRPr="00C23F94" w:rsidRDefault="0081022C" w:rsidP="00C23F94">
            <w:pPr>
              <w:suppressAutoHyphens w:val="0"/>
              <w:spacing w:before="80" w:after="80" w:line="200" w:lineRule="exact"/>
              <w:jc w:val="right"/>
              <w:rPr>
                <w:i/>
                <w:sz w:val="16"/>
              </w:rPr>
            </w:pPr>
            <w:r w:rsidRPr="00C23F94">
              <w:rPr>
                <w:i/>
                <w:sz w:val="16"/>
                <w:lang w:val="fr-FR"/>
              </w:rPr>
              <w:t>2021</w:t>
            </w:r>
          </w:p>
        </w:tc>
      </w:tr>
      <w:tr w:rsidR="0081022C" w:rsidRPr="00C23F94" w14:paraId="33105068" w14:textId="77777777" w:rsidTr="00C23F94">
        <w:tc>
          <w:tcPr>
            <w:tcW w:w="2525" w:type="dxa"/>
            <w:tcBorders>
              <w:top w:val="single" w:sz="12" w:space="0" w:color="auto"/>
            </w:tcBorders>
            <w:shd w:val="clear" w:color="auto" w:fill="auto"/>
            <w:noWrap/>
            <w:hideMark/>
          </w:tcPr>
          <w:p w14:paraId="317C196E" w14:textId="10E3C1A5" w:rsidR="0081022C" w:rsidRPr="00C23F94" w:rsidRDefault="0081022C" w:rsidP="00C23F94">
            <w:pPr>
              <w:suppressAutoHyphens w:val="0"/>
              <w:spacing w:before="40" w:after="40" w:line="220" w:lineRule="exact"/>
              <w:rPr>
                <w:sz w:val="18"/>
              </w:rPr>
            </w:pPr>
            <w:r w:rsidRPr="00C23F94">
              <w:rPr>
                <w:sz w:val="18"/>
                <w:lang w:val="fr-FR"/>
              </w:rPr>
              <w:t>La</w:t>
            </w:r>
            <w:r w:rsidR="00C23F94">
              <w:rPr>
                <w:sz w:val="18"/>
                <w:lang w:val="fr-FR"/>
              </w:rPr>
              <w:t> </w:t>
            </w:r>
            <w:r w:rsidRPr="00C23F94">
              <w:rPr>
                <w:sz w:val="18"/>
                <w:lang w:val="fr-FR"/>
              </w:rPr>
              <w:t>Paz</w:t>
            </w:r>
          </w:p>
        </w:tc>
        <w:tc>
          <w:tcPr>
            <w:tcW w:w="1615" w:type="dxa"/>
            <w:tcBorders>
              <w:top w:val="single" w:sz="12" w:space="0" w:color="auto"/>
            </w:tcBorders>
            <w:shd w:val="clear" w:color="auto" w:fill="auto"/>
            <w:noWrap/>
            <w:vAlign w:val="bottom"/>
            <w:hideMark/>
          </w:tcPr>
          <w:p w14:paraId="00E85167" w14:textId="77777777" w:rsidR="0081022C" w:rsidRPr="00C23F94" w:rsidRDefault="0081022C" w:rsidP="00C23F94">
            <w:pPr>
              <w:suppressAutoHyphens w:val="0"/>
              <w:spacing w:before="40" w:after="40" w:line="220" w:lineRule="exact"/>
              <w:jc w:val="right"/>
              <w:rPr>
                <w:sz w:val="18"/>
              </w:rPr>
            </w:pPr>
            <w:r w:rsidRPr="00C23F94">
              <w:rPr>
                <w:sz w:val="18"/>
                <w:lang w:val="fr-FR"/>
              </w:rPr>
              <w:t>167</w:t>
            </w:r>
          </w:p>
        </w:tc>
        <w:tc>
          <w:tcPr>
            <w:tcW w:w="1615" w:type="dxa"/>
            <w:tcBorders>
              <w:top w:val="single" w:sz="12" w:space="0" w:color="auto"/>
            </w:tcBorders>
            <w:shd w:val="clear" w:color="auto" w:fill="auto"/>
            <w:noWrap/>
            <w:vAlign w:val="bottom"/>
            <w:hideMark/>
          </w:tcPr>
          <w:p w14:paraId="6B8797FC" w14:textId="77777777" w:rsidR="0081022C" w:rsidRPr="00C23F94" w:rsidRDefault="0081022C" w:rsidP="00C23F94">
            <w:pPr>
              <w:suppressAutoHyphens w:val="0"/>
              <w:spacing w:before="40" w:after="40" w:line="220" w:lineRule="exact"/>
              <w:jc w:val="right"/>
              <w:rPr>
                <w:sz w:val="18"/>
              </w:rPr>
            </w:pPr>
            <w:r w:rsidRPr="00C23F94">
              <w:rPr>
                <w:sz w:val="18"/>
                <w:lang w:val="fr-FR"/>
              </w:rPr>
              <w:t>175</w:t>
            </w:r>
          </w:p>
        </w:tc>
        <w:tc>
          <w:tcPr>
            <w:tcW w:w="1615" w:type="dxa"/>
            <w:tcBorders>
              <w:top w:val="single" w:sz="12" w:space="0" w:color="auto"/>
            </w:tcBorders>
            <w:shd w:val="clear" w:color="auto" w:fill="auto"/>
            <w:noWrap/>
            <w:vAlign w:val="bottom"/>
            <w:hideMark/>
          </w:tcPr>
          <w:p w14:paraId="4BDE87E6" w14:textId="77777777" w:rsidR="0081022C" w:rsidRPr="00C23F94" w:rsidRDefault="0081022C" w:rsidP="00C23F94">
            <w:pPr>
              <w:suppressAutoHyphens w:val="0"/>
              <w:spacing w:before="40" w:after="40" w:line="220" w:lineRule="exact"/>
              <w:jc w:val="right"/>
              <w:rPr>
                <w:sz w:val="18"/>
              </w:rPr>
            </w:pPr>
            <w:r w:rsidRPr="00C23F94">
              <w:rPr>
                <w:sz w:val="18"/>
                <w:lang w:val="fr-FR"/>
              </w:rPr>
              <w:t>114</w:t>
            </w:r>
          </w:p>
        </w:tc>
      </w:tr>
      <w:tr w:rsidR="0081022C" w:rsidRPr="00C23F94" w14:paraId="5917D98D" w14:textId="77777777" w:rsidTr="00C23F94">
        <w:tc>
          <w:tcPr>
            <w:tcW w:w="2525" w:type="dxa"/>
            <w:shd w:val="clear" w:color="auto" w:fill="auto"/>
            <w:noWrap/>
            <w:hideMark/>
          </w:tcPr>
          <w:p w14:paraId="13E9750F" w14:textId="77777777" w:rsidR="0081022C" w:rsidRPr="00C23F94" w:rsidRDefault="0081022C" w:rsidP="00C23F94">
            <w:pPr>
              <w:suppressAutoHyphens w:val="0"/>
              <w:spacing w:before="40" w:after="40" w:line="220" w:lineRule="exact"/>
              <w:rPr>
                <w:sz w:val="18"/>
              </w:rPr>
            </w:pPr>
            <w:r w:rsidRPr="00C23F94">
              <w:rPr>
                <w:sz w:val="18"/>
                <w:lang w:val="fr-FR"/>
              </w:rPr>
              <w:t>Santa Cruz</w:t>
            </w:r>
          </w:p>
        </w:tc>
        <w:tc>
          <w:tcPr>
            <w:tcW w:w="1615" w:type="dxa"/>
            <w:shd w:val="clear" w:color="auto" w:fill="auto"/>
            <w:noWrap/>
            <w:vAlign w:val="bottom"/>
            <w:hideMark/>
          </w:tcPr>
          <w:p w14:paraId="7E3C7AAA" w14:textId="77777777" w:rsidR="0081022C" w:rsidRPr="00C23F94" w:rsidRDefault="0081022C" w:rsidP="00C23F94">
            <w:pPr>
              <w:suppressAutoHyphens w:val="0"/>
              <w:spacing w:before="40" w:after="40" w:line="220" w:lineRule="exact"/>
              <w:jc w:val="right"/>
              <w:rPr>
                <w:sz w:val="18"/>
              </w:rPr>
            </w:pPr>
            <w:r w:rsidRPr="00C23F94">
              <w:rPr>
                <w:sz w:val="18"/>
                <w:lang w:val="fr-FR"/>
              </w:rPr>
              <w:t>49</w:t>
            </w:r>
          </w:p>
        </w:tc>
        <w:tc>
          <w:tcPr>
            <w:tcW w:w="1615" w:type="dxa"/>
            <w:shd w:val="clear" w:color="auto" w:fill="auto"/>
            <w:noWrap/>
            <w:vAlign w:val="bottom"/>
            <w:hideMark/>
          </w:tcPr>
          <w:p w14:paraId="713AD121" w14:textId="77777777" w:rsidR="0081022C" w:rsidRPr="00C23F94" w:rsidRDefault="0081022C" w:rsidP="00C23F94">
            <w:pPr>
              <w:suppressAutoHyphens w:val="0"/>
              <w:spacing w:before="40" w:after="40" w:line="220" w:lineRule="exact"/>
              <w:jc w:val="right"/>
              <w:rPr>
                <w:sz w:val="18"/>
              </w:rPr>
            </w:pPr>
            <w:r w:rsidRPr="00C23F94">
              <w:rPr>
                <w:sz w:val="18"/>
                <w:lang w:val="fr-FR"/>
              </w:rPr>
              <w:t>50</w:t>
            </w:r>
          </w:p>
        </w:tc>
        <w:tc>
          <w:tcPr>
            <w:tcW w:w="1615" w:type="dxa"/>
            <w:shd w:val="clear" w:color="auto" w:fill="auto"/>
            <w:noWrap/>
            <w:vAlign w:val="bottom"/>
            <w:hideMark/>
          </w:tcPr>
          <w:p w14:paraId="7875C51D" w14:textId="77777777" w:rsidR="0081022C" w:rsidRPr="00C23F94" w:rsidRDefault="0081022C" w:rsidP="00C23F94">
            <w:pPr>
              <w:suppressAutoHyphens w:val="0"/>
              <w:spacing w:before="40" w:after="40" w:line="220" w:lineRule="exact"/>
              <w:jc w:val="right"/>
              <w:rPr>
                <w:sz w:val="18"/>
              </w:rPr>
            </w:pPr>
            <w:r w:rsidRPr="00C23F94">
              <w:rPr>
                <w:sz w:val="18"/>
                <w:lang w:val="fr-FR"/>
              </w:rPr>
              <w:t>73</w:t>
            </w:r>
          </w:p>
        </w:tc>
      </w:tr>
      <w:tr w:rsidR="0081022C" w:rsidRPr="00C23F94" w14:paraId="376700EE" w14:textId="77777777" w:rsidTr="00C23F94">
        <w:tc>
          <w:tcPr>
            <w:tcW w:w="2525" w:type="dxa"/>
            <w:shd w:val="clear" w:color="auto" w:fill="auto"/>
            <w:noWrap/>
            <w:hideMark/>
          </w:tcPr>
          <w:p w14:paraId="0301E558" w14:textId="77777777" w:rsidR="0081022C" w:rsidRPr="00C23F94" w:rsidRDefault="0081022C" w:rsidP="00C23F94">
            <w:pPr>
              <w:suppressAutoHyphens w:val="0"/>
              <w:spacing w:before="40" w:after="40" w:line="220" w:lineRule="exact"/>
              <w:rPr>
                <w:sz w:val="18"/>
              </w:rPr>
            </w:pPr>
            <w:r w:rsidRPr="00C23F94">
              <w:rPr>
                <w:sz w:val="18"/>
                <w:lang w:val="fr-FR"/>
              </w:rPr>
              <w:t>Cochabamba</w:t>
            </w:r>
          </w:p>
        </w:tc>
        <w:tc>
          <w:tcPr>
            <w:tcW w:w="1615" w:type="dxa"/>
            <w:shd w:val="clear" w:color="auto" w:fill="auto"/>
            <w:noWrap/>
            <w:vAlign w:val="bottom"/>
            <w:hideMark/>
          </w:tcPr>
          <w:p w14:paraId="7AC822C1" w14:textId="77777777" w:rsidR="0081022C" w:rsidRPr="00C23F94" w:rsidRDefault="0081022C" w:rsidP="00C23F94">
            <w:pPr>
              <w:suppressAutoHyphens w:val="0"/>
              <w:spacing w:before="40" w:after="40" w:line="220" w:lineRule="exact"/>
              <w:jc w:val="right"/>
              <w:rPr>
                <w:sz w:val="18"/>
              </w:rPr>
            </w:pPr>
            <w:r w:rsidRPr="00C23F94">
              <w:rPr>
                <w:sz w:val="18"/>
                <w:lang w:val="fr-FR"/>
              </w:rPr>
              <w:t>56</w:t>
            </w:r>
          </w:p>
        </w:tc>
        <w:tc>
          <w:tcPr>
            <w:tcW w:w="1615" w:type="dxa"/>
            <w:shd w:val="clear" w:color="auto" w:fill="auto"/>
            <w:noWrap/>
            <w:vAlign w:val="bottom"/>
            <w:hideMark/>
          </w:tcPr>
          <w:p w14:paraId="6AEA3262" w14:textId="77777777" w:rsidR="0081022C" w:rsidRPr="00C23F94" w:rsidRDefault="0081022C" w:rsidP="00C23F94">
            <w:pPr>
              <w:suppressAutoHyphens w:val="0"/>
              <w:spacing w:before="40" w:after="40" w:line="220" w:lineRule="exact"/>
              <w:jc w:val="right"/>
              <w:rPr>
                <w:sz w:val="18"/>
              </w:rPr>
            </w:pPr>
            <w:r w:rsidRPr="00C23F94">
              <w:rPr>
                <w:sz w:val="18"/>
                <w:lang w:val="fr-FR"/>
              </w:rPr>
              <w:t>41</w:t>
            </w:r>
          </w:p>
        </w:tc>
        <w:tc>
          <w:tcPr>
            <w:tcW w:w="1615" w:type="dxa"/>
            <w:shd w:val="clear" w:color="auto" w:fill="auto"/>
            <w:noWrap/>
            <w:vAlign w:val="bottom"/>
            <w:hideMark/>
          </w:tcPr>
          <w:p w14:paraId="359BDC81" w14:textId="77777777" w:rsidR="0081022C" w:rsidRPr="00C23F94" w:rsidRDefault="0081022C" w:rsidP="00C23F94">
            <w:pPr>
              <w:suppressAutoHyphens w:val="0"/>
              <w:spacing w:before="40" w:after="40" w:line="220" w:lineRule="exact"/>
              <w:jc w:val="right"/>
              <w:rPr>
                <w:sz w:val="18"/>
              </w:rPr>
            </w:pPr>
            <w:r w:rsidRPr="00C23F94">
              <w:rPr>
                <w:sz w:val="18"/>
                <w:lang w:val="fr-FR"/>
              </w:rPr>
              <w:t>64</w:t>
            </w:r>
          </w:p>
        </w:tc>
      </w:tr>
      <w:tr w:rsidR="0081022C" w:rsidRPr="00C23F94" w14:paraId="7059F5E7" w14:textId="77777777" w:rsidTr="00C23F94">
        <w:tc>
          <w:tcPr>
            <w:tcW w:w="2525" w:type="dxa"/>
            <w:shd w:val="clear" w:color="auto" w:fill="auto"/>
            <w:noWrap/>
            <w:hideMark/>
          </w:tcPr>
          <w:p w14:paraId="059B698E" w14:textId="77777777" w:rsidR="0081022C" w:rsidRPr="00C23F94" w:rsidRDefault="0081022C" w:rsidP="00C23F94">
            <w:pPr>
              <w:suppressAutoHyphens w:val="0"/>
              <w:spacing w:before="40" w:after="40" w:line="220" w:lineRule="exact"/>
              <w:rPr>
                <w:sz w:val="18"/>
              </w:rPr>
            </w:pPr>
            <w:r w:rsidRPr="00C23F94">
              <w:rPr>
                <w:sz w:val="18"/>
                <w:lang w:val="fr-FR"/>
              </w:rPr>
              <w:lastRenderedPageBreak/>
              <w:t>Beni</w:t>
            </w:r>
          </w:p>
        </w:tc>
        <w:tc>
          <w:tcPr>
            <w:tcW w:w="1615" w:type="dxa"/>
            <w:shd w:val="clear" w:color="auto" w:fill="auto"/>
            <w:noWrap/>
            <w:vAlign w:val="bottom"/>
            <w:hideMark/>
          </w:tcPr>
          <w:p w14:paraId="362D1DD1" w14:textId="77777777" w:rsidR="0081022C" w:rsidRPr="00C23F94" w:rsidRDefault="0081022C" w:rsidP="00C23F94">
            <w:pPr>
              <w:suppressAutoHyphens w:val="0"/>
              <w:spacing w:before="40" w:after="40" w:line="220" w:lineRule="exact"/>
              <w:jc w:val="right"/>
              <w:rPr>
                <w:sz w:val="18"/>
              </w:rPr>
            </w:pPr>
            <w:r w:rsidRPr="00C23F94">
              <w:rPr>
                <w:sz w:val="18"/>
                <w:lang w:val="fr-FR"/>
              </w:rPr>
              <w:t>11</w:t>
            </w:r>
          </w:p>
        </w:tc>
        <w:tc>
          <w:tcPr>
            <w:tcW w:w="1615" w:type="dxa"/>
            <w:shd w:val="clear" w:color="auto" w:fill="auto"/>
            <w:noWrap/>
            <w:vAlign w:val="bottom"/>
            <w:hideMark/>
          </w:tcPr>
          <w:p w14:paraId="7BDD9B5C" w14:textId="77777777" w:rsidR="0081022C" w:rsidRPr="00C23F94" w:rsidRDefault="0081022C" w:rsidP="00C23F94">
            <w:pPr>
              <w:suppressAutoHyphens w:val="0"/>
              <w:spacing w:before="40" w:after="40" w:line="220" w:lineRule="exact"/>
              <w:jc w:val="right"/>
              <w:rPr>
                <w:sz w:val="18"/>
              </w:rPr>
            </w:pPr>
            <w:r w:rsidRPr="00C23F94">
              <w:rPr>
                <w:sz w:val="18"/>
                <w:lang w:val="fr-FR"/>
              </w:rPr>
              <w:t>4</w:t>
            </w:r>
          </w:p>
        </w:tc>
        <w:tc>
          <w:tcPr>
            <w:tcW w:w="1615" w:type="dxa"/>
            <w:shd w:val="clear" w:color="auto" w:fill="auto"/>
            <w:noWrap/>
            <w:vAlign w:val="bottom"/>
            <w:hideMark/>
          </w:tcPr>
          <w:p w14:paraId="7F9E20B6" w14:textId="77777777" w:rsidR="0081022C" w:rsidRPr="00C23F94" w:rsidRDefault="0081022C" w:rsidP="00C23F94">
            <w:pPr>
              <w:suppressAutoHyphens w:val="0"/>
              <w:spacing w:before="40" w:after="40" w:line="220" w:lineRule="exact"/>
              <w:jc w:val="right"/>
              <w:rPr>
                <w:sz w:val="18"/>
              </w:rPr>
            </w:pPr>
            <w:r w:rsidRPr="00C23F94">
              <w:rPr>
                <w:sz w:val="18"/>
                <w:lang w:val="fr-FR"/>
              </w:rPr>
              <w:t>10</w:t>
            </w:r>
          </w:p>
        </w:tc>
      </w:tr>
      <w:tr w:rsidR="0081022C" w:rsidRPr="00C23F94" w14:paraId="207FAAC6" w14:textId="77777777" w:rsidTr="00C23F94">
        <w:tc>
          <w:tcPr>
            <w:tcW w:w="2525" w:type="dxa"/>
            <w:shd w:val="clear" w:color="auto" w:fill="auto"/>
            <w:noWrap/>
            <w:hideMark/>
          </w:tcPr>
          <w:p w14:paraId="463B8EA3" w14:textId="77777777" w:rsidR="0081022C" w:rsidRPr="00C23F94" w:rsidRDefault="0081022C" w:rsidP="00C23F94">
            <w:pPr>
              <w:suppressAutoHyphens w:val="0"/>
              <w:spacing w:before="40" w:after="40" w:line="220" w:lineRule="exact"/>
              <w:rPr>
                <w:sz w:val="18"/>
              </w:rPr>
            </w:pPr>
            <w:r w:rsidRPr="00C23F94">
              <w:rPr>
                <w:sz w:val="18"/>
                <w:lang w:val="fr-FR"/>
              </w:rPr>
              <w:t>Oruro</w:t>
            </w:r>
          </w:p>
        </w:tc>
        <w:tc>
          <w:tcPr>
            <w:tcW w:w="1615" w:type="dxa"/>
            <w:shd w:val="clear" w:color="auto" w:fill="auto"/>
            <w:noWrap/>
            <w:vAlign w:val="bottom"/>
            <w:hideMark/>
          </w:tcPr>
          <w:p w14:paraId="75DBD675" w14:textId="77777777" w:rsidR="0081022C" w:rsidRPr="00C23F94" w:rsidRDefault="0081022C" w:rsidP="00C23F94">
            <w:pPr>
              <w:suppressAutoHyphens w:val="0"/>
              <w:spacing w:before="40" w:after="40" w:line="220" w:lineRule="exact"/>
              <w:jc w:val="right"/>
              <w:rPr>
                <w:sz w:val="18"/>
              </w:rPr>
            </w:pPr>
            <w:r w:rsidRPr="00C23F94">
              <w:rPr>
                <w:sz w:val="18"/>
                <w:lang w:val="fr-FR"/>
              </w:rPr>
              <w:t>41</w:t>
            </w:r>
          </w:p>
        </w:tc>
        <w:tc>
          <w:tcPr>
            <w:tcW w:w="1615" w:type="dxa"/>
            <w:shd w:val="clear" w:color="auto" w:fill="auto"/>
            <w:noWrap/>
            <w:vAlign w:val="bottom"/>
            <w:hideMark/>
          </w:tcPr>
          <w:p w14:paraId="0DBF3F24" w14:textId="77777777" w:rsidR="0081022C" w:rsidRPr="00C23F94" w:rsidRDefault="0081022C" w:rsidP="00C23F94">
            <w:pPr>
              <w:suppressAutoHyphens w:val="0"/>
              <w:spacing w:before="40" w:after="40" w:line="220" w:lineRule="exact"/>
              <w:jc w:val="right"/>
              <w:rPr>
                <w:sz w:val="18"/>
              </w:rPr>
            </w:pPr>
            <w:r w:rsidRPr="00C23F94">
              <w:rPr>
                <w:sz w:val="18"/>
                <w:lang w:val="fr-FR"/>
              </w:rPr>
              <w:t>6</w:t>
            </w:r>
          </w:p>
        </w:tc>
        <w:tc>
          <w:tcPr>
            <w:tcW w:w="1615" w:type="dxa"/>
            <w:shd w:val="clear" w:color="auto" w:fill="auto"/>
            <w:noWrap/>
            <w:vAlign w:val="bottom"/>
            <w:hideMark/>
          </w:tcPr>
          <w:p w14:paraId="7CE60CA2" w14:textId="77777777" w:rsidR="0081022C" w:rsidRPr="00C23F94" w:rsidRDefault="0081022C" w:rsidP="00C23F94">
            <w:pPr>
              <w:suppressAutoHyphens w:val="0"/>
              <w:spacing w:before="40" w:after="40" w:line="220" w:lineRule="exact"/>
              <w:jc w:val="right"/>
              <w:rPr>
                <w:sz w:val="18"/>
              </w:rPr>
            </w:pPr>
            <w:r w:rsidRPr="00C23F94">
              <w:rPr>
                <w:sz w:val="18"/>
                <w:lang w:val="fr-FR"/>
              </w:rPr>
              <w:t>8</w:t>
            </w:r>
          </w:p>
        </w:tc>
      </w:tr>
      <w:tr w:rsidR="0081022C" w:rsidRPr="00C23F94" w14:paraId="3F2ECB11" w14:textId="77777777" w:rsidTr="00C23F94">
        <w:tc>
          <w:tcPr>
            <w:tcW w:w="2525" w:type="dxa"/>
            <w:shd w:val="clear" w:color="auto" w:fill="auto"/>
            <w:noWrap/>
            <w:hideMark/>
          </w:tcPr>
          <w:p w14:paraId="5CC73496" w14:textId="77777777" w:rsidR="0081022C" w:rsidRPr="00C23F94" w:rsidRDefault="0081022C" w:rsidP="00C23F94">
            <w:pPr>
              <w:suppressAutoHyphens w:val="0"/>
              <w:spacing w:before="40" w:after="40" w:line="220" w:lineRule="exact"/>
              <w:rPr>
                <w:sz w:val="18"/>
              </w:rPr>
            </w:pPr>
            <w:r w:rsidRPr="00C23F94">
              <w:rPr>
                <w:sz w:val="18"/>
                <w:lang w:val="fr-FR"/>
              </w:rPr>
              <w:t>Tarija</w:t>
            </w:r>
          </w:p>
        </w:tc>
        <w:tc>
          <w:tcPr>
            <w:tcW w:w="1615" w:type="dxa"/>
            <w:shd w:val="clear" w:color="auto" w:fill="auto"/>
            <w:noWrap/>
            <w:vAlign w:val="bottom"/>
            <w:hideMark/>
          </w:tcPr>
          <w:p w14:paraId="61394358" w14:textId="77777777" w:rsidR="0081022C" w:rsidRPr="00C23F94" w:rsidRDefault="0081022C" w:rsidP="00C23F94">
            <w:pPr>
              <w:suppressAutoHyphens w:val="0"/>
              <w:spacing w:before="40" w:after="40" w:line="220" w:lineRule="exact"/>
              <w:jc w:val="right"/>
              <w:rPr>
                <w:sz w:val="18"/>
              </w:rPr>
            </w:pPr>
            <w:r w:rsidRPr="00C23F94">
              <w:rPr>
                <w:sz w:val="18"/>
                <w:lang w:val="fr-FR"/>
              </w:rPr>
              <w:t>23</w:t>
            </w:r>
          </w:p>
        </w:tc>
        <w:tc>
          <w:tcPr>
            <w:tcW w:w="1615" w:type="dxa"/>
            <w:shd w:val="clear" w:color="auto" w:fill="auto"/>
            <w:noWrap/>
            <w:vAlign w:val="bottom"/>
            <w:hideMark/>
          </w:tcPr>
          <w:p w14:paraId="6CD9738A" w14:textId="77777777" w:rsidR="0081022C" w:rsidRPr="00C23F94" w:rsidRDefault="0081022C" w:rsidP="00C23F94">
            <w:pPr>
              <w:suppressAutoHyphens w:val="0"/>
              <w:spacing w:before="40" w:after="40" w:line="220" w:lineRule="exact"/>
              <w:jc w:val="right"/>
              <w:rPr>
                <w:sz w:val="18"/>
              </w:rPr>
            </w:pPr>
            <w:r w:rsidRPr="00C23F94">
              <w:rPr>
                <w:sz w:val="18"/>
                <w:lang w:val="fr-FR"/>
              </w:rPr>
              <w:t>15</w:t>
            </w:r>
          </w:p>
        </w:tc>
        <w:tc>
          <w:tcPr>
            <w:tcW w:w="1615" w:type="dxa"/>
            <w:shd w:val="clear" w:color="auto" w:fill="auto"/>
            <w:noWrap/>
            <w:vAlign w:val="bottom"/>
            <w:hideMark/>
          </w:tcPr>
          <w:p w14:paraId="6D32568A" w14:textId="77777777" w:rsidR="0081022C" w:rsidRPr="00C23F94" w:rsidRDefault="0081022C" w:rsidP="00C23F94">
            <w:pPr>
              <w:suppressAutoHyphens w:val="0"/>
              <w:spacing w:before="40" w:after="40" w:line="220" w:lineRule="exact"/>
              <w:jc w:val="right"/>
              <w:rPr>
                <w:sz w:val="18"/>
              </w:rPr>
            </w:pPr>
            <w:r w:rsidRPr="00C23F94">
              <w:rPr>
                <w:sz w:val="18"/>
                <w:lang w:val="fr-FR"/>
              </w:rPr>
              <w:t>7</w:t>
            </w:r>
          </w:p>
        </w:tc>
      </w:tr>
      <w:tr w:rsidR="0081022C" w:rsidRPr="00C23F94" w14:paraId="40CC81BF" w14:textId="77777777" w:rsidTr="00C23F94">
        <w:tc>
          <w:tcPr>
            <w:tcW w:w="2525" w:type="dxa"/>
            <w:shd w:val="clear" w:color="auto" w:fill="auto"/>
            <w:noWrap/>
            <w:hideMark/>
          </w:tcPr>
          <w:p w14:paraId="01312A6A" w14:textId="77777777" w:rsidR="0081022C" w:rsidRPr="00C23F94" w:rsidRDefault="0081022C" w:rsidP="00C23F94">
            <w:pPr>
              <w:suppressAutoHyphens w:val="0"/>
              <w:spacing w:before="40" w:after="40" w:line="220" w:lineRule="exact"/>
              <w:rPr>
                <w:sz w:val="18"/>
              </w:rPr>
            </w:pPr>
            <w:r w:rsidRPr="00C23F94">
              <w:rPr>
                <w:sz w:val="18"/>
                <w:lang w:val="fr-FR"/>
              </w:rPr>
              <w:t>Chuquisaca</w:t>
            </w:r>
          </w:p>
        </w:tc>
        <w:tc>
          <w:tcPr>
            <w:tcW w:w="1615" w:type="dxa"/>
            <w:shd w:val="clear" w:color="auto" w:fill="auto"/>
            <w:noWrap/>
            <w:vAlign w:val="bottom"/>
            <w:hideMark/>
          </w:tcPr>
          <w:p w14:paraId="5634D2D0" w14:textId="77777777" w:rsidR="0081022C" w:rsidRPr="00C23F94" w:rsidRDefault="0081022C" w:rsidP="00C23F94">
            <w:pPr>
              <w:suppressAutoHyphens w:val="0"/>
              <w:spacing w:before="40" w:after="40" w:line="220" w:lineRule="exact"/>
              <w:jc w:val="right"/>
              <w:rPr>
                <w:sz w:val="18"/>
              </w:rPr>
            </w:pPr>
            <w:r w:rsidRPr="00C23F94">
              <w:rPr>
                <w:sz w:val="18"/>
                <w:lang w:val="fr-FR"/>
              </w:rPr>
              <w:t>5</w:t>
            </w:r>
          </w:p>
        </w:tc>
        <w:tc>
          <w:tcPr>
            <w:tcW w:w="1615" w:type="dxa"/>
            <w:shd w:val="clear" w:color="auto" w:fill="auto"/>
            <w:noWrap/>
            <w:vAlign w:val="bottom"/>
            <w:hideMark/>
          </w:tcPr>
          <w:p w14:paraId="43885925" w14:textId="77777777" w:rsidR="0081022C" w:rsidRPr="00C23F94" w:rsidRDefault="0081022C" w:rsidP="00C23F94">
            <w:pPr>
              <w:suppressAutoHyphens w:val="0"/>
              <w:spacing w:before="40" w:after="40" w:line="220" w:lineRule="exact"/>
              <w:jc w:val="right"/>
              <w:rPr>
                <w:sz w:val="18"/>
              </w:rPr>
            </w:pPr>
            <w:r w:rsidRPr="00C23F94">
              <w:rPr>
                <w:sz w:val="18"/>
                <w:lang w:val="fr-FR"/>
              </w:rPr>
              <w:t>4</w:t>
            </w:r>
          </w:p>
        </w:tc>
        <w:tc>
          <w:tcPr>
            <w:tcW w:w="1615" w:type="dxa"/>
            <w:shd w:val="clear" w:color="auto" w:fill="auto"/>
            <w:noWrap/>
            <w:vAlign w:val="bottom"/>
            <w:hideMark/>
          </w:tcPr>
          <w:p w14:paraId="60D0AEBD" w14:textId="77777777" w:rsidR="0081022C" w:rsidRPr="00C23F94" w:rsidRDefault="0081022C" w:rsidP="00C23F94">
            <w:pPr>
              <w:suppressAutoHyphens w:val="0"/>
              <w:spacing w:before="40" w:after="40" w:line="220" w:lineRule="exact"/>
              <w:jc w:val="right"/>
              <w:rPr>
                <w:sz w:val="18"/>
              </w:rPr>
            </w:pPr>
            <w:r w:rsidRPr="00C23F94">
              <w:rPr>
                <w:sz w:val="18"/>
                <w:lang w:val="fr-FR"/>
              </w:rPr>
              <w:t>7</w:t>
            </w:r>
          </w:p>
        </w:tc>
      </w:tr>
      <w:tr w:rsidR="0081022C" w:rsidRPr="00C23F94" w14:paraId="5633EDB4" w14:textId="77777777" w:rsidTr="00C23F94">
        <w:tc>
          <w:tcPr>
            <w:tcW w:w="2525" w:type="dxa"/>
            <w:shd w:val="clear" w:color="auto" w:fill="auto"/>
            <w:noWrap/>
            <w:hideMark/>
          </w:tcPr>
          <w:p w14:paraId="009A443F" w14:textId="77777777" w:rsidR="0081022C" w:rsidRPr="00C23F94" w:rsidRDefault="0081022C" w:rsidP="00C23F94">
            <w:pPr>
              <w:suppressAutoHyphens w:val="0"/>
              <w:spacing w:before="40" w:after="40" w:line="220" w:lineRule="exact"/>
              <w:rPr>
                <w:sz w:val="18"/>
              </w:rPr>
            </w:pPr>
            <w:r w:rsidRPr="00C23F94">
              <w:rPr>
                <w:sz w:val="18"/>
                <w:lang w:val="fr-FR"/>
              </w:rPr>
              <w:t>Potosí</w:t>
            </w:r>
          </w:p>
        </w:tc>
        <w:tc>
          <w:tcPr>
            <w:tcW w:w="1615" w:type="dxa"/>
            <w:shd w:val="clear" w:color="auto" w:fill="auto"/>
            <w:noWrap/>
            <w:vAlign w:val="bottom"/>
            <w:hideMark/>
          </w:tcPr>
          <w:p w14:paraId="3938DFC8" w14:textId="77777777" w:rsidR="0081022C" w:rsidRPr="00C23F94" w:rsidRDefault="0081022C" w:rsidP="00C23F94">
            <w:pPr>
              <w:suppressAutoHyphens w:val="0"/>
              <w:spacing w:before="40" w:after="40" w:line="220" w:lineRule="exact"/>
              <w:jc w:val="right"/>
              <w:rPr>
                <w:sz w:val="18"/>
              </w:rPr>
            </w:pPr>
            <w:r w:rsidRPr="00C23F94">
              <w:rPr>
                <w:sz w:val="18"/>
                <w:lang w:val="fr-FR"/>
              </w:rPr>
              <w:t>17</w:t>
            </w:r>
          </w:p>
        </w:tc>
        <w:tc>
          <w:tcPr>
            <w:tcW w:w="1615" w:type="dxa"/>
            <w:shd w:val="clear" w:color="auto" w:fill="auto"/>
            <w:noWrap/>
            <w:vAlign w:val="bottom"/>
            <w:hideMark/>
          </w:tcPr>
          <w:p w14:paraId="55EDCCA7" w14:textId="77777777" w:rsidR="0081022C" w:rsidRPr="00C23F94" w:rsidRDefault="0081022C" w:rsidP="00C23F94">
            <w:pPr>
              <w:suppressAutoHyphens w:val="0"/>
              <w:spacing w:before="40" w:after="40" w:line="220" w:lineRule="exact"/>
              <w:jc w:val="right"/>
              <w:rPr>
                <w:sz w:val="18"/>
              </w:rPr>
            </w:pPr>
            <w:r w:rsidRPr="00C23F94">
              <w:rPr>
                <w:sz w:val="18"/>
                <w:lang w:val="fr-FR"/>
              </w:rPr>
              <w:t>4</w:t>
            </w:r>
          </w:p>
        </w:tc>
        <w:tc>
          <w:tcPr>
            <w:tcW w:w="1615" w:type="dxa"/>
            <w:shd w:val="clear" w:color="auto" w:fill="auto"/>
            <w:noWrap/>
            <w:vAlign w:val="bottom"/>
            <w:hideMark/>
          </w:tcPr>
          <w:p w14:paraId="1ED11589" w14:textId="77777777" w:rsidR="0081022C" w:rsidRPr="00C23F94" w:rsidRDefault="0081022C" w:rsidP="00C23F94">
            <w:pPr>
              <w:suppressAutoHyphens w:val="0"/>
              <w:spacing w:before="40" w:after="40" w:line="220" w:lineRule="exact"/>
              <w:jc w:val="right"/>
              <w:rPr>
                <w:sz w:val="18"/>
              </w:rPr>
            </w:pPr>
            <w:r w:rsidRPr="00C23F94">
              <w:rPr>
                <w:sz w:val="18"/>
                <w:lang w:val="fr-FR"/>
              </w:rPr>
              <w:t>5</w:t>
            </w:r>
          </w:p>
        </w:tc>
      </w:tr>
      <w:tr w:rsidR="0081022C" w:rsidRPr="00C23F94" w14:paraId="58020487" w14:textId="77777777" w:rsidTr="00C23F94">
        <w:tc>
          <w:tcPr>
            <w:tcW w:w="2525" w:type="dxa"/>
            <w:tcBorders>
              <w:bottom w:val="single" w:sz="4" w:space="0" w:color="auto"/>
            </w:tcBorders>
            <w:shd w:val="clear" w:color="auto" w:fill="auto"/>
            <w:noWrap/>
            <w:hideMark/>
          </w:tcPr>
          <w:p w14:paraId="2132F06E" w14:textId="77777777" w:rsidR="0081022C" w:rsidRPr="00C23F94" w:rsidRDefault="0081022C" w:rsidP="00C23F94">
            <w:pPr>
              <w:suppressAutoHyphens w:val="0"/>
              <w:spacing w:before="40" w:after="40" w:line="220" w:lineRule="exact"/>
              <w:rPr>
                <w:sz w:val="18"/>
              </w:rPr>
            </w:pPr>
            <w:r w:rsidRPr="00C23F94">
              <w:rPr>
                <w:sz w:val="18"/>
                <w:lang w:val="fr-FR"/>
              </w:rPr>
              <w:t>Pando</w:t>
            </w:r>
          </w:p>
        </w:tc>
        <w:tc>
          <w:tcPr>
            <w:tcW w:w="1615" w:type="dxa"/>
            <w:tcBorders>
              <w:bottom w:val="single" w:sz="4" w:space="0" w:color="auto"/>
            </w:tcBorders>
            <w:shd w:val="clear" w:color="auto" w:fill="auto"/>
            <w:noWrap/>
            <w:vAlign w:val="bottom"/>
            <w:hideMark/>
          </w:tcPr>
          <w:p w14:paraId="3A3E5DDD" w14:textId="77777777" w:rsidR="0081022C" w:rsidRPr="00C23F94" w:rsidRDefault="0081022C" w:rsidP="00C23F94">
            <w:pPr>
              <w:suppressAutoHyphens w:val="0"/>
              <w:spacing w:before="40" w:after="40" w:line="220" w:lineRule="exact"/>
              <w:jc w:val="right"/>
              <w:rPr>
                <w:sz w:val="18"/>
              </w:rPr>
            </w:pPr>
            <w:r w:rsidRPr="00C23F94">
              <w:rPr>
                <w:sz w:val="18"/>
                <w:lang w:val="fr-FR"/>
              </w:rPr>
              <w:t>4</w:t>
            </w:r>
          </w:p>
        </w:tc>
        <w:tc>
          <w:tcPr>
            <w:tcW w:w="1615" w:type="dxa"/>
            <w:tcBorders>
              <w:bottom w:val="single" w:sz="4" w:space="0" w:color="auto"/>
            </w:tcBorders>
            <w:shd w:val="clear" w:color="auto" w:fill="auto"/>
            <w:noWrap/>
            <w:vAlign w:val="bottom"/>
            <w:hideMark/>
          </w:tcPr>
          <w:p w14:paraId="05A3C014" w14:textId="77777777" w:rsidR="0081022C" w:rsidRPr="00C23F94" w:rsidRDefault="0081022C" w:rsidP="00C23F94">
            <w:pPr>
              <w:suppressAutoHyphens w:val="0"/>
              <w:spacing w:before="40" w:after="40" w:line="220" w:lineRule="exact"/>
              <w:jc w:val="right"/>
              <w:rPr>
                <w:sz w:val="18"/>
              </w:rPr>
            </w:pPr>
            <w:r w:rsidRPr="00C23F94">
              <w:rPr>
                <w:sz w:val="18"/>
                <w:lang w:val="fr-FR"/>
              </w:rPr>
              <w:t>6</w:t>
            </w:r>
          </w:p>
        </w:tc>
        <w:tc>
          <w:tcPr>
            <w:tcW w:w="1615" w:type="dxa"/>
            <w:tcBorders>
              <w:bottom w:val="single" w:sz="4" w:space="0" w:color="auto"/>
            </w:tcBorders>
            <w:shd w:val="clear" w:color="auto" w:fill="auto"/>
            <w:noWrap/>
            <w:vAlign w:val="bottom"/>
            <w:hideMark/>
          </w:tcPr>
          <w:p w14:paraId="760C7C1B" w14:textId="77777777" w:rsidR="0081022C" w:rsidRPr="00C23F94" w:rsidRDefault="0081022C" w:rsidP="00C23F94">
            <w:pPr>
              <w:suppressAutoHyphens w:val="0"/>
              <w:spacing w:before="40" w:after="40" w:line="220" w:lineRule="exact"/>
              <w:jc w:val="right"/>
              <w:rPr>
                <w:sz w:val="18"/>
              </w:rPr>
            </w:pPr>
            <w:r w:rsidRPr="00C23F94">
              <w:rPr>
                <w:sz w:val="18"/>
                <w:lang w:val="fr-FR"/>
              </w:rPr>
              <w:t>1</w:t>
            </w:r>
          </w:p>
        </w:tc>
      </w:tr>
      <w:tr w:rsidR="0081022C" w:rsidRPr="00C23F94" w14:paraId="74C02758" w14:textId="77777777" w:rsidTr="00C23F94">
        <w:tc>
          <w:tcPr>
            <w:tcW w:w="2525" w:type="dxa"/>
            <w:tcBorders>
              <w:top w:val="single" w:sz="4" w:space="0" w:color="auto"/>
              <w:bottom w:val="single" w:sz="12" w:space="0" w:color="auto"/>
            </w:tcBorders>
            <w:shd w:val="clear" w:color="auto" w:fill="auto"/>
            <w:noWrap/>
            <w:hideMark/>
          </w:tcPr>
          <w:p w14:paraId="60749E76" w14:textId="77777777" w:rsidR="0081022C" w:rsidRPr="00C23F94" w:rsidRDefault="0081022C" w:rsidP="00C23F94">
            <w:pPr>
              <w:suppressAutoHyphens w:val="0"/>
              <w:spacing w:before="80" w:after="80" w:line="220" w:lineRule="exact"/>
              <w:ind w:left="283"/>
              <w:rPr>
                <w:b/>
                <w:sz w:val="18"/>
              </w:rPr>
            </w:pPr>
            <w:r w:rsidRPr="00C23F94">
              <w:rPr>
                <w:b/>
                <w:sz w:val="18"/>
                <w:lang w:val="fr-FR"/>
              </w:rPr>
              <w:t>Total</w:t>
            </w:r>
          </w:p>
        </w:tc>
        <w:tc>
          <w:tcPr>
            <w:tcW w:w="1615" w:type="dxa"/>
            <w:tcBorders>
              <w:top w:val="single" w:sz="4" w:space="0" w:color="auto"/>
              <w:bottom w:val="single" w:sz="12" w:space="0" w:color="auto"/>
            </w:tcBorders>
            <w:shd w:val="clear" w:color="auto" w:fill="auto"/>
            <w:noWrap/>
            <w:vAlign w:val="bottom"/>
            <w:hideMark/>
          </w:tcPr>
          <w:p w14:paraId="74EFF286" w14:textId="77777777" w:rsidR="0081022C" w:rsidRPr="00C23F94" w:rsidRDefault="0081022C" w:rsidP="00C23F94">
            <w:pPr>
              <w:suppressAutoHyphens w:val="0"/>
              <w:spacing w:before="80" w:after="80" w:line="220" w:lineRule="exact"/>
              <w:jc w:val="right"/>
              <w:rPr>
                <w:b/>
                <w:sz w:val="18"/>
              </w:rPr>
            </w:pPr>
            <w:r w:rsidRPr="00C23F94">
              <w:rPr>
                <w:b/>
                <w:sz w:val="18"/>
                <w:lang w:val="fr-FR"/>
              </w:rPr>
              <w:t>373</w:t>
            </w:r>
          </w:p>
        </w:tc>
        <w:tc>
          <w:tcPr>
            <w:tcW w:w="1615" w:type="dxa"/>
            <w:tcBorders>
              <w:top w:val="single" w:sz="4" w:space="0" w:color="auto"/>
              <w:bottom w:val="single" w:sz="12" w:space="0" w:color="auto"/>
            </w:tcBorders>
            <w:shd w:val="clear" w:color="auto" w:fill="auto"/>
            <w:noWrap/>
            <w:vAlign w:val="bottom"/>
            <w:hideMark/>
          </w:tcPr>
          <w:p w14:paraId="343800D5" w14:textId="77777777" w:rsidR="0081022C" w:rsidRPr="00C23F94" w:rsidRDefault="0081022C" w:rsidP="00C23F94">
            <w:pPr>
              <w:suppressAutoHyphens w:val="0"/>
              <w:spacing w:before="80" w:after="80" w:line="220" w:lineRule="exact"/>
              <w:jc w:val="right"/>
              <w:rPr>
                <w:b/>
                <w:sz w:val="18"/>
              </w:rPr>
            </w:pPr>
            <w:r w:rsidRPr="00C23F94">
              <w:rPr>
                <w:b/>
                <w:sz w:val="18"/>
                <w:lang w:val="fr-FR"/>
              </w:rPr>
              <w:t>305</w:t>
            </w:r>
          </w:p>
        </w:tc>
        <w:tc>
          <w:tcPr>
            <w:tcW w:w="1615" w:type="dxa"/>
            <w:tcBorders>
              <w:top w:val="single" w:sz="4" w:space="0" w:color="auto"/>
              <w:bottom w:val="single" w:sz="12" w:space="0" w:color="auto"/>
            </w:tcBorders>
            <w:shd w:val="clear" w:color="auto" w:fill="auto"/>
            <w:noWrap/>
            <w:vAlign w:val="bottom"/>
            <w:hideMark/>
          </w:tcPr>
          <w:p w14:paraId="6384B27C" w14:textId="77777777" w:rsidR="0081022C" w:rsidRPr="00C23F94" w:rsidRDefault="0081022C" w:rsidP="00C23F94">
            <w:pPr>
              <w:suppressAutoHyphens w:val="0"/>
              <w:spacing w:before="80" w:after="80" w:line="220" w:lineRule="exact"/>
              <w:jc w:val="right"/>
              <w:rPr>
                <w:b/>
                <w:sz w:val="18"/>
              </w:rPr>
            </w:pPr>
            <w:r w:rsidRPr="00C23F94">
              <w:rPr>
                <w:b/>
                <w:sz w:val="18"/>
                <w:lang w:val="fr-FR"/>
              </w:rPr>
              <w:t>289</w:t>
            </w:r>
          </w:p>
        </w:tc>
      </w:tr>
    </w:tbl>
    <w:p w14:paraId="0AB2552E" w14:textId="278A9B13" w:rsidR="0081022C" w:rsidRPr="00C23F94" w:rsidRDefault="0081022C" w:rsidP="00C23F94">
      <w:pPr>
        <w:pStyle w:val="SingleTxtG"/>
        <w:spacing w:before="120" w:after="240"/>
        <w:ind w:firstLine="170"/>
        <w:rPr>
          <w:sz w:val="18"/>
          <w:szCs w:val="18"/>
        </w:rPr>
      </w:pPr>
      <w:r w:rsidRPr="00C23F94">
        <w:rPr>
          <w:i/>
          <w:iCs/>
          <w:sz w:val="18"/>
          <w:szCs w:val="18"/>
          <w:lang w:val="fr-FR"/>
        </w:rPr>
        <w:t>Source</w:t>
      </w:r>
      <w:r w:rsidRPr="00C23F94">
        <w:rPr>
          <w:sz w:val="18"/>
          <w:szCs w:val="18"/>
          <w:lang w:val="fr-FR"/>
        </w:rPr>
        <w:t xml:space="preserve"> : </w:t>
      </w:r>
      <w:r w:rsidRPr="00C23F94">
        <w:rPr>
          <w:caps/>
          <w:sz w:val="18"/>
          <w:szCs w:val="18"/>
          <w:lang w:val="fr-FR"/>
        </w:rPr>
        <w:t>é</w:t>
      </w:r>
      <w:r w:rsidRPr="00C23F94">
        <w:rPr>
          <w:sz w:val="18"/>
          <w:szCs w:val="18"/>
          <w:lang w:val="fr-FR"/>
        </w:rPr>
        <w:t>laboré en août 2021 par l’Observatoire bolivien de la sécurité publique et de la lutte contre les drogues, sur la base des informations fournies par la police bolivienne</w:t>
      </w:r>
      <w:r w:rsidR="00C23F94">
        <w:rPr>
          <w:sz w:val="18"/>
          <w:szCs w:val="18"/>
          <w:lang w:val="fr-FR"/>
        </w:rPr>
        <w:t>.</w:t>
      </w:r>
    </w:p>
    <w:p w14:paraId="767A8313" w14:textId="18719AB5" w:rsidR="0081022C" w:rsidRPr="00B54D3D" w:rsidRDefault="0081022C" w:rsidP="00C23F94">
      <w:pPr>
        <w:pStyle w:val="H23G"/>
        <w:rPr>
          <w:rFonts w:eastAsia="Calibri"/>
        </w:rPr>
      </w:pPr>
      <w:r>
        <w:rPr>
          <w:lang w:val="fr-FR"/>
        </w:rPr>
        <w:tab/>
      </w:r>
      <w:r>
        <w:rPr>
          <w:lang w:val="fr-FR"/>
        </w:rPr>
        <w:tab/>
        <w:t>Nombre de plaintes pour traite d’êtres humains (2019-2021</w:t>
      </w:r>
      <w:r w:rsidR="007B66BA">
        <w:rPr>
          <w:lang w:val="fr-FR"/>
        </w:rPr>
        <w:t>)</w:t>
      </w:r>
      <w:r w:rsidR="007B66BA">
        <w:rPr>
          <w:b w:val="0"/>
          <w:bCs/>
          <w:lang w:val="fr-FR"/>
        </w:rPr>
        <w:t xml:space="preserve"> </w:t>
      </w:r>
      <w:r w:rsidR="007B66BA">
        <w:rPr>
          <w:b w:val="0"/>
          <w:bCs/>
          <w:lang w:val="fr-FR"/>
        </w:rPr>
        <w:br/>
      </w:r>
      <w:r w:rsidR="007B66BA" w:rsidRPr="007B66BA">
        <w:rPr>
          <w:b w:val="0"/>
          <w:bCs/>
          <w:sz w:val="18"/>
          <w:szCs w:val="18"/>
          <w:lang w:val="fr-FR"/>
        </w:rPr>
        <w:t>(</w:t>
      </w:r>
      <w:r w:rsidR="00C23F94" w:rsidRPr="007B66BA">
        <w:rPr>
          <w:b w:val="0"/>
          <w:bCs/>
          <w:sz w:val="18"/>
          <w:szCs w:val="18"/>
          <w:lang w:val="fr-FR"/>
        </w:rPr>
        <w:t>E</w:t>
      </w:r>
      <w:r w:rsidRPr="007B66BA">
        <w:rPr>
          <w:b w:val="0"/>
          <w:bCs/>
          <w:sz w:val="18"/>
          <w:szCs w:val="18"/>
          <w:lang w:val="fr-FR"/>
        </w:rPr>
        <w:t>n pourcentage)</w:t>
      </w:r>
      <w:bookmarkStart w:id="4" w:name="_Hlk93483655"/>
    </w:p>
    <w:bookmarkEnd w:id="4"/>
    <w:p w14:paraId="5503670A" w14:textId="77777777" w:rsidR="0081022C" w:rsidRDefault="0081022C" w:rsidP="0081022C">
      <w:pPr>
        <w:pStyle w:val="SingleTxtG"/>
        <w:rPr>
          <w:sz w:val="18"/>
          <w:szCs w:val="18"/>
          <w:lang w:eastAsia="es-BO"/>
        </w:rPr>
      </w:pPr>
      <w:r w:rsidRPr="001F15B5">
        <w:rPr>
          <w:noProof/>
          <w:lang w:val="en-GB" w:eastAsia="en-GB"/>
        </w:rPr>
        <w:drawing>
          <wp:inline distT="0" distB="0" distL="0" distR="0" wp14:anchorId="0683DD2E" wp14:editId="0BC8DCC5">
            <wp:extent cx="5129759" cy="1489116"/>
            <wp:effectExtent l="19050" t="19050" r="13970" b="158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026" r="1326" b="831"/>
                    <a:stretch/>
                  </pic:blipFill>
                  <pic:spPr bwMode="auto">
                    <a:xfrm>
                      <a:off x="0" y="0"/>
                      <a:ext cx="5158980" cy="1497599"/>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p w14:paraId="7E94BD46" w14:textId="0E8CBDA0" w:rsidR="0081022C" w:rsidRPr="00C23F94" w:rsidRDefault="0081022C" w:rsidP="00C23F94">
      <w:pPr>
        <w:pStyle w:val="SingleTxtG"/>
        <w:spacing w:before="120" w:after="240"/>
        <w:ind w:firstLine="170"/>
        <w:rPr>
          <w:sz w:val="18"/>
          <w:szCs w:val="18"/>
          <w:lang w:val="fr-FR"/>
        </w:rPr>
      </w:pPr>
      <w:r w:rsidRPr="00C23F94">
        <w:rPr>
          <w:i/>
          <w:iCs/>
          <w:sz w:val="18"/>
          <w:szCs w:val="18"/>
          <w:lang w:val="fr-FR"/>
        </w:rPr>
        <w:t>Source</w:t>
      </w:r>
      <w:r w:rsidRPr="00C23F94">
        <w:rPr>
          <w:sz w:val="18"/>
          <w:szCs w:val="18"/>
          <w:lang w:val="fr-FR"/>
        </w:rPr>
        <w:t xml:space="preserve"> : </w:t>
      </w:r>
      <w:r w:rsidR="00C23F94" w:rsidRPr="00C23F94">
        <w:rPr>
          <w:caps/>
          <w:sz w:val="18"/>
          <w:szCs w:val="18"/>
          <w:lang w:val="fr-FR"/>
        </w:rPr>
        <w:t>é</w:t>
      </w:r>
      <w:r w:rsidRPr="00C23F94">
        <w:rPr>
          <w:sz w:val="18"/>
          <w:szCs w:val="18"/>
          <w:lang w:val="fr-FR"/>
        </w:rPr>
        <w:t>laboré en août 2021 par l’Observatoire bolivien de la sécurité publique et de la lutte contre les drogues, sur la base des informations fournies par la police bolivienne</w:t>
      </w:r>
      <w:r w:rsidR="00C23F94">
        <w:rPr>
          <w:sz w:val="18"/>
          <w:szCs w:val="18"/>
          <w:lang w:val="fr-FR"/>
        </w:rPr>
        <w:t>.</w:t>
      </w:r>
    </w:p>
    <w:p w14:paraId="2B2E340C" w14:textId="77777777" w:rsidR="0081022C" w:rsidRPr="00C23F94" w:rsidRDefault="0081022C" w:rsidP="00C23F94">
      <w:pPr>
        <w:pStyle w:val="H23G"/>
        <w:rPr>
          <w:spacing w:val="-2"/>
        </w:rPr>
      </w:pPr>
      <w:r w:rsidRPr="00C23F94">
        <w:rPr>
          <w:spacing w:val="-2"/>
          <w:lang w:val="fr-FR"/>
        </w:rPr>
        <w:tab/>
      </w:r>
      <w:r w:rsidRPr="00C23F94">
        <w:rPr>
          <w:spacing w:val="-2"/>
          <w:lang w:val="fr-FR"/>
        </w:rPr>
        <w:tab/>
        <w:t>Plaintes pour traite d’êtres humains en fonction du sexe et du groupe d’âge (2019-2021)</w:t>
      </w:r>
    </w:p>
    <w:tbl>
      <w:tblPr>
        <w:tblW w:w="7370" w:type="dxa"/>
        <w:tblInd w:w="1134" w:type="dxa"/>
        <w:tblLayout w:type="fixed"/>
        <w:tblCellMar>
          <w:left w:w="0" w:type="dxa"/>
          <w:right w:w="0" w:type="dxa"/>
        </w:tblCellMar>
        <w:tblLook w:val="04A0" w:firstRow="1" w:lastRow="0" w:firstColumn="1" w:lastColumn="0" w:noHBand="0" w:noVBand="1"/>
      </w:tblPr>
      <w:tblGrid>
        <w:gridCol w:w="2622"/>
        <w:gridCol w:w="1034"/>
        <w:gridCol w:w="1238"/>
        <w:gridCol w:w="1238"/>
        <w:gridCol w:w="1238"/>
      </w:tblGrid>
      <w:tr w:rsidR="00C23F94" w:rsidRPr="00C23F94" w14:paraId="2D314F9A" w14:textId="77777777" w:rsidTr="00C23F94">
        <w:trPr>
          <w:tblHeader/>
        </w:trPr>
        <w:tc>
          <w:tcPr>
            <w:tcW w:w="2884" w:type="dxa"/>
            <w:tcBorders>
              <w:top w:val="single" w:sz="4" w:space="0" w:color="auto"/>
              <w:bottom w:val="single" w:sz="4" w:space="0" w:color="auto"/>
            </w:tcBorders>
            <w:shd w:val="clear" w:color="auto" w:fill="auto"/>
            <w:vAlign w:val="bottom"/>
            <w:hideMark/>
          </w:tcPr>
          <w:p w14:paraId="268F6F87" w14:textId="77777777" w:rsidR="0081022C" w:rsidRPr="00C23F94" w:rsidRDefault="0081022C" w:rsidP="00C23F94">
            <w:pPr>
              <w:suppressAutoHyphens w:val="0"/>
              <w:spacing w:before="80" w:after="80" w:line="200" w:lineRule="exact"/>
              <w:rPr>
                <w:i/>
                <w:sz w:val="16"/>
              </w:rPr>
            </w:pPr>
            <w:r w:rsidRPr="00C23F94">
              <w:rPr>
                <w:i/>
                <w:sz w:val="16"/>
                <w:lang w:val="fr-FR"/>
              </w:rPr>
              <w:t>Sexe et groupe d’âge</w:t>
            </w:r>
          </w:p>
        </w:tc>
        <w:tc>
          <w:tcPr>
            <w:tcW w:w="1136" w:type="dxa"/>
            <w:tcBorders>
              <w:top w:val="single" w:sz="4" w:space="0" w:color="auto"/>
              <w:bottom w:val="single" w:sz="4" w:space="0" w:color="auto"/>
            </w:tcBorders>
            <w:shd w:val="clear" w:color="auto" w:fill="auto"/>
            <w:noWrap/>
            <w:vAlign w:val="bottom"/>
            <w:hideMark/>
          </w:tcPr>
          <w:p w14:paraId="67B6463D" w14:textId="77777777" w:rsidR="0081022C" w:rsidRPr="00C23F94" w:rsidRDefault="0081022C" w:rsidP="00C23F94">
            <w:pPr>
              <w:suppressAutoHyphens w:val="0"/>
              <w:spacing w:before="80" w:after="80" w:line="200" w:lineRule="exact"/>
              <w:jc w:val="right"/>
              <w:rPr>
                <w:i/>
                <w:sz w:val="16"/>
              </w:rPr>
            </w:pPr>
            <w:r w:rsidRPr="00C23F94">
              <w:rPr>
                <w:i/>
                <w:sz w:val="16"/>
                <w:lang w:val="fr-FR"/>
              </w:rPr>
              <w:t>2019</w:t>
            </w:r>
          </w:p>
        </w:tc>
        <w:tc>
          <w:tcPr>
            <w:tcW w:w="1360" w:type="dxa"/>
            <w:tcBorders>
              <w:top w:val="single" w:sz="4" w:space="0" w:color="auto"/>
              <w:bottom w:val="single" w:sz="4" w:space="0" w:color="auto"/>
            </w:tcBorders>
            <w:shd w:val="clear" w:color="auto" w:fill="auto"/>
            <w:noWrap/>
            <w:vAlign w:val="bottom"/>
            <w:hideMark/>
          </w:tcPr>
          <w:p w14:paraId="56B174D7" w14:textId="77777777" w:rsidR="0081022C" w:rsidRPr="00C23F94" w:rsidRDefault="0081022C" w:rsidP="00C23F94">
            <w:pPr>
              <w:suppressAutoHyphens w:val="0"/>
              <w:spacing w:before="80" w:after="80" w:line="200" w:lineRule="exact"/>
              <w:jc w:val="right"/>
              <w:rPr>
                <w:i/>
                <w:sz w:val="16"/>
              </w:rPr>
            </w:pPr>
            <w:r w:rsidRPr="00C23F94">
              <w:rPr>
                <w:i/>
                <w:sz w:val="16"/>
                <w:lang w:val="fr-FR"/>
              </w:rPr>
              <w:t>2020</w:t>
            </w:r>
          </w:p>
        </w:tc>
        <w:tc>
          <w:tcPr>
            <w:tcW w:w="1360" w:type="dxa"/>
            <w:tcBorders>
              <w:top w:val="single" w:sz="4" w:space="0" w:color="auto"/>
              <w:bottom w:val="single" w:sz="4" w:space="0" w:color="auto"/>
            </w:tcBorders>
            <w:shd w:val="clear" w:color="auto" w:fill="auto"/>
            <w:noWrap/>
            <w:vAlign w:val="bottom"/>
            <w:hideMark/>
          </w:tcPr>
          <w:p w14:paraId="70DC3E69" w14:textId="77777777" w:rsidR="0081022C" w:rsidRPr="00C23F94" w:rsidRDefault="0081022C" w:rsidP="00C23F94">
            <w:pPr>
              <w:suppressAutoHyphens w:val="0"/>
              <w:spacing w:before="80" w:after="80" w:line="200" w:lineRule="exact"/>
              <w:jc w:val="right"/>
              <w:rPr>
                <w:i/>
                <w:sz w:val="16"/>
              </w:rPr>
            </w:pPr>
            <w:r w:rsidRPr="00C23F94">
              <w:rPr>
                <w:i/>
                <w:sz w:val="16"/>
                <w:lang w:val="fr-FR"/>
              </w:rPr>
              <w:t>2021*</w:t>
            </w:r>
          </w:p>
        </w:tc>
        <w:tc>
          <w:tcPr>
            <w:tcW w:w="1360" w:type="dxa"/>
            <w:tcBorders>
              <w:top w:val="single" w:sz="4" w:space="0" w:color="auto"/>
              <w:bottom w:val="single" w:sz="4" w:space="0" w:color="auto"/>
            </w:tcBorders>
            <w:shd w:val="clear" w:color="auto" w:fill="auto"/>
            <w:noWrap/>
            <w:vAlign w:val="bottom"/>
            <w:hideMark/>
          </w:tcPr>
          <w:p w14:paraId="4C5327F9" w14:textId="77777777" w:rsidR="0081022C" w:rsidRPr="00C23F94" w:rsidRDefault="0081022C" w:rsidP="00C23F94">
            <w:pPr>
              <w:suppressAutoHyphens w:val="0"/>
              <w:spacing w:before="80" w:after="80" w:line="200" w:lineRule="exact"/>
              <w:jc w:val="right"/>
              <w:rPr>
                <w:i/>
                <w:sz w:val="16"/>
              </w:rPr>
            </w:pPr>
            <w:r w:rsidRPr="00C23F94">
              <w:rPr>
                <w:i/>
                <w:sz w:val="16"/>
                <w:lang w:val="fr-FR"/>
              </w:rPr>
              <w:t>Total</w:t>
            </w:r>
          </w:p>
        </w:tc>
      </w:tr>
      <w:tr w:rsidR="0081022C" w:rsidRPr="00C23F94" w14:paraId="014510EF" w14:textId="77777777" w:rsidTr="00C23F94">
        <w:tc>
          <w:tcPr>
            <w:tcW w:w="2884" w:type="dxa"/>
            <w:tcBorders>
              <w:top w:val="single" w:sz="4" w:space="0" w:color="auto"/>
              <w:bottom w:val="single" w:sz="12" w:space="0" w:color="auto"/>
            </w:tcBorders>
            <w:shd w:val="clear" w:color="auto" w:fill="auto"/>
            <w:noWrap/>
            <w:hideMark/>
          </w:tcPr>
          <w:p w14:paraId="57C7A01C" w14:textId="77777777" w:rsidR="0081022C" w:rsidRPr="00C23F94" w:rsidRDefault="0081022C" w:rsidP="00C23F94">
            <w:pPr>
              <w:suppressAutoHyphens w:val="0"/>
              <w:spacing w:before="80" w:after="80" w:line="220" w:lineRule="exact"/>
              <w:ind w:left="283"/>
              <w:rPr>
                <w:b/>
                <w:sz w:val="18"/>
              </w:rPr>
            </w:pPr>
            <w:r w:rsidRPr="00C23F94">
              <w:rPr>
                <w:b/>
                <w:sz w:val="18"/>
                <w:lang w:val="fr-FR"/>
              </w:rPr>
              <w:t>Total</w:t>
            </w:r>
          </w:p>
        </w:tc>
        <w:tc>
          <w:tcPr>
            <w:tcW w:w="1136" w:type="dxa"/>
            <w:tcBorders>
              <w:top w:val="single" w:sz="4" w:space="0" w:color="auto"/>
              <w:bottom w:val="single" w:sz="12" w:space="0" w:color="auto"/>
            </w:tcBorders>
            <w:shd w:val="clear" w:color="auto" w:fill="auto"/>
            <w:noWrap/>
            <w:vAlign w:val="bottom"/>
            <w:hideMark/>
          </w:tcPr>
          <w:p w14:paraId="205631DC" w14:textId="77777777" w:rsidR="0081022C" w:rsidRPr="00C23F94" w:rsidRDefault="0081022C" w:rsidP="00C23F94">
            <w:pPr>
              <w:suppressAutoHyphens w:val="0"/>
              <w:spacing w:before="80" w:after="80" w:line="220" w:lineRule="exact"/>
              <w:jc w:val="right"/>
              <w:rPr>
                <w:b/>
                <w:sz w:val="18"/>
              </w:rPr>
            </w:pPr>
            <w:r w:rsidRPr="00C23F94">
              <w:rPr>
                <w:b/>
                <w:sz w:val="18"/>
                <w:lang w:val="fr-FR"/>
              </w:rPr>
              <w:t>373</w:t>
            </w:r>
          </w:p>
        </w:tc>
        <w:tc>
          <w:tcPr>
            <w:tcW w:w="1360" w:type="dxa"/>
            <w:tcBorders>
              <w:top w:val="single" w:sz="4" w:space="0" w:color="auto"/>
              <w:bottom w:val="single" w:sz="12" w:space="0" w:color="auto"/>
            </w:tcBorders>
            <w:shd w:val="clear" w:color="auto" w:fill="auto"/>
            <w:noWrap/>
            <w:vAlign w:val="bottom"/>
            <w:hideMark/>
          </w:tcPr>
          <w:p w14:paraId="25C376AD" w14:textId="77777777" w:rsidR="0081022C" w:rsidRPr="00C23F94" w:rsidRDefault="0081022C" w:rsidP="00C23F94">
            <w:pPr>
              <w:suppressAutoHyphens w:val="0"/>
              <w:spacing w:before="80" w:after="80" w:line="220" w:lineRule="exact"/>
              <w:jc w:val="right"/>
              <w:rPr>
                <w:b/>
                <w:sz w:val="18"/>
              </w:rPr>
            </w:pPr>
            <w:r w:rsidRPr="00C23F94">
              <w:rPr>
                <w:b/>
                <w:sz w:val="18"/>
                <w:lang w:val="fr-FR"/>
              </w:rPr>
              <w:t>305</w:t>
            </w:r>
          </w:p>
        </w:tc>
        <w:tc>
          <w:tcPr>
            <w:tcW w:w="1360" w:type="dxa"/>
            <w:tcBorders>
              <w:top w:val="single" w:sz="4" w:space="0" w:color="auto"/>
              <w:bottom w:val="single" w:sz="12" w:space="0" w:color="auto"/>
            </w:tcBorders>
            <w:shd w:val="clear" w:color="auto" w:fill="auto"/>
            <w:noWrap/>
            <w:vAlign w:val="bottom"/>
            <w:hideMark/>
          </w:tcPr>
          <w:p w14:paraId="56AC95B3" w14:textId="77777777" w:rsidR="0081022C" w:rsidRPr="00C23F94" w:rsidRDefault="0081022C" w:rsidP="00C23F94">
            <w:pPr>
              <w:suppressAutoHyphens w:val="0"/>
              <w:spacing w:before="80" w:after="80" w:line="220" w:lineRule="exact"/>
              <w:jc w:val="right"/>
              <w:rPr>
                <w:b/>
                <w:sz w:val="18"/>
              </w:rPr>
            </w:pPr>
            <w:r w:rsidRPr="00C23F94">
              <w:rPr>
                <w:b/>
                <w:sz w:val="18"/>
                <w:lang w:val="fr-FR"/>
              </w:rPr>
              <w:t>289</w:t>
            </w:r>
          </w:p>
        </w:tc>
        <w:tc>
          <w:tcPr>
            <w:tcW w:w="1360" w:type="dxa"/>
            <w:tcBorders>
              <w:top w:val="single" w:sz="4" w:space="0" w:color="auto"/>
              <w:bottom w:val="single" w:sz="12" w:space="0" w:color="auto"/>
            </w:tcBorders>
            <w:shd w:val="clear" w:color="auto" w:fill="auto"/>
            <w:noWrap/>
            <w:vAlign w:val="bottom"/>
            <w:hideMark/>
          </w:tcPr>
          <w:p w14:paraId="35F7DF7A" w14:textId="77777777" w:rsidR="0081022C" w:rsidRPr="00C23F94" w:rsidRDefault="0081022C" w:rsidP="00C23F94">
            <w:pPr>
              <w:suppressAutoHyphens w:val="0"/>
              <w:spacing w:before="80" w:after="80" w:line="220" w:lineRule="exact"/>
              <w:jc w:val="right"/>
              <w:rPr>
                <w:b/>
                <w:sz w:val="18"/>
              </w:rPr>
            </w:pPr>
            <w:r w:rsidRPr="00C23F94">
              <w:rPr>
                <w:b/>
                <w:sz w:val="18"/>
                <w:lang w:val="fr-FR"/>
              </w:rPr>
              <w:t>967</w:t>
            </w:r>
          </w:p>
        </w:tc>
      </w:tr>
      <w:tr w:rsidR="0081022C" w:rsidRPr="00C23F94" w14:paraId="1CD0FE50" w14:textId="77777777" w:rsidTr="00C23F94">
        <w:tc>
          <w:tcPr>
            <w:tcW w:w="2884" w:type="dxa"/>
            <w:tcBorders>
              <w:top w:val="single" w:sz="12" w:space="0" w:color="auto"/>
            </w:tcBorders>
            <w:shd w:val="clear" w:color="auto" w:fill="auto"/>
            <w:noWrap/>
            <w:hideMark/>
          </w:tcPr>
          <w:p w14:paraId="51A74A7C" w14:textId="77777777" w:rsidR="0081022C" w:rsidRPr="00C23F94" w:rsidRDefault="0081022C" w:rsidP="00C23F94">
            <w:pPr>
              <w:suppressAutoHyphens w:val="0"/>
              <w:spacing w:before="40" w:after="40" w:line="220" w:lineRule="exact"/>
              <w:rPr>
                <w:sz w:val="18"/>
              </w:rPr>
            </w:pPr>
            <w:r w:rsidRPr="00C23F94">
              <w:rPr>
                <w:sz w:val="18"/>
                <w:lang w:val="fr-FR"/>
              </w:rPr>
              <w:t>Hommes</w:t>
            </w:r>
          </w:p>
        </w:tc>
        <w:tc>
          <w:tcPr>
            <w:tcW w:w="1136" w:type="dxa"/>
            <w:tcBorders>
              <w:top w:val="single" w:sz="12" w:space="0" w:color="auto"/>
            </w:tcBorders>
            <w:shd w:val="clear" w:color="auto" w:fill="auto"/>
            <w:noWrap/>
            <w:vAlign w:val="bottom"/>
            <w:hideMark/>
          </w:tcPr>
          <w:p w14:paraId="19E15097" w14:textId="77777777" w:rsidR="0081022C" w:rsidRPr="00C23F94" w:rsidRDefault="0081022C" w:rsidP="00C23F94">
            <w:pPr>
              <w:suppressAutoHyphens w:val="0"/>
              <w:spacing w:before="40" w:after="40" w:line="220" w:lineRule="exact"/>
              <w:jc w:val="right"/>
              <w:rPr>
                <w:sz w:val="18"/>
              </w:rPr>
            </w:pPr>
            <w:r w:rsidRPr="00C23F94">
              <w:rPr>
                <w:sz w:val="18"/>
                <w:lang w:val="fr-FR"/>
              </w:rPr>
              <w:t>125</w:t>
            </w:r>
          </w:p>
        </w:tc>
        <w:tc>
          <w:tcPr>
            <w:tcW w:w="1360" w:type="dxa"/>
            <w:tcBorders>
              <w:top w:val="single" w:sz="12" w:space="0" w:color="auto"/>
            </w:tcBorders>
            <w:shd w:val="clear" w:color="auto" w:fill="auto"/>
            <w:noWrap/>
            <w:vAlign w:val="bottom"/>
            <w:hideMark/>
          </w:tcPr>
          <w:p w14:paraId="73DD721D" w14:textId="77777777" w:rsidR="0081022C" w:rsidRPr="00C23F94" w:rsidRDefault="0081022C" w:rsidP="00C23F94">
            <w:pPr>
              <w:suppressAutoHyphens w:val="0"/>
              <w:spacing w:before="40" w:after="40" w:line="220" w:lineRule="exact"/>
              <w:jc w:val="right"/>
              <w:rPr>
                <w:sz w:val="18"/>
              </w:rPr>
            </w:pPr>
            <w:r w:rsidRPr="00C23F94">
              <w:rPr>
                <w:sz w:val="18"/>
                <w:lang w:val="fr-FR"/>
              </w:rPr>
              <w:t>105</w:t>
            </w:r>
          </w:p>
        </w:tc>
        <w:tc>
          <w:tcPr>
            <w:tcW w:w="1360" w:type="dxa"/>
            <w:tcBorders>
              <w:top w:val="single" w:sz="12" w:space="0" w:color="auto"/>
            </w:tcBorders>
            <w:shd w:val="clear" w:color="auto" w:fill="auto"/>
            <w:noWrap/>
            <w:vAlign w:val="bottom"/>
            <w:hideMark/>
          </w:tcPr>
          <w:p w14:paraId="116FCAC2" w14:textId="77777777" w:rsidR="0081022C" w:rsidRPr="00C23F94" w:rsidRDefault="0081022C" w:rsidP="00C23F94">
            <w:pPr>
              <w:suppressAutoHyphens w:val="0"/>
              <w:spacing w:before="40" w:after="40" w:line="220" w:lineRule="exact"/>
              <w:jc w:val="right"/>
              <w:rPr>
                <w:sz w:val="18"/>
              </w:rPr>
            </w:pPr>
            <w:r w:rsidRPr="00C23F94">
              <w:rPr>
                <w:sz w:val="18"/>
                <w:lang w:val="fr-FR"/>
              </w:rPr>
              <w:t>109</w:t>
            </w:r>
          </w:p>
        </w:tc>
        <w:tc>
          <w:tcPr>
            <w:tcW w:w="1360" w:type="dxa"/>
            <w:tcBorders>
              <w:top w:val="single" w:sz="12" w:space="0" w:color="auto"/>
            </w:tcBorders>
            <w:shd w:val="clear" w:color="auto" w:fill="auto"/>
            <w:noWrap/>
            <w:vAlign w:val="bottom"/>
            <w:hideMark/>
          </w:tcPr>
          <w:p w14:paraId="08C230A6" w14:textId="77777777" w:rsidR="0081022C" w:rsidRPr="00C23F94" w:rsidRDefault="0081022C" w:rsidP="00C23F94">
            <w:pPr>
              <w:suppressAutoHyphens w:val="0"/>
              <w:spacing w:before="40" w:after="40" w:line="220" w:lineRule="exact"/>
              <w:jc w:val="right"/>
              <w:rPr>
                <w:sz w:val="18"/>
              </w:rPr>
            </w:pPr>
            <w:r w:rsidRPr="00C23F94">
              <w:rPr>
                <w:sz w:val="18"/>
                <w:lang w:val="fr-FR"/>
              </w:rPr>
              <w:t>339</w:t>
            </w:r>
          </w:p>
        </w:tc>
      </w:tr>
      <w:tr w:rsidR="0081022C" w:rsidRPr="00C23F94" w14:paraId="0D4C1B94" w14:textId="77777777" w:rsidTr="00C23F94">
        <w:tc>
          <w:tcPr>
            <w:tcW w:w="2884" w:type="dxa"/>
            <w:shd w:val="clear" w:color="auto" w:fill="auto"/>
            <w:noWrap/>
            <w:hideMark/>
          </w:tcPr>
          <w:p w14:paraId="18B90AC6" w14:textId="77777777" w:rsidR="0081022C" w:rsidRPr="00C23F94" w:rsidRDefault="0081022C" w:rsidP="00C23F94">
            <w:pPr>
              <w:suppressAutoHyphens w:val="0"/>
              <w:spacing w:before="40" w:after="40" w:line="220" w:lineRule="exact"/>
              <w:rPr>
                <w:sz w:val="18"/>
              </w:rPr>
            </w:pPr>
            <w:r w:rsidRPr="00C23F94">
              <w:rPr>
                <w:sz w:val="18"/>
                <w:lang w:val="fr-FR"/>
              </w:rPr>
              <w:t>1 à 10 ans</w:t>
            </w:r>
          </w:p>
        </w:tc>
        <w:tc>
          <w:tcPr>
            <w:tcW w:w="1136" w:type="dxa"/>
            <w:shd w:val="clear" w:color="auto" w:fill="auto"/>
            <w:noWrap/>
            <w:vAlign w:val="bottom"/>
            <w:hideMark/>
          </w:tcPr>
          <w:p w14:paraId="0DDEFAE4" w14:textId="77777777" w:rsidR="0081022C" w:rsidRPr="00C23F94" w:rsidRDefault="0081022C" w:rsidP="00C23F94">
            <w:pPr>
              <w:suppressAutoHyphens w:val="0"/>
              <w:spacing w:before="40" w:after="40" w:line="220" w:lineRule="exact"/>
              <w:jc w:val="right"/>
              <w:rPr>
                <w:sz w:val="18"/>
              </w:rPr>
            </w:pPr>
            <w:r w:rsidRPr="00C23F94">
              <w:rPr>
                <w:sz w:val="18"/>
                <w:lang w:val="fr-FR"/>
              </w:rPr>
              <w:t>13</w:t>
            </w:r>
          </w:p>
        </w:tc>
        <w:tc>
          <w:tcPr>
            <w:tcW w:w="1360" w:type="dxa"/>
            <w:shd w:val="clear" w:color="auto" w:fill="auto"/>
            <w:noWrap/>
            <w:vAlign w:val="bottom"/>
            <w:hideMark/>
          </w:tcPr>
          <w:p w14:paraId="3E4BAFB4" w14:textId="77777777" w:rsidR="0081022C" w:rsidRPr="00C23F94" w:rsidRDefault="0081022C" w:rsidP="00C23F94">
            <w:pPr>
              <w:suppressAutoHyphens w:val="0"/>
              <w:spacing w:before="40" w:after="40" w:line="220" w:lineRule="exact"/>
              <w:jc w:val="right"/>
              <w:rPr>
                <w:sz w:val="18"/>
              </w:rPr>
            </w:pPr>
            <w:r w:rsidRPr="00C23F94">
              <w:rPr>
                <w:sz w:val="18"/>
                <w:lang w:val="fr-FR"/>
              </w:rPr>
              <w:t>14</w:t>
            </w:r>
          </w:p>
        </w:tc>
        <w:tc>
          <w:tcPr>
            <w:tcW w:w="1360" w:type="dxa"/>
            <w:shd w:val="clear" w:color="auto" w:fill="auto"/>
            <w:noWrap/>
            <w:vAlign w:val="bottom"/>
            <w:hideMark/>
          </w:tcPr>
          <w:p w14:paraId="78A0730A" w14:textId="77777777" w:rsidR="0081022C" w:rsidRPr="00C23F94" w:rsidRDefault="0081022C" w:rsidP="00C23F94">
            <w:pPr>
              <w:suppressAutoHyphens w:val="0"/>
              <w:spacing w:before="40" w:after="40" w:line="220" w:lineRule="exact"/>
              <w:jc w:val="right"/>
              <w:rPr>
                <w:sz w:val="18"/>
              </w:rPr>
            </w:pPr>
            <w:r w:rsidRPr="00C23F94">
              <w:rPr>
                <w:sz w:val="18"/>
                <w:lang w:val="fr-FR"/>
              </w:rPr>
              <w:t>3</w:t>
            </w:r>
          </w:p>
        </w:tc>
        <w:tc>
          <w:tcPr>
            <w:tcW w:w="1360" w:type="dxa"/>
            <w:shd w:val="clear" w:color="auto" w:fill="auto"/>
            <w:noWrap/>
            <w:vAlign w:val="bottom"/>
            <w:hideMark/>
          </w:tcPr>
          <w:p w14:paraId="3E6A40FE" w14:textId="77777777" w:rsidR="0081022C" w:rsidRPr="00C23F94" w:rsidRDefault="0081022C" w:rsidP="00C23F94">
            <w:pPr>
              <w:suppressAutoHyphens w:val="0"/>
              <w:spacing w:before="40" w:after="40" w:line="220" w:lineRule="exact"/>
              <w:jc w:val="right"/>
              <w:rPr>
                <w:sz w:val="18"/>
              </w:rPr>
            </w:pPr>
            <w:r w:rsidRPr="00C23F94">
              <w:rPr>
                <w:sz w:val="18"/>
                <w:lang w:val="fr-FR"/>
              </w:rPr>
              <w:t>30</w:t>
            </w:r>
          </w:p>
        </w:tc>
      </w:tr>
      <w:tr w:rsidR="0081022C" w:rsidRPr="00C23F94" w14:paraId="6E5EEAE4" w14:textId="77777777" w:rsidTr="00C23F94">
        <w:tc>
          <w:tcPr>
            <w:tcW w:w="2884" w:type="dxa"/>
            <w:shd w:val="clear" w:color="auto" w:fill="auto"/>
            <w:noWrap/>
            <w:hideMark/>
          </w:tcPr>
          <w:p w14:paraId="3BCAC54C" w14:textId="77777777" w:rsidR="0081022C" w:rsidRPr="00C23F94" w:rsidRDefault="0081022C" w:rsidP="00C23F94">
            <w:pPr>
              <w:suppressAutoHyphens w:val="0"/>
              <w:spacing w:before="40" w:after="40" w:line="220" w:lineRule="exact"/>
              <w:rPr>
                <w:sz w:val="18"/>
              </w:rPr>
            </w:pPr>
            <w:r w:rsidRPr="00C23F94">
              <w:rPr>
                <w:sz w:val="18"/>
                <w:lang w:val="fr-FR"/>
              </w:rPr>
              <w:t>11 à 18 ans</w:t>
            </w:r>
          </w:p>
        </w:tc>
        <w:tc>
          <w:tcPr>
            <w:tcW w:w="1136" w:type="dxa"/>
            <w:shd w:val="clear" w:color="auto" w:fill="auto"/>
            <w:noWrap/>
            <w:vAlign w:val="bottom"/>
            <w:hideMark/>
          </w:tcPr>
          <w:p w14:paraId="6CFFC7DA" w14:textId="77777777" w:rsidR="0081022C" w:rsidRPr="00C23F94" w:rsidRDefault="0081022C" w:rsidP="00C23F94">
            <w:pPr>
              <w:suppressAutoHyphens w:val="0"/>
              <w:spacing w:before="40" w:after="40" w:line="220" w:lineRule="exact"/>
              <w:jc w:val="right"/>
              <w:rPr>
                <w:sz w:val="18"/>
              </w:rPr>
            </w:pPr>
            <w:r w:rsidRPr="00C23F94">
              <w:rPr>
                <w:sz w:val="18"/>
                <w:lang w:val="fr-FR"/>
              </w:rPr>
              <w:t>24</w:t>
            </w:r>
          </w:p>
        </w:tc>
        <w:tc>
          <w:tcPr>
            <w:tcW w:w="1360" w:type="dxa"/>
            <w:shd w:val="clear" w:color="auto" w:fill="auto"/>
            <w:noWrap/>
            <w:vAlign w:val="bottom"/>
            <w:hideMark/>
          </w:tcPr>
          <w:p w14:paraId="2BA2EED5" w14:textId="77777777" w:rsidR="0081022C" w:rsidRPr="00C23F94" w:rsidRDefault="0081022C" w:rsidP="00C23F94">
            <w:pPr>
              <w:suppressAutoHyphens w:val="0"/>
              <w:spacing w:before="40" w:after="40" w:line="220" w:lineRule="exact"/>
              <w:jc w:val="right"/>
              <w:rPr>
                <w:sz w:val="18"/>
              </w:rPr>
            </w:pPr>
            <w:r w:rsidRPr="00C23F94">
              <w:rPr>
                <w:sz w:val="18"/>
                <w:lang w:val="fr-FR"/>
              </w:rPr>
              <w:t>18</w:t>
            </w:r>
          </w:p>
        </w:tc>
        <w:tc>
          <w:tcPr>
            <w:tcW w:w="1360" w:type="dxa"/>
            <w:shd w:val="clear" w:color="auto" w:fill="auto"/>
            <w:noWrap/>
            <w:vAlign w:val="bottom"/>
            <w:hideMark/>
          </w:tcPr>
          <w:p w14:paraId="24B125F1" w14:textId="77777777" w:rsidR="0081022C" w:rsidRPr="00C23F94" w:rsidRDefault="0081022C" w:rsidP="00C23F94">
            <w:pPr>
              <w:suppressAutoHyphens w:val="0"/>
              <w:spacing w:before="40" w:after="40" w:line="220" w:lineRule="exact"/>
              <w:jc w:val="right"/>
              <w:rPr>
                <w:sz w:val="18"/>
              </w:rPr>
            </w:pPr>
            <w:r w:rsidRPr="00C23F94">
              <w:rPr>
                <w:sz w:val="18"/>
                <w:lang w:val="fr-FR"/>
              </w:rPr>
              <w:t>22</w:t>
            </w:r>
          </w:p>
        </w:tc>
        <w:tc>
          <w:tcPr>
            <w:tcW w:w="1360" w:type="dxa"/>
            <w:shd w:val="clear" w:color="auto" w:fill="auto"/>
            <w:noWrap/>
            <w:vAlign w:val="bottom"/>
            <w:hideMark/>
          </w:tcPr>
          <w:p w14:paraId="3B0949BF" w14:textId="77777777" w:rsidR="0081022C" w:rsidRPr="00C23F94" w:rsidRDefault="0081022C" w:rsidP="00C23F94">
            <w:pPr>
              <w:suppressAutoHyphens w:val="0"/>
              <w:spacing w:before="40" w:after="40" w:line="220" w:lineRule="exact"/>
              <w:jc w:val="right"/>
              <w:rPr>
                <w:sz w:val="18"/>
              </w:rPr>
            </w:pPr>
            <w:r w:rsidRPr="00C23F94">
              <w:rPr>
                <w:sz w:val="18"/>
                <w:lang w:val="fr-FR"/>
              </w:rPr>
              <w:t>64</w:t>
            </w:r>
          </w:p>
        </w:tc>
      </w:tr>
      <w:tr w:rsidR="0081022C" w:rsidRPr="00C23F94" w14:paraId="62E1540F" w14:textId="77777777" w:rsidTr="00C23F94">
        <w:tc>
          <w:tcPr>
            <w:tcW w:w="2884" w:type="dxa"/>
            <w:shd w:val="clear" w:color="auto" w:fill="auto"/>
            <w:noWrap/>
            <w:hideMark/>
          </w:tcPr>
          <w:p w14:paraId="4A662A1C" w14:textId="77777777" w:rsidR="0081022C" w:rsidRPr="00C23F94" w:rsidRDefault="0081022C" w:rsidP="00C23F94">
            <w:pPr>
              <w:suppressAutoHyphens w:val="0"/>
              <w:spacing w:before="40" w:after="40" w:line="220" w:lineRule="exact"/>
              <w:rPr>
                <w:sz w:val="18"/>
              </w:rPr>
            </w:pPr>
            <w:r w:rsidRPr="00C23F94">
              <w:rPr>
                <w:sz w:val="18"/>
                <w:lang w:val="fr-FR"/>
              </w:rPr>
              <w:t>19 à 35 ans</w:t>
            </w:r>
          </w:p>
        </w:tc>
        <w:tc>
          <w:tcPr>
            <w:tcW w:w="1136" w:type="dxa"/>
            <w:shd w:val="clear" w:color="auto" w:fill="auto"/>
            <w:noWrap/>
            <w:vAlign w:val="bottom"/>
            <w:hideMark/>
          </w:tcPr>
          <w:p w14:paraId="4C6A429F" w14:textId="77777777" w:rsidR="0081022C" w:rsidRPr="00C23F94" w:rsidRDefault="0081022C" w:rsidP="00C23F94">
            <w:pPr>
              <w:suppressAutoHyphens w:val="0"/>
              <w:spacing w:before="40" w:after="40" w:line="220" w:lineRule="exact"/>
              <w:jc w:val="right"/>
              <w:rPr>
                <w:sz w:val="18"/>
              </w:rPr>
            </w:pPr>
            <w:r w:rsidRPr="00C23F94">
              <w:rPr>
                <w:sz w:val="18"/>
                <w:lang w:val="fr-FR"/>
              </w:rPr>
              <w:t>22</w:t>
            </w:r>
          </w:p>
        </w:tc>
        <w:tc>
          <w:tcPr>
            <w:tcW w:w="1360" w:type="dxa"/>
            <w:shd w:val="clear" w:color="auto" w:fill="auto"/>
            <w:noWrap/>
            <w:vAlign w:val="bottom"/>
            <w:hideMark/>
          </w:tcPr>
          <w:p w14:paraId="238AAE6C" w14:textId="77777777" w:rsidR="0081022C" w:rsidRPr="00C23F94" w:rsidRDefault="0081022C" w:rsidP="00C23F94">
            <w:pPr>
              <w:suppressAutoHyphens w:val="0"/>
              <w:spacing w:before="40" w:after="40" w:line="220" w:lineRule="exact"/>
              <w:jc w:val="right"/>
              <w:rPr>
                <w:sz w:val="18"/>
              </w:rPr>
            </w:pPr>
            <w:r w:rsidRPr="00C23F94">
              <w:rPr>
                <w:sz w:val="18"/>
                <w:lang w:val="fr-FR"/>
              </w:rPr>
              <w:t>25</w:t>
            </w:r>
          </w:p>
        </w:tc>
        <w:tc>
          <w:tcPr>
            <w:tcW w:w="1360" w:type="dxa"/>
            <w:shd w:val="clear" w:color="auto" w:fill="auto"/>
            <w:noWrap/>
            <w:vAlign w:val="bottom"/>
            <w:hideMark/>
          </w:tcPr>
          <w:p w14:paraId="1A5224DA" w14:textId="77777777" w:rsidR="0081022C" w:rsidRPr="00C23F94" w:rsidRDefault="0081022C" w:rsidP="00C23F94">
            <w:pPr>
              <w:suppressAutoHyphens w:val="0"/>
              <w:spacing w:before="40" w:after="40" w:line="220" w:lineRule="exact"/>
              <w:jc w:val="right"/>
              <w:rPr>
                <w:sz w:val="18"/>
              </w:rPr>
            </w:pPr>
            <w:r w:rsidRPr="00C23F94">
              <w:rPr>
                <w:sz w:val="18"/>
                <w:lang w:val="fr-FR"/>
              </w:rPr>
              <w:t>23</w:t>
            </w:r>
          </w:p>
        </w:tc>
        <w:tc>
          <w:tcPr>
            <w:tcW w:w="1360" w:type="dxa"/>
            <w:shd w:val="clear" w:color="auto" w:fill="auto"/>
            <w:noWrap/>
            <w:vAlign w:val="bottom"/>
            <w:hideMark/>
          </w:tcPr>
          <w:p w14:paraId="5C5C7AD6" w14:textId="77777777" w:rsidR="0081022C" w:rsidRPr="00C23F94" w:rsidRDefault="0081022C" w:rsidP="00C23F94">
            <w:pPr>
              <w:suppressAutoHyphens w:val="0"/>
              <w:spacing w:before="40" w:after="40" w:line="220" w:lineRule="exact"/>
              <w:jc w:val="right"/>
              <w:rPr>
                <w:sz w:val="18"/>
              </w:rPr>
            </w:pPr>
            <w:r w:rsidRPr="00C23F94">
              <w:rPr>
                <w:sz w:val="18"/>
                <w:lang w:val="fr-FR"/>
              </w:rPr>
              <w:t>70</w:t>
            </w:r>
          </w:p>
        </w:tc>
      </w:tr>
      <w:tr w:rsidR="0081022C" w:rsidRPr="00C23F94" w14:paraId="4FE19A56" w14:textId="77777777" w:rsidTr="00C23F94">
        <w:tc>
          <w:tcPr>
            <w:tcW w:w="2884" w:type="dxa"/>
            <w:shd w:val="clear" w:color="auto" w:fill="auto"/>
            <w:noWrap/>
            <w:hideMark/>
          </w:tcPr>
          <w:p w14:paraId="7962A800" w14:textId="77777777" w:rsidR="0081022C" w:rsidRPr="00C23F94" w:rsidRDefault="0081022C" w:rsidP="00C23F94">
            <w:pPr>
              <w:suppressAutoHyphens w:val="0"/>
              <w:spacing w:before="40" w:after="40" w:line="220" w:lineRule="exact"/>
              <w:rPr>
                <w:sz w:val="18"/>
              </w:rPr>
            </w:pPr>
            <w:r w:rsidRPr="00C23F94">
              <w:rPr>
                <w:sz w:val="18"/>
                <w:lang w:val="fr-FR"/>
              </w:rPr>
              <w:t>36 à 50 ans</w:t>
            </w:r>
          </w:p>
        </w:tc>
        <w:tc>
          <w:tcPr>
            <w:tcW w:w="1136" w:type="dxa"/>
            <w:shd w:val="clear" w:color="auto" w:fill="auto"/>
            <w:noWrap/>
            <w:vAlign w:val="bottom"/>
            <w:hideMark/>
          </w:tcPr>
          <w:p w14:paraId="58D3FF0F" w14:textId="77777777" w:rsidR="0081022C" w:rsidRPr="00C23F94" w:rsidRDefault="0081022C" w:rsidP="00C23F94">
            <w:pPr>
              <w:suppressAutoHyphens w:val="0"/>
              <w:spacing w:before="40" w:after="40" w:line="220" w:lineRule="exact"/>
              <w:jc w:val="right"/>
              <w:rPr>
                <w:sz w:val="18"/>
              </w:rPr>
            </w:pPr>
            <w:r w:rsidRPr="00C23F94">
              <w:rPr>
                <w:sz w:val="18"/>
                <w:lang w:val="fr-FR"/>
              </w:rPr>
              <w:t>12</w:t>
            </w:r>
          </w:p>
        </w:tc>
        <w:tc>
          <w:tcPr>
            <w:tcW w:w="1360" w:type="dxa"/>
            <w:shd w:val="clear" w:color="auto" w:fill="auto"/>
            <w:noWrap/>
            <w:vAlign w:val="bottom"/>
            <w:hideMark/>
          </w:tcPr>
          <w:p w14:paraId="57ECD46A" w14:textId="77777777" w:rsidR="0081022C" w:rsidRPr="00C23F94" w:rsidRDefault="0081022C" w:rsidP="00C23F94">
            <w:pPr>
              <w:suppressAutoHyphens w:val="0"/>
              <w:spacing w:before="40" w:after="40" w:line="220" w:lineRule="exact"/>
              <w:jc w:val="right"/>
              <w:rPr>
                <w:sz w:val="18"/>
              </w:rPr>
            </w:pPr>
            <w:r w:rsidRPr="00C23F94">
              <w:rPr>
                <w:sz w:val="18"/>
                <w:lang w:val="fr-FR"/>
              </w:rPr>
              <w:t>23</w:t>
            </w:r>
          </w:p>
        </w:tc>
        <w:tc>
          <w:tcPr>
            <w:tcW w:w="1360" w:type="dxa"/>
            <w:shd w:val="clear" w:color="auto" w:fill="auto"/>
            <w:noWrap/>
            <w:vAlign w:val="bottom"/>
            <w:hideMark/>
          </w:tcPr>
          <w:p w14:paraId="339DCAEA" w14:textId="77777777" w:rsidR="0081022C" w:rsidRPr="00C23F94" w:rsidRDefault="0081022C" w:rsidP="00C23F94">
            <w:pPr>
              <w:suppressAutoHyphens w:val="0"/>
              <w:spacing w:before="40" w:after="40" w:line="220" w:lineRule="exact"/>
              <w:jc w:val="right"/>
              <w:rPr>
                <w:sz w:val="18"/>
              </w:rPr>
            </w:pPr>
            <w:r w:rsidRPr="00C23F94">
              <w:rPr>
                <w:sz w:val="18"/>
                <w:lang w:val="fr-FR"/>
              </w:rPr>
              <w:t>18</w:t>
            </w:r>
          </w:p>
        </w:tc>
        <w:tc>
          <w:tcPr>
            <w:tcW w:w="1360" w:type="dxa"/>
            <w:shd w:val="clear" w:color="auto" w:fill="auto"/>
            <w:noWrap/>
            <w:vAlign w:val="bottom"/>
            <w:hideMark/>
          </w:tcPr>
          <w:p w14:paraId="477E35C5" w14:textId="77777777" w:rsidR="0081022C" w:rsidRPr="00C23F94" w:rsidRDefault="0081022C" w:rsidP="00C23F94">
            <w:pPr>
              <w:suppressAutoHyphens w:val="0"/>
              <w:spacing w:before="40" w:after="40" w:line="220" w:lineRule="exact"/>
              <w:jc w:val="right"/>
              <w:rPr>
                <w:sz w:val="18"/>
              </w:rPr>
            </w:pPr>
            <w:r w:rsidRPr="00C23F94">
              <w:rPr>
                <w:sz w:val="18"/>
                <w:lang w:val="fr-FR"/>
              </w:rPr>
              <w:t>53</w:t>
            </w:r>
          </w:p>
        </w:tc>
      </w:tr>
      <w:tr w:rsidR="0081022C" w:rsidRPr="00C23F94" w14:paraId="7DEDCFC7" w14:textId="77777777" w:rsidTr="00C23F94">
        <w:tc>
          <w:tcPr>
            <w:tcW w:w="2884" w:type="dxa"/>
            <w:shd w:val="clear" w:color="auto" w:fill="auto"/>
            <w:noWrap/>
            <w:hideMark/>
          </w:tcPr>
          <w:p w14:paraId="1CEAB1EE" w14:textId="77777777" w:rsidR="0081022C" w:rsidRPr="00C23F94" w:rsidRDefault="0081022C" w:rsidP="00C23F94">
            <w:pPr>
              <w:suppressAutoHyphens w:val="0"/>
              <w:spacing w:before="40" w:after="40" w:line="220" w:lineRule="exact"/>
              <w:rPr>
                <w:sz w:val="18"/>
              </w:rPr>
            </w:pPr>
            <w:r w:rsidRPr="00C23F94">
              <w:rPr>
                <w:sz w:val="18"/>
                <w:lang w:val="fr-FR"/>
              </w:rPr>
              <w:t>51 à 60 ans</w:t>
            </w:r>
          </w:p>
        </w:tc>
        <w:tc>
          <w:tcPr>
            <w:tcW w:w="1136" w:type="dxa"/>
            <w:shd w:val="clear" w:color="auto" w:fill="auto"/>
            <w:noWrap/>
            <w:vAlign w:val="bottom"/>
            <w:hideMark/>
          </w:tcPr>
          <w:p w14:paraId="72B8C562" w14:textId="77777777" w:rsidR="0081022C" w:rsidRPr="00C23F94" w:rsidRDefault="0081022C" w:rsidP="00C23F94">
            <w:pPr>
              <w:suppressAutoHyphens w:val="0"/>
              <w:spacing w:before="40" w:after="40" w:line="220" w:lineRule="exact"/>
              <w:jc w:val="right"/>
              <w:rPr>
                <w:sz w:val="18"/>
              </w:rPr>
            </w:pPr>
            <w:r w:rsidRPr="00C23F94">
              <w:rPr>
                <w:sz w:val="18"/>
                <w:lang w:val="fr-FR"/>
              </w:rPr>
              <w:t>6</w:t>
            </w:r>
          </w:p>
        </w:tc>
        <w:tc>
          <w:tcPr>
            <w:tcW w:w="1360" w:type="dxa"/>
            <w:shd w:val="clear" w:color="auto" w:fill="auto"/>
            <w:noWrap/>
            <w:vAlign w:val="bottom"/>
            <w:hideMark/>
          </w:tcPr>
          <w:p w14:paraId="35793D35" w14:textId="77777777" w:rsidR="0081022C" w:rsidRPr="00C23F94" w:rsidRDefault="0081022C" w:rsidP="00C23F94">
            <w:pPr>
              <w:suppressAutoHyphens w:val="0"/>
              <w:spacing w:before="40" w:after="40" w:line="220" w:lineRule="exact"/>
              <w:jc w:val="right"/>
              <w:rPr>
                <w:sz w:val="18"/>
              </w:rPr>
            </w:pPr>
            <w:r w:rsidRPr="00C23F94">
              <w:rPr>
                <w:sz w:val="18"/>
                <w:lang w:val="fr-FR"/>
              </w:rPr>
              <w:t>8</w:t>
            </w:r>
          </w:p>
        </w:tc>
        <w:tc>
          <w:tcPr>
            <w:tcW w:w="1360" w:type="dxa"/>
            <w:shd w:val="clear" w:color="auto" w:fill="auto"/>
            <w:noWrap/>
            <w:vAlign w:val="bottom"/>
            <w:hideMark/>
          </w:tcPr>
          <w:p w14:paraId="072DF6CB" w14:textId="77777777" w:rsidR="0081022C" w:rsidRPr="00C23F94" w:rsidRDefault="0081022C" w:rsidP="00C23F94">
            <w:pPr>
              <w:suppressAutoHyphens w:val="0"/>
              <w:spacing w:before="40" w:after="40" w:line="220" w:lineRule="exact"/>
              <w:jc w:val="right"/>
              <w:rPr>
                <w:sz w:val="18"/>
              </w:rPr>
            </w:pPr>
            <w:r w:rsidRPr="00C23F94">
              <w:rPr>
                <w:sz w:val="18"/>
                <w:lang w:val="fr-FR"/>
              </w:rPr>
              <w:t>7</w:t>
            </w:r>
          </w:p>
        </w:tc>
        <w:tc>
          <w:tcPr>
            <w:tcW w:w="1360" w:type="dxa"/>
            <w:shd w:val="clear" w:color="auto" w:fill="auto"/>
            <w:noWrap/>
            <w:vAlign w:val="bottom"/>
            <w:hideMark/>
          </w:tcPr>
          <w:p w14:paraId="096189BD" w14:textId="77777777" w:rsidR="0081022C" w:rsidRPr="00C23F94" w:rsidRDefault="0081022C" w:rsidP="00C23F94">
            <w:pPr>
              <w:suppressAutoHyphens w:val="0"/>
              <w:spacing w:before="40" w:after="40" w:line="220" w:lineRule="exact"/>
              <w:jc w:val="right"/>
              <w:rPr>
                <w:sz w:val="18"/>
              </w:rPr>
            </w:pPr>
            <w:r w:rsidRPr="00C23F94">
              <w:rPr>
                <w:sz w:val="18"/>
                <w:lang w:val="fr-FR"/>
              </w:rPr>
              <w:t>21</w:t>
            </w:r>
          </w:p>
        </w:tc>
      </w:tr>
      <w:tr w:rsidR="0081022C" w:rsidRPr="00C23F94" w14:paraId="6950B82F" w14:textId="77777777" w:rsidTr="00C23F94">
        <w:tc>
          <w:tcPr>
            <w:tcW w:w="2884" w:type="dxa"/>
            <w:shd w:val="clear" w:color="auto" w:fill="auto"/>
            <w:noWrap/>
            <w:hideMark/>
          </w:tcPr>
          <w:p w14:paraId="2749075F" w14:textId="77777777" w:rsidR="0081022C" w:rsidRPr="00C23F94" w:rsidRDefault="0081022C" w:rsidP="00C23F94">
            <w:pPr>
              <w:suppressAutoHyphens w:val="0"/>
              <w:spacing w:before="40" w:after="40" w:line="220" w:lineRule="exact"/>
              <w:rPr>
                <w:sz w:val="18"/>
              </w:rPr>
            </w:pPr>
            <w:r w:rsidRPr="00C23F94">
              <w:rPr>
                <w:sz w:val="18"/>
                <w:lang w:val="fr-FR"/>
              </w:rPr>
              <w:t>61 ans et plus</w:t>
            </w:r>
          </w:p>
        </w:tc>
        <w:tc>
          <w:tcPr>
            <w:tcW w:w="1136" w:type="dxa"/>
            <w:shd w:val="clear" w:color="auto" w:fill="auto"/>
            <w:noWrap/>
            <w:vAlign w:val="bottom"/>
            <w:hideMark/>
          </w:tcPr>
          <w:p w14:paraId="37AC8794" w14:textId="77777777" w:rsidR="0081022C" w:rsidRPr="00C23F94" w:rsidRDefault="0081022C" w:rsidP="00C23F94">
            <w:pPr>
              <w:suppressAutoHyphens w:val="0"/>
              <w:spacing w:before="40" w:after="40" w:line="220" w:lineRule="exact"/>
              <w:jc w:val="right"/>
              <w:rPr>
                <w:sz w:val="18"/>
              </w:rPr>
            </w:pPr>
            <w:r w:rsidRPr="00C23F94">
              <w:rPr>
                <w:sz w:val="18"/>
                <w:lang w:val="fr-FR"/>
              </w:rPr>
              <w:t>3</w:t>
            </w:r>
          </w:p>
        </w:tc>
        <w:tc>
          <w:tcPr>
            <w:tcW w:w="1360" w:type="dxa"/>
            <w:shd w:val="clear" w:color="auto" w:fill="auto"/>
            <w:noWrap/>
            <w:vAlign w:val="bottom"/>
            <w:hideMark/>
          </w:tcPr>
          <w:p w14:paraId="70D9F7DA" w14:textId="77777777" w:rsidR="0081022C" w:rsidRPr="00C23F94" w:rsidRDefault="0081022C" w:rsidP="00C23F94">
            <w:pPr>
              <w:suppressAutoHyphens w:val="0"/>
              <w:spacing w:before="40" w:after="40" w:line="220" w:lineRule="exact"/>
              <w:jc w:val="right"/>
              <w:rPr>
                <w:sz w:val="18"/>
              </w:rPr>
            </w:pPr>
            <w:r w:rsidRPr="00C23F94">
              <w:rPr>
                <w:sz w:val="18"/>
                <w:lang w:val="fr-FR"/>
              </w:rPr>
              <w:t>8</w:t>
            </w:r>
          </w:p>
        </w:tc>
        <w:tc>
          <w:tcPr>
            <w:tcW w:w="1360" w:type="dxa"/>
            <w:shd w:val="clear" w:color="auto" w:fill="auto"/>
            <w:noWrap/>
            <w:vAlign w:val="bottom"/>
            <w:hideMark/>
          </w:tcPr>
          <w:p w14:paraId="75066426" w14:textId="77777777" w:rsidR="0081022C" w:rsidRPr="00C23F94" w:rsidRDefault="0081022C" w:rsidP="00C23F94">
            <w:pPr>
              <w:suppressAutoHyphens w:val="0"/>
              <w:spacing w:before="40" w:after="40" w:line="220" w:lineRule="exact"/>
              <w:jc w:val="right"/>
              <w:rPr>
                <w:sz w:val="18"/>
              </w:rPr>
            </w:pPr>
            <w:r w:rsidRPr="00C23F94">
              <w:rPr>
                <w:sz w:val="18"/>
                <w:lang w:val="fr-FR"/>
              </w:rPr>
              <w:t>9</w:t>
            </w:r>
          </w:p>
        </w:tc>
        <w:tc>
          <w:tcPr>
            <w:tcW w:w="1360" w:type="dxa"/>
            <w:shd w:val="clear" w:color="auto" w:fill="auto"/>
            <w:noWrap/>
            <w:vAlign w:val="bottom"/>
            <w:hideMark/>
          </w:tcPr>
          <w:p w14:paraId="113CECAF" w14:textId="77777777" w:rsidR="0081022C" w:rsidRPr="00C23F94" w:rsidRDefault="0081022C" w:rsidP="00C23F94">
            <w:pPr>
              <w:suppressAutoHyphens w:val="0"/>
              <w:spacing w:before="40" w:after="40" w:line="220" w:lineRule="exact"/>
              <w:jc w:val="right"/>
              <w:rPr>
                <w:sz w:val="18"/>
              </w:rPr>
            </w:pPr>
            <w:r w:rsidRPr="00C23F94">
              <w:rPr>
                <w:sz w:val="18"/>
                <w:lang w:val="fr-FR"/>
              </w:rPr>
              <w:t>20</w:t>
            </w:r>
          </w:p>
        </w:tc>
      </w:tr>
      <w:tr w:rsidR="0081022C" w:rsidRPr="00C23F94" w14:paraId="28BE6D5F" w14:textId="77777777" w:rsidTr="00C23F94">
        <w:tc>
          <w:tcPr>
            <w:tcW w:w="2884" w:type="dxa"/>
            <w:shd w:val="clear" w:color="auto" w:fill="auto"/>
            <w:noWrap/>
            <w:hideMark/>
          </w:tcPr>
          <w:p w14:paraId="58B6CF45" w14:textId="77777777" w:rsidR="0081022C" w:rsidRPr="00C23F94" w:rsidRDefault="0081022C" w:rsidP="00C23F94">
            <w:pPr>
              <w:suppressAutoHyphens w:val="0"/>
              <w:spacing w:before="40" w:after="40" w:line="220" w:lineRule="exact"/>
              <w:rPr>
                <w:sz w:val="18"/>
              </w:rPr>
            </w:pPr>
            <w:r w:rsidRPr="00C23F94">
              <w:rPr>
                <w:sz w:val="18"/>
                <w:lang w:val="fr-FR"/>
              </w:rPr>
              <w:t>À déterminer</w:t>
            </w:r>
          </w:p>
        </w:tc>
        <w:tc>
          <w:tcPr>
            <w:tcW w:w="1136" w:type="dxa"/>
            <w:shd w:val="clear" w:color="auto" w:fill="auto"/>
            <w:noWrap/>
            <w:vAlign w:val="bottom"/>
            <w:hideMark/>
          </w:tcPr>
          <w:p w14:paraId="783A6EFE" w14:textId="77777777" w:rsidR="0081022C" w:rsidRPr="00C23F94" w:rsidRDefault="0081022C" w:rsidP="00C23F94">
            <w:pPr>
              <w:suppressAutoHyphens w:val="0"/>
              <w:spacing w:before="40" w:after="40" w:line="220" w:lineRule="exact"/>
              <w:jc w:val="right"/>
              <w:rPr>
                <w:sz w:val="18"/>
              </w:rPr>
            </w:pPr>
            <w:r w:rsidRPr="00C23F94">
              <w:rPr>
                <w:sz w:val="18"/>
                <w:lang w:val="fr-FR"/>
              </w:rPr>
              <w:t>45</w:t>
            </w:r>
          </w:p>
        </w:tc>
        <w:tc>
          <w:tcPr>
            <w:tcW w:w="1360" w:type="dxa"/>
            <w:shd w:val="clear" w:color="auto" w:fill="auto"/>
            <w:noWrap/>
            <w:vAlign w:val="bottom"/>
            <w:hideMark/>
          </w:tcPr>
          <w:p w14:paraId="74C0F9CF" w14:textId="77777777" w:rsidR="0081022C" w:rsidRPr="00C23F94" w:rsidRDefault="0081022C" w:rsidP="00C23F94">
            <w:pPr>
              <w:suppressAutoHyphens w:val="0"/>
              <w:spacing w:before="40" w:after="40" w:line="220" w:lineRule="exact"/>
              <w:jc w:val="right"/>
              <w:rPr>
                <w:sz w:val="18"/>
              </w:rPr>
            </w:pPr>
            <w:r w:rsidRPr="00C23F94">
              <w:rPr>
                <w:sz w:val="18"/>
                <w:lang w:val="fr-FR"/>
              </w:rPr>
              <w:t>9</w:t>
            </w:r>
          </w:p>
        </w:tc>
        <w:tc>
          <w:tcPr>
            <w:tcW w:w="1360" w:type="dxa"/>
            <w:shd w:val="clear" w:color="auto" w:fill="auto"/>
            <w:noWrap/>
            <w:vAlign w:val="bottom"/>
            <w:hideMark/>
          </w:tcPr>
          <w:p w14:paraId="2A3C7E00" w14:textId="77777777" w:rsidR="0081022C" w:rsidRPr="00C23F94" w:rsidRDefault="0081022C" w:rsidP="00C23F94">
            <w:pPr>
              <w:suppressAutoHyphens w:val="0"/>
              <w:spacing w:before="40" w:after="40" w:line="220" w:lineRule="exact"/>
              <w:jc w:val="right"/>
              <w:rPr>
                <w:sz w:val="18"/>
              </w:rPr>
            </w:pPr>
            <w:r w:rsidRPr="00C23F94">
              <w:rPr>
                <w:sz w:val="18"/>
                <w:lang w:val="fr-FR"/>
              </w:rPr>
              <w:t>27</w:t>
            </w:r>
          </w:p>
        </w:tc>
        <w:tc>
          <w:tcPr>
            <w:tcW w:w="1360" w:type="dxa"/>
            <w:shd w:val="clear" w:color="auto" w:fill="auto"/>
            <w:noWrap/>
            <w:vAlign w:val="bottom"/>
            <w:hideMark/>
          </w:tcPr>
          <w:p w14:paraId="6DBA8CF4" w14:textId="77777777" w:rsidR="0081022C" w:rsidRPr="00C23F94" w:rsidRDefault="0081022C" w:rsidP="00C23F94">
            <w:pPr>
              <w:suppressAutoHyphens w:val="0"/>
              <w:spacing w:before="40" w:after="40" w:line="220" w:lineRule="exact"/>
              <w:jc w:val="right"/>
              <w:rPr>
                <w:sz w:val="18"/>
              </w:rPr>
            </w:pPr>
            <w:r w:rsidRPr="00C23F94">
              <w:rPr>
                <w:sz w:val="18"/>
                <w:lang w:val="fr-FR"/>
              </w:rPr>
              <w:t>81</w:t>
            </w:r>
          </w:p>
        </w:tc>
      </w:tr>
      <w:tr w:rsidR="0081022C" w:rsidRPr="00C23F94" w14:paraId="7970F04E" w14:textId="77777777" w:rsidTr="00C23F94">
        <w:tc>
          <w:tcPr>
            <w:tcW w:w="2884" w:type="dxa"/>
            <w:shd w:val="clear" w:color="auto" w:fill="auto"/>
            <w:noWrap/>
            <w:hideMark/>
          </w:tcPr>
          <w:p w14:paraId="2C768B63" w14:textId="77777777" w:rsidR="0081022C" w:rsidRPr="00C23F94" w:rsidRDefault="0081022C" w:rsidP="00C23F94">
            <w:pPr>
              <w:suppressAutoHyphens w:val="0"/>
              <w:spacing w:before="40" w:after="40" w:line="220" w:lineRule="exact"/>
              <w:rPr>
                <w:sz w:val="18"/>
              </w:rPr>
            </w:pPr>
            <w:r w:rsidRPr="00C23F94">
              <w:rPr>
                <w:sz w:val="18"/>
                <w:lang w:val="fr-FR"/>
              </w:rPr>
              <w:t>Femmes</w:t>
            </w:r>
          </w:p>
        </w:tc>
        <w:tc>
          <w:tcPr>
            <w:tcW w:w="1136" w:type="dxa"/>
            <w:shd w:val="clear" w:color="auto" w:fill="auto"/>
            <w:noWrap/>
            <w:vAlign w:val="bottom"/>
            <w:hideMark/>
          </w:tcPr>
          <w:p w14:paraId="5ACE1F71" w14:textId="77777777" w:rsidR="0081022C" w:rsidRPr="00C23F94" w:rsidRDefault="0081022C" w:rsidP="00C23F94">
            <w:pPr>
              <w:suppressAutoHyphens w:val="0"/>
              <w:spacing w:before="40" w:after="40" w:line="220" w:lineRule="exact"/>
              <w:jc w:val="right"/>
              <w:rPr>
                <w:sz w:val="18"/>
              </w:rPr>
            </w:pPr>
            <w:r w:rsidRPr="00C23F94">
              <w:rPr>
                <w:sz w:val="18"/>
                <w:lang w:val="fr-FR"/>
              </w:rPr>
              <w:t>248</w:t>
            </w:r>
          </w:p>
        </w:tc>
        <w:tc>
          <w:tcPr>
            <w:tcW w:w="1360" w:type="dxa"/>
            <w:shd w:val="clear" w:color="auto" w:fill="auto"/>
            <w:noWrap/>
            <w:vAlign w:val="bottom"/>
            <w:hideMark/>
          </w:tcPr>
          <w:p w14:paraId="30992105" w14:textId="77777777" w:rsidR="0081022C" w:rsidRPr="00C23F94" w:rsidRDefault="0081022C" w:rsidP="00C23F94">
            <w:pPr>
              <w:suppressAutoHyphens w:val="0"/>
              <w:spacing w:before="40" w:after="40" w:line="220" w:lineRule="exact"/>
              <w:jc w:val="right"/>
              <w:rPr>
                <w:sz w:val="18"/>
              </w:rPr>
            </w:pPr>
            <w:r w:rsidRPr="00C23F94">
              <w:rPr>
                <w:sz w:val="18"/>
                <w:lang w:val="fr-FR"/>
              </w:rPr>
              <w:t>200</w:t>
            </w:r>
          </w:p>
        </w:tc>
        <w:tc>
          <w:tcPr>
            <w:tcW w:w="1360" w:type="dxa"/>
            <w:shd w:val="clear" w:color="auto" w:fill="auto"/>
            <w:noWrap/>
            <w:vAlign w:val="bottom"/>
            <w:hideMark/>
          </w:tcPr>
          <w:p w14:paraId="7D949707" w14:textId="77777777" w:rsidR="0081022C" w:rsidRPr="00C23F94" w:rsidRDefault="0081022C" w:rsidP="00C23F94">
            <w:pPr>
              <w:suppressAutoHyphens w:val="0"/>
              <w:spacing w:before="40" w:after="40" w:line="220" w:lineRule="exact"/>
              <w:jc w:val="right"/>
              <w:rPr>
                <w:sz w:val="18"/>
              </w:rPr>
            </w:pPr>
            <w:r w:rsidRPr="00C23F94">
              <w:rPr>
                <w:sz w:val="18"/>
                <w:lang w:val="fr-FR"/>
              </w:rPr>
              <w:t>180</w:t>
            </w:r>
          </w:p>
        </w:tc>
        <w:tc>
          <w:tcPr>
            <w:tcW w:w="1360" w:type="dxa"/>
            <w:shd w:val="clear" w:color="auto" w:fill="auto"/>
            <w:noWrap/>
            <w:vAlign w:val="bottom"/>
            <w:hideMark/>
          </w:tcPr>
          <w:p w14:paraId="4872DC0E" w14:textId="77777777" w:rsidR="0081022C" w:rsidRPr="00C23F94" w:rsidRDefault="0081022C" w:rsidP="00C23F94">
            <w:pPr>
              <w:suppressAutoHyphens w:val="0"/>
              <w:spacing w:before="40" w:after="40" w:line="220" w:lineRule="exact"/>
              <w:jc w:val="right"/>
              <w:rPr>
                <w:sz w:val="18"/>
              </w:rPr>
            </w:pPr>
            <w:r w:rsidRPr="00C23F94">
              <w:rPr>
                <w:sz w:val="18"/>
                <w:lang w:val="fr-FR"/>
              </w:rPr>
              <w:t>628</w:t>
            </w:r>
          </w:p>
        </w:tc>
      </w:tr>
      <w:tr w:rsidR="0081022C" w:rsidRPr="00C23F94" w14:paraId="0576802B" w14:textId="77777777" w:rsidTr="00C23F94">
        <w:tc>
          <w:tcPr>
            <w:tcW w:w="2884" w:type="dxa"/>
            <w:shd w:val="clear" w:color="auto" w:fill="auto"/>
            <w:noWrap/>
            <w:hideMark/>
          </w:tcPr>
          <w:p w14:paraId="7CBFDDC3" w14:textId="77777777" w:rsidR="0081022C" w:rsidRPr="00C23F94" w:rsidRDefault="0081022C" w:rsidP="00C23F94">
            <w:pPr>
              <w:suppressAutoHyphens w:val="0"/>
              <w:spacing w:before="40" w:after="40" w:line="220" w:lineRule="exact"/>
              <w:rPr>
                <w:sz w:val="18"/>
              </w:rPr>
            </w:pPr>
            <w:r w:rsidRPr="00C23F94">
              <w:rPr>
                <w:sz w:val="18"/>
                <w:lang w:val="fr-FR"/>
              </w:rPr>
              <w:t>1 à 10 ans</w:t>
            </w:r>
          </w:p>
        </w:tc>
        <w:tc>
          <w:tcPr>
            <w:tcW w:w="1136" w:type="dxa"/>
            <w:shd w:val="clear" w:color="auto" w:fill="auto"/>
            <w:noWrap/>
            <w:vAlign w:val="bottom"/>
            <w:hideMark/>
          </w:tcPr>
          <w:p w14:paraId="67AB84BD" w14:textId="77777777" w:rsidR="0081022C" w:rsidRPr="00C23F94" w:rsidRDefault="0081022C" w:rsidP="00C23F94">
            <w:pPr>
              <w:suppressAutoHyphens w:val="0"/>
              <w:spacing w:before="40" w:after="40" w:line="220" w:lineRule="exact"/>
              <w:jc w:val="right"/>
              <w:rPr>
                <w:sz w:val="18"/>
              </w:rPr>
            </w:pPr>
            <w:r w:rsidRPr="00C23F94">
              <w:rPr>
                <w:sz w:val="18"/>
                <w:lang w:val="fr-FR"/>
              </w:rPr>
              <w:t>8</w:t>
            </w:r>
          </w:p>
        </w:tc>
        <w:tc>
          <w:tcPr>
            <w:tcW w:w="1360" w:type="dxa"/>
            <w:shd w:val="clear" w:color="auto" w:fill="auto"/>
            <w:noWrap/>
            <w:vAlign w:val="bottom"/>
            <w:hideMark/>
          </w:tcPr>
          <w:p w14:paraId="3A102D16" w14:textId="77777777" w:rsidR="0081022C" w:rsidRPr="00C23F94" w:rsidRDefault="0081022C" w:rsidP="00C23F94">
            <w:pPr>
              <w:suppressAutoHyphens w:val="0"/>
              <w:spacing w:before="40" w:after="40" w:line="220" w:lineRule="exact"/>
              <w:jc w:val="right"/>
              <w:rPr>
                <w:sz w:val="18"/>
              </w:rPr>
            </w:pPr>
            <w:r w:rsidRPr="00C23F94">
              <w:rPr>
                <w:sz w:val="18"/>
                <w:lang w:val="fr-FR"/>
              </w:rPr>
              <w:t>21</w:t>
            </w:r>
          </w:p>
        </w:tc>
        <w:tc>
          <w:tcPr>
            <w:tcW w:w="1360" w:type="dxa"/>
            <w:shd w:val="clear" w:color="auto" w:fill="auto"/>
            <w:noWrap/>
            <w:vAlign w:val="bottom"/>
            <w:hideMark/>
          </w:tcPr>
          <w:p w14:paraId="199E8A73" w14:textId="77777777" w:rsidR="0081022C" w:rsidRPr="00C23F94" w:rsidRDefault="0081022C" w:rsidP="00C23F94">
            <w:pPr>
              <w:suppressAutoHyphens w:val="0"/>
              <w:spacing w:before="40" w:after="40" w:line="220" w:lineRule="exact"/>
              <w:jc w:val="right"/>
              <w:rPr>
                <w:sz w:val="18"/>
              </w:rPr>
            </w:pPr>
            <w:r w:rsidRPr="00C23F94">
              <w:rPr>
                <w:sz w:val="18"/>
                <w:lang w:val="fr-FR"/>
              </w:rPr>
              <w:t>7</w:t>
            </w:r>
          </w:p>
        </w:tc>
        <w:tc>
          <w:tcPr>
            <w:tcW w:w="1360" w:type="dxa"/>
            <w:shd w:val="clear" w:color="auto" w:fill="auto"/>
            <w:noWrap/>
            <w:vAlign w:val="bottom"/>
            <w:hideMark/>
          </w:tcPr>
          <w:p w14:paraId="72320F01" w14:textId="77777777" w:rsidR="0081022C" w:rsidRPr="00C23F94" w:rsidRDefault="0081022C" w:rsidP="00C23F94">
            <w:pPr>
              <w:suppressAutoHyphens w:val="0"/>
              <w:spacing w:before="40" w:after="40" w:line="220" w:lineRule="exact"/>
              <w:jc w:val="right"/>
              <w:rPr>
                <w:sz w:val="18"/>
              </w:rPr>
            </w:pPr>
            <w:r w:rsidRPr="00C23F94">
              <w:rPr>
                <w:sz w:val="18"/>
                <w:lang w:val="fr-FR"/>
              </w:rPr>
              <w:t>36</w:t>
            </w:r>
          </w:p>
        </w:tc>
      </w:tr>
      <w:tr w:rsidR="0081022C" w:rsidRPr="00C23F94" w14:paraId="6908630B" w14:textId="77777777" w:rsidTr="00C23F94">
        <w:tc>
          <w:tcPr>
            <w:tcW w:w="2884" w:type="dxa"/>
            <w:shd w:val="clear" w:color="auto" w:fill="auto"/>
            <w:noWrap/>
            <w:hideMark/>
          </w:tcPr>
          <w:p w14:paraId="2E1FAD31" w14:textId="77777777" w:rsidR="0081022C" w:rsidRPr="00C23F94" w:rsidRDefault="0081022C" w:rsidP="00C23F94">
            <w:pPr>
              <w:suppressAutoHyphens w:val="0"/>
              <w:spacing w:before="40" w:after="40" w:line="220" w:lineRule="exact"/>
              <w:rPr>
                <w:sz w:val="18"/>
              </w:rPr>
            </w:pPr>
            <w:r w:rsidRPr="00C23F94">
              <w:rPr>
                <w:sz w:val="18"/>
                <w:lang w:val="fr-FR"/>
              </w:rPr>
              <w:t>11 à 18 ans</w:t>
            </w:r>
          </w:p>
        </w:tc>
        <w:tc>
          <w:tcPr>
            <w:tcW w:w="1136" w:type="dxa"/>
            <w:shd w:val="clear" w:color="auto" w:fill="auto"/>
            <w:noWrap/>
            <w:vAlign w:val="bottom"/>
            <w:hideMark/>
          </w:tcPr>
          <w:p w14:paraId="1043F3CA" w14:textId="77777777" w:rsidR="0081022C" w:rsidRPr="00C23F94" w:rsidRDefault="0081022C" w:rsidP="00C23F94">
            <w:pPr>
              <w:suppressAutoHyphens w:val="0"/>
              <w:spacing w:before="40" w:after="40" w:line="220" w:lineRule="exact"/>
              <w:jc w:val="right"/>
              <w:rPr>
                <w:sz w:val="18"/>
              </w:rPr>
            </w:pPr>
            <w:r w:rsidRPr="00C23F94">
              <w:rPr>
                <w:sz w:val="18"/>
                <w:lang w:val="fr-FR"/>
              </w:rPr>
              <w:t>131</w:t>
            </w:r>
          </w:p>
        </w:tc>
        <w:tc>
          <w:tcPr>
            <w:tcW w:w="1360" w:type="dxa"/>
            <w:shd w:val="clear" w:color="auto" w:fill="auto"/>
            <w:noWrap/>
            <w:vAlign w:val="bottom"/>
            <w:hideMark/>
          </w:tcPr>
          <w:p w14:paraId="19EC4EB2" w14:textId="77777777" w:rsidR="0081022C" w:rsidRPr="00C23F94" w:rsidRDefault="0081022C" w:rsidP="00C23F94">
            <w:pPr>
              <w:suppressAutoHyphens w:val="0"/>
              <w:spacing w:before="40" w:after="40" w:line="220" w:lineRule="exact"/>
              <w:jc w:val="right"/>
              <w:rPr>
                <w:sz w:val="18"/>
              </w:rPr>
            </w:pPr>
            <w:r w:rsidRPr="00C23F94">
              <w:rPr>
                <w:sz w:val="18"/>
                <w:lang w:val="fr-FR"/>
              </w:rPr>
              <w:t>98</w:t>
            </w:r>
          </w:p>
        </w:tc>
        <w:tc>
          <w:tcPr>
            <w:tcW w:w="1360" w:type="dxa"/>
            <w:shd w:val="clear" w:color="auto" w:fill="auto"/>
            <w:noWrap/>
            <w:vAlign w:val="bottom"/>
            <w:hideMark/>
          </w:tcPr>
          <w:p w14:paraId="1993D2FD" w14:textId="77777777" w:rsidR="0081022C" w:rsidRPr="00C23F94" w:rsidRDefault="0081022C" w:rsidP="00C23F94">
            <w:pPr>
              <w:suppressAutoHyphens w:val="0"/>
              <w:spacing w:before="40" w:after="40" w:line="220" w:lineRule="exact"/>
              <w:jc w:val="right"/>
              <w:rPr>
                <w:sz w:val="18"/>
              </w:rPr>
            </w:pPr>
            <w:r w:rsidRPr="00C23F94">
              <w:rPr>
                <w:sz w:val="18"/>
                <w:lang w:val="fr-FR"/>
              </w:rPr>
              <w:t>87</w:t>
            </w:r>
          </w:p>
        </w:tc>
        <w:tc>
          <w:tcPr>
            <w:tcW w:w="1360" w:type="dxa"/>
            <w:shd w:val="clear" w:color="auto" w:fill="auto"/>
            <w:noWrap/>
            <w:vAlign w:val="bottom"/>
            <w:hideMark/>
          </w:tcPr>
          <w:p w14:paraId="571202F5" w14:textId="77777777" w:rsidR="0081022C" w:rsidRPr="00C23F94" w:rsidRDefault="0081022C" w:rsidP="00C23F94">
            <w:pPr>
              <w:suppressAutoHyphens w:val="0"/>
              <w:spacing w:before="40" w:after="40" w:line="220" w:lineRule="exact"/>
              <w:jc w:val="right"/>
              <w:rPr>
                <w:sz w:val="18"/>
              </w:rPr>
            </w:pPr>
            <w:r w:rsidRPr="00C23F94">
              <w:rPr>
                <w:sz w:val="18"/>
                <w:lang w:val="fr-FR"/>
              </w:rPr>
              <w:t>316</w:t>
            </w:r>
          </w:p>
        </w:tc>
      </w:tr>
      <w:tr w:rsidR="0081022C" w:rsidRPr="00C23F94" w14:paraId="364945AA" w14:textId="77777777" w:rsidTr="00C23F94">
        <w:tc>
          <w:tcPr>
            <w:tcW w:w="2884" w:type="dxa"/>
            <w:shd w:val="clear" w:color="auto" w:fill="auto"/>
            <w:noWrap/>
            <w:hideMark/>
          </w:tcPr>
          <w:p w14:paraId="01CC885F" w14:textId="77777777" w:rsidR="0081022C" w:rsidRPr="00C23F94" w:rsidRDefault="0081022C" w:rsidP="00C23F94">
            <w:pPr>
              <w:suppressAutoHyphens w:val="0"/>
              <w:spacing w:before="40" w:after="40" w:line="220" w:lineRule="exact"/>
              <w:rPr>
                <w:sz w:val="18"/>
              </w:rPr>
            </w:pPr>
            <w:r w:rsidRPr="00C23F94">
              <w:rPr>
                <w:sz w:val="18"/>
                <w:lang w:val="fr-FR"/>
              </w:rPr>
              <w:t>19 à 35 ans</w:t>
            </w:r>
          </w:p>
        </w:tc>
        <w:tc>
          <w:tcPr>
            <w:tcW w:w="1136" w:type="dxa"/>
            <w:shd w:val="clear" w:color="auto" w:fill="auto"/>
            <w:noWrap/>
            <w:vAlign w:val="bottom"/>
            <w:hideMark/>
          </w:tcPr>
          <w:p w14:paraId="1E986327" w14:textId="77777777" w:rsidR="0081022C" w:rsidRPr="00C23F94" w:rsidRDefault="0081022C" w:rsidP="00C23F94">
            <w:pPr>
              <w:suppressAutoHyphens w:val="0"/>
              <w:spacing w:before="40" w:after="40" w:line="220" w:lineRule="exact"/>
              <w:jc w:val="right"/>
              <w:rPr>
                <w:sz w:val="18"/>
              </w:rPr>
            </w:pPr>
            <w:r w:rsidRPr="00C23F94">
              <w:rPr>
                <w:sz w:val="18"/>
                <w:lang w:val="fr-FR"/>
              </w:rPr>
              <w:t>56</w:t>
            </w:r>
          </w:p>
        </w:tc>
        <w:tc>
          <w:tcPr>
            <w:tcW w:w="1360" w:type="dxa"/>
            <w:shd w:val="clear" w:color="auto" w:fill="auto"/>
            <w:noWrap/>
            <w:vAlign w:val="bottom"/>
            <w:hideMark/>
          </w:tcPr>
          <w:p w14:paraId="5720A350" w14:textId="77777777" w:rsidR="0081022C" w:rsidRPr="00C23F94" w:rsidRDefault="0081022C" w:rsidP="00C23F94">
            <w:pPr>
              <w:suppressAutoHyphens w:val="0"/>
              <w:spacing w:before="40" w:after="40" w:line="220" w:lineRule="exact"/>
              <w:jc w:val="right"/>
              <w:rPr>
                <w:sz w:val="18"/>
              </w:rPr>
            </w:pPr>
            <w:r w:rsidRPr="00C23F94">
              <w:rPr>
                <w:sz w:val="18"/>
                <w:lang w:val="fr-FR"/>
              </w:rPr>
              <w:t>54</w:t>
            </w:r>
          </w:p>
        </w:tc>
        <w:tc>
          <w:tcPr>
            <w:tcW w:w="1360" w:type="dxa"/>
            <w:shd w:val="clear" w:color="auto" w:fill="auto"/>
            <w:noWrap/>
            <w:vAlign w:val="bottom"/>
            <w:hideMark/>
          </w:tcPr>
          <w:p w14:paraId="1A26243C" w14:textId="77777777" w:rsidR="0081022C" w:rsidRPr="00C23F94" w:rsidRDefault="0081022C" w:rsidP="00C23F94">
            <w:pPr>
              <w:suppressAutoHyphens w:val="0"/>
              <w:spacing w:before="40" w:after="40" w:line="220" w:lineRule="exact"/>
              <w:jc w:val="right"/>
              <w:rPr>
                <w:sz w:val="18"/>
              </w:rPr>
            </w:pPr>
            <w:r w:rsidRPr="00C23F94">
              <w:rPr>
                <w:sz w:val="18"/>
                <w:lang w:val="fr-FR"/>
              </w:rPr>
              <w:t>51</w:t>
            </w:r>
          </w:p>
        </w:tc>
        <w:tc>
          <w:tcPr>
            <w:tcW w:w="1360" w:type="dxa"/>
            <w:shd w:val="clear" w:color="auto" w:fill="auto"/>
            <w:noWrap/>
            <w:vAlign w:val="bottom"/>
            <w:hideMark/>
          </w:tcPr>
          <w:p w14:paraId="4448C20D" w14:textId="77777777" w:rsidR="0081022C" w:rsidRPr="00C23F94" w:rsidRDefault="0081022C" w:rsidP="00C23F94">
            <w:pPr>
              <w:suppressAutoHyphens w:val="0"/>
              <w:spacing w:before="40" w:after="40" w:line="220" w:lineRule="exact"/>
              <w:jc w:val="right"/>
              <w:rPr>
                <w:sz w:val="18"/>
              </w:rPr>
            </w:pPr>
            <w:r w:rsidRPr="00C23F94">
              <w:rPr>
                <w:sz w:val="18"/>
                <w:lang w:val="fr-FR"/>
              </w:rPr>
              <w:t>161</w:t>
            </w:r>
          </w:p>
        </w:tc>
      </w:tr>
      <w:tr w:rsidR="0081022C" w:rsidRPr="00C23F94" w14:paraId="2626EA75" w14:textId="77777777" w:rsidTr="00C23F94">
        <w:tc>
          <w:tcPr>
            <w:tcW w:w="2884" w:type="dxa"/>
            <w:shd w:val="clear" w:color="auto" w:fill="auto"/>
            <w:noWrap/>
            <w:hideMark/>
          </w:tcPr>
          <w:p w14:paraId="3402558A" w14:textId="77777777" w:rsidR="0081022C" w:rsidRPr="00C23F94" w:rsidRDefault="0081022C" w:rsidP="00C23F94">
            <w:pPr>
              <w:suppressAutoHyphens w:val="0"/>
              <w:spacing w:before="40" w:after="40" w:line="220" w:lineRule="exact"/>
              <w:rPr>
                <w:sz w:val="18"/>
              </w:rPr>
            </w:pPr>
            <w:r w:rsidRPr="00C23F94">
              <w:rPr>
                <w:sz w:val="18"/>
                <w:lang w:val="fr-FR"/>
              </w:rPr>
              <w:t>36 à 50 ans</w:t>
            </w:r>
          </w:p>
        </w:tc>
        <w:tc>
          <w:tcPr>
            <w:tcW w:w="1136" w:type="dxa"/>
            <w:shd w:val="clear" w:color="auto" w:fill="auto"/>
            <w:noWrap/>
            <w:vAlign w:val="bottom"/>
            <w:hideMark/>
          </w:tcPr>
          <w:p w14:paraId="58984D3F" w14:textId="77777777" w:rsidR="0081022C" w:rsidRPr="00C23F94" w:rsidRDefault="0081022C" w:rsidP="00C23F94">
            <w:pPr>
              <w:suppressAutoHyphens w:val="0"/>
              <w:spacing w:before="40" w:after="40" w:line="220" w:lineRule="exact"/>
              <w:jc w:val="right"/>
              <w:rPr>
                <w:sz w:val="18"/>
              </w:rPr>
            </w:pPr>
            <w:r w:rsidRPr="00C23F94">
              <w:rPr>
                <w:sz w:val="18"/>
                <w:lang w:val="fr-FR"/>
              </w:rPr>
              <w:t>11</w:t>
            </w:r>
          </w:p>
        </w:tc>
        <w:tc>
          <w:tcPr>
            <w:tcW w:w="1360" w:type="dxa"/>
            <w:shd w:val="clear" w:color="auto" w:fill="auto"/>
            <w:noWrap/>
            <w:vAlign w:val="bottom"/>
            <w:hideMark/>
          </w:tcPr>
          <w:p w14:paraId="65D859FA" w14:textId="77777777" w:rsidR="0081022C" w:rsidRPr="00C23F94" w:rsidRDefault="0081022C" w:rsidP="00C23F94">
            <w:pPr>
              <w:suppressAutoHyphens w:val="0"/>
              <w:spacing w:before="40" w:after="40" w:line="220" w:lineRule="exact"/>
              <w:jc w:val="right"/>
              <w:rPr>
                <w:sz w:val="18"/>
              </w:rPr>
            </w:pPr>
            <w:r w:rsidRPr="00C23F94">
              <w:rPr>
                <w:sz w:val="18"/>
                <w:lang w:val="fr-FR"/>
              </w:rPr>
              <w:t>14</w:t>
            </w:r>
          </w:p>
        </w:tc>
        <w:tc>
          <w:tcPr>
            <w:tcW w:w="1360" w:type="dxa"/>
            <w:shd w:val="clear" w:color="auto" w:fill="auto"/>
            <w:noWrap/>
            <w:vAlign w:val="bottom"/>
            <w:hideMark/>
          </w:tcPr>
          <w:p w14:paraId="3800C1D5" w14:textId="77777777" w:rsidR="0081022C" w:rsidRPr="00C23F94" w:rsidRDefault="0081022C" w:rsidP="00C23F94">
            <w:pPr>
              <w:suppressAutoHyphens w:val="0"/>
              <w:spacing w:before="40" w:after="40" w:line="220" w:lineRule="exact"/>
              <w:jc w:val="right"/>
              <w:rPr>
                <w:sz w:val="18"/>
              </w:rPr>
            </w:pPr>
            <w:r w:rsidRPr="00C23F94">
              <w:rPr>
                <w:sz w:val="18"/>
                <w:lang w:val="fr-FR"/>
              </w:rPr>
              <w:t>21</w:t>
            </w:r>
          </w:p>
        </w:tc>
        <w:tc>
          <w:tcPr>
            <w:tcW w:w="1360" w:type="dxa"/>
            <w:shd w:val="clear" w:color="auto" w:fill="auto"/>
            <w:noWrap/>
            <w:vAlign w:val="bottom"/>
            <w:hideMark/>
          </w:tcPr>
          <w:p w14:paraId="1018E571" w14:textId="77777777" w:rsidR="0081022C" w:rsidRPr="00C23F94" w:rsidRDefault="0081022C" w:rsidP="00C23F94">
            <w:pPr>
              <w:suppressAutoHyphens w:val="0"/>
              <w:spacing w:before="40" w:after="40" w:line="220" w:lineRule="exact"/>
              <w:jc w:val="right"/>
              <w:rPr>
                <w:sz w:val="18"/>
              </w:rPr>
            </w:pPr>
            <w:r w:rsidRPr="00C23F94">
              <w:rPr>
                <w:sz w:val="18"/>
                <w:lang w:val="fr-FR"/>
              </w:rPr>
              <w:t>46</w:t>
            </w:r>
          </w:p>
        </w:tc>
      </w:tr>
      <w:tr w:rsidR="0081022C" w:rsidRPr="00C23F94" w14:paraId="096C0FB2" w14:textId="77777777" w:rsidTr="00C23F94">
        <w:tc>
          <w:tcPr>
            <w:tcW w:w="2884" w:type="dxa"/>
            <w:shd w:val="clear" w:color="auto" w:fill="auto"/>
            <w:noWrap/>
            <w:hideMark/>
          </w:tcPr>
          <w:p w14:paraId="3DFD4C24" w14:textId="77777777" w:rsidR="0081022C" w:rsidRPr="00C23F94" w:rsidRDefault="0081022C" w:rsidP="00C23F94">
            <w:pPr>
              <w:suppressAutoHyphens w:val="0"/>
              <w:spacing w:before="40" w:after="40" w:line="220" w:lineRule="exact"/>
              <w:rPr>
                <w:sz w:val="18"/>
              </w:rPr>
            </w:pPr>
            <w:r w:rsidRPr="00C23F94">
              <w:rPr>
                <w:sz w:val="18"/>
                <w:lang w:val="fr-FR"/>
              </w:rPr>
              <w:t>51 à 60 ans</w:t>
            </w:r>
          </w:p>
        </w:tc>
        <w:tc>
          <w:tcPr>
            <w:tcW w:w="1136" w:type="dxa"/>
            <w:shd w:val="clear" w:color="auto" w:fill="auto"/>
            <w:noWrap/>
            <w:vAlign w:val="bottom"/>
            <w:hideMark/>
          </w:tcPr>
          <w:p w14:paraId="395EDF6A" w14:textId="77777777" w:rsidR="0081022C" w:rsidRPr="00C23F94" w:rsidRDefault="0081022C" w:rsidP="00C23F94">
            <w:pPr>
              <w:suppressAutoHyphens w:val="0"/>
              <w:spacing w:before="40" w:after="40" w:line="220" w:lineRule="exact"/>
              <w:jc w:val="right"/>
              <w:rPr>
                <w:sz w:val="18"/>
              </w:rPr>
            </w:pPr>
            <w:r w:rsidRPr="00C23F94">
              <w:rPr>
                <w:sz w:val="18"/>
                <w:lang w:val="fr-FR"/>
              </w:rPr>
              <w:t>2</w:t>
            </w:r>
          </w:p>
        </w:tc>
        <w:tc>
          <w:tcPr>
            <w:tcW w:w="1360" w:type="dxa"/>
            <w:shd w:val="clear" w:color="auto" w:fill="auto"/>
            <w:noWrap/>
            <w:vAlign w:val="bottom"/>
            <w:hideMark/>
          </w:tcPr>
          <w:p w14:paraId="07ADB34A" w14:textId="77777777" w:rsidR="0081022C" w:rsidRPr="00C23F94" w:rsidRDefault="0081022C" w:rsidP="00C23F94">
            <w:pPr>
              <w:suppressAutoHyphens w:val="0"/>
              <w:spacing w:before="40" w:after="40" w:line="220" w:lineRule="exact"/>
              <w:jc w:val="right"/>
              <w:rPr>
                <w:sz w:val="18"/>
              </w:rPr>
            </w:pPr>
            <w:r w:rsidRPr="00C23F94">
              <w:rPr>
                <w:sz w:val="18"/>
                <w:lang w:val="fr-FR"/>
              </w:rPr>
              <w:t>1</w:t>
            </w:r>
          </w:p>
        </w:tc>
        <w:tc>
          <w:tcPr>
            <w:tcW w:w="1360" w:type="dxa"/>
            <w:shd w:val="clear" w:color="auto" w:fill="auto"/>
            <w:noWrap/>
            <w:vAlign w:val="bottom"/>
            <w:hideMark/>
          </w:tcPr>
          <w:p w14:paraId="2DC3BFD4" w14:textId="77777777" w:rsidR="0081022C" w:rsidRPr="00C23F94" w:rsidRDefault="0081022C" w:rsidP="00C23F94">
            <w:pPr>
              <w:suppressAutoHyphens w:val="0"/>
              <w:spacing w:before="40" w:after="40" w:line="220" w:lineRule="exact"/>
              <w:jc w:val="right"/>
              <w:rPr>
                <w:sz w:val="18"/>
              </w:rPr>
            </w:pPr>
            <w:r w:rsidRPr="00C23F94">
              <w:rPr>
                <w:sz w:val="18"/>
                <w:lang w:val="fr-FR"/>
              </w:rPr>
              <w:t>10</w:t>
            </w:r>
          </w:p>
        </w:tc>
        <w:tc>
          <w:tcPr>
            <w:tcW w:w="1360" w:type="dxa"/>
            <w:shd w:val="clear" w:color="auto" w:fill="auto"/>
            <w:noWrap/>
            <w:vAlign w:val="bottom"/>
            <w:hideMark/>
          </w:tcPr>
          <w:p w14:paraId="49A2E65B" w14:textId="77777777" w:rsidR="0081022C" w:rsidRPr="00C23F94" w:rsidRDefault="0081022C" w:rsidP="00C23F94">
            <w:pPr>
              <w:suppressAutoHyphens w:val="0"/>
              <w:spacing w:before="40" w:after="40" w:line="220" w:lineRule="exact"/>
              <w:jc w:val="right"/>
              <w:rPr>
                <w:sz w:val="18"/>
              </w:rPr>
            </w:pPr>
            <w:r w:rsidRPr="00C23F94">
              <w:rPr>
                <w:sz w:val="18"/>
                <w:lang w:val="fr-FR"/>
              </w:rPr>
              <w:t>13</w:t>
            </w:r>
          </w:p>
        </w:tc>
      </w:tr>
      <w:tr w:rsidR="0081022C" w:rsidRPr="00C23F94" w14:paraId="16E90298" w14:textId="77777777" w:rsidTr="00C23F94">
        <w:tc>
          <w:tcPr>
            <w:tcW w:w="2884" w:type="dxa"/>
            <w:shd w:val="clear" w:color="auto" w:fill="auto"/>
            <w:noWrap/>
            <w:hideMark/>
          </w:tcPr>
          <w:p w14:paraId="11A2E2F4" w14:textId="77777777" w:rsidR="0081022C" w:rsidRPr="00C23F94" w:rsidRDefault="0081022C" w:rsidP="00C23F94">
            <w:pPr>
              <w:suppressAutoHyphens w:val="0"/>
              <w:spacing w:before="40" w:after="40" w:line="220" w:lineRule="exact"/>
              <w:rPr>
                <w:sz w:val="18"/>
              </w:rPr>
            </w:pPr>
            <w:r w:rsidRPr="00C23F94">
              <w:rPr>
                <w:sz w:val="18"/>
                <w:lang w:val="fr-FR"/>
              </w:rPr>
              <w:t>61 ans et plus</w:t>
            </w:r>
          </w:p>
        </w:tc>
        <w:tc>
          <w:tcPr>
            <w:tcW w:w="1136" w:type="dxa"/>
            <w:shd w:val="clear" w:color="auto" w:fill="auto"/>
            <w:noWrap/>
            <w:vAlign w:val="bottom"/>
            <w:hideMark/>
          </w:tcPr>
          <w:p w14:paraId="30E96277" w14:textId="77777777" w:rsidR="0081022C" w:rsidRPr="00C23F94" w:rsidRDefault="0081022C" w:rsidP="00C23F94">
            <w:pPr>
              <w:suppressAutoHyphens w:val="0"/>
              <w:spacing w:before="40" w:after="40" w:line="220" w:lineRule="exact"/>
              <w:jc w:val="right"/>
              <w:rPr>
                <w:sz w:val="18"/>
              </w:rPr>
            </w:pPr>
            <w:r w:rsidRPr="00C23F94">
              <w:rPr>
                <w:sz w:val="18"/>
                <w:lang w:val="fr-FR"/>
              </w:rPr>
              <w:t>2</w:t>
            </w:r>
          </w:p>
        </w:tc>
        <w:tc>
          <w:tcPr>
            <w:tcW w:w="1360" w:type="dxa"/>
            <w:shd w:val="clear" w:color="auto" w:fill="auto"/>
            <w:noWrap/>
            <w:vAlign w:val="bottom"/>
            <w:hideMark/>
          </w:tcPr>
          <w:p w14:paraId="04732F13" w14:textId="77777777" w:rsidR="0081022C" w:rsidRPr="00C23F94" w:rsidRDefault="0081022C" w:rsidP="00C23F94">
            <w:pPr>
              <w:suppressAutoHyphens w:val="0"/>
              <w:spacing w:before="40" w:after="40" w:line="220" w:lineRule="exact"/>
              <w:jc w:val="right"/>
              <w:rPr>
                <w:sz w:val="18"/>
              </w:rPr>
            </w:pPr>
            <w:r w:rsidRPr="00C23F94">
              <w:rPr>
                <w:sz w:val="18"/>
                <w:lang w:val="fr-FR"/>
              </w:rPr>
              <w:t>10</w:t>
            </w:r>
          </w:p>
        </w:tc>
        <w:tc>
          <w:tcPr>
            <w:tcW w:w="1360" w:type="dxa"/>
            <w:shd w:val="clear" w:color="auto" w:fill="auto"/>
            <w:noWrap/>
            <w:vAlign w:val="bottom"/>
            <w:hideMark/>
          </w:tcPr>
          <w:p w14:paraId="51E19616" w14:textId="77777777" w:rsidR="0081022C" w:rsidRPr="00C23F94" w:rsidRDefault="0081022C" w:rsidP="00C23F94">
            <w:pPr>
              <w:suppressAutoHyphens w:val="0"/>
              <w:spacing w:before="40" w:after="40" w:line="220" w:lineRule="exact"/>
              <w:jc w:val="right"/>
              <w:rPr>
                <w:sz w:val="18"/>
              </w:rPr>
            </w:pPr>
            <w:r w:rsidRPr="00C23F94">
              <w:rPr>
                <w:sz w:val="18"/>
                <w:lang w:val="fr-FR"/>
              </w:rPr>
              <w:t>4</w:t>
            </w:r>
          </w:p>
        </w:tc>
        <w:tc>
          <w:tcPr>
            <w:tcW w:w="1360" w:type="dxa"/>
            <w:shd w:val="clear" w:color="auto" w:fill="auto"/>
            <w:noWrap/>
            <w:vAlign w:val="bottom"/>
            <w:hideMark/>
          </w:tcPr>
          <w:p w14:paraId="5647ADF2" w14:textId="77777777" w:rsidR="0081022C" w:rsidRPr="00C23F94" w:rsidRDefault="0081022C" w:rsidP="00C23F94">
            <w:pPr>
              <w:suppressAutoHyphens w:val="0"/>
              <w:spacing w:before="40" w:after="40" w:line="220" w:lineRule="exact"/>
              <w:jc w:val="right"/>
              <w:rPr>
                <w:sz w:val="18"/>
              </w:rPr>
            </w:pPr>
            <w:r w:rsidRPr="00C23F94">
              <w:rPr>
                <w:sz w:val="18"/>
                <w:lang w:val="fr-FR"/>
              </w:rPr>
              <w:t>16</w:t>
            </w:r>
          </w:p>
        </w:tc>
      </w:tr>
      <w:tr w:rsidR="0081022C" w:rsidRPr="00C23F94" w14:paraId="26238980" w14:textId="77777777" w:rsidTr="00C23F94">
        <w:tc>
          <w:tcPr>
            <w:tcW w:w="2884" w:type="dxa"/>
            <w:tcBorders>
              <w:bottom w:val="single" w:sz="12" w:space="0" w:color="auto"/>
            </w:tcBorders>
            <w:shd w:val="clear" w:color="auto" w:fill="auto"/>
            <w:noWrap/>
            <w:hideMark/>
          </w:tcPr>
          <w:p w14:paraId="0415475B" w14:textId="77777777" w:rsidR="0081022C" w:rsidRPr="00C23F94" w:rsidRDefault="0081022C" w:rsidP="00C23F94">
            <w:pPr>
              <w:suppressAutoHyphens w:val="0"/>
              <w:spacing w:before="40" w:after="40" w:line="220" w:lineRule="exact"/>
              <w:rPr>
                <w:sz w:val="18"/>
              </w:rPr>
            </w:pPr>
            <w:r w:rsidRPr="00C23F94">
              <w:rPr>
                <w:sz w:val="18"/>
                <w:lang w:val="fr-FR"/>
              </w:rPr>
              <w:t xml:space="preserve">À déterminer </w:t>
            </w:r>
          </w:p>
        </w:tc>
        <w:tc>
          <w:tcPr>
            <w:tcW w:w="1136" w:type="dxa"/>
            <w:tcBorders>
              <w:bottom w:val="single" w:sz="12" w:space="0" w:color="auto"/>
            </w:tcBorders>
            <w:shd w:val="clear" w:color="auto" w:fill="auto"/>
            <w:noWrap/>
            <w:vAlign w:val="bottom"/>
            <w:hideMark/>
          </w:tcPr>
          <w:p w14:paraId="3F5F2222" w14:textId="77777777" w:rsidR="0081022C" w:rsidRPr="00C23F94" w:rsidRDefault="0081022C" w:rsidP="00C23F94">
            <w:pPr>
              <w:suppressAutoHyphens w:val="0"/>
              <w:spacing w:before="40" w:after="40" w:line="220" w:lineRule="exact"/>
              <w:jc w:val="right"/>
              <w:rPr>
                <w:sz w:val="18"/>
              </w:rPr>
            </w:pPr>
            <w:r w:rsidRPr="00C23F94">
              <w:rPr>
                <w:sz w:val="18"/>
                <w:lang w:val="fr-FR"/>
              </w:rPr>
              <w:t>38</w:t>
            </w:r>
          </w:p>
        </w:tc>
        <w:tc>
          <w:tcPr>
            <w:tcW w:w="1360" w:type="dxa"/>
            <w:tcBorders>
              <w:bottom w:val="single" w:sz="12" w:space="0" w:color="auto"/>
            </w:tcBorders>
            <w:shd w:val="clear" w:color="auto" w:fill="auto"/>
            <w:noWrap/>
            <w:vAlign w:val="bottom"/>
            <w:hideMark/>
          </w:tcPr>
          <w:p w14:paraId="3FAD5568" w14:textId="77777777" w:rsidR="0081022C" w:rsidRPr="00C23F94" w:rsidRDefault="0081022C" w:rsidP="00C23F94">
            <w:pPr>
              <w:suppressAutoHyphens w:val="0"/>
              <w:spacing w:before="40" w:after="40" w:line="220" w:lineRule="exact"/>
              <w:jc w:val="right"/>
              <w:rPr>
                <w:sz w:val="18"/>
              </w:rPr>
            </w:pPr>
            <w:r w:rsidRPr="00C23F94">
              <w:rPr>
                <w:sz w:val="18"/>
                <w:lang w:val="fr-FR"/>
              </w:rPr>
              <w:t>2</w:t>
            </w:r>
          </w:p>
        </w:tc>
        <w:tc>
          <w:tcPr>
            <w:tcW w:w="1360" w:type="dxa"/>
            <w:tcBorders>
              <w:bottom w:val="single" w:sz="12" w:space="0" w:color="auto"/>
            </w:tcBorders>
            <w:shd w:val="clear" w:color="auto" w:fill="auto"/>
            <w:noWrap/>
            <w:vAlign w:val="bottom"/>
            <w:hideMark/>
          </w:tcPr>
          <w:p w14:paraId="77B25590" w14:textId="77777777" w:rsidR="0081022C" w:rsidRPr="00C23F94" w:rsidRDefault="0081022C" w:rsidP="00C23F94">
            <w:pPr>
              <w:suppressAutoHyphens w:val="0"/>
              <w:spacing w:before="40" w:after="40" w:line="220" w:lineRule="exact"/>
              <w:jc w:val="right"/>
              <w:rPr>
                <w:sz w:val="18"/>
              </w:rPr>
            </w:pPr>
            <w:r w:rsidRPr="00C23F94">
              <w:rPr>
                <w:sz w:val="18"/>
                <w:lang w:val="fr-FR"/>
              </w:rPr>
              <w:t>0</w:t>
            </w:r>
          </w:p>
        </w:tc>
        <w:tc>
          <w:tcPr>
            <w:tcW w:w="1360" w:type="dxa"/>
            <w:tcBorders>
              <w:bottom w:val="single" w:sz="12" w:space="0" w:color="auto"/>
            </w:tcBorders>
            <w:shd w:val="clear" w:color="auto" w:fill="auto"/>
            <w:noWrap/>
            <w:vAlign w:val="bottom"/>
            <w:hideMark/>
          </w:tcPr>
          <w:p w14:paraId="0F896CE7" w14:textId="77777777" w:rsidR="0081022C" w:rsidRPr="00C23F94" w:rsidRDefault="0081022C" w:rsidP="00C23F94">
            <w:pPr>
              <w:suppressAutoHyphens w:val="0"/>
              <w:spacing w:before="40" w:after="40" w:line="220" w:lineRule="exact"/>
              <w:jc w:val="right"/>
              <w:rPr>
                <w:sz w:val="18"/>
              </w:rPr>
            </w:pPr>
            <w:r w:rsidRPr="00C23F94">
              <w:rPr>
                <w:sz w:val="18"/>
                <w:lang w:val="fr-FR"/>
              </w:rPr>
              <w:t>40</w:t>
            </w:r>
          </w:p>
        </w:tc>
      </w:tr>
    </w:tbl>
    <w:p w14:paraId="3C5EB417" w14:textId="072D8F16" w:rsidR="0081022C" w:rsidRPr="00C23F94" w:rsidRDefault="0081022C" w:rsidP="00C23F94">
      <w:pPr>
        <w:pStyle w:val="SingleTxtG"/>
        <w:spacing w:before="120" w:after="240"/>
        <w:ind w:firstLine="170"/>
        <w:rPr>
          <w:sz w:val="18"/>
          <w:szCs w:val="18"/>
          <w:lang w:val="fr-FR"/>
        </w:rPr>
      </w:pPr>
      <w:r w:rsidRPr="00C23F94">
        <w:rPr>
          <w:i/>
          <w:iCs/>
          <w:sz w:val="18"/>
          <w:szCs w:val="18"/>
          <w:lang w:val="fr-FR"/>
        </w:rPr>
        <w:t>Source</w:t>
      </w:r>
      <w:r w:rsidRPr="00C23F94">
        <w:rPr>
          <w:sz w:val="18"/>
          <w:szCs w:val="18"/>
          <w:lang w:val="fr-FR"/>
        </w:rPr>
        <w:t xml:space="preserve"> : </w:t>
      </w:r>
      <w:r w:rsidR="00C23F94" w:rsidRPr="00C23F94">
        <w:rPr>
          <w:caps/>
          <w:sz w:val="18"/>
          <w:szCs w:val="18"/>
          <w:lang w:val="fr-FR"/>
        </w:rPr>
        <w:t>é</w:t>
      </w:r>
      <w:r w:rsidRPr="00C23F94">
        <w:rPr>
          <w:sz w:val="18"/>
          <w:szCs w:val="18"/>
          <w:lang w:val="fr-FR"/>
        </w:rPr>
        <w:t>laboré en août 2021 par l’Observatoire bolivien de la sécurité publique et de la lutte contre les drogues, sur la base des informations fournies par la police bolivienne</w:t>
      </w:r>
      <w:r w:rsidR="00C23F94">
        <w:rPr>
          <w:sz w:val="18"/>
          <w:szCs w:val="18"/>
          <w:lang w:val="fr-FR"/>
        </w:rPr>
        <w:t>.</w:t>
      </w:r>
    </w:p>
    <w:p w14:paraId="182F9FDD" w14:textId="7824C531" w:rsidR="0081022C" w:rsidRPr="007B66BA" w:rsidRDefault="0081022C" w:rsidP="00C23F94">
      <w:pPr>
        <w:pStyle w:val="H23G"/>
        <w:rPr>
          <w:b w:val="0"/>
          <w:bCs/>
          <w:sz w:val="18"/>
          <w:szCs w:val="18"/>
        </w:rPr>
      </w:pPr>
      <w:r>
        <w:rPr>
          <w:lang w:val="fr-FR"/>
        </w:rPr>
        <w:lastRenderedPageBreak/>
        <w:tab/>
      </w:r>
      <w:r>
        <w:rPr>
          <w:lang w:val="fr-FR"/>
        </w:rPr>
        <w:tab/>
        <w:t xml:space="preserve">Plaintes pour traite d’êtres humains par sexe et par âge (2019-2021) </w:t>
      </w:r>
      <w:r w:rsidR="007B66BA">
        <w:rPr>
          <w:lang w:val="fr-FR"/>
        </w:rPr>
        <w:br/>
      </w:r>
      <w:r w:rsidRPr="007B66BA">
        <w:rPr>
          <w:b w:val="0"/>
          <w:bCs/>
          <w:sz w:val="18"/>
          <w:szCs w:val="18"/>
          <w:lang w:val="fr-FR"/>
        </w:rPr>
        <w:t>(</w:t>
      </w:r>
      <w:r w:rsidR="007B66BA" w:rsidRPr="007B66BA">
        <w:rPr>
          <w:b w:val="0"/>
          <w:bCs/>
          <w:sz w:val="18"/>
          <w:szCs w:val="18"/>
          <w:lang w:val="fr-FR"/>
        </w:rPr>
        <w:t>E</w:t>
      </w:r>
      <w:r w:rsidRPr="007B66BA">
        <w:rPr>
          <w:b w:val="0"/>
          <w:bCs/>
          <w:sz w:val="18"/>
          <w:szCs w:val="18"/>
          <w:lang w:val="fr-FR"/>
        </w:rPr>
        <w:t>n pourcentage)</w:t>
      </w:r>
    </w:p>
    <w:p w14:paraId="76149C07" w14:textId="6237B7BB" w:rsidR="0081022C" w:rsidRPr="002014CD" w:rsidRDefault="00C23F94" w:rsidP="0081022C">
      <w:pPr>
        <w:pStyle w:val="SingleTxtG"/>
        <w:rPr>
          <w:b/>
          <w:color w:val="F79646"/>
        </w:rPr>
      </w:pPr>
      <w:r w:rsidRPr="00C23F94">
        <w:rPr>
          <w:rFonts w:eastAsia="Calibri"/>
          <w:noProof/>
          <w:color w:val="F79646"/>
          <w:lang w:eastAsia="en-GB"/>
        </w:rPr>
        <w:t> </w:t>
      </w:r>
      <w:r w:rsidR="0081022C" w:rsidRPr="002014CD">
        <w:rPr>
          <w:rFonts w:eastAsia="Calibri"/>
          <w:noProof/>
          <w:color w:val="F79646"/>
          <w:lang w:val="en-GB" w:eastAsia="en-GB"/>
        </w:rPr>
        <w:drawing>
          <wp:inline distT="0" distB="0" distL="0" distR="0" wp14:anchorId="33CA27BE" wp14:editId="6D636402">
            <wp:extent cx="4625439" cy="2707574"/>
            <wp:effectExtent l="0" t="0" r="381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B2A1F8" w14:textId="334E67C0" w:rsidR="0081022C" w:rsidRPr="00C23F94" w:rsidRDefault="0081022C" w:rsidP="00C23F94">
      <w:pPr>
        <w:pStyle w:val="SingleTxtG"/>
        <w:spacing w:before="120" w:after="240"/>
        <w:ind w:firstLine="170"/>
        <w:rPr>
          <w:sz w:val="18"/>
          <w:szCs w:val="18"/>
          <w:lang w:val="fr-FR"/>
        </w:rPr>
      </w:pPr>
      <w:r w:rsidRPr="00C23F94">
        <w:rPr>
          <w:i/>
          <w:iCs/>
          <w:sz w:val="18"/>
          <w:szCs w:val="18"/>
          <w:lang w:val="fr-FR"/>
        </w:rPr>
        <w:t>Source</w:t>
      </w:r>
      <w:r w:rsidRPr="00C23F94">
        <w:rPr>
          <w:sz w:val="18"/>
          <w:szCs w:val="18"/>
          <w:lang w:val="fr-FR"/>
        </w:rPr>
        <w:t xml:space="preserve"> : </w:t>
      </w:r>
      <w:r w:rsidR="00C23F94" w:rsidRPr="00C23F94">
        <w:rPr>
          <w:caps/>
          <w:sz w:val="18"/>
          <w:szCs w:val="18"/>
          <w:lang w:val="fr-FR"/>
        </w:rPr>
        <w:t>é</w:t>
      </w:r>
      <w:r w:rsidRPr="00C23F94">
        <w:rPr>
          <w:sz w:val="18"/>
          <w:szCs w:val="18"/>
          <w:lang w:val="fr-FR"/>
        </w:rPr>
        <w:t>laboré en 2021 par l’Observatoire bolivien de la sécurité publique et de la lutte contre les drogues, sur la base des informations fournies par la police bolivienne</w:t>
      </w:r>
      <w:r w:rsidR="00C23F94">
        <w:rPr>
          <w:sz w:val="18"/>
          <w:szCs w:val="18"/>
          <w:lang w:val="fr-FR"/>
        </w:rPr>
        <w:t>.</w:t>
      </w:r>
    </w:p>
    <w:p w14:paraId="52FC7073" w14:textId="26DE3DEA" w:rsidR="0081022C" w:rsidRPr="00B54D3D" w:rsidRDefault="0081022C" w:rsidP="0081022C">
      <w:pPr>
        <w:pStyle w:val="SingleTxtG"/>
        <w:rPr>
          <w:shd w:val="clear" w:color="auto" w:fill="FFFFFF"/>
        </w:rPr>
      </w:pPr>
      <w:r>
        <w:rPr>
          <w:lang w:val="fr-FR"/>
        </w:rPr>
        <w:t>164.</w:t>
      </w:r>
      <w:r>
        <w:rPr>
          <w:lang w:val="fr-FR"/>
        </w:rPr>
        <w:tab/>
        <w:t>En ce qui concerne les mesures de protection et d’assistance, y</w:t>
      </w:r>
      <w:r w:rsidR="00C23F94">
        <w:rPr>
          <w:lang w:val="fr-FR"/>
        </w:rPr>
        <w:t> </w:t>
      </w:r>
      <w:r>
        <w:rPr>
          <w:lang w:val="fr-FR"/>
        </w:rPr>
        <w:t>compris l’assistance juridique gratuite et la réadaptation, six foyers d’accueil ont été mis en place pour prendre en charge des victimes de la traite des personnes, dont quatre sont gérés par l’État et deux appartiennent à des organisations non gouvernementales. Des soins de santé mentale sont dispensés dans ces centres d’accueil, qui disposent de professionnels formés au soutien et à l’appui psychologiques, à l’inspection et à la supervision en vue d’une réinsertion familiale et sociale. Le Ministère de la santé fournit également des services de soins et d’analyses de laboratoire pour réaliser des bilans médicaux des victimes.</w:t>
      </w:r>
    </w:p>
    <w:p w14:paraId="3972BEF3" w14:textId="77E15EBC" w:rsidR="0081022C" w:rsidRPr="00B54D3D" w:rsidRDefault="0081022C" w:rsidP="0081022C">
      <w:pPr>
        <w:pStyle w:val="SingleTxtG"/>
        <w:rPr>
          <w:shd w:val="clear" w:color="auto" w:fill="FFFFFF"/>
        </w:rPr>
      </w:pPr>
      <w:r>
        <w:rPr>
          <w:lang w:val="fr-FR"/>
        </w:rPr>
        <w:t>165.</w:t>
      </w:r>
      <w:r>
        <w:rPr>
          <w:lang w:val="fr-FR"/>
        </w:rPr>
        <w:tab/>
        <w:t>En collaboration avec l’Autorité de régulation et de contrôle des télécommunications et des transports, le numéro gratuit 122 pour les signalements et la prise en charge de cas de traite et de trafic illicite d’être humain a été remis en service. Le numéro fonctionne actuellement dans les municipalités de La</w:t>
      </w:r>
      <w:r w:rsidR="007B66BA">
        <w:rPr>
          <w:lang w:val="fr-FR"/>
        </w:rPr>
        <w:t> </w:t>
      </w:r>
      <w:r>
        <w:rPr>
          <w:lang w:val="fr-FR"/>
        </w:rPr>
        <w:t>Paz, El</w:t>
      </w:r>
      <w:r w:rsidR="007B66BA">
        <w:rPr>
          <w:lang w:val="fr-FR"/>
        </w:rPr>
        <w:t> </w:t>
      </w:r>
      <w:r>
        <w:rPr>
          <w:lang w:val="fr-FR"/>
        </w:rPr>
        <w:t>Alto, Oruro, Cochabamba et Santa Cruz de la Sierra.</w:t>
      </w:r>
    </w:p>
    <w:p w14:paraId="02143B96" w14:textId="38DEF6DE" w:rsidR="0081022C" w:rsidRPr="00B54D3D" w:rsidRDefault="0081022C" w:rsidP="0081022C">
      <w:pPr>
        <w:pStyle w:val="SingleTxtG"/>
        <w:rPr>
          <w:shd w:val="clear" w:color="auto" w:fill="FFFFFF"/>
        </w:rPr>
      </w:pPr>
      <w:r>
        <w:rPr>
          <w:lang w:val="fr-FR"/>
        </w:rPr>
        <w:t>166.</w:t>
      </w:r>
      <w:r>
        <w:rPr>
          <w:lang w:val="fr-FR"/>
        </w:rPr>
        <w:tab/>
        <w:t>Pour ce qui est des services juridiques, une coordination interinstitutionnelle est mise en œuvre entre le Ministère de la justice et de la transparence institutionnelle, par</w:t>
      </w:r>
      <w:r w:rsidR="007B66BA">
        <w:rPr>
          <w:lang w:val="fr-FR"/>
        </w:rPr>
        <w:t> </w:t>
      </w:r>
      <w:r>
        <w:rPr>
          <w:lang w:val="fr-FR"/>
        </w:rPr>
        <w:t>l’intermédiaire des Services de justice plurinationale et du Service plurinational d’aide aux victimes ; le Ministère des affaires étrangères ; le Ministère de l’intérieur, par l’intermédiaire de la Direction générale de la lutte contre la traite et le trafic illicite d’êtres humains et la Direction générale des migrations ; et les autorités infranationales pour apporter un soutien légal. Les procédures de rapatriement sont également menées de manière coordonnée afin de garantir la sécurité et les droits fondamentaux de la victime.</w:t>
      </w:r>
    </w:p>
    <w:p w14:paraId="5D3E8BA8" w14:textId="77777777" w:rsidR="0081022C" w:rsidRPr="002014CD" w:rsidRDefault="0081022C" w:rsidP="00C23F94">
      <w:pPr>
        <w:pStyle w:val="H1G"/>
      </w:pPr>
      <w:r>
        <w:rPr>
          <w:lang w:val="fr-FR"/>
        </w:rPr>
        <w:tab/>
      </w:r>
      <w:r>
        <w:rPr>
          <w:lang w:val="fr-FR"/>
        </w:rPr>
        <w:tab/>
        <w:t>Indépendance du pouvoir judiciaire et administration de la justice (art. 2 et 14)</w:t>
      </w:r>
    </w:p>
    <w:p w14:paraId="4380A5A4" w14:textId="77777777" w:rsidR="0081022C" w:rsidRPr="002014CD" w:rsidRDefault="0081022C" w:rsidP="00C23F94">
      <w:pPr>
        <w:pStyle w:val="H23G"/>
      </w:pPr>
      <w:r>
        <w:rPr>
          <w:lang w:val="fr-FR"/>
        </w:rPr>
        <w:tab/>
        <w:t>20.</w:t>
      </w:r>
      <w:r>
        <w:rPr>
          <w:lang w:val="fr-FR"/>
        </w:rPr>
        <w:tab/>
        <w:t>Réponse au paragraphe 20 de la liste de points</w:t>
      </w:r>
    </w:p>
    <w:p w14:paraId="395F6DDA" w14:textId="77777777" w:rsidR="0081022C" w:rsidRPr="00B54D3D" w:rsidRDefault="0081022C" w:rsidP="0081022C">
      <w:pPr>
        <w:pStyle w:val="SingleTxtG"/>
      </w:pPr>
      <w:r>
        <w:rPr>
          <w:lang w:val="fr-FR"/>
        </w:rPr>
        <w:t>167.</w:t>
      </w:r>
      <w:r>
        <w:rPr>
          <w:lang w:val="fr-FR"/>
        </w:rPr>
        <w:tab/>
        <w:t>L’État a pris des mesures de formation des juges, des procureurs et des policiers afin que les fonctionnaires soient investis dans leur travail, pour éviter toute corruption et toute ingérence politique dans l’exercice de leurs fonctions. Les autorités du Ministère de la justice et de la transparence institutionnelle travaillent à une réforme du système judiciaire portant notamment sur l’indépendance de ses organes.</w:t>
      </w:r>
    </w:p>
    <w:p w14:paraId="1D0625E7" w14:textId="78146510" w:rsidR="0081022C" w:rsidRPr="00B54D3D" w:rsidRDefault="0081022C" w:rsidP="00C23F94">
      <w:pPr>
        <w:pStyle w:val="SingleTxtG"/>
        <w:keepNext/>
        <w:keepLines/>
      </w:pPr>
      <w:r>
        <w:rPr>
          <w:lang w:val="fr-FR"/>
        </w:rPr>
        <w:lastRenderedPageBreak/>
        <w:t>168.</w:t>
      </w:r>
      <w:r>
        <w:rPr>
          <w:lang w:val="fr-FR"/>
        </w:rPr>
        <w:tab/>
        <w:t>S’agissant de la mise en œuvre de la loi n</w:t>
      </w:r>
      <w:r>
        <w:rPr>
          <w:vertAlign w:val="superscript"/>
          <w:lang w:val="fr-FR"/>
        </w:rPr>
        <w:t>o</w:t>
      </w:r>
      <w:r>
        <w:rPr>
          <w:lang w:val="fr-FR"/>
        </w:rPr>
        <w:t xml:space="preserve"> 898 et de ses résultats, la </w:t>
      </w:r>
      <w:r w:rsidR="002C440C">
        <w:rPr>
          <w:lang w:val="fr-FR"/>
        </w:rPr>
        <w:t xml:space="preserve">cinquième </w:t>
      </w:r>
      <w:r>
        <w:rPr>
          <w:lang w:val="fr-FR"/>
        </w:rPr>
        <w:t>réunion de la Commission sur les conclusions du Sommet de la justice s’est tenue le 6 septembre 2021, conformément à l’article 3 de la loi susmentionnée. Plusieurs questions y ont été abordées : les grandes lignes de la réforme du système judiciaire en cours, la Sous</w:t>
      </w:r>
      <w:r w:rsidR="002C440C">
        <w:rPr>
          <w:lang w:val="fr-FR"/>
        </w:rPr>
        <w:noBreakHyphen/>
      </w:r>
      <w:r>
        <w:rPr>
          <w:lang w:val="fr-FR"/>
        </w:rPr>
        <w:t>commission sur l’interopérabilité de la loi n</w:t>
      </w:r>
      <w:r>
        <w:rPr>
          <w:vertAlign w:val="superscript"/>
          <w:lang w:val="fr-FR"/>
        </w:rPr>
        <w:t>o</w:t>
      </w:r>
      <w:r>
        <w:rPr>
          <w:lang w:val="fr-FR"/>
        </w:rPr>
        <w:t> 1173, qui travaille sur la mise en œuvre de l’interopérabilité, et la Sous-commission sur la carrière judiciaire, qui travaille sur l’élection des juges et des magistrats.</w:t>
      </w:r>
    </w:p>
    <w:p w14:paraId="0FE8E35E" w14:textId="66AEF09E" w:rsidR="0081022C" w:rsidRPr="00B54D3D" w:rsidRDefault="0081022C" w:rsidP="0081022C">
      <w:pPr>
        <w:pStyle w:val="SingleTxtG"/>
      </w:pPr>
      <w:r>
        <w:rPr>
          <w:lang w:val="fr-FR"/>
        </w:rPr>
        <w:t>169.</w:t>
      </w:r>
      <w:r>
        <w:rPr>
          <w:lang w:val="fr-FR"/>
        </w:rPr>
        <w:tab/>
        <w:t>De même, la sous-commission chargée de travailler sur l’avant-projet de code de procédure agro</w:t>
      </w:r>
      <w:r w:rsidR="002C440C">
        <w:rPr>
          <w:lang w:val="fr-FR"/>
        </w:rPr>
        <w:t>-</w:t>
      </w:r>
      <w:r>
        <w:rPr>
          <w:lang w:val="fr-FR"/>
        </w:rPr>
        <w:t>environnementale a terminé ses travaux et a présenté son document final. Celui-ci est actuellement examiné par le Secrétariat technique de l’Unité d’analyse de la politique économique et sociale.</w:t>
      </w:r>
    </w:p>
    <w:p w14:paraId="74673575" w14:textId="77777777" w:rsidR="0081022C" w:rsidRPr="00B54D3D" w:rsidRDefault="0081022C" w:rsidP="0081022C">
      <w:pPr>
        <w:pStyle w:val="SingleTxtG"/>
      </w:pPr>
      <w:r>
        <w:rPr>
          <w:lang w:val="fr-FR"/>
        </w:rPr>
        <w:t>170.</w:t>
      </w:r>
      <w:r>
        <w:rPr>
          <w:lang w:val="fr-FR"/>
        </w:rPr>
        <w:tab/>
        <w:t>L’une des questions centrales abordées par la Commission de suivi des conclusions du Sommet de la Justice concerne la poursuite du processus de réforme du système judiciaire. À cette fin, six axes ont été définis et un travail de sensibilisation et de recueil des préoccupations, observations et suggestions a été mené, dans un premier temps avec les entités du secteur de la justice de tout le pays. Parallèlement, les secteurs les plus représentatifs de notre société (secteurs sociaux, barreaux, universités et autres) seront invités à faire des suggestions. Les axes thématiques sont les suivants : gestion du conflit, indépendance de la magistrature, accès à la justice, technologies de l’information et de la communication, élaboration des normes et transparence.</w:t>
      </w:r>
    </w:p>
    <w:p w14:paraId="367ABF11" w14:textId="77777777" w:rsidR="0081022C" w:rsidRPr="00B54D3D" w:rsidRDefault="0081022C" w:rsidP="0081022C">
      <w:pPr>
        <w:pStyle w:val="SingleTxtG"/>
      </w:pPr>
      <w:r>
        <w:rPr>
          <w:lang w:val="fr-FR"/>
        </w:rPr>
        <w:t>171.</w:t>
      </w:r>
      <w:r>
        <w:rPr>
          <w:lang w:val="fr-FR"/>
        </w:rPr>
        <w:tab/>
        <w:t>La loi n</w:t>
      </w:r>
      <w:r w:rsidRPr="00D96701">
        <w:rPr>
          <w:vertAlign w:val="superscript"/>
          <w:lang w:val="fr-FR"/>
        </w:rPr>
        <w:t>o</w:t>
      </w:r>
      <w:r>
        <w:rPr>
          <w:lang w:val="fr-FR"/>
        </w:rPr>
        <w:t> 929 a modifié les textes suivants : la loi n</w:t>
      </w:r>
      <w:r w:rsidRPr="00D96701">
        <w:rPr>
          <w:vertAlign w:val="superscript"/>
          <w:lang w:val="fr-FR"/>
        </w:rPr>
        <w:t>o</w:t>
      </w:r>
      <w:r>
        <w:rPr>
          <w:lang w:val="fr-FR"/>
        </w:rPr>
        <w:t> 025 du 24 juin 2010 (art. 20, 34, 134, 135, 166, 174 et 182), la loi n</w:t>
      </w:r>
      <w:r>
        <w:rPr>
          <w:vertAlign w:val="superscript"/>
          <w:lang w:val="fr-FR"/>
        </w:rPr>
        <w:t>o</w:t>
      </w:r>
      <w:r>
        <w:rPr>
          <w:lang w:val="fr-FR"/>
        </w:rPr>
        <w:t> 027 du 6 juillet 2010 (art. 13, 19, 20 et 26), ainsi que la loi n</w:t>
      </w:r>
      <w:r>
        <w:rPr>
          <w:vertAlign w:val="superscript"/>
          <w:lang w:val="fr-FR"/>
        </w:rPr>
        <w:t>o</w:t>
      </w:r>
      <w:r>
        <w:rPr>
          <w:lang w:val="fr-FR"/>
        </w:rPr>
        <w:t> 026 relative au régime électoral (art. 50, 76, 77, 79, 80, 81, 82, 84, 94 et 139).</w:t>
      </w:r>
    </w:p>
    <w:p w14:paraId="1E00C8DE" w14:textId="77777777" w:rsidR="0081022C" w:rsidRPr="00B54D3D" w:rsidRDefault="0081022C" w:rsidP="0081022C">
      <w:pPr>
        <w:pStyle w:val="SingleTxtG"/>
      </w:pPr>
      <w:r>
        <w:rPr>
          <w:lang w:val="fr-FR"/>
        </w:rPr>
        <w:t>172.</w:t>
      </w:r>
      <w:r>
        <w:rPr>
          <w:lang w:val="fr-FR"/>
        </w:rPr>
        <w:tab/>
        <w:t>Concernant la création de juridictions, en application de la loi n</w:t>
      </w:r>
      <w:r>
        <w:rPr>
          <w:vertAlign w:val="superscript"/>
          <w:lang w:val="fr-FR"/>
        </w:rPr>
        <w:t>o</w:t>
      </w:r>
      <w:r>
        <w:rPr>
          <w:lang w:val="fr-FR"/>
        </w:rPr>
        <w:t> 348 ont été créés des juridictions chargées des affaires de violence à l’égard des femmes, financées sur les fonds propres de l’autorité judiciaire, ainsi que 18 chambres d’instruction, deux juridictions du premier degré et un tribunal d’instance. Ensuite, en 2019, six chambres supplémentaires ont été créées sur les ressources du Trésor public, portant à 27 le nombre de chambres et de tribunaux spécialisés dans les affaires de violence et la lutte contre la corruption.</w:t>
      </w:r>
    </w:p>
    <w:p w14:paraId="1F26B063" w14:textId="1EB97E1D" w:rsidR="0081022C" w:rsidRPr="00B54D3D" w:rsidRDefault="0081022C" w:rsidP="0081022C">
      <w:pPr>
        <w:pStyle w:val="SingleTxtG"/>
      </w:pPr>
      <w:r>
        <w:rPr>
          <w:lang w:val="fr-FR"/>
        </w:rPr>
        <w:t>173.</w:t>
      </w:r>
      <w:r>
        <w:rPr>
          <w:lang w:val="fr-FR"/>
        </w:rPr>
        <w:tab/>
        <w:t>En 2018, 27 tribunaux de première instance ont été créés sur les fonds propres de l’autorité judiciaire et 25 autres avec des ressources supplémentaires du Trésor public. En</w:t>
      </w:r>
      <w:r w:rsidR="00B71CE9">
        <w:rPr>
          <w:lang w:val="fr-FR"/>
        </w:rPr>
        <w:t> </w:t>
      </w:r>
      <w:r>
        <w:rPr>
          <w:lang w:val="fr-FR"/>
        </w:rPr>
        <w:t>2019, un tribunal d’arrondissement compétent en matière de travail et de sécurité sociale a vu le jour et, dans le cadre de la loi n</w:t>
      </w:r>
      <w:r>
        <w:rPr>
          <w:vertAlign w:val="superscript"/>
          <w:lang w:val="fr-FR"/>
        </w:rPr>
        <w:t>o</w:t>
      </w:r>
      <w:r>
        <w:rPr>
          <w:lang w:val="fr-FR"/>
        </w:rPr>
        <w:t> 1173, 41 juridictions pénales d’instance ont été créées avec des ressources supplémentaires de la Trésorerie générale, soit 94 juridictions au total en deux ans.</w:t>
      </w:r>
    </w:p>
    <w:p w14:paraId="2A49813C" w14:textId="77777777" w:rsidR="0081022C" w:rsidRPr="00B54D3D" w:rsidRDefault="0081022C" w:rsidP="0081022C">
      <w:pPr>
        <w:pStyle w:val="SingleTxtG"/>
      </w:pPr>
      <w:r>
        <w:rPr>
          <w:lang w:val="fr-FR"/>
        </w:rPr>
        <w:t>174.</w:t>
      </w:r>
      <w:r>
        <w:rPr>
          <w:lang w:val="fr-FR"/>
        </w:rPr>
        <w:tab/>
        <w:t>La loi relative à l’accélération des procédures et au renforcement de la lutte globale contre la violence à l’égard des femmes, des adolescents et des enfants (loi n</w:t>
      </w:r>
      <w:r>
        <w:rPr>
          <w:vertAlign w:val="superscript"/>
          <w:lang w:val="fr-FR"/>
        </w:rPr>
        <w:t>o</w:t>
      </w:r>
      <w:r>
        <w:rPr>
          <w:lang w:val="fr-FR"/>
        </w:rPr>
        <w:t> 1173) a été promulguée. Son but est d’aboutir à des jugements rapides et en temps voulu en matière pénale, d’offrir une protection aux victimes de violence (femmes, enfants et adolescents), d’éviter la revictimisation, de réduire le nombre de placements en détention provisoire et d’assurer une protection aux femmes enceintes, aux mères allaitantes ayant un enfant de moins d’un an ou un enfant handicapé de moins de 6 ans à leur charge, ainsi qu’aux personnes âgées. Elle vise également à garantir le droit à l’accès à la technologie, entre autres.</w:t>
      </w:r>
    </w:p>
    <w:p w14:paraId="60EFA845" w14:textId="77777777" w:rsidR="0081022C" w:rsidRPr="00B54D3D" w:rsidRDefault="0081022C" w:rsidP="0081022C">
      <w:pPr>
        <w:pStyle w:val="SingleTxtG"/>
        <w:rPr>
          <w:spacing w:val="-4"/>
        </w:rPr>
      </w:pPr>
      <w:r>
        <w:rPr>
          <w:lang w:val="fr-FR"/>
        </w:rPr>
        <w:t>175.</w:t>
      </w:r>
      <w:r>
        <w:rPr>
          <w:lang w:val="fr-FR"/>
        </w:rPr>
        <w:tab/>
        <w:t>La loi n</w:t>
      </w:r>
      <w:r>
        <w:rPr>
          <w:vertAlign w:val="superscript"/>
          <w:lang w:val="fr-FR"/>
        </w:rPr>
        <w:t>o</w:t>
      </w:r>
      <w:r>
        <w:rPr>
          <w:lang w:val="fr-FR"/>
        </w:rPr>
        <w:t> 586 du 30 octobre 2014 sur le désengorgement du système pénal et le renforcement de l’efficacité de la justice pénale a également été promulguée. Elle met en place des procédures permettant d’accélérer l’examen des affaires pénales afin de désengorger le système pénal et d’apurer les retards pris dans les procédures pour faire en sorte que la justice soit rendue de manière rapide, diligente et efficace, comme en dispose la Constitution. Elle établit le principe de diligence ainsi que des règles relatives à la durée maximale des procédures dans le cadre des dispositions conventionnelles, modifie en partie le Code de procédure pénale, en ce qui concerne la création de tribunaux d’instance composés de trois juges techniques ayant compétence pour conduire le procès et prononcer un jugement dans tous les cas d’infractions entraînant la mise en mouvement de l’action publique, ces juges techniques remplaçant les trois juges non professionnels comme le prévoyait l’article 60 de la loi n</w:t>
      </w:r>
      <w:r>
        <w:rPr>
          <w:vertAlign w:val="superscript"/>
          <w:lang w:val="fr-FR"/>
        </w:rPr>
        <w:t>o</w:t>
      </w:r>
      <w:r>
        <w:rPr>
          <w:lang w:val="fr-FR"/>
        </w:rPr>
        <w:t> 025 du 24 juin 2010. La loi n</w:t>
      </w:r>
      <w:r>
        <w:rPr>
          <w:vertAlign w:val="superscript"/>
          <w:lang w:val="fr-FR"/>
        </w:rPr>
        <w:t>o</w:t>
      </w:r>
      <w:r>
        <w:rPr>
          <w:lang w:val="fr-FR"/>
        </w:rPr>
        <w:t xml:space="preserve"> 586 prévoit également de mettre fin à la détention provisoire dans les cas suivants : lorsque sa durée dépasse la durée de la peine </w:t>
      </w:r>
      <w:r>
        <w:rPr>
          <w:lang w:val="fr-FR"/>
        </w:rPr>
        <w:lastRenderedPageBreak/>
        <w:t>minimale prévue pour l’infraction la plus grave jugée ; lorsqu’elle dure depuis plus de douze mois sans que la personne ait été inculpée ou de vingt-quatre mois sans qu’un jugement ait été rendu, sauf en cas d’infractions de corruption, d’atteinte à la sûreté de l’État, de féminicide, d’homicide volontaire, de viol de nourrisson, de petite fille, de petit garçon ou d’adolescent(e), et d’infanticide ; lorsque la personne privée de liberté apporte la preuve qu’elle souffre d’une maladie en phase terminale.</w:t>
      </w:r>
    </w:p>
    <w:p w14:paraId="65175839" w14:textId="0D5CDB7F" w:rsidR="0081022C" w:rsidRPr="002014CD" w:rsidRDefault="0081022C" w:rsidP="00C23F94">
      <w:pPr>
        <w:pStyle w:val="H1G"/>
      </w:pPr>
      <w:r>
        <w:rPr>
          <w:lang w:val="fr-FR"/>
        </w:rPr>
        <w:tab/>
      </w:r>
      <w:r>
        <w:rPr>
          <w:lang w:val="fr-FR"/>
        </w:rPr>
        <w:tab/>
        <w:t>Liberté d’expression et violence à l’égard des défenseurs des droits de</w:t>
      </w:r>
      <w:r w:rsidR="00B71CE9">
        <w:rPr>
          <w:lang w:val="fr-FR"/>
        </w:rPr>
        <w:t> </w:t>
      </w:r>
      <w:r>
        <w:rPr>
          <w:lang w:val="fr-FR"/>
        </w:rPr>
        <w:t>l’homme et des journalistes (art. 6, 7, 9, 17, 19 et 22)</w:t>
      </w:r>
    </w:p>
    <w:p w14:paraId="4BA077E5" w14:textId="77777777" w:rsidR="0081022C" w:rsidRPr="002014CD" w:rsidRDefault="0081022C" w:rsidP="00C23F94">
      <w:pPr>
        <w:pStyle w:val="H23G"/>
      </w:pPr>
      <w:r>
        <w:rPr>
          <w:lang w:val="fr-FR"/>
        </w:rPr>
        <w:tab/>
        <w:t>21.</w:t>
      </w:r>
      <w:r>
        <w:rPr>
          <w:lang w:val="fr-FR"/>
        </w:rPr>
        <w:tab/>
        <w:t>Réponse au paragraphe 21 de la liste de points</w:t>
      </w:r>
    </w:p>
    <w:p w14:paraId="66246953" w14:textId="1BEA5BE0" w:rsidR="0081022C" w:rsidRPr="00B54D3D" w:rsidRDefault="0081022C" w:rsidP="0081022C">
      <w:pPr>
        <w:pStyle w:val="SingleTxtG"/>
      </w:pPr>
      <w:r>
        <w:rPr>
          <w:lang w:val="fr-FR"/>
        </w:rPr>
        <w:t>176.</w:t>
      </w:r>
      <w:r>
        <w:rPr>
          <w:lang w:val="fr-FR"/>
        </w:rPr>
        <w:tab/>
        <w:t>S’agissant de la protection des journalistes, la police bolivienne a publié la circulaire fax n</w:t>
      </w:r>
      <w:r>
        <w:rPr>
          <w:vertAlign w:val="superscript"/>
          <w:lang w:val="fr-FR"/>
        </w:rPr>
        <w:t>o</w:t>
      </w:r>
      <w:r w:rsidR="00C23F94">
        <w:rPr>
          <w:lang w:val="fr-FR"/>
        </w:rPr>
        <w:t> </w:t>
      </w:r>
      <w:r>
        <w:rPr>
          <w:lang w:val="fr-FR"/>
        </w:rPr>
        <w:t>196/2019 du 4 novembre 2019, en application de laquelle les précautions nécessaires doivent être prises pour offrir des garanties constitutionnelles aux professionnels de la presse dans le cadre de leur couverture médiatique et pour protéger le droit à l’information de la</w:t>
      </w:r>
      <w:r w:rsidR="00B71CE9">
        <w:rPr>
          <w:lang w:val="fr-FR"/>
        </w:rPr>
        <w:t> </w:t>
      </w:r>
      <w:r>
        <w:rPr>
          <w:lang w:val="fr-FR"/>
        </w:rPr>
        <w:t>population.</w:t>
      </w:r>
    </w:p>
    <w:p w14:paraId="1DE98CE4" w14:textId="1190AAFB" w:rsidR="0081022C" w:rsidRPr="00B54D3D" w:rsidRDefault="0081022C" w:rsidP="0081022C">
      <w:pPr>
        <w:pStyle w:val="SingleTxtG"/>
        <w:rPr>
          <w:b/>
        </w:rPr>
      </w:pPr>
      <w:r>
        <w:rPr>
          <w:lang w:val="fr-FR"/>
        </w:rPr>
        <w:t>177.</w:t>
      </w:r>
      <w:r>
        <w:rPr>
          <w:lang w:val="fr-FR"/>
        </w:rPr>
        <w:tab/>
        <w:t>En ce qui concerne les défenseurs des droits de l’homme, il convient de noter que le Ministère de la justice et de la transparence institutionnelle a émis l’arrêté ministériel n</w:t>
      </w:r>
      <w:r>
        <w:rPr>
          <w:vertAlign w:val="superscript"/>
          <w:lang w:val="fr-FR"/>
        </w:rPr>
        <w:t>o</w:t>
      </w:r>
      <w:r w:rsidR="00C23F94">
        <w:rPr>
          <w:lang w:val="fr-FR"/>
        </w:rPr>
        <w:t> </w:t>
      </w:r>
      <w:r>
        <w:rPr>
          <w:lang w:val="fr-FR"/>
        </w:rPr>
        <w:t>143/2020 du 9 décembre 2020, conformément à la Constitution politique de l’État. Celui</w:t>
      </w:r>
      <w:r w:rsidR="00B71CE9">
        <w:rPr>
          <w:lang w:val="fr-FR"/>
        </w:rPr>
        <w:noBreakHyphen/>
      </w:r>
      <w:r>
        <w:rPr>
          <w:lang w:val="fr-FR"/>
        </w:rPr>
        <w:t>ci dispose notamment : « PREMIÈREMENT : promouvoir et diffuser la Déclaration sur le droit et la responsabilité des individus, groupes et organes de la société de promouvoir et protéger les droits de l’homme et les libertés fondamentales universellement reconnus, adoptée à la cinquante-troisième session de l’Assemblée générale des Nations</w:t>
      </w:r>
      <w:r w:rsidR="00B71CE9">
        <w:rPr>
          <w:lang w:val="fr-FR"/>
        </w:rPr>
        <w:t> U</w:t>
      </w:r>
      <w:r>
        <w:rPr>
          <w:lang w:val="fr-FR"/>
        </w:rPr>
        <w:t>nies par la résolution A/RES/53/144 du 8 mars 1999, par l’intermédiaire du Vice-Ministère de la justice et des droits fondamentaux, relevant du Ministère de la justice et de la transparence institutionnelle […]. »</w:t>
      </w:r>
      <w:r w:rsidR="00C23F94">
        <w:rPr>
          <w:lang w:val="fr-FR"/>
        </w:rPr>
        <w:t>.</w:t>
      </w:r>
    </w:p>
    <w:p w14:paraId="23CEC459" w14:textId="5D0891DE" w:rsidR="0081022C" w:rsidRPr="00577C44" w:rsidRDefault="0081022C" w:rsidP="0081022C">
      <w:pPr>
        <w:pStyle w:val="SingleTxtG"/>
      </w:pPr>
      <w:r>
        <w:rPr>
          <w:lang w:val="fr-FR"/>
        </w:rPr>
        <w:t>178.</w:t>
      </w:r>
      <w:r>
        <w:rPr>
          <w:lang w:val="fr-FR"/>
        </w:rPr>
        <w:tab/>
        <w:t>Entre mars et mai 2020, le Gouvernement de transition a publié des décrets suprêmes restreignant la liberté d’expression, ce qui a alarmé les professionnels de la presse. Face à cette situation, le 14 mai 2021, le Bureau du Défenseur du peuple a déposé un recours en inconstitutionnalité abstraite contre le décret suprême n</w:t>
      </w:r>
      <w:r>
        <w:rPr>
          <w:vertAlign w:val="superscript"/>
          <w:lang w:val="fr-FR"/>
        </w:rPr>
        <w:t>o</w:t>
      </w:r>
      <w:r>
        <w:rPr>
          <w:lang w:val="fr-FR"/>
        </w:rPr>
        <w:t> 4231 du 7 mai 2020 et les règlements connexes, pour atteinte grave à la liberté d’expression. Les effets de la disposition additionnelle unique du décret suprême n</w:t>
      </w:r>
      <w:r>
        <w:rPr>
          <w:vertAlign w:val="superscript"/>
          <w:lang w:val="fr-FR"/>
        </w:rPr>
        <w:t>o</w:t>
      </w:r>
      <w:r>
        <w:rPr>
          <w:lang w:val="fr-FR"/>
        </w:rPr>
        <w:t> 4231 ont été jugés inconstitutionnels. Sa teneur est la suivante : « DISPOSITION ADDITIONNELLE UNIQUE : le paragraphe II de l’article 7 du décret suprême n</w:t>
      </w:r>
      <w:r>
        <w:rPr>
          <w:vertAlign w:val="superscript"/>
          <w:lang w:val="fr-FR"/>
        </w:rPr>
        <w:t>o</w:t>
      </w:r>
      <w:r>
        <w:rPr>
          <w:lang w:val="fr-FR"/>
        </w:rPr>
        <w:t> 4199 du 21 mars 2020 et le paragraphe II de l’article 13 du décret suprême n</w:t>
      </w:r>
      <w:r>
        <w:rPr>
          <w:vertAlign w:val="superscript"/>
          <w:lang w:val="fr-FR"/>
        </w:rPr>
        <w:t>o</w:t>
      </w:r>
      <w:r>
        <w:rPr>
          <w:lang w:val="fr-FR"/>
        </w:rPr>
        <w:t> 4200 du 25 mars 2020 sont modifiés comme suit : II.</w:t>
      </w:r>
      <w:r w:rsidR="00C23F94">
        <w:rPr>
          <w:lang w:val="fr-FR"/>
        </w:rPr>
        <w:t> </w:t>
      </w:r>
      <w:r w:rsidRPr="00577C44">
        <w:rPr>
          <w:lang w:val="fr-FR"/>
        </w:rPr>
        <w:t>Toute personne encourage</w:t>
      </w:r>
      <w:r>
        <w:rPr>
          <w:lang w:val="fr-FR"/>
        </w:rPr>
        <w:t>ant</w:t>
      </w:r>
      <w:r w:rsidRPr="00577C44">
        <w:rPr>
          <w:lang w:val="fr-FR"/>
        </w:rPr>
        <w:t xml:space="preserve"> le non-respect du présent décret suprême ou diffus</w:t>
      </w:r>
      <w:r>
        <w:rPr>
          <w:lang w:val="fr-FR"/>
        </w:rPr>
        <w:t>ant</w:t>
      </w:r>
      <w:r w:rsidRPr="00577C44">
        <w:rPr>
          <w:lang w:val="fr-FR"/>
        </w:rPr>
        <w:t xml:space="preserve"> des informations de toute nature, sous forme écrite, imprimée ou artistique</w:t>
      </w:r>
      <w:r>
        <w:rPr>
          <w:lang w:val="fr-FR"/>
        </w:rPr>
        <w:t xml:space="preserve">, </w:t>
      </w:r>
      <w:r w:rsidRPr="00577C44">
        <w:rPr>
          <w:lang w:val="fr-FR"/>
        </w:rPr>
        <w:t xml:space="preserve">ou par tout autre moyen, qui mettent en danger ou portent atteinte à la santé publique, en </w:t>
      </w:r>
      <w:r>
        <w:rPr>
          <w:lang w:val="fr-FR"/>
        </w:rPr>
        <w:t>créant un climat d’incertitude</w:t>
      </w:r>
      <w:r w:rsidRPr="00577C44">
        <w:rPr>
          <w:lang w:val="fr-FR"/>
        </w:rPr>
        <w:t xml:space="preserve"> au sein de la population, sont passibles de poursuites pour la commission d</w:t>
      </w:r>
      <w:r>
        <w:rPr>
          <w:lang w:val="fr-FR"/>
        </w:rPr>
        <w:t>’</w:t>
      </w:r>
      <w:r w:rsidRPr="00577C44">
        <w:rPr>
          <w:lang w:val="fr-FR"/>
        </w:rPr>
        <w:t>infractions visées par le Code pénal. »</w:t>
      </w:r>
      <w:r w:rsidR="00C23F94">
        <w:rPr>
          <w:lang w:val="fr-FR"/>
        </w:rPr>
        <w:t>.</w:t>
      </w:r>
    </w:p>
    <w:p w14:paraId="4E4F42AD" w14:textId="77777777" w:rsidR="0081022C" w:rsidRPr="00B54D3D" w:rsidRDefault="0081022C" w:rsidP="0081022C">
      <w:pPr>
        <w:pStyle w:val="SingleTxtG"/>
      </w:pPr>
      <w:r>
        <w:rPr>
          <w:lang w:val="fr-FR"/>
        </w:rPr>
        <w:t>179.</w:t>
      </w:r>
      <w:r>
        <w:rPr>
          <w:lang w:val="fr-FR"/>
        </w:rPr>
        <w:tab/>
        <w:t>Les conditions d’octroi de la personnalité juridique aux organisations non gouvernementales sont fixées par la loi n</w:t>
      </w:r>
      <w:r>
        <w:rPr>
          <w:vertAlign w:val="superscript"/>
          <w:lang w:val="fr-FR"/>
        </w:rPr>
        <w:t>o</w:t>
      </w:r>
      <w:r>
        <w:rPr>
          <w:lang w:val="fr-FR"/>
        </w:rPr>
        <w:t> 351 du 19 mars 2013 relative à l’attribution de la personnalité juridique et par le décret suprême n</w:t>
      </w:r>
      <w:r>
        <w:rPr>
          <w:vertAlign w:val="superscript"/>
          <w:lang w:val="fr-FR"/>
        </w:rPr>
        <w:t>o</w:t>
      </w:r>
      <w:r>
        <w:rPr>
          <w:lang w:val="fr-FR"/>
        </w:rPr>
        <w:t> 1987 du 30 avril 2014 portant règlement d’application partiel de la loi précitée.</w:t>
      </w:r>
    </w:p>
    <w:p w14:paraId="51BDD777" w14:textId="77777777" w:rsidR="0081022C" w:rsidRPr="002014CD" w:rsidRDefault="0081022C" w:rsidP="00C23F94">
      <w:pPr>
        <w:pStyle w:val="H1G"/>
      </w:pPr>
      <w:r>
        <w:rPr>
          <w:lang w:val="fr-FR"/>
        </w:rPr>
        <w:tab/>
      </w:r>
      <w:r>
        <w:rPr>
          <w:lang w:val="fr-FR"/>
        </w:rPr>
        <w:tab/>
        <w:t>Droits de l’enfant et certificats de naissance (art. 16, 23 et 24)</w:t>
      </w:r>
    </w:p>
    <w:p w14:paraId="7AFFCA4A" w14:textId="77777777" w:rsidR="0081022C" w:rsidRPr="002014CD" w:rsidRDefault="0081022C" w:rsidP="00C23F94">
      <w:pPr>
        <w:pStyle w:val="H23G"/>
      </w:pPr>
      <w:r>
        <w:rPr>
          <w:lang w:val="fr-FR"/>
        </w:rPr>
        <w:tab/>
        <w:t>22.</w:t>
      </w:r>
      <w:r>
        <w:rPr>
          <w:lang w:val="fr-FR"/>
        </w:rPr>
        <w:tab/>
        <w:t>Réponse au paragraphe 22 de la liste de points</w:t>
      </w:r>
    </w:p>
    <w:p w14:paraId="420085D3" w14:textId="77777777" w:rsidR="0081022C" w:rsidRPr="00B54D3D" w:rsidRDefault="0081022C" w:rsidP="0081022C">
      <w:pPr>
        <w:pStyle w:val="SingleTxtG"/>
      </w:pPr>
      <w:r>
        <w:rPr>
          <w:lang w:val="fr-FR"/>
        </w:rPr>
        <w:t>180.</w:t>
      </w:r>
      <w:r>
        <w:rPr>
          <w:lang w:val="fr-FR"/>
        </w:rPr>
        <w:tab/>
        <w:t>L’article 142 de la Constitution politique de l’État reconnaît la nationalité bolivienne par la naissance aux personnes nées sur le territoire bolivien, à l’exception des enfants du personnel étranger en mission diplomatique. Il prévoit également la possibilité d’acquérir la nationalité bolivienne par naturalisation. La citoyenneté bolivienne implique la reconnaissance des droits et des devoirs établis dans la Constitution et dans le reste du système juridique national.</w:t>
      </w:r>
    </w:p>
    <w:p w14:paraId="291ABCC1" w14:textId="77777777" w:rsidR="0081022C" w:rsidRPr="00B54D3D" w:rsidRDefault="0081022C" w:rsidP="0081022C">
      <w:pPr>
        <w:pStyle w:val="SingleTxtG"/>
      </w:pPr>
      <w:r>
        <w:rPr>
          <w:lang w:val="fr-FR"/>
        </w:rPr>
        <w:lastRenderedPageBreak/>
        <w:t>181.</w:t>
      </w:r>
      <w:r>
        <w:rPr>
          <w:lang w:val="fr-FR"/>
        </w:rPr>
        <w:tab/>
        <w:t>De même, l’article 108 du Code de l’enfance et de l’adolescence établit que les enfants acquièrent la nationalité bolivienne dès leur naissance sur le territoire de l’État plurinational, tout comme ceux qui sont nés à l’étranger d’une mère ou d’un père bolivien, conformément aux dispositions de la Constitution politique de l’État, sans autre condition.</w:t>
      </w:r>
    </w:p>
    <w:p w14:paraId="01C80E6F" w14:textId="77777777" w:rsidR="0081022C" w:rsidRPr="00B54D3D" w:rsidRDefault="0081022C" w:rsidP="0081022C">
      <w:pPr>
        <w:pStyle w:val="SingleTxtG"/>
      </w:pPr>
      <w:r>
        <w:rPr>
          <w:lang w:val="fr-FR"/>
        </w:rPr>
        <w:t>182.</w:t>
      </w:r>
      <w:r>
        <w:rPr>
          <w:lang w:val="fr-FR"/>
        </w:rPr>
        <w:tab/>
        <w:t>En ce qui concerne l’enregistrement des naissances, l’article 113 dispose que l’officier d’état civil, au moment de l’enregistrement, peut guider la mère, le père, le tuteur, la personne ayant la garde de l’enfant ou son tuteur afin que le nom donné à l’enfant ne soit pas un motif de discrimination. Il précise que l’officier d’état civil a l’obligation de respecter les noms et prénoms originaux attribués par la mère, le père ou l’autorité d’une nation ou d’un peuple autochtone paysan. À cet égard, l’article 5 du règlement relatif à l’enregistrement des naissances par le service de l’état civil établit que les officiers d’état civil, lors de l’enregistrement des actes de naissance des personnes appartenant à un peuple autochtone, doivent enregistrer leurs noms et prénoms en respectant leur identité culturelle et conformément aux dispositions légales en vigueur, afin de garantir le droit à l’identité dans le respect de l’identité culturelle.</w:t>
      </w:r>
    </w:p>
    <w:p w14:paraId="72DE7563" w14:textId="4C8B46E8" w:rsidR="0081022C" w:rsidRPr="00B54D3D" w:rsidRDefault="0081022C" w:rsidP="0081022C">
      <w:pPr>
        <w:pStyle w:val="SingleTxtG"/>
      </w:pPr>
      <w:r>
        <w:rPr>
          <w:lang w:val="fr-FR"/>
        </w:rPr>
        <w:t>183.</w:t>
      </w:r>
      <w:r>
        <w:rPr>
          <w:lang w:val="fr-FR"/>
        </w:rPr>
        <w:tab/>
        <w:t>D’autre part, l’article 114 du Code de l’enfance et de l’adolescence régit l’inscription au registre d’état civil et garantit le droit de recevoir gratuitement le premier certificat de</w:t>
      </w:r>
      <w:r w:rsidR="00234638">
        <w:rPr>
          <w:lang w:val="fr-FR"/>
        </w:rPr>
        <w:t> </w:t>
      </w:r>
      <w:r>
        <w:rPr>
          <w:lang w:val="fr-FR"/>
        </w:rPr>
        <w:t>naissance.</w:t>
      </w:r>
    </w:p>
    <w:p w14:paraId="5B4A5897" w14:textId="3366AC99" w:rsidR="0081022C" w:rsidRPr="00B54D3D" w:rsidRDefault="0081022C" w:rsidP="0081022C">
      <w:pPr>
        <w:pStyle w:val="SingleTxtG"/>
      </w:pPr>
      <w:r>
        <w:rPr>
          <w:lang w:val="fr-FR"/>
        </w:rPr>
        <w:t>184.</w:t>
      </w:r>
      <w:r>
        <w:rPr>
          <w:lang w:val="fr-FR"/>
        </w:rPr>
        <w:tab/>
        <w:t xml:space="preserve">L’article 120 du même </w:t>
      </w:r>
      <w:r w:rsidR="00234638">
        <w:rPr>
          <w:lang w:val="fr-FR"/>
        </w:rPr>
        <w:t>c</w:t>
      </w:r>
      <w:r>
        <w:rPr>
          <w:lang w:val="fr-FR"/>
        </w:rPr>
        <w:t>ode prévoit que tout enfant a le droit à la reconnaissance et au respect de la culture à laquelle il appartient ou s’identifie, le droit d’apprendre et de pratiquer cette culture et le droit de participer librement et pleinement à la vie culturelle et artistique correspondant à son identité et à sa communauté.</w:t>
      </w:r>
    </w:p>
    <w:p w14:paraId="4E3592EA" w14:textId="77777777" w:rsidR="0081022C" w:rsidRPr="00B54D3D" w:rsidRDefault="0081022C" w:rsidP="0081022C">
      <w:pPr>
        <w:pStyle w:val="SingleTxtG"/>
      </w:pPr>
      <w:r>
        <w:rPr>
          <w:lang w:val="fr-FR"/>
        </w:rPr>
        <w:t>185.</w:t>
      </w:r>
      <w:r>
        <w:rPr>
          <w:lang w:val="fr-FR"/>
        </w:rPr>
        <w:tab/>
        <w:t>À cet égard, les dispositions suivantes ont été prises :</w:t>
      </w:r>
    </w:p>
    <w:p w14:paraId="7851F0B9" w14:textId="079C64C3" w:rsidR="0081022C" w:rsidRPr="00055451" w:rsidRDefault="0081022C" w:rsidP="00C23F94">
      <w:pPr>
        <w:pStyle w:val="SingleTxtG"/>
        <w:ind w:firstLine="567"/>
        <w:rPr>
          <w:lang w:val="fr-FR"/>
        </w:rPr>
      </w:pPr>
      <w:r>
        <w:rPr>
          <w:lang w:val="fr-FR"/>
        </w:rPr>
        <w:t>1.</w:t>
      </w:r>
      <w:r>
        <w:rPr>
          <w:lang w:val="fr-FR"/>
        </w:rPr>
        <w:tab/>
        <w:t>L’inscription au registre d’état civil et le premier certificat de naissance des enfants et des adolescents sont gratuits</w:t>
      </w:r>
      <w:r w:rsidR="00C23F94">
        <w:rPr>
          <w:lang w:val="fr-FR"/>
        </w:rPr>
        <w:t> ;</w:t>
      </w:r>
    </w:p>
    <w:p w14:paraId="7A8CE19D" w14:textId="6BBD77AA" w:rsidR="0081022C" w:rsidRPr="002014CD" w:rsidRDefault="0081022C" w:rsidP="00C23F94">
      <w:pPr>
        <w:pStyle w:val="SingleTxtG"/>
        <w:ind w:firstLine="567"/>
      </w:pPr>
      <w:r>
        <w:rPr>
          <w:lang w:val="fr-FR"/>
        </w:rPr>
        <w:t>2.</w:t>
      </w:r>
      <w:r>
        <w:rPr>
          <w:lang w:val="fr-FR"/>
        </w:rPr>
        <w:tab/>
        <w:t>Le délai pour l’enregistrement des naissances est fixé aux 12 ans de l’enfant</w:t>
      </w:r>
      <w:r w:rsidR="00C23F94">
        <w:rPr>
          <w:lang w:val="fr-FR"/>
        </w:rPr>
        <w:t> ;</w:t>
      </w:r>
    </w:p>
    <w:p w14:paraId="09B84058" w14:textId="7E90A9E9" w:rsidR="0081022C" w:rsidRPr="002014CD" w:rsidRDefault="0081022C" w:rsidP="00C23F94">
      <w:pPr>
        <w:pStyle w:val="SingleTxtG"/>
        <w:ind w:firstLine="567"/>
      </w:pPr>
      <w:r>
        <w:rPr>
          <w:lang w:val="fr-FR"/>
        </w:rPr>
        <w:t>3.</w:t>
      </w:r>
      <w:r>
        <w:rPr>
          <w:lang w:val="fr-FR"/>
        </w:rPr>
        <w:tab/>
        <w:t>Les documents suivants peuvent attester de la naissance d’un enfant : certificat de naissance vivante, bulletin scolaire, tout document sur lequel figure le nom de l’enfant, ou encore une déclaration sous serment de deux témoins majeurs munis de pièces d’identité</w:t>
      </w:r>
      <w:r w:rsidR="00C23F94">
        <w:rPr>
          <w:lang w:val="fr-FR"/>
        </w:rPr>
        <w:t> ;</w:t>
      </w:r>
    </w:p>
    <w:p w14:paraId="7C8930A1" w14:textId="0AE61B4F" w:rsidR="0081022C" w:rsidRPr="002014CD" w:rsidRDefault="0081022C" w:rsidP="00C23F94">
      <w:pPr>
        <w:pStyle w:val="SingleTxtG"/>
        <w:ind w:firstLine="567"/>
      </w:pPr>
      <w:r>
        <w:rPr>
          <w:lang w:val="fr-FR"/>
        </w:rPr>
        <w:t>4.</w:t>
      </w:r>
      <w:r>
        <w:rPr>
          <w:lang w:val="fr-FR"/>
        </w:rPr>
        <w:tab/>
        <w:t>Les personnes suivantes peuvent solliciter l’inscription au registre d’état civil : les parents ou les tuteurs, ou, en leur absence, les parents jusqu’au troisième degré de parenté biologique, et, à défaut, les autorités municipales, ecclésiastiques, administratives et judiciaires, les organisations communautaires et les directeurs de centres d’accueil publics ou privés pour les enfants abandonnés</w:t>
      </w:r>
      <w:r w:rsidR="00C23F94">
        <w:rPr>
          <w:lang w:val="fr-FR"/>
        </w:rPr>
        <w:t> ;</w:t>
      </w:r>
    </w:p>
    <w:p w14:paraId="361B8753" w14:textId="4FA0661D" w:rsidR="0081022C" w:rsidRPr="002014CD" w:rsidRDefault="0081022C" w:rsidP="00C23F94">
      <w:pPr>
        <w:pStyle w:val="SingleTxtG"/>
        <w:ind w:firstLine="567"/>
      </w:pPr>
      <w:r>
        <w:rPr>
          <w:lang w:val="fr-FR"/>
        </w:rPr>
        <w:t>5.</w:t>
      </w:r>
      <w:r>
        <w:rPr>
          <w:lang w:val="fr-FR"/>
        </w:rPr>
        <w:tab/>
        <w:t>Après expiration du délai d’inscription, l’enregistrement peut être réalisé au moyen d’une procédure administrative</w:t>
      </w:r>
      <w:r w:rsidR="00C23F94">
        <w:rPr>
          <w:lang w:val="fr-FR"/>
        </w:rPr>
        <w:t> ;</w:t>
      </w:r>
    </w:p>
    <w:p w14:paraId="59235849" w14:textId="41AA0A24" w:rsidR="0081022C" w:rsidRPr="002014CD" w:rsidRDefault="0081022C" w:rsidP="00C23F94">
      <w:pPr>
        <w:pStyle w:val="SingleTxtG"/>
        <w:ind w:firstLine="567"/>
      </w:pPr>
      <w:r>
        <w:rPr>
          <w:lang w:val="fr-FR"/>
        </w:rPr>
        <w:t>6.</w:t>
      </w:r>
      <w:r>
        <w:rPr>
          <w:lang w:val="fr-FR"/>
        </w:rPr>
        <w:tab/>
        <w:t>L’enregistrement de l’identité culturelle d’une nation autochtone ou d’un peuple autochtone paysan a été approuvé</w:t>
      </w:r>
      <w:r w:rsidR="00234638">
        <w:rPr>
          <w:lang w:val="fr-FR"/>
        </w:rPr>
        <w:t xml:space="preserve"> </w:t>
      </w:r>
      <w:r>
        <w:rPr>
          <w:lang w:val="fr-FR"/>
        </w:rPr>
        <w:t>par la résolution TSE-RSP-ADM n</w:t>
      </w:r>
      <w:r>
        <w:rPr>
          <w:vertAlign w:val="superscript"/>
          <w:lang w:val="fr-FR"/>
        </w:rPr>
        <w:t>o</w:t>
      </w:r>
      <w:r>
        <w:rPr>
          <w:lang w:val="fr-FR"/>
        </w:rPr>
        <w:t> 055/2019 du 23 janvier 2019</w:t>
      </w:r>
      <w:r w:rsidR="00C23F94">
        <w:rPr>
          <w:lang w:val="fr-FR"/>
        </w:rPr>
        <w:t> ;</w:t>
      </w:r>
    </w:p>
    <w:p w14:paraId="3BFEE041" w14:textId="77777777" w:rsidR="0081022C" w:rsidRPr="002014CD" w:rsidRDefault="0081022C" w:rsidP="00C23F94">
      <w:pPr>
        <w:pStyle w:val="SingleTxtG"/>
        <w:ind w:firstLine="567"/>
      </w:pPr>
      <w:r>
        <w:rPr>
          <w:lang w:val="fr-FR"/>
        </w:rPr>
        <w:t>7.</w:t>
      </w:r>
      <w:r>
        <w:rPr>
          <w:lang w:val="fr-FR"/>
        </w:rPr>
        <w:tab/>
        <w:t>Le service de l’état civil est actif sur tout le territoire.</w:t>
      </w:r>
    </w:p>
    <w:p w14:paraId="3BEE017E" w14:textId="77777777" w:rsidR="0081022C" w:rsidRPr="002014CD" w:rsidRDefault="0081022C" w:rsidP="00C23F94">
      <w:pPr>
        <w:pStyle w:val="H1G"/>
      </w:pPr>
      <w:r>
        <w:rPr>
          <w:lang w:val="fr-FR"/>
        </w:rPr>
        <w:tab/>
      </w:r>
      <w:r>
        <w:rPr>
          <w:lang w:val="fr-FR"/>
        </w:rPr>
        <w:tab/>
        <w:t>Migrants, demandeurs d’asile et réfugiés (art. 2, 9, 10, 12, 13 et 26)</w:t>
      </w:r>
    </w:p>
    <w:p w14:paraId="34BC1D7C" w14:textId="77777777" w:rsidR="0081022C" w:rsidRPr="002014CD" w:rsidRDefault="0081022C" w:rsidP="00C23F94">
      <w:pPr>
        <w:pStyle w:val="H23G"/>
      </w:pPr>
      <w:r>
        <w:rPr>
          <w:lang w:val="fr-FR"/>
        </w:rPr>
        <w:tab/>
        <w:t>23.</w:t>
      </w:r>
      <w:r>
        <w:rPr>
          <w:lang w:val="fr-FR"/>
        </w:rPr>
        <w:tab/>
        <w:t>Réponse au paragraphe 23 de la liste de points</w:t>
      </w:r>
    </w:p>
    <w:p w14:paraId="2FC3E84D" w14:textId="77777777" w:rsidR="0081022C" w:rsidRPr="00B54D3D" w:rsidRDefault="0081022C" w:rsidP="00C23F94">
      <w:pPr>
        <w:pStyle w:val="H23G"/>
      </w:pPr>
      <w:r>
        <w:rPr>
          <w:lang w:val="fr-FR"/>
        </w:rPr>
        <w:tab/>
      </w:r>
      <w:r>
        <w:rPr>
          <w:lang w:val="fr-FR"/>
        </w:rPr>
        <w:tab/>
        <w:t>Données statistiques sur le nombre de réfugiés</w:t>
      </w:r>
    </w:p>
    <w:tbl>
      <w:tblPr>
        <w:tblW w:w="7370" w:type="dxa"/>
        <w:tblInd w:w="1134" w:type="dxa"/>
        <w:tblLayout w:type="fixed"/>
        <w:tblCellMar>
          <w:left w:w="0" w:type="dxa"/>
          <w:right w:w="0" w:type="dxa"/>
        </w:tblCellMar>
        <w:tblLook w:val="04A0" w:firstRow="1" w:lastRow="0" w:firstColumn="1" w:lastColumn="0" w:noHBand="0" w:noVBand="1"/>
      </w:tblPr>
      <w:tblGrid>
        <w:gridCol w:w="3127"/>
        <w:gridCol w:w="2092"/>
        <w:gridCol w:w="2151"/>
      </w:tblGrid>
      <w:tr w:rsidR="0081022C" w:rsidRPr="00C23F94" w14:paraId="4B3F0745" w14:textId="77777777" w:rsidTr="00C23F94">
        <w:trPr>
          <w:tblHeader/>
        </w:trPr>
        <w:tc>
          <w:tcPr>
            <w:tcW w:w="3127" w:type="dxa"/>
            <w:tcBorders>
              <w:top w:val="single" w:sz="4" w:space="0" w:color="auto"/>
              <w:bottom w:val="single" w:sz="12" w:space="0" w:color="auto"/>
            </w:tcBorders>
            <w:shd w:val="clear" w:color="auto" w:fill="auto"/>
            <w:vAlign w:val="bottom"/>
          </w:tcPr>
          <w:p w14:paraId="09B3AC0A" w14:textId="77777777" w:rsidR="0081022C" w:rsidRPr="00C23F94" w:rsidRDefault="0081022C" w:rsidP="00C23F94">
            <w:pPr>
              <w:suppressAutoHyphens w:val="0"/>
              <w:spacing w:before="80" w:after="80" w:line="200" w:lineRule="exact"/>
              <w:rPr>
                <w:i/>
                <w:sz w:val="16"/>
              </w:rPr>
            </w:pPr>
            <w:r w:rsidRPr="00C23F94">
              <w:rPr>
                <w:i/>
                <w:sz w:val="16"/>
                <w:lang w:val="fr-FR"/>
              </w:rPr>
              <w:t>Année</w:t>
            </w:r>
          </w:p>
        </w:tc>
        <w:tc>
          <w:tcPr>
            <w:tcW w:w="2092" w:type="dxa"/>
            <w:tcBorders>
              <w:top w:val="single" w:sz="4" w:space="0" w:color="auto"/>
              <w:bottom w:val="single" w:sz="12" w:space="0" w:color="auto"/>
            </w:tcBorders>
            <w:shd w:val="clear" w:color="auto" w:fill="auto"/>
            <w:noWrap/>
            <w:vAlign w:val="bottom"/>
            <w:hideMark/>
          </w:tcPr>
          <w:p w14:paraId="4CDBBBD9" w14:textId="77777777" w:rsidR="0081022C" w:rsidRPr="00C23F94" w:rsidRDefault="0081022C" w:rsidP="00C23F94">
            <w:pPr>
              <w:suppressAutoHyphens w:val="0"/>
              <w:spacing w:before="80" w:after="80" w:line="200" w:lineRule="exact"/>
              <w:jc w:val="right"/>
              <w:rPr>
                <w:i/>
                <w:sz w:val="16"/>
              </w:rPr>
            </w:pPr>
            <w:r w:rsidRPr="00C23F94">
              <w:rPr>
                <w:i/>
                <w:sz w:val="16"/>
                <w:lang w:val="fr-FR"/>
              </w:rPr>
              <w:t>Demandeurs</w:t>
            </w:r>
          </w:p>
        </w:tc>
        <w:tc>
          <w:tcPr>
            <w:tcW w:w="2151" w:type="dxa"/>
            <w:tcBorders>
              <w:top w:val="single" w:sz="4" w:space="0" w:color="auto"/>
              <w:bottom w:val="single" w:sz="12" w:space="0" w:color="auto"/>
            </w:tcBorders>
            <w:shd w:val="clear" w:color="auto" w:fill="auto"/>
            <w:noWrap/>
            <w:vAlign w:val="bottom"/>
            <w:hideMark/>
          </w:tcPr>
          <w:p w14:paraId="24C240DC" w14:textId="77777777" w:rsidR="0081022C" w:rsidRPr="00C23F94" w:rsidRDefault="0081022C" w:rsidP="00C23F94">
            <w:pPr>
              <w:suppressAutoHyphens w:val="0"/>
              <w:spacing w:before="80" w:after="80" w:line="200" w:lineRule="exact"/>
              <w:jc w:val="right"/>
              <w:rPr>
                <w:i/>
                <w:sz w:val="16"/>
              </w:rPr>
            </w:pPr>
            <w:r w:rsidRPr="00C23F94">
              <w:rPr>
                <w:i/>
                <w:sz w:val="16"/>
                <w:lang w:val="fr-FR"/>
              </w:rPr>
              <w:t>Réfugiés</w:t>
            </w:r>
          </w:p>
        </w:tc>
      </w:tr>
      <w:tr w:rsidR="0081022C" w:rsidRPr="00C23F94" w14:paraId="30E17C3D" w14:textId="77777777" w:rsidTr="00C23F94">
        <w:tc>
          <w:tcPr>
            <w:tcW w:w="3127" w:type="dxa"/>
            <w:tcBorders>
              <w:top w:val="single" w:sz="12" w:space="0" w:color="auto"/>
            </w:tcBorders>
            <w:shd w:val="clear" w:color="auto" w:fill="auto"/>
          </w:tcPr>
          <w:p w14:paraId="4C06C99E" w14:textId="77777777" w:rsidR="0081022C" w:rsidRPr="00C23F94" w:rsidRDefault="0081022C" w:rsidP="00C23F94">
            <w:pPr>
              <w:suppressAutoHyphens w:val="0"/>
              <w:spacing w:before="40" w:after="40" w:line="220" w:lineRule="exact"/>
              <w:rPr>
                <w:sz w:val="18"/>
              </w:rPr>
            </w:pPr>
            <w:r w:rsidRPr="00C23F94">
              <w:rPr>
                <w:sz w:val="18"/>
                <w:lang w:val="fr-FR"/>
              </w:rPr>
              <w:t>2014</w:t>
            </w:r>
          </w:p>
        </w:tc>
        <w:tc>
          <w:tcPr>
            <w:tcW w:w="2092" w:type="dxa"/>
            <w:tcBorders>
              <w:top w:val="single" w:sz="12" w:space="0" w:color="auto"/>
            </w:tcBorders>
            <w:shd w:val="clear" w:color="auto" w:fill="auto"/>
            <w:noWrap/>
            <w:vAlign w:val="bottom"/>
            <w:hideMark/>
          </w:tcPr>
          <w:p w14:paraId="3B718D49" w14:textId="77777777" w:rsidR="0081022C" w:rsidRPr="00C23F94" w:rsidRDefault="0081022C" w:rsidP="00C23F94">
            <w:pPr>
              <w:suppressAutoHyphens w:val="0"/>
              <w:spacing w:before="40" w:after="40" w:line="220" w:lineRule="exact"/>
              <w:jc w:val="right"/>
              <w:rPr>
                <w:sz w:val="18"/>
              </w:rPr>
            </w:pPr>
            <w:r w:rsidRPr="00C23F94">
              <w:rPr>
                <w:sz w:val="18"/>
                <w:lang w:val="fr-FR"/>
              </w:rPr>
              <w:t>29</w:t>
            </w:r>
          </w:p>
        </w:tc>
        <w:tc>
          <w:tcPr>
            <w:tcW w:w="2151" w:type="dxa"/>
            <w:tcBorders>
              <w:top w:val="single" w:sz="12" w:space="0" w:color="auto"/>
            </w:tcBorders>
            <w:shd w:val="clear" w:color="auto" w:fill="auto"/>
            <w:noWrap/>
            <w:vAlign w:val="bottom"/>
            <w:hideMark/>
          </w:tcPr>
          <w:p w14:paraId="0E461006" w14:textId="77777777" w:rsidR="0081022C" w:rsidRPr="00C23F94" w:rsidRDefault="0081022C" w:rsidP="00C23F94">
            <w:pPr>
              <w:suppressAutoHyphens w:val="0"/>
              <w:spacing w:before="40" w:after="40" w:line="220" w:lineRule="exact"/>
              <w:jc w:val="right"/>
              <w:rPr>
                <w:sz w:val="18"/>
              </w:rPr>
            </w:pPr>
            <w:r w:rsidRPr="00C23F94">
              <w:rPr>
                <w:sz w:val="18"/>
                <w:lang w:val="fr-FR"/>
              </w:rPr>
              <w:t>18</w:t>
            </w:r>
          </w:p>
        </w:tc>
      </w:tr>
      <w:tr w:rsidR="0081022C" w:rsidRPr="00C23F94" w14:paraId="6EAECC5D" w14:textId="77777777" w:rsidTr="00C23F94">
        <w:tc>
          <w:tcPr>
            <w:tcW w:w="3127" w:type="dxa"/>
            <w:shd w:val="clear" w:color="auto" w:fill="auto"/>
          </w:tcPr>
          <w:p w14:paraId="556803A1" w14:textId="77777777" w:rsidR="0081022C" w:rsidRPr="00C23F94" w:rsidRDefault="0081022C" w:rsidP="00C23F94">
            <w:pPr>
              <w:suppressAutoHyphens w:val="0"/>
              <w:spacing w:before="40" w:after="40" w:line="220" w:lineRule="exact"/>
              <w:rPr>
                <w:sz w:val="18"/>
              </w:rPr>
            </w:pPr>
            <w:r w:rsidRPr="00C23F94">
              <w:rPr>
                <w:sz w:val="18"/>
                <w:lang w:val="fr-FR"/>
              </w:rPr>
              <w:t>2015</w:t>
            </w:r>
          </w:p>
        </w:tc>
        <w:tc>
          <w:tcPr>
            <w:tcW w:w="2092" w:type="dxa"/>
            <w:shd w:val="clear" w:color="auto" w:fill="auto"/>
            <w:noWrap/>
            <w:vAlign w:val="bottom"/>
            <w:hideMark/>
          </w:tcPr>
          <w:p w14:paraId="12601EAB" w14:textId="77777777" w:rsidR="0081022C" w:rsidRPr="00C23F94" w:rsidRDefault="0081022C" w:rsidP="00C23F94">
            <w:pPr>
              <w:suppressAutoHyphens w:val="0"/>
              <w:spacing w:before="40" w:after="40" w:line="220" w:lineRule="exact"/>
              <w:jc w:val="right"/>
              <w:rPr>
                <w:sz w:val="18"/>
              </w:rPr>
            </w:pPr>
            <w:r w:rsidRPr="00C23F94">
              <w:rPr>
                <w:sz w:val="18"/>
                <w:lang w:val="fr-FR"/>
              </w:rPr>
              <w:t>47</w:t>
            </w:r>
          </w:p>
        </w:tc>
        <w:tc>
          <w:tcPr>
            <w:tcW w:w="2151" w:type="dxa"/>
            <w:shd w:val="clear" w:color="auto" w:fill="auto"/>
            <w:noWrap/>
            <w:vAlign w:val="bottom"/>
            <w:hideMark/>
          </w:tcPr>
          <w:p w14:paraId="0C853E2C" w14:textId="77777777" w:rsidR="0081022C" w:rsidRPr="00C23F94" w:rsidRDefault="0081022C" w:rsidP="00C23F94">
            <w:pPr>
              <w:suppressAutoHyphens w:val="0"/>
              <w:spacing w:before="40" w:after="40" w:line="220" w:lineRule="exact"/>
              <w:jc w:val="right"/>
              <w:rPr>
                <w:sz w:val="18"/>
              </w:rPr>
            </w:pPr>
            <w:r w:rsidRPr="00C23F94">
              <w:rPr>
                <w:sz w:val="18"/>
                <w:lang w:val="fr-FR"/>
              </w:rPr>
              <w:t>7</w:t>
            </w:r>
          </w:p>
        </w:tc>
      </w:tr>
      <w:tr w:rsidR="0081022C" w:rsidRPr="00C23F94" w14:paraId="66E768B9" w14:textId="77777777" w:rsidTr="00C23F94">
        <w:tc>
          <w:tcPr>
            <w:tcW w:w="3127" w:type="dxa"/>
            <w:shd w:val="clear" w:color="auto" w:fill="auto"/>
          </w:tcPr>
          <w:p w14:paraId="42E2F655" w14:textId="77777777" w:rsidR="0081022C" w:rsidRPr="00C23F94" w:rsidRDefault="0081022C" w:rsidP="00C23F94">
            <w:pPr>
              <w:suppressAutoHyphens w:val="0"/>
              <w:spacing w:before="40" w:after="40" w:line="220" w:lineRule="exact"/>
              <w:rPr>
                <w:sz w:val="18"/>
              </w:rPr>
            </w:pPr>
            <w:r w:rsidRPr="00C23F94">
              <w:rPr>
                <w:sz w:val="18"/>
                <w:lang w:val="fr-FR"/>
              </w:rPr>
              <w:t>2016</w:t>
            </w:r>
          </w:p>
        </w:tc>
        <w:tc>
          <w:tcPr>
            <w:tcW w:w="2092" w:type="dxa"/>
            <w:shd w:val="clear" w:color="auto" w:fill="auto"/>
            <w:noWrap/>
            <w:vAlign w:val="bottom"/>
            <w:hideMark/>
          </w:tcPr>
          <w:p w14:paraId="1811001C" w14:textId="77777777" w:rsidR="0081022C" w:rsidRPr="00C23F94" w:rsidRDefault="0081022C" w:rsidP="00C23F94">
            <w:pPr>
              <w:suppressAutoHyphens w:val="0"/>
              <w:spacing w:before="40" w:after="40" w:line="220" w:lineRule="exact"/>
              <w:jc w:val="right"/>
              <w:rPr>
                <w:sz w:val="18"/>
              </w:rPr>
            </w:pPr>
            <w:r w:rsidRPr="00C23F94">
              <w:rPr>
                <w:sz w:val="18"/>
                <w:lang w:val="fr-FR"/>
              </w:rPr>
              <w:t>17</w:t>
            </w:r>
          </w:p>
        </w:tc>
        <w:tc>
          <w:tcPr>
            <w:tcW w:w="2151" w:type="dxa"/>
            <w:shd w:val="clear" w:color="auto" w:fill="auto"/>
            <w:noWrap/>
            <w:vAlign w:val="bottom"/>
            <w:hideMark/>
          </w:tcPr>
          <w:p w14:paraId="5F3DF4DB" w14:textId="77777777" w:rsidR="0081022C" w:rsidRPr="00C23F94" w:rsidRDefault="0081022C" w:rsidP="00C23F94">
            <w:pPr>
              <w:suppressAutoHyphens w:val="0"/>
              <w:spacing w:before="40" w:after="40" w:line="220" w:lineRule="exact"/>
              <w:jc w:val="right"/>
              <w:rPr>
                <w:sz w:val="18"/>
              </w:rPr>
            </w:pPr>
            <w:r w:rsidRPr="00C23F94">
              <w:rPr>
                <w:sz w:val="18"/>
                <w:lang w:val="fr-FR"/>
              </w:rPr>
              <w:t>9</w:t>
            </w:r>
          </w:p>
        </w:tc>
      </w:tr>
      <w:tr w:rsidR="0081022C" w:rsidRPr="00C23F94" w14:paraId="243A85B2" w14:textId="77777777" w:rsidTr="00C23F94">
        <w:tc>
          <w:tcPr>
            <w:tcW w:w="3127" w:type="dxa"/>
            <w:shd w:val="clear" w:color="auto" w:fill="auto"/>
          </w:tcPr>
          <w:p w14:paraId="56A96203" w14:textId="77777777" w:rsidR="0081022C" w:rsidRPr="00C23F94" w:rsidRDefault="0081022C" w:rsidP="00C23F94">
            <w:pPr>
              <w:suppressAutoHyphens w:val="0"/>
              <w:spacing w:before="40" w:after="40" w:line="220" w:lineRule="exact"/>
              <w:rPr>
                <w:sz w:val="18"/>
              </w:rPr>
            </w:pPr>
            <w:r w:rsidRPr="00C23F94">
              <w:rPr>
                <w:sz w:val="18"/>
                <w:lang w:val="fr-FR"/>
              </w:rPr>
              <w:t>2017</w:t>
            </w:r>
          </w:p>
        </w:tc>
        <w:tc>
          <w:tcPr>
            <w:tcW w:w="2092" w:type="dxa"/>
            <w:shd w:val="clear" w:color="auto" w:fill="auto"/>
            <w:noWrap/>
            <w:vAlign w:val="bottom"/>
            <w:hideMark/>
          </w:tcPr>
          <w:p w14:paraId="3B220101" w14:textId="77777777" w:rsidR="0081022C" w:rsidRPr="00C23F94" w:rsidRDefault="0081022C" w:rsidP="00C23F94">
            <w:pPr>
              <w:suppressAutoHyphens w:val="0"/>
              <w:spacing w:before="40" w:after="40" w:line="220" w:lineRule="exact"/>
              <w:jc w:val="right"/>
              <w:rPr>
                <w:sz w:val="18"/>
              </w:rPr>
            </w:pPr>
            <w:r w:rsidRPr="00C23F94">
              <w:rPr>
                <w:sz w:val="18"/>
                <w:lang w:val="fr-FR"/>
              </w:rPr>
              <w:t>22</w:t>
            </w:r>
          </w:p>
        </w:tc>
        <w:tc>
          <w:tcPr>
            <w:tcW w:w="2151" w:type="dxa"/>
            <w:shd w:val="clear" w:color="auto" w:fill="auto"/>
            <w:noWrap/>
            <w:vAlign w:val="bottom"/>
            <w:hideMark/>
          </w:tcPr>
          <w:p w14:paraId="228D5D21" w14:textId="77777777" w:rsidR="0081022C" w:rsidRPr="00C23F94" w:rsidRDefault="0081022C" w:rsidP="00C23F94">
            <w:pPr>
              <w:suppressAutoHyphens w:val="0"/>
              <w:spacing w:before="40" w:after="40" w:line="220" w:lineRule="exact"/>
              <w:jc w:val="right"/>
              <w:rPr>
                <w:sz w:val="18"/>
              </w:rPr>
            </w:pPr>
            <w:r w:rsidRPr="00C23F94">
              <w:rPr>
                <w:sz w:val="18"/>
                <w:lang w:val="fr-FR"/>
              </w:rPr>
              <w:t>16</w:t>
            </w:r>
          </w:p>
        </w:tc>
      </w:tr>
      <w:tr w:rsidR="0081022C" w:rsidRPr="00C23F94" w14:paraId="6FA20B1B" w14:textId="77777777" w:rsidTr="00C23F94">
        <w:tc>
          <w:tcPr>
            <w:tcW w:w="3127" w:type="dxa"/>
            <w:shd w:val="clear" w:color="auto" w:fill="auto"/>
          </w:tcPr>
          <w:p w14:paraId="7427B4CF" w14:textId="77777777" w:rsidR="0081022C" w:rsidRPr="00C23F94" w:rsidRDefault="0081022C" w:rsidP="00C23F94">
            <w:pPr>
              <w:suppressAutoHyphens w:val="0"/>
              <w:spacing w:before="40" w:after="40" w:line="220" w:lineRule="exact"/>
              <w:rPr>
                <w:sz w:val="18"/>
              </w:rPr>
            </w:pPr>
            <w:r w:rsidRPr="00C23F94">
              <w:rPr>
                <w:sz w:val="18"/>
                <w:lang w:val="fr-FR"/>
              </w:rPr>
              <w:lastRenderedPageBreak/>
              <w:t>2018</w:t>
            </w:r>
          </w:p>
        </w:tc>
        <w:tc>
          <w:tcPr>
            <w:tcW w:w="2092" w:type="dxa"/>
            <w:shd w:val="clear" w:color="auto" w:fill="auto"/>
            <w:noWrap/>
            <w:vAlign w:val="bottom"/>
            <w:hideMark/>
          </w:tcPr>
          <w:p w14:paraId="32505D6A" w14:textId="77777777" w:rsidR="0081022C" w:rsidRPr="00C23F94" w:rsidRDefault="0081022C" w:rsidP="00C23F94">
            <w:pPr>
              <w:suppressAutoHyphens w:val="0"/>
              <w:spacing w:before="40" w:after="40" w:line="220" w:lineRule="exact"/>
              <w:jc w:val="right"/>
              <w:rPr>
                <w:sz w:val="18"/>
              </w:rPr>
            </w:pPr>
            <w:r w:rsidRPr="00C23F94">
              <w:rPr>
                <w:sz w:val="18"/>
                <w:lang w:val="fr-FR"/>
              </w:rPr>
              <w:t>544</w:t>
            </w:r>
          </w:p>
        </w:tc>
        <w:tc>
          <w:tcPr>
            <w:tcW w:w="2151" w:type="dxa"/>
            <w:shd w:val="clear" w:color="auto" w:fill="auto"/>
            <w:noWrap/>
            <w:vAlign w:val="bottom"/>
            <w:hideMark/>
          </w:tcPr>
          <w:p w14:paraId="501C7ADB" w14:textId="77777777" w:rsidR="0081022C" w:rsidRPr="00C23F94" w:rsidRDefault="0081022C" w:rsidP="00C23F94">
            <w:pPr>
              <w:suppressAutoHyphens w:val="0"/>
              <w:spacing w:before="40" w:after="40" w:line="220" w:lineRule="exact"/>
              <w:jc w:val="right"/>
              <w:rPr>
                <w:sz w:val="18"/>
              </w:rPr>
            </w:pPr>
            <w:r w:rsidRPr="00C23F94">
              <w:rPr>
                <w:sz w:val="18"/>
                <w:lang w:val="fr-FR"/>
              </w:rPr>
              <w:t>22</w:t>
            </w:r>
          </w:p>
        </w:tc>
      </w:tr>
      <w:tr w:rsidR="0081022C" w:rsidRPr="00C23F94" w14:paraId="0B889764" w14:textId="77777777" w:rsidTr="00C23F94">
        <w:tc>
          <w:tcPr>
            <w:tcW w:w="3127" w:type="dxa"/>
            <w:shd w:val="clear" w:color="auto" w:fill="auto"/>
          </w:tcPr>
          <w:p w14:paraId="36910C10" w14:textId="77777777" w:rsidR="0081022C" w:rsidRPr="00C23F94" w:rsidRDefault="0081022C" w:rsidP="00C23F94">
            <w:pPr>
              <w:suppressAutoHyphens w:val="0"/>
              <w:spacing w:before="40" w:after="40" w:line="220" w:lineRule="exact"/>
              <w:rPr>
                <w:sz w:val="18"/>
              </w:rPr>
            </w:pPr>
            <w:r w:rsidRPr="00C23F94">
              <w:rPr>
                <w:sz w:val="18"/>
                <w:lang w:val="fr-FR"/>
              </w:rPr>
              <w:t>2019</w:t>
            </w:r>
          </w:p>
        </w:tc>
        <w:tc>
          <w:tcPr>
            <w:tcW w:w="2092" w:type="dxa"/>
            <w:shd w:val="clear" w:color="auto" w:fill="auto"/>
            <w:noWrap/>
            <w:vAlign w:val="bottom"/>
          </w:tcPr>
          <w:p w14:paraId="75888206" w14:textId="77777777" w:rsidR="0081022C" w:rsidRPr="00C23F94" w:rsidRDefault="0081022C" w:rsidP="00C23F94">
            <w:pPr>
              <w:suppressAutoHyphens w:val="0"/>
              <w:spacing w:before="40" w:after="40" w:line="220" w:lineRule="exact"/>
              <w:jc w:val="right"/>
              <w:rPr>
                <w:sz w:val="18"/>
              </w:rPr>
            </w:pPr>
            <w:r w:rsidRPr="00C23F94">
              <w:rPr>
                <w:sz w:val="18"/>
                <w:lang w:val="fr-FR"/>
              </w:rPr>
              <w:t>908</w:t>
            </w:r>
          </w:p>
        </w:tc>
        <w:tc>
          <w:tcPr>
            <w:tcW w:w="2151" w:type="dxa"/>
            <w:shd w:val="clear" w:color="auto" w:fill="auto"/>
            <w:noWrap/>
            <w:vAlign w:val="bottom"/>
          </w:tcPr>
          <w:p w14:paraId="10F11393" w14:textId="77777777" w:rsidR="0081022C" w:rsidRPr="00C23F94" w:rsidRDefault="0081022C" w:rsidP="00C23F94">
            <w:pPr>
              <w:suppressAutoHyphens w:val="0"/>
              <w:spacing w:before="40" w:after="40" w:line="220" w:lineRule="exact"/>
              <w:jc w:val="right"/>
              <w:rPr>
                <w:sz w:val="18"/>
              </w:rPr>
            </w:pPr>
            <w:r w:rsidRPr="00C23F94">
              <w:rPr>
                <w:sz w:val="18"/>
                <w:lang w:val="fr-FR"/>
              </w:rPr>
              <w:t>4</w:t>
            </w:r>
          </w:p>
        </w:tc>
      </w:tr>
      <w:tr w:rsidR="0081022C" w:rsidRPr="00C23F94" w14:paraId="28AC36BB" w14:textId="77777777" w:rsidTr="00C23F94">
        <w:tc>
          <w:tcPr>
            <w:tcW w:w="3127" w:type="dxa"/>
            <w:shd w:val="clear" w:color="auto" w:fill="auto"/>
          </w:tcPr>
          <w:p w14:paraId="12249885" w14:textId="77777777" w:rsidR="0081022C" w:rsidRPr="00C23F94" w:rsidRDefault="0081022C" w:rsidP="00C23F94">
            <w:pPr>
              <w:suppressAutoHyphens w:val="0"/>
              <w:spacing w:before="40" w:after="40" w:line="220" w:lineRule="exact"/>
              <w:rPr>
                <w:sz w:val="18"/>
              </w:rPr>
            </w:pPr>
            <w:r w:rsidRPr="00C23F94">
              <w:rPr>
                <w:sz w:val="18"/>
                <w:lang w:val="fr-FR"/>
              </w:rPr>
              <w:t>2020</w:t>
            </w:r>
          </w:p>
        </w:tc>
        <w:tc>
          <w:tcPr>
            <w:tcW w:w="2092" w:type="dxa"/>
            <w:shd w:val="clear" w:color="auto" w:fill="auto"/>
            <w:noWrap/>
            <w:vAlign w:val="bottom"/>
          </w:tcPr>
          <w:p w14:paraId="20FBDAD8" w14:textId="77777777" w:rsidR="0081022C" w:rsidRPr="00C23F94" w:rsidRDefault="0081022C" w:rsidP="00C23F94">
            <w:pPr>
              <w:suppressAutoHyphens w:val="0"/>
              <w:spacing w:before="40" w:after="40" w:line="220" w:lineRule="exact"/>
              <w:jc w:val="right"/>
              <w:rPr>
                <w:sz w:val="18"/>
              </w:rPr>
            </w:pPr>
            <w:r w:rsidRPr="00C23F94">
              <w:rPr>
                <w:sz w:val="18"/>
                <w:lang w:val="fr-FR"/>
              </w:rPr>
              <w:t>926</w:t>
            </w:r>
          </w:p>
        </w:tc>
        <w:tc>
          <w:tcPr>
            <w:tcW w:w="2151" w:type="dxa"/>
            <w:shd w:val="clear" w:color="auto" w:fill="auto"/>
            <w:noWrap/>
            <w:vAlign w:val="bottom"/>
          </w:tcPr>
          <w:p w14:paraId="7907509B" w14:textId="77777777" w:rsidR="0081022C" w:rsidRPr="00C23F94" w:rsidRDefault="0081022C" w:rsidP="00C23F94">
            <w:pPr>
              <w:suppressAutoHyphens w:val="0"/>
              <w:spacing w:before="40" w:after="40" w:line="220" w:lineRule="exact"/>
              <w:jc w:val="right"/>
              <w:rPr>
                <w:sz w:val="18"/>
              </w:rPr>
            </w:pPr>
            <w:r w:rsidRPr="00C23F94">
              <w:rPr>
                <w:sz w:val="18"/>
                <w:lang w:val="fr-FR"/>
              </w:rPr>
              <w:t>253</w:t>
            </w:r>
          </w:p>
        </w:tc>
      </w:tr>
      <w:tr w:rsidR="0081022C" w:rsidRPr="00C23F94" w14:paraId="2E4BCF2D" w14:textId="77777777" w:rsidTr="00C23F94">
        <w:tc>
          <w:tcPr>
            <w:tcW w:w="3127" w:type="dxa"/>
            <w:tcBorders>
              <w:bottom w:val="single" w:sz="4" w:space="0" w:color="auto"/>
            </w:tcBorders>
            <w:shd w:val="clear" w:color="auto" w:fill="auto"/>
          </w:tcPr>
          <w:p w14:paraId="71BC777A" w14:textId="77777777" w:rsidR="0081022C" w:rsidRPr="00C23F94" w:rsidRDefault="0081022C" w:rsidP="00C23F94">
            <w:pPr>
              <w:suppressAutoHyphens w:val="0"/>
              <w:spacing w:before="40" w:after="40" w:line="220" w:lineRule="exact"/>
              <w:rPr>
                <w:sz w:val="18"/>
              </w:rPr>
            </w:pPr>
            <w:r w:rsidRPr="00C23F94">
              <w:rPr>
                <w:sz w:val="18"/>
                <w:lang w:val="fr-FR"/>
              </w:rPr>
              <w:t>Janvier à octobre 2021</w:t>
            </w:r>
          </w:p>
        </w:tc>
        <w:tc>
          <w:tcPr>
            <w:tcW w:w="2092" w:type="dxa"/>
            <w:tcBorders>
              <w:bottom w:val="single" w:sz="4" w:space="0" w:color="auto"/>
            </w:tcBorders>
            <w:shd w:val="clear" w:color="auto" w:fill="auto"/>
            <w:noWrap/>
            <w:vAlign w:val="bottom"/>
          </w:tcPr>
          <w:p w14:paraId="66407177" w14:textId="77777777" w:rsidR="0081022C" w:rsidRPr="00C23F94" w:rsidRDefault="0081022C" w:rsidP="00C23F94">
            <w:pPr>
              <w:suppressAutoHyphens w:val="0"/>
              <w:spacing w:before="40" w:after="40" w:line="220" w:lineRule="exact"/>
              <w:jc w:val="right"/>
              <w:rPr>
                <w:sz w:val="18"/>
              </w:rPr>
            </w:pPr>
            <w:r w:rsidRPr="00C23F94">
              <w:rPr>
                <w:sz w:val="18"/>
                <w:lang w:val="fr-FR"/>
              </w:rPr>
              <w:t>40</w:t>
            </w:r>
          </w:p>
        </w:tc>
        <w:tc>
          <w:tcPr>
            <w:tcW w:w="2151" w:type="dxa"/>
            <w:tcBorders>
              <w:bottom w:val="single" w:sz="4" w:space="0" w:color="auto"/>
            </w:tcBorders>
            <w:shd w:val="clear" w:color="auto" w:fill="auto"/>
            <w:noWrap/>
            <w:vAlign w:val="bottom"/>
          </w:tcPr>
          <w:p w14:paraId="514DBCAB" w14:textId="77777777" w:rsidR="0081022C" w:rsidRPr="00C23F94" w:rsidRDefault="0081022C" w:rsidP="00C23F94">
            <w:pPr>
              <w:suppressAutoHyphens w:val="0"/>
              <w:spacing w:before="40" w:after="40" w:line="220" w:lineRule="exact"/>
              <w:jc w:val="right"/>
              <w:rPr>
                <w:sz w:val="18"/>
              </w:rPr>
            </w:pPr>
            <w:r w:rsidRPr="00C23F94">
              <w:rPr>
                <w:sz w:val="18"/>
                <w:lang w:val="fr-FR"/>
              </w:rPr>
              <w:t>2</w:t>
            </w:r>
          </w:p>
        </w:tc>
      </w:tr>
      <w:tr w:rsidR="0081022C" w:rsidRPr="00C23F94" w14:paraId="61DE60EB" w14:textId="77777777" w:rsidTr="00C23F94">
        <w:tc>
          <w:tcPr>
            <w:tcW w:w="3127" w:type="dxa"/>
            <w:tcBorders>
              <w:top w:val="single" w:sz="4" w:space="0" w:color="auto"/>
              <w:bottom w:val="single" w:sz="12" w:space="0" w:color="auto"/>
            </w:tcBorders>
            <w:shd w:val="clear" w:color="auto" w:fill="auto"/>
          </w:tcPr>
          <w:p w14:paraId="2D57D022" w14:textId="77777777" w:rsidR="0081022C" w:rsidRPr="00C23F94" w:rsidRDefault="0081022C" w:rsidP="00C23F94">
            <w:pPr>
              <w:suppressAutoHyphens w:val="0"/>
              <w:spacing w:before="80" w:after="80" w:line="220" w:lineRule="exact"/>
              <w:ind w:left="283"/>
              <w:rPr>
                <w:b/>
                <w:sz w:val="18"/>
              </w:rPr>
            </w:pPr>
            <w:r w:rsidRPr="00C23F94">
              <w:rPr>
                <w:b/>
                <w:sz w:val="18"/>
                <w:lang w:val="fr-FR"/>
              </w:rPr>
              <w:t>Total</w:t>
            </w:r>
          </w:p>
        </w:tc>
        <w:tc>
          <w:tcPr>
            <w:tcW w:w="2092" w:type="dxa"/>
            <w:tcBorders>
              <w:top w:val="single" w:sz="4" w:space="0" w:color="auto"/>
              <w:bottom w:val="single" w:sz="12" w:space="0" w:color="auto"/>
            </w:tcBorders>
            <w:shd w:val="clear" w:color="auto" w:fill="auto"/>
            <w:noWrap/>
            <w:vAlign w:val="bottom"/>
          </w:tcPr>
          <w:p w14:paraId="1CD87994" w14:textId="77777777" w:rsidR="0081022C" w:rsidRPr="00C23F94" w:rsidRDefault="0081022C" w:rsidP="00C23F94">
            <w:pPr>
              <w:suppressAutoHyphens w:val="0"/>
              <w:spacing w:before="80" w:after="80" w:line="220" w:lineRule="exact"/>
              <w:jc w:val="right"/>
              <w:rPr>
                <w:b/>
                <w:sz w:val="18"/>
              </w:rPr>
            </w:pPr>
            <w:r w:rsidRPr="00C23F94">
              <w:rPr>
                <w:b/>
                <w:sz w:val="18"/>
                <w:lang w:val="fr-FR"/>
              </w:rPr>
              <w:t>2533</w:t>
            </w:r>
          </w:p>
        </w:tc>
        <w:tc>
          <w:tcPr>
            <w:tcW w:w="2151" w:type="dxa"/>
            <w:tcBorders>
              <w:top w:val="single" w:sz="4" w:space="0" w:color="auto"/>
              <w:bottom w:val="single" w:sz="12" w:space="0" w:color="auto"/>
            </w:tcBorders>
            <w:shd w:val="clear" w:color="auto" w:fill="auto"/>
            <w:noWrap/>
            <w:vAlign w:val="bottom"/>
          </w:tcPr>
          <w:p w14:paraId="37BCD259" w14:textId="77777777" w:rsidR="0081022C" w:rsidRPr="00C23F94" w:rsidRDefault="0081022C" w:rsidP="00C23F94">
            <w:pPr>
              <w:suppressAutoHyphens w:val="0"/>
              <w:spacing w:before="80" w:after="80" w:line="220" w:lineRule="exact"/>
              <w:jc w:val="right"/>
              <w:rPr>
                <w:b/>
                <w:sz w:val="18"/>
              </w:rPr>
            </w:pPr>
            <w:r w:rsidRPr="00C23F94">
              <w:rPr>
                <w:b/>
                <w:sz w:val="18"/>
                <w:lang w:val="fr-FR"/>
              </w:rPr>
              <w:t>327</w:t>
            </w:r>
          </w:p>
        </w:tc>
      </w:tr>
    </w:tbl>
    <w:p w14:paraId="2B39073E" w14:textId="6E212530" w:rsidR="0081022C" w:rsidRPr="00C23F94" w:rsidRDefault="0081022C" w:rsidP="00D15103">
      <w:pPr>
        <w:pStyle w:val="SingleTxtG"/>
        <w:spacing w:before="120" w:after="240"/>
        <w:ind w:firstLine="170"/>
        <w:rPr>
          <w:rFonts w:eastAsia="Calibri"/>
          <w:sz w:val="18"/>
          <w:szCs w:val="18"/>
        </w:rPr>
      </w:pPr>
      <w:r w:rsidRPr="00C23F94">
        <w:rPr>
          <w:i/>
          <w:iCs/>
          <w:sz w:val="18"/>
          <w:szCs w:val="18"/>
          <w:lang w:val="fr-FR"/>
        </w:rPr>
        <w:t>Source </w:t>
      </w:r>
      <w:r w:rsidRPr="00C23F94">
        <w:rPr>
          <w:sz w:val="18"/>
          <w:szCs w:val="18"/>
          <w:lang w:val="fr-FR"/>
        </w:rPr>
        <w:t xml:space="preserve">: CONARE </w:t>
      </w:r>
      <w:r w:rsidR="00C23F94" w:rsidRPr="00C23F94">
        <w:rPr>
          <w:sz w:val="18"/>
          <w:szCs w:val="18"/>
          <w:lang w:val="fr-FR"/>
        </w:rPr>
        <w:t>−</w:t>
      </w:r>
      <w:r w:rsidRPr="00C23F94">
        <w:rPr>
          <w:sz w:val="18"/>
          <w:szCs w:val="18"/>
          <w:lang w:val="fr-FR"/>
        </w:rPr>
        <w:t xml:space="preserve"> 2021.</w:t>
      </w:r>
    </w:p>
    <w:p w14:paraId="45D79044" w14:textId="77777777" w:rsidR="0081022C" w:rsidRPr="00B54D3D" w:rsidRDefault="0081022C" w:rsidP="008D2B16">
      <w:pPr>
        <w:pStyle w:val="H23G"/>
        <w:rPr>
          <w:rFonts w:eastAsia="Calibri"/>
        </w:rPr>
      </w:pPr>
      <w:r>
        <w:rPr>
          <w:lang w:val="fr-FR"/>
        </w:rPr>
        <w:tab/>
      </w:r>
      <w:r>
        <w:rPr>
          <w:lang w:val="fr-FR"/>
        </w:rPr>
        <w:tab/>
        <w:t>Nombre de demandeurs d’asile par genre</w:t>
      </w:r>
    </w:p>
    <w:tbl>
      <w:tblPr>
        <w:tblW w:w="7370" w:type="dxa"/>
        <w:tblInd w:w="1134" w:type="dxa"/>
        <w:tblLayout w:type="fixed"/>
        <w:tblCellMar>
          <w:left w:w="0" w:type="dxa"/>
          <w:right w:w="0" w:type="dxa"/>
        </w:tblCellMar>
        <w:tblLook w:val="04A0" w:firstRow="1" w:lastRow="0" w:firstColumn="1" w:lastColumn="0" w:noHBand="0" w:noVBand="1"/>
      </w:tblPr>
      <w:tblGrid>
        <w:gridCol w:w="2669"/>
        <w:gridCol w:w="1581"/>
        <w:gridCol w:w="1560"/>
        <w:gridCol w:w="1560"/>
      </w:tblGrid>
      <w:tr w:rsidR="0081022C" w:rsidRPr="008D2B16" w14:paraId="37CDF7B6" w14:textId="77777777" w:rsidTr="008D2B16">
        <w:trPr>
          <w:tblHeader/>
        </w:trPr>
        <w:tc>
          <w:tcPr>
            <w:tcW w:w="2669" w:type="dxa"/>
            <w:tcBorders>
              <w:top w:val="single" w:sz="4" w:space="0" w:color="auto"/>
              <w:bottom w:val="single" w:sz="12" w:space="0" w:color="auto"/>
            </w:tcBorders>
            <w:shd w:val="clear" w:color="auto" w:fill="auto"/>
            <w:vAlign w:val="bottom"/>
          </w:tcPr>
          <w:p w14:paraId="79C66A20" w14:textId="77777777" w:rsidR="0081022C" w:rsidRPr="008D2B16" w:rsidRDefault="0081022C" w:rsidP="008D2B16">
            <w:pPr>
              <w:suppressAutoHyphens w:val="0"/>
              <w:spacing w:before="80" w:after="80" w:line="200" w:lineRule="exact"/>
              <w:rPr>
                <w:i/>
                <w:sz w:val="16"/>
              </w:rPr>
            </w:pPr>
            <w:r w:rsidRPr="008D2B16">
              <w:rPr>
                <w:i/>
                <w:sz w:val="16"/>
                <w:lang w:val="fr-FR"/>
              </w:rPr>
              <w:t xml:space="preserve">Année </w:t>
            </w:r>
          </w:p>
        </w:tc>
        <w:tc>
          <w:tcPr>
            <w:tcW w:w="1581" w:type="dxa"/>
            <w:tcBorders>
              <w:top w:val="single" w:sz="4" w:space="0" w:color="auto"/>
              <w:bottom w:val="single" w:sz="12" w:space="0" w:color="auto"/>
            </w:tcBorders>
            <w:shd w:val="clear" w:color="auto" w:fill="auto"/>
            <w:vAlign w:val="bottom"/>
          </w:tcPr>
          <w:p w14:paraId="4BE23D45" w14:textId="77777777" w:rsidR="0081022C" w:rsidRPr="008D2B16" w:rsidRDefault="0081022C" w:rsidP="008D2B16">
            <w:pPr>
              <w:suppressAutoHyphens w:val="0"/>
              <w:spacing w:before="80" w:after="80" w:line="200" w:lineRule="exact"/>
              <w:jc w:val="right"/>
              <w:rPr>
                <w:i/>
                <w:sz w:val="16"/>
              </w:rPr>
            </w:pPr>
            <w:r w:rsidRPr="008D2B16">
              <w:rPr>
                <w:i/>
                <w:sz w:val="16"/>
                <w:lang w:val="fr-FR"/>
              </w:rPr>
              <w:t xml:space="preserve">Femmes </w:t>
            </w:r>
          </w:p>
        </w:tc>
        <w:tc>
          <w:tcPr>
            <w:tcW w:w="1560" w:type="dxa"/>
            <w:tcBorders>
              <w:top w:val="single" w:sz="4" w:space="0" w:color="auto"/>
              <w:bottom w:val="single" w:sz="12" w:space="0" w:color="auto"/>
            </w:tcBorders>
            <w:shd w:val="clear" w:color="auto" w:fill="auto"/>
            <w:vAlign w:val="bottom"/>
          </w:tcPr>
          <w:p w14:paraId="41554C6B" w14:textId="77777777" w:rsidR="0081022C" w:rsidRPr="008D2B16" w:rsidRDefault="0081022C" w:rsidP="008D2B16">
            <w:pPr>
              <w:suppressAutoHyphens w:val="0"/>
              <w:spacing w:before="80" w:after="80" w:line="200" w:lineRule="exact"/>
              <w:jc w:val="right"/>
              <w:rPr>
                <w:i/>
                <w:sz w:val="16"/>
              </w:rPr>
            </w:pPr>
            <w:r w:rsidRPr="008D2B16">
              <w:rPr>
                <w:i/>
                <w:sz w:val="16"/>
                <w:lang w:val="fr-FR"/>
              </w:rPr>
              <w:t>Hommes</w:t>
            </w:r>
          </w:p>
        </w:tc>
        <w:tc>
          <w:tcPr>
            <w:tcW w:w="1560" w:type="dxa"/>
            <w:tcBorders>
              <w:top w:val="single" w:sz="4" w:space="0" w:color="auto"/>
              <w:bottom w:val="single" w:sz="12" w:space="0" w:color="auto"/>
            </w:tcBorders>
            <w:shd w:val="clear" w:color="auto" w:fill="auto"/>
            <w:vAlign w:val="bottom"/>
          </w:tcPr>
          <w:p w14:paraId="0061823C" w14:textId="77777777" w:rsidR="0081022C" w:rsidRPr="008D2B16" w:rsidRDefault="0081022C" w:rsidP="008D2B16">
            <w:pPr>
              <w:suppressAutoHyphens w:val="0"/>
              <w:spacing w:before="80" w:after="80" w:line="200" w:lineRule="exact"/>
              <w:jc w:val="right"/>
              <w:rPr>
                <w:i/>
                <w:sz w:val="16"/>
              </w:rPr>
            </w:pPr>
            <w:r w:rsidRPr="008D2B16">
              <w:rPr>
                <w:i/>
                <w:sz w:val="16"/>
                <w:lang w:val="fr-FR"/>
              </w:rPr>
              <w:t>Total</w:t>
            </w:r>
          </w:p>
        </w:tc>
      </w:tr>
      <w:tr w:rsidR="0081022C" w:rsidRPr="008D2B16" w14:paraId="492C201A" w14:textId="77777777" w:rsidTr="008D2B16">
        <w:tc>
          <w:tcPr>
            <w:tcW w:w="2669" w:type="dxa"/>
            <w:tcBorders>
              <w:top w:val="single" w:sz="12" w:space="0" w:color="auto"/>
            </w:tcBorders>
            <w:shd w:val="clear" w:color="auto" w:fill="auto"/>
          </w:tcPr>
          <w:p w14:paraId="73A4D8A2" w14:textId="77777777" w:rsidR="0081022C" w:rsidRPr="008D2B16" w:rsidRDefault="0081022C" w:rsidP="008D2B16">
            <w:pPr>
              <w:suppressAutoHyphens w:val="0"/>
              <w:spacing w:before="40" w:after="40" w:line="220" w:lineRule="exact"/>
              <w:rPr>
                <w:sz w:val="18"/>
              </w:rPr>
            </w:pPr>
            <w:r w:rsidRPr="008D2B16">
              <w:rPr>
                <w:sz w:val="18"/>
                <w:lang w:val="fr-FR"/>
              </w:rPr>
              <w:t>2018</w:t>
            </w:r>
          </w:p>
        </w:tc>
        <w:tc>
          <w:tcPr>
            <w:tcW w:w="1581" w:type="dxa"/>
            <w:tcBorders>
              <w:top w:val="single" w:sz="12" w:space="0" w:color="auto"/>
            </w:tcBorders>
            <w:shd w:val="clear" w:color="auto" w:fill="auto"/>
            <w:vAlign w:val="bottom"/>
          </w:tcPr>
          <w:p w14:paraId="1617AD13" w14:textId="77777777" w:rsidR="0081022C" w:rsidRPr="008D2B16" w:rsidRDefault="0081022C" w:rsidP="008D2B16">
            <w:pPr>
              <w:suppressAutoHyphens w:val="0"/>
              <w:spacing w:before="40" w:after="40" w:line="220" w:lineRule="exact"/>
              <w:jc w:val="right"/>
              <w:rPr>
                <w:sz w:val="18"/>
              </w:rPr>
            </w:pPr>
            <w:r w:rsidRPr="008D2B16">
              <w:rPr>
                <w:sz w:val="18"/>
                <w:lang w:val="fr-FR"/>
              </w:rPr>
              <w:t>208</w:t>
            </w:r>
          </w:p>
        </w:tc>
        <w:tc>
          <w:tcPr>
            <w:tcW w:w="1560" w:type="dxa"/>
            <w:tcBorders>
              <w:top w:val="single" w:sz="12" w:space="0" w:color="auto"/>
            </w:tcBorders>
            <w:shd w:val="clear" w:color="auto" w:fill="auto"/>
            <w:vAlign w:val="bottom"/>
          </w:tcPr>
          <w:p w14:paraId="25576CDF" w14:textId="77777777" w:rsidR="0081022C" w:rsidRPr="008D2B16" w:rsidRDefault="0081022C" w:rsidP="008D2B16">
            <w:pPr>
              <w:suppressAutoHyphens w:val="0"/>
              <w:spacing w:before="40" w:after="40" w:line="220" w:lineRule="exact"/>
              <w:jc w:val="right"/>
              <w:rPr>
                <w:sz w:val="18"/>
              </w:rPr>
            </w:pPr>
            <w:r w:rsidRPr="008D2B16">
              <w:rPr>
                <w:sz w:val="18"/>
                <w:lang w:val="fr-FR"/>
              </w:rPr>
              <w:t>336</w:t>
            </w:r>
          </w:p>
        </w:tc>
        <w:tc>
          <w:tcPr>
            <w:tcW w:w="1560" w:type="dxa"/>
            <w:tcBorders>
              <w:top w:val="single" w:sz="12" w:space="0" w:color="auto"/>
            </w:tcBorders>
            <w:shd w:val="clear" w:color="auto" w:fill="auto"/>
            <w:vAlign w:val="bottom"/>
          </w:tcPr>
          <w:p w14:paraId="25F87EFB" w14:textId="77777777" w:rsidR="0081022C" w:rsidRPr="008D2B16" w:rsidRDefault="0081022C" w:rsidP="008D2B16">
            <w:pPr>
              <w:suppressAutoHyphens w:val="0"/>
              <w:spacing w:before="40" w:after="40" w:line="220" w:lineRule="exact"/>
              <w:jc w:val="right"/>
              <w:rPr>
                <w:sz w:val="18"/>
              </w:rPr>
            </w:pPr>
            <w:r w:rsidRPr="008D2B16">
              <w:rPr>
                <w:sz w:val="18"/>
                <w:lang w:val="fr-FR"/>
              </w:rPr>
              <w:t>544</w:t>
            </w:r>
          </w:p>
        </w:tc>
      </w:tr>
      <w:tr w:rsidR="0081022C" w:rsidRPr="008D2B16" w14:paraId="6E03F9BF" w14:textId="77777777" w:rsidTr="008D2B16">
        <w:tc>
          <w:tcPr>
            <w:tcW w:w="2669" w:type="dxa"/>
            <w:shd w:val="clear" w:color="auto" w:fill="auto"/>
          </w:tcPr>
          <w:p w14:paraId="3CD852C6" w14:textId="77777777" w:rsidR="0081022C" w:rsidRPr="008D2B16" w:rsidRDefault="0081022C" w:rsidP="008D2B16">
            <w:pPr>
              <w:suppressAutoHyphens w:val="0"/>
              <w:spacing w:before="40" w:after="40" w:line="220" w:lineRule="exact"/>
              <w:rPr>
                <w:sz w:val="18"/>
              </w:rPr>
            </w:pPr>
            <w:r w:rsidRPr="008D2B16">
              <w:rPr>
                <w:sz w:val="18"/>
                <w:lang w:val="fr-FR"/>
              </w:rPr>
              <w:t>2019</w:t>
            </w:r>
          </w:p>
        </w:tc>
        <w:tc>
          <w:tcPr>
            <w:tcW w:w="1581" w:type="dxa"/>
            <w:shd w:val="clear" w:color="auto" w:fill="auto"/>
            <w:vAlign w:val="bottom"/>
          </w:tcPr>
          <w:p w14:paraId="51EC3ACA" w14:textId="77777777" w:rsidR="0081022C" w:rsidRPr="008D2B16" w:rsidRDefault="0081022C" w:rsidP="008D2B16">
            <w:pPr>
              <w:suppressAutoHyphens w:val="0"/>
              <w:spacing w:before="40" w:after="40" w:line="220" w:lineRule="exact"/>
              <w:jc w:val="right"/>
              <w:rPr>
                <w:sz w:val="18"/>
              </w:rPr>
            </w:pPr>
            <w:r w:rsidRPr="008D2B16">
              <w:rPr>
                <w:sz w:val="18"/>
                <w:lang w:val="fr-FR"/>
              </w:rPr>
              <w:t>390</w:t>
            </w:r>
          </w:p>
        </w:tc>
        <w:tc>
          <w:tcPr>
            <w:tcW w:w="1560" w:type="dxa"/>
            <w:shd w:val="clear" w:color="auto" w:fill="auto"/>
            <w:vAlign w:val="bottom"/>
          </w:tcPr>
          <w:p w14:paraId="6E982E72" w14:textId="77777777" w:rsidR="0081022C" w:rsidRPr="008D2B16" w:rsidRDefault="0081022C" w:rsidP="008D2B16">
            <w:pPr>
              <w:suppressAutoHyphens w:val="0"/>
              <w:spacing w:before="40" w:after="40" w:line="220" w:lineRule="exact"/>
              <w:jc w:val="right"/>
              <w:rPr>
                <w:sz w:val="18"/>
              </w:rPr>
            </w:pPr>
            <w:r w:rsidRPr="008D2B16">
              <w:rPr>
                <w:sz w:val="18"/>
                <w:lang w:val="fr-FR"/>
              </w:rPr>
              <w:t>518</w:t>
            </w:r>
          </w:p>
        </w:tc>
        <w:tc>
          <w:tcPr>
            <w:tcW w:w="1560" w:type="dxa"/>
            <w:shd w:val="clear" w:color="auto" w:fill="auto"/>
            <w:vAlign w:val="bottom"/>
          </w:tcPr>
          <w:p w14:paraId="5F3ACE2A" w14:textId="77777777" w:rsidR="0081022C" w:rsidRPr="008D2B16" w:rsidRDefault="0081022C" w:rsidP="008D2B16">
            <w:pPr>
              <w:suppressAutoHyphens w:val="0"/>
              <w:spacing w:before="40" w:after="40" w:line="220" w:lineRule="exact"/>
              <w:jc w:val="right"/>
              <w:rPr>
                <w:sz w:val="18"/>
              </w:rPr>
            </w:pPr>
            <w:r w:rsidRPr="008D2B16">
              <w:rPr>
                <w:sz w:val="18"/>
                <w:lang w:val="fr-FR"/>
              </w:rPr>
              <w:t>908</w:t>
            </w:r>
          </w:p>
        </w:tc>
      </w:tr>
      <w:tr w:rsidR="0081022C" w:rsidRPr="008D2B16" w14:paraId="103F12E9" w14:textId="77777777" w:rsidTr="008D2B16">
        <w:tc>
          <w:tcPr>
            <w:tcW w:w="2669" w:type="dxa"/>
            <w:shd w:val="clear" w:color="auto" w:fill="auto"/>
          </w:tcPr>
          <w:p w14:paraId="29910215" w14:textId="77777777" w:rsidR="0081022C" w:rsidRPr="008D2B16" w:rsidRDefault="0081022C" w:rsidP="008D2B16">
            <w:pPr>
              <w:suppressAutoHyphens w:val="0"/>
              <w:spacing w:before="40" w:after="40" w:line="220" w:lineRule="exact"/>
              <w:rPr>
                <w:sz w:val="18"/>
              </w:rPr>
            </w:pPr>
            <w:r w:rsidRPr="008D2B16">
              <w:rPr>
                <w:sz w:val="18"/>
                <w:lang w:val="fr-FR"/>
              </w:rPr>
              <w:t>2020</w:t>
            </w:r>
          </w:p>
        </w:tc>
        <w:tc>
          <w:tcPr>
            <w:tcW w:w="1581" w:type="dxa"/>
            <w:shd w:val="clear" w:color="auto" w:fill="auto"/>
            <w:vAlign w:val="bottom"/>
          </w:tcPr>
          <w:p w14:paraId="3B09B679" w14:textId="77777777" w:rsidR="0081022C" w:rsidRPr="008D2B16" w:rsidRDefault="0081022C" w:rsidP="008D2B16">
            <w:pPr>
              <w:suppressAutoHyphens w:val="0"/>
              <w:spacing w:before="40" w:after="40" w:line="220" w:lineRule="exact"/>
              <w:jc w:val="right"/>
              <w:rPr>
                <w:sz w:val="18"/>
              </w:rPr>
            </w:pPr>
            <w:r w:rsidRPr="008D2B16">
              <w:rPr>
                <w:sz w:val="18"/>
                <w:lang w:val="fr-FR"/>
              </w:rPr>
              <w:t>435</w:t>
            </w:r>
          </w:p>
        </w:tc>
        <w:tc>
          <w:tcPr>
            <w:tcW w:w="1560" w:type="dxa"/>
            <w:shd w:val="clear" w:color="auto" w:fill="auto"/>
            <w:vAlign w:val="bottom"/>
          </w:tcPr>
          <w:p w14:paraId="7EAA076F" w14:textId="77777777" w:rsidR="0081022C" w:rsidRPr="008D2B16" w:rsidRDefault="0081022C" w:rsidP="008D2B16">
            <w:pPr>
              <w:suppressAutoHyphens w:val="0"/>
              <w:spacing w:before="40" w:after="40" w:line="220" w:lineRule="exact"/>
              <w:jc w:val="right"/>
              <w:rPr>
                <w:sz w:val="18"/>
              </w:rPr>
            </w:pPr>
            <w:r w:rsidRPr="008D2B16">
              <w:rPr>
                <w:sz w:val="18"/>
                <w:lang w:val="fr-FR"/>
              </w:rPr>
              <w:t>491</w:t>
            </w:r>
          </w:p>
        </w:tc>
        <w:tc>
          <w:tcPr>
            <w:tcW w:w="1560" w:type="dxa"/>
            <w:shd w:val="clear" w:color="auto" w:fill="auto"/>
            <w:vAlign w:val="bottom"/>
          </w:tcPr>
          <w:p w14:paraId="5BEC3877" w14:textId="77777777" w:rsidR="0081022C" w:rsidRPr="008D2B16" w:rsidRDefault="0081022C" w:rsidP="008D2B16">
            <w:pPr>
              <w:suppressAutoHyphens w:val="0"/>
              <w:spacing w:before="40" w:after="40" w:line="220" w:lineRule="exact"/>
              <w:jc w:val="right"/>
              <w:rPr>
                <w:sz w:val="18"/>
              </w:rPr>
            </w:pPr>
            <w:r w:rsidRPr="008D2B16">
              <w:rPr>
                <w:sz w:val="18"/>
                <w:lang w:val="fr-FR"/>
              </w:rPr>
              <w:t>926</w:t>
            </w:r>
          </w:p>
        </w:tc>
      </w:tr>
      <w:tr w:rsidR="0081022C" w:rsidRPr="008D2B16" w14:paraId="404003E3" w14:textId="77777777" w:rsidTr="008D2B16">
        <w:tc>
          <w:tcPr>
            <w:tcW w:w="2669" w:type="dxa"/>
            <w:tcBorders>
              <w:bottom w:val="single" w:sz="4" w:space="0" w:color="auto"/>
            </w:tcBorders>
            <w:shd w:val="clear" w:color="auto" w:fill="auto"/>
          </w:tcPr>
          <w:p w14:paraId="5EC53AC7" w14:textId="77777777" w:rsidR="0081022C" w:rsidRPr="008D2B16" w:rsidRDefault="0081022C" w:rsidP="008D2B16">
            <w:pPr>
              <w:suppressAutoHyphens w:val="0"/>
              <w:spacing w:before="40" w:after="40" w:line="220" w:lineRule="exact"/>
              <w:rPr>
                <w:sz w:val="18"/>
              </w:rPr>
            </w:pPr>
            <w:r w:rsidRPr="008D2B16">
              <w:rPr>
                <w:sz w:val="18"/>
                <w:lang w:val="fr-FR"/>
              </w:rPr>
              <w:t>Janvier à juin 2021</w:t>
            </w:r>
          </w:p>
        </w:tc>
        <w:tc>
          <w:tcPr>
            <w:tcW w:w="1581" w:type="dxa"/>
            <w:tcBorders>
              <w:bottom w:val="single" w:sz="4" w:space="0" w:color="auto"/>
            </w:tcBorders>
            <w:shd w:val="clear" w:color="auto" w:fill="auto"/>
            <w:vAlign w:val="bottom"/>
          </w:tcPr>
          <w:p w14:paraId="4F6CBEBB" w14:textId="77777777" w:rsidR="0081022C" w:rsidRPr="008D2B16" w:rsidRDefault="0081022C" w:rsidP="008D2B16">
            <w:pPr>
              <w:suppressAutoHyphens w:val="0"/>
              <w:spacing w:before="40" w:after="40" w:line="220" w:lineRule="exact"/>
              <w:jc w:val="right"/>
              <w:rPr>
                <w:sz w:val="18"/>
              </w:rPr>
            </w:pPr>
            <w:r w:rsidRPr="008D2B16">
              <w:rPr>
                <w:sz w:val="18"/>
                <w:lang w:val="fr-FR"/>
              </w:rPr>
              <w:t>11</w:t>
            </w:r>
          </w:p>
        </w:tc>
        <w:tc>
          <w:tcPr>
            <w:tcW w:w="1560" w:type="dxa"/>
            <w:tcBorders>
              <w:bottom w:val="single" w:sz="4" w:space="0" w:color="auto"/>
            </w:tcBorders>
            <w:shd w:val="clear" w:color="auto" w:fill="auto"/>
            <w:vAlign w:val="bottom"/>
          </w:tcPr>
          <w:p w14:paraId="19DDEEFE" w14:textId="77777777" w:rsidR="0081022C" w:rsidRPr="008D2B16" w:rsidRDefault="0081022C" w:rsidP="008D2B16">
            <w:pPr>
              <w:suppressAutoHyphens w:val="0"/>
              <w:spacing w:before="40" w:after="40" w:line="220" w:lineRule="exact"/>
              <w:jc w:val="right"/>
              <w:rPr>
                <w:sz w:val="18"/>
              </w:rPr>
            </w:pPr>
            <w:r w:rsidRPr="008D2B16">
              <w:rPr>
                <w:sz w:val="18"/>
                <w:lang w:val="fr-FR"/>
              </w:rPr>
              <w:t>4</w:t>
            </w:r>
          </w:p>
        </w:tc>
        <w:tc>
          <w:tcPr>
            <w:tcW w:w="1560" w:type="dxa"/>
            <w:tcBorders>
              <w:bottom w:val="single" w:sz="4" w:space="0" w:color="auto"/>
            </w:tcBorders>
            <w:shd w:val="clear" w:color="auto" w:fill="auto"/>
            <w:vAlign w:val="bottom"/>
          </w:tcPr>
          <w:p w14:paraId="72263EB1" w14:textId="77777777" w:rsidR="0081022C" w:rsidRPr="008D2B16" w:rsidRDefault="0081022C" w:rsidP="008D2B16">
            <w:pPr>
              <w:suppressAutoHyphens w:val="0"/>
              <w:spacing w:before="40" w:after="40" w:line="220" w:lineRule="exact"/>
              <w:jc w:val="right"/>
              <w:rPr>
                <w:sz w:val="18"/>
              </w:rPr>
            </w:pPr>
            <w:r w:rsidRPr="008D2B16">
              <w:rPr>
                <w:sz w:val="18"/>
                <w:lang w:val="fr-FR"/>
              </w:rPr>
              <w:t>15</w:t>
            </w:r>
          </w:p>
        </w:tc>
      </w:tr>
      <w:tr w:rsidR="0081022C" w:rsidRPr="008D2B16" w14:paraId="792109F8" w14:textId="77777777" w:rsidTr="008D2B16">
        <w:tc>
          <w:tcPr>
            <w:tcW w:w="2669" w:type="dxa"/>
            <w:tcBorders>
              <w:top w:val="single" w:sz="4" w:space="0" w:color="auto"/>
              <w:bottom w:val="single" w:sz="12" w:space="0" w:color="auto"/>
            </w:tcBorders>
            <w:shd w:val="clear" w:color="auto" w:fill="auto"/>
          </w:tcPr>
          <w:p w14:paraId="72E1F168" w14:textId="77777777" w:rsidR="0081022C" w:rsidRPr="008D2B16" w:rsidRDefault="0081022C" w:rsidP="008D2B16">
            <w:pPr>
              <w:suppressAutoHyphens w:val="0"/>
              <w:spacing w:before="80" w:after="80" w:line="220" w:lineRule="exact"/>
              <w:ind w:left="283"/>
              <w:rPr>
                <w:b/>
                <w:sz w:val="18"/>
              </w:rPr>
            </w:pPr>
            <w:r w:rsidRPr="008D2B16">
              <w:rPr>
                <w:b/>
                <w:sz w:val="18"/>
                <w:lang w:val="fr-FR"/>
              </w:rPr>
              <w:t>Total</w:t>
            </w:r>
          </w:p>
        </w:tc>
        <w:tc>
          <w:tcPr>
            <w:tcW w:w="1581" w:type="dxa"/>
            <w:tcBorders>
              <w:top w:val="single" w:sz="4" w:space="0" w:color="auto"/>
              <w:bottom w:val="single" w:sz="12" w:space="0" w:color="auto"/>
            </w:tcBorders>
            <w:shd w:val="clear" w:color="auto" w:fill="auto"/>
            <w:vAlign w:val="bottom"/>
          </w:tcPr>
          <w:p w14:paraId="60F709BB" w14:textId="3353E617" w:rsidR="0081022C" w:rsidRPr="008D2B16" w:rsidRDefault="0081022C" w:rsidP="008D2B16">
            <w:pPr>
              <w:suppressAutoHyphens w:val="0"/>
              <w:spacing w:before="80" w:after="80" w:line="220" w:lineRule="exact"/>
              <w:jc w:val="right"/>
              <w:rPr>
                <w:b/>
                <w:sz w:val="18"/>
              </w:rPr>
            </w:pPr>
            <w:r w:rsidRPr="008D2B16">
              <w:rPr>
                <w:b/>
                <w:sz w:val="18"/>
                <w:lang w:val="fr-FR"/>
              </w:rPr>
              <w:t>1</w:t>
            </w:r>
            <w:r w:rsidR="00234638">
              <w:rPr>
                <w:b/>
                <w:sz w:val="18"/>
                <w:lang w:val="fr-FR"/>
              </w:rPr>
              <w:t> </w:t>
            </w:r>
            <w:r w:rsidRPr="008D2B16">
              <w:rPr>
                <w:b/>
                <w:sz w:val="18"/>
                <w:lang w:val="fr-FR"/>
              </w:rPr>
              <w:t>044</w:t>
            </w:r>
          </w:p>
        </w:tc>
        <w:tc>
          <w:tcPr>
            <w:tcW w:w="1560" w:type="dxa"/>
            <w:tcBorders>
              <w:top w:val="single" w:sz="4" w:space="0" w:color="auto"/>
              <w:bottom w:val="single" w:sz="12" w:space="0" w:color="auto"/>
            </w:tcBorders>
            <w:shd w:val="clear" w:color="auto" w:fill="auto"/>
            <w:vAlign w:val="bottom"/>
          </w:tcPr>
          <w:p w14:paraId="003D3AF5" w14:textId="34AEC01F" w:rsidR="0081022C" w:rsidRPr="008D2B16" w:rsidRDefault="0081022C" w:rsidP="008D2B16">
            <w:pPr>
              <w:suppressAutoHyphens w:val="0"/>
              <w:spacing w:before="80" w:after="80" w:line="220" w:lineRule="exact"/>
              <w:jc w:val="right"/>
              <w:rPr>
                <w:b/>
                <w:sz w:val="18"/>
              </w:rPr>
            </w:pPr>
            <w:r w:rsidRPr="008D2B16">
              <w:rPr>
                <w:b/>
                <w:sz w:val="18"/>
                <w:lang w:val="fr-FR"/>
              </w:rPr>
              <w:t>1</w:t>
            </w:r>
            <w:r w:rsidR="00234638">
              <w:rPr>
                <w:b/>
                <w:sz w:val="18"/>
                <w:lang w:val="fr-FR"/>
              </w:rPr>
              <w:t> </w:t>
            </w:r>
            <w:r w:rsidRPr="008D2B16">
              <w:rPr>
                <w:b/>
                <w:sz w:val="18"/>
                <w:lang w:val="fr-FR"/>
              </w:rPr>
              <w:t>349</w:t>
            </w:r>
          </w:p>
        </w:tc>
        <w:tc>
          <w:tcPr>
            <w:tcW w:w="1560" w:type="dxa"/>
            <w:tcBorders>
              <w:top w:val="single" w:sz="4" w:space="0" w:color="auto"/>
              <w:bottom w:val="single" w:sz="12" w:space="0" w:color="auto"/>
            </w:tcBorders>
            <w:shd w:val="clear" w:color="auto" w:fill="auto"/>
            <w:vAlign w:val="bottom"/>
          </w:tcPr>
          <w:p w14:paraId="480B6B52" w14:textId="2F0D2ED8" w:rsidR="0081022C" w:rsidRPr="008D2B16" w:rsidRDefault="0081022C" w:rsidP="008D2B16">
            <w:pPr>
              <w:suppressAutoHyphens w:val="0"/>
              <w:spacing w:before="80" w:after="80" w:line="220" w:lineRule="exact"/>
              <w:jc w:val="right"/>
              <w:rPr>
                <w:b/>
                <w:sz w:val="18"/>
              </w:rPr>
            </w:pPr>
            <w:r w:rsidRPr="008D2B16">
              <w:rPr>
                <w:b/>
                <w:sz w:val="18"/>
                <w:lang w:val="fr-FR"/>
              </w:rPr>
              <w:t>2</w:t>
            </w:r>
            <w:r w:rsidR="00234638">
              <w:rPr>
                <w:b/>
                <w:sz w:val="18"/>
                <w:lang w:val="fr-FR"/>
              </w:rPr>
              <w:t> </w:t>
            </w:r>
            <w:r w:rsidRPr="008D2B16">
              <w:rPr>
                <w:b/>
                <w:sz w:val="18"/>
                <w:lang w:val="fr-FR"/>
              </w:rPr>
              <w:t>393</w:t>
            </w:r>
          </w:p>
        </w:tc>
      </w:tr>
    </w:tbl>
    <w:p w14:paraId="03886DE0" w14:textId="1374DD3F" w:rsidR="0081022C" w:rsidRPr="008D2B16" w:rsidRDefault="0081022C" w:rsidP="00D15103">
      <w:pPr>
        <w:pStyle w:val="SingleTxtG"/>
        <w:spacing w:before="120" w:after="240"/>
        <w:ind w:firstLine="170"/>
        <w:rPr>
          <w:sz w:val="18"/>
          <w:szCs w:val="18"/>
          <w:lang w:val="fr-FR"/>
        </w:rPr>
      </w:pPr>
      <w:r w:rsidRPr="008D2B16">
        <w:rPr>
          <w:i/>
          <w:iCs/>
          <w:sz w:val="18"/>
          <w:szCs w:val="18"/>
          <w:lang w:val="fr-FR"/>
        </w:rPr>
        <w:t>Source</w:t>
      </w:r>
      <w:r w:rsidRPr="008D2B16">
        <w:rPr>
          <w:sz w:val="18"/>
          <w:szCs w:val="18"/>
          <w:lang w:val="fr-FR"/>
        </w:rPr>
        <w:t xml:space="preserve"> : CONARE </w:t>
      </w:r>
      <w:r w:rsidR="008D2B16">
        <w:rPr>
          <w:sz w:val="18"/>
          <w:szCs w:val="18"/>
          <w:lang w:val="fr-FR"/>
        </w:rPr>
        <w:t>−</w:t>
      </w:r>
      <w:r w:rsidRPr="008D2B16">
        <w:rPr>
          <w:sz w:val="18"/>
          <w:szCs w:val="18"/>
          <w:lang w:val="fr-FR"/>
        </w:rPr>
        <w:t xml:space="preserve"> 2021.</w:t>
      </w:r>
    </w:p>
    <w:p w14:paraId="23EBEABE" w14:textId="77777777" w:rsidR="0081022C" w:rsidRPr="00B54D3D" w:rsidRDefault="0081022C" w:rsidP="008D2B16">
      <w:pPr>
        <w:pStyle w:val="H23G"/>
        <w:rPr>
          <w:rFonts w:eastAsia="Calibri"/>
        </w:rPr>
      </w:pPr>
      <w:r>
        <w:rPr>
          <w:lang w:val="fr-FR"/>
        </w:rPr>
        <w:tab/>
      </w:r>
      <w:r>
        <w:rPr>
          <w:lang w:val="fr-FR"/>
        </w:rPr>
        <w:tab/>
        <w:t>Nombre de réfugiés par tranche d’âge</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1002"/>
        <w:gridCol w:w="1003"/>
        <w:gridCol w:w="1003"/>
        <w:gridCol w:w="1003"/>
        <w:gridCol w:w="1204"/>
        <w:gridCol w:w="595"/>
      </w:tblGrid>
      <w:tr w:rsidR="0081022C" w:rsidRPr="008D2B16" w14:paraId="6DC59FC0" w14:textId="77777777" w:rsidTr="008D2B16">
        <w:trPr>
          <w:tblHeader/>
        </w:trPr>
        <w:tc>
          <w:tcPr>
            <w:tcW w:w="1560" w:type="dxa"/>
            <w:tcBorders>
              <w:top w:val="single" w:sz="4" w:space="0" w:color="auto"/>
              <w:bottom w:val="single" w:sz="12" w:space="0" w:color="auto"/>
            </w:tcBorders>
            <w:shd w:val="clear" w:color="auto" w:fill="auto"/>
            <w:vAlign w:val="bottom"/>
          </w:tcPr>
          <w:p w14:paraId="2C992FA0" w14:textId="77777777" w:rsidR="0081022C" w:rsidRPr="008D2B16" w:rsidRDefault="0081022C" w:rsidP="008D2B16">
            <w:pPr>
              <w:suppressAutoHyphens w:val="0"/>
              <w:spacing w:before="80" w:after="80" w:line="200" w:lineRule="exact"/>
              <w:rPr>
                <w:i/>
                <w:sz w:val="16"/>
              </w:rPr>
            </w:pPr>
            <w:r w:rsidRPr="008D2B16">
              <w:rPr>
                <w:i/>
                <w:sz w:val="16"/>
                <w:lang w:val="fr-FR"/>
              </w:rPr>
              <w:t xml:space="preserve">Années </w:t>
            </w:r>
          </w:p>
        </w:tc>
        <w:tc>
          <w:tcPr>
            <w:tcW w:w="1002" w:type="dxa"/>
            <w:tcBorders>
              <w:top w:val="single" w:sz="4" w:space="0" w:color="auto"/>
              <w:bottom w:val="single" w:sz="12" w:space="0" w:color="auto"/>
            </w:tcBorders>
            <w:shd w:val="clear" w:color="auto" w:fill="auto"/>
            <w:vAlign w:val="bottom"/>
          </w:tcPr>
          <w:p w14:paraId="0BC4D43C" w14:textId="77777777" w:rsidR="0081022C" w:rsidRPr="008D2B16" w:rsidRDefault="0081022C" w:rsidP="008D2B16">
            <w:pPr>
              <w:suppressAutoHyphens w:val="0"/>
              <w:spacing w:before="80" w:after="80" w:line="200" w:lineRule="exact"/>
              <w:jc w:val="right"/>
              <w:rPr>
                <w:i/>
                <w:sz w:val="16"/>
              </w:rPr>
            </w:pPr>
            <w:r w:rsidRPr="008D2B16">
              <w:rPr>
                <w:i/>
                <w:sz w:val="16"/>
                <w:lang w:val="fr-FR"/>
              </w:rPr>
              <w:t>0 à 13 ans</w:t>
            </w:r>
          </w:p>
        </w:tc>
        <w:tc>
          <w:tcPr>
            <w:tcW w:w="1003" w:type="dxa"/>
            <w:tcBorders>
              <w:top w:val="single" w:sz="4" w:space="0" w:color="auto"/>
              <w:bottom w:val="single" w:sz="12" w:space="0" w:color="auto"/>
            </w:tcBorders>
            <w:shd w:val="clear" w:color="auto" w:fill="auto"/>
            <w:vAlign w:val="bottom"/>
          </w:tcPr>
          <w:p w14:paraId="190EC3BD" w14:textId="77777777" w:rsidR="0081022C" w:rsidRPr="008D2B16" w:rsidRDefault="0081022C" w:rsidP="008D2B16">
            <w:pPr>
              <w:suppressAutoHyphens w:val="0"/>
              <w:spacing w:before="80" w:after="80" w:line="200" w:lineRule="exact"/>
              <w:jc w:val="right"/>
              <w:rPr>
                <w:i/>
                <w:sz w:val="16"/>
              </w:rPr>
            </w:pPr>
            <w:r w:rsidRPr="008D2B16">
              <w:rPr>
                <w:i/>
                <w:sz w:val="16"/>
                <w:lang w:val="fr-FR"/>
              </w:rPr>
              <w:t>14 à 17 ans</w:t>
            </w:r>
          </w:p>
        </w:tc>
        <w:tc>
          <w:tcPr>
            <w:tcW w:w="1003" w:type="dxa"/>
            <w:tcBorders>
              <w:top w:val="single" w:sz="4" w:space="0" w:color="auto"/>
              <w:bottom w:val="single" w:sz="12" w:space="0" w:color="auto"/>
            </w:tcBorders>
            <w:shd w:val="clear" w:color="auto" w:fill="auto"/>
            <w:vAlign w:val="bottom"/>
          </w:tcPr>
          <w:p w14:paraId="6677D724" w14:textId="77777777" w:rsidR="0081022C" w:rsidRPr="008D2B16" w:rsidRDefault="0081022C" w:rsidP="008D2B16">
            <w:pPr>
              <w:suppressAutoHyphens w:val="0"/>
              <w:spacing w:before="80" w:after="80" w:line="200" w:lineRule="exact"/>
              <w:jc w:val="right"/>
              <w:rPr>
                <w:i/>
                <w:sz w:val="16"/>
              </w:rPr>
            </w:pPr>
            <w:r w:rsidRPr="008D2B16">
              <w:rPr>
                <w:i/>
                <w:sz w:val="16"/>
                <w:lang w:val="fr-FR"/>
              </w:rPr>
              <w:t>18 à 30 ans</w:t>
            </w:r>
          </w:p>
        </w:tc>
        <w:tc>
          <w:tcPr>
            <w:tcW w:w="1003" w:type="dxa"/>
            <w:tcBorders>
              <w:top w:val="single" w:sz="4" w:space="0" w:color="auto"/>
              <w:bottom w:val="single" w:sz="12" w:space="0" w:color="auto"/>
            </w:tcBorders>
            <w:shd w:val="clear" w:color="auto" w:fill="auto"/>
            <w:vAlign w:val="bottom"/>
          </w:tcPr>
          <w:p w14:paraId="1E8563BC" w14:textId="77777777" w:rsidR="0081022C" w:rsidRPr="008D2B16" w:rsidRDefault="0081022C" w:rsidP="008D2B16">
            <w:pPr>
              <w:suppressAutoHyphens w:val="0"/>
              <w:spacing w:before="80" w:after="80" w:line="200" w:lineRule="exact"/>
              <w:jc w:val="right"/>
              <w:rPr>
                <w:i/>
                <w:sz w:val="16"/>
              </w:rPr>
            </w:pPr>
            <w:r w:rsidRPr="008D2B16">
              <w:rPr>
                <w:i/>
                <w:sz w:val="16"/>
                <w:lang w:val="fr-FR"/>
              </w:rPr>
              <w:t>31 à 60 ans</w:t>
            </w:r>
          </w:p>
        </w:tc>
        <w:tc>
          <w:tcPr>
            <w:tcW w:w="1204" w:type="dxa"/>
            <w:tcBorders>
              <w:top w:val="single" w:sz="4" w:space="0" w:color="auto"/>
              <w:bottom w:val="single" w:sz="12" w:space="0" w:color="auto"/>
            </w:tcBorders>
            <w:shd w:val="clear" w:color="auto" w:fill="auto"/>
            <w:vAlign w:val="bottom"/>
          </w:tcPr>
          <w:p w14:paraId="7E4FED19" w14:textId="77777777" w:rsidR="0081022C" w:rsidRPr="008D2B16" w:rsidRDefault="0081022C" w:rsidP="008D2B16">
            <w:pPr>
              <w:suppressAutoHyphens w:val="0"/>
              <w:spacing w:before="80" w:after="80" w:line="200" w:lineRule="exact"/>
              <w:jc w:val="right"/>
              <w:rPr>
                <w:i/>
                <w:sz w:val="16"/>
              </w:rPr>
            </w:pPr>
            <w:r w:rsidRPr="008D2B16">
              <w:rPr>
                <w:i/>
                <w:sz w:val="16"/>
                <w:lang w:val="fr-FR"/>
              </w:rPr>
              <w:t>Plus de 61 ans</w:t>
            </w:r>
          </w:p>
        </w:tc>
        <w:tc>
          <w:tcPr>
            <w:tcW w:w="595" w:type="dxa"/>
            <w:tcBorders>
              <w:top w:val="single" w:sz="4" w:space="0" w:color="auto"/>
              <w:bottom w:val="single" w:sz="12" w:space="0" w:color="auto"/>
            </w:tcBorders>
            <w:shd w:val="clear" w:color="auto" w:fill="auto"/>
            <w:vAlign w:val="bottom"/>
          </w:tcPr>
          <w:p w14:paraId="5B47D510" w14:textId="77777777" w:rsidR="0081022C" w:rsidRPr="008D2B16" w:rsidRDefault="0081022C" w:rsidP="008D2B16">
            <w:pPr>
              <w:suppressAutoHyphens w:val="0"/>
              <w:spacing w:before="80" w:after="80" w:line="200" w:lineRule="exact"/>
              <w:jc w:val="right"/>
              <w:rPr>
                <w:i/>
                <w:sz w:val="16"/>
              </w:rPr>
            </w:pPr>
            <w:r w:rsidRPr="008D2B16">
              <w:rPr>
                <w:i/>
                <w:sz w:val="16"/>
                <w:lang w:val="fr-FR"/>
              </w:rPr>
              <w:t>Total</w:t>
            </w:r>
          </w:p>
        </w:tc>
      </w:tr>
      <w:tr w:rsidR="0081022C" w:rsidRPr="008D2B16" w14:paraId="1F0BC064" w14:textId="77777777" w:rsidTr="008D2B16">
        <w:tc>
          <w:tcPr>
            <w:tcW w:w="1560" w:type="dxa"/>
            <w:tcBorders>
              <w:top w:val="single" w:sz="12" w:space="0" w:color="auto"/>
            </w:tcBorders>
            <w:shd w:val="clear" w:color="auto" w:fill="auto"/>
          </w:tcPr>
          <w:p w14:paraId="518E79E4" w14:textId="77777777" w:rsidR="0081022C" w:rsidRPr="008D2B16" w:rsidRDefault="0081022C" w:rsidP="008D2B16">
            <w:pPr>
              <w:suppressAutoHyphens w:val="0"/>
              <w:spacing w:before="40" w:after="40" w:line="220" w:lineRule="exact"/>
              <w:rPr>
                <w:sz w:val="18"/>
              </w:rPr>
            </w:pPr>
            <w:r w:rsidRPr="008D2B16">
              <w:rPr>
                <w:sz w:val="18"/>
                <w:lang w:val="fr-FR"/>
              </w:rPr>
              <w:t>2018</w:t>
            </w:r>
          </w:p>
        </w:tc>
        <w:tc>
          <w:tcPr>
            <w:tcW w:w="1002" w:type="dxa"/>
            <w:tcBorders>
              <w:top w:val="single" w:sz="12" w:space="0" w:color="auto"/>
            </w:tcBorders>
            <w:shd w:val="clear" w:color="auto" w:fill="auto"/>
            <w:vAlign w:val="bottom"/>
          </w:tcPr>
          <w:p w14:paraId="61E70474" w14:textId="77777777" w:rsidR="0081022C" w:rsidRPr="008D2B16" w:rsidRDefault="0081022C" w:rsidP="008D2B16">
            <w:pPr>
              <w:suppressAutoHyphens w:val="0"/>
              <w:spacing w:before="40" w:after="40" w:line="220" w:lineRule="exact"/>
              <w:jc w:val="right"/>
              <w:rPr>
                <w:sz w:val="18"/>
              </w:rPr>
            </w:pPr>
            <w:r w:rsidRPr="008D2B16">
              <w:rPr>
                <w:sz w:val="18"/>
                <w:lang w:val="fr-FR"/>
              </w:rPr>
              <w:t>1</w:t>
            </w:r>
          </w:p>
        </w:tc>
        <w:tc>
          <w:tcPr>
            <w:tcW w:w="1003" w:type="dxa"/>
            <w:tcBorders>
              <w:top w:val="single" w:sz="12" w:space="0" w:color="auto"/>
            </w:tcBorders>
            <w:shd w:val="clear" w:color="auto" w:fill="auto"/>
            <w:vAlign w:val="bottom"/>
          </w:tcPr>
          <w:p w14:paraId="76A2D42B"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tcBorders>
              <w:top w:val="single" w:sz="12" w:space="0" w:color="auto"/>
            </w:tcBorders>
            <w:shd w:val="clear" w:color="auto" w:fill="auto"/>
            <w:vAlign w:val="bottom"/>
          </w:tcPr>
          <w:p w14:paraId="5FB26364" w14:textId="77777777" w:rsidR="0081022C" w:rsidRPr="008D2B16" w:rsidRDefault="0081022C" w:rsidP="008D2B16">
            <w:pPr>
              <w:suppressAutoHyphens w:val="0"/>
              <w:spacing w:before="40" w:after="40" w:line="220" w:lineRule="exact"/>
              <w:jc w:val="right"/>
              <w:rPr>
                <w:sz w:val="18"/>
              </w:rPr>
            </w:pPr>
            <w:r w:rsidRPr="008D2B16">
              <w:rPr>
                <w:sz w:val="18"/>
                <w:lang w:val="fr-FR"/>
              </w:rPr>
              <w:t>2</w:t>
            </w:r>
          </w:p>
        </w:tc>
        <w:tc>
          <w:tcPr>
            <w:tcW w:w="1003" w:type="dxa"/>
            <w:tcBorders>
              <w:top w:val="single" w:sz="12" w:space="0" w:color="auto"/>
            </w:tcBorders>
            <w:shd w:val="clear" w:color="auto" w:fill="auto"/>
            <w:vAlign w:val="bottom"/>
          </w:tcPr>
          <w:p w14:paraId="599BD136" w14:textId="77777777" w:rsidR="0081022C" w:rsidRPr="008D2B16" w:rsidRDefault="0081022C" w:rsidP="008D2B16">
            <w:pPr>
              <w:suppressAutoHyphens w:val="0"/>
              <w:spacing w:before="40" w:after="40" w:line="220" w:lineRule="exact"/>
              <w:jc w:val="right"/>
              <w:rPr>
                <w:sz w:val="18"/>
              </w:rPr>
            </w:pPr>
            <w:r w:rsidRPr="008D2B16">
              <w:rPr>
                <w:sz w:val="18"/>
                <w:lang w:val="fr-FR"/>
              </w:rPr>
              <w:t>8</w:t>
            </w:r>
          </w:p>
        </w:tc>
        <w:tc>
          <w:tcPr>
            <w:tcW w:w="1204" w:type="dxa"/>
            <w:tcBorders>
              <w:top w:val="single" w:sz="12" w:space="0" w:color="auto"/>
            </w:tcBorders>
            <w:shd w:val="clear" w:color="auto" w:fill="auto"/>
            <w:vAlign w:val="bottom"/>
          </w:tcPr>
          <w:p w14:paraId="49B5F54F"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595" w:type="dxa"/>
            <w:tcBorders>
              <w:top w:val="single" w:sz="12" w:space="0" w:color="auto"/>
            </w:tcBorders>
            <w:shd w:val="clear" w:color="auto" w:fill="auto"/>
            <w:vAlign w:val="bottom"/>
          </w:tcPr>
          <w:p w14:paraId="6490B8BB" w14:textId="77777777" w:rsidR="0081022C" w:rsidRPr="008D2B16" w:rsidRDefault="0081022C" w:rsidP="008D2B16">
            <w:pPr>
              <w:suppressAutoHyphens w:val="0"/>
              <w:spacing w:before="40" w:after="40" w:line="220" w:lineRule="exact"/>
              <w:jc w:val="right"/>
              <w:rPr>
                <w:sz w:val="18"/>
              </w:rPr>
            </w:pPr>
            <w:r w:rsidRPr="008D2B16">
              <w:rPr>
                <w:sz w:val="18"/>
                <w:lang w:val="fr-FR"/>
              </w:rPr>
              <w:t>11</w:t>
            </w:r>
          </w:p>
        </w:tc>
      </w:tr>
      <w:tr w:rsidR="0081022C" w:rsidRPr="008D2B16" w14:paraId="2709A2B3" w14:textId="77777777" w:rsidTr="008D2B16">
        <w:tc>
          <w:tcPr>
            <w:tcW w:w="1560" w:type="dxa"/>
            <w:shd w:val="clear" w:color="auto" w:fill="auto"/>
          </w:tcPr>
          <w:p w14:paraId="20E089BB" w14:textId="77777777" w:rsidR="0081022C" w:rsidRPr="008D2B16" w:rsidRDefault="0081022C" w:rsidP="008D2B16">
            <w:pPr>
              <w:suppressAutoHyphens w:val="0"/>
              <w:spacing w:before="40" w:after="40" w:line="220" w:lineRule="exact"/>
              <w:rPr>
                <w:sz w:val="18"/>
              </w:rPr>
            </w:pPr>
            <w:r w:rsidRPr="008D2B16">
              <w:rPr>
                <w:sz w:val="18"/>
                <w:lang w:val="fr-FR"/>
              </w:rPr>
              <w:t>2019</w:t>
            </w:r>
          </w:p>
        </w:tc>
        <w:tc>
          <w:tcPr>
            <w:tcW w:w="1002" w:type="dxa"/>
            <w:shd w:val="clear" w:color="auto" w:fill="auto"/>
            <w:vAlign w:val="bottom"/>
          </w:tcPr>
          <w:p w14:paraId="611096C2"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shd w:val="clear" w:color="auto" w:fill="auto"/>
            <w:vAlign w:val="bottom"/>
          </w:tcPr>
          <w:p w14:paraId="547489C9"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shd w:val="clear" w:color="auto" w:fill="auto"/>
            <w:vAlign w:val="bottom"/>
          </w:tcPr>
          <w:p w14:paraId="15D6C0C9"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shd w:val="clear" w:color="auto" w:fill="auto"/>
            <w:vAlign w:val="bottom"/>
          </w:tcPr>
          <w:p w14:paraId="6AAE8D8C" w14:textId="77777777" w:rsidR="0081022C" w:rsidRPr="008D2B16" w:rsidRDefault="0081022C" w:rsidP="008D2B16">
            <w:pPr>
              <w:suppressAutoHyphens w:val="0"/>
              <w:spacing w:before="40" w:after="40" w:line="220" w:lineRule="exact"/>
              <w:jc w:val="right"/>
              <w:rPr>
                <w:sz w:val="18"/>
              </w:rPr>
            </w:pPr>
            <w:r w:rsidRPr="008D2B16">
              <w:rPr>
                <w:sz w:val="18"/>
                <w:lang w:val="fr-FR"/>
              </w:rPr>
              <w:t>4</w:t>
            </w:r>
          </w:p>
        </w:tc>
        <w:tc>
          <w:tcPr>
            <w:tcW w:w="1204" w:type="dxa"/>
            <w:shd w:val="clear" w:color="auto" w:fill="auto"/>
            <w:vAlign w:val="bottom"/>
          </w:tcPr>
          <w:p w14:paraId="45792C58"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595" w:type="dxa"/>
            <w:shd w:val="clear" w:color="auto" w:fill="auto"/>
            <w:vAlign w:val="bottom"/>
          </w:tcPr>
          <w:p w14:paraId="54A708CE" w14:textId="77777777" w:rsidR="0081022C" w:rsidRPr="008D2B16" w:rsidRDefault="0081022C" w:rsidP="008D2B16">
            <w:pPr>
              <w:suppressAutoHyphens w:val="0"/>
              <w:spacing w:before="40" w:after="40" w:line="220" w:lineRule="exact"/>
              <w:jc w:val="right"/>
              <w:rPr>
                <w:sz w:val="18"/>
              </w:rPr>
            </w:pPr>
            <w:r w:rsidRPr="008D2B16">
              <w:rPr>
                <w:sz w:val="18"/>
                <w:lang w:val="fr-FR"/>
              </w:rPr>
              <w:t>4</w:t>
            </w:r>
          </w:p>
        </w:tc>
      </w:tr>
      <w:tr w:rsidR="0081022C" w:rsidRPr="008D2B16" w14:paraId="40ADD992" w14:textId="77777777" w:rsidTr="008D2B16">
        <w:tc>
          <w:tcPr>
            <w:tcW w:w="1560" w:type="dxa"/>
            <w:shd w:val="clear" w:color="auto" w:fill="auto"/>
          </w:tcPr>
          <w:p w14:paraId="37B37B07" w14:textId="77777777" w:rsidR="0081022C" w:rsidRPr="008D2B16" w:rsidRDefault="0081022C" w:rsidP="008D2B16">
            <w:pPr>
              <w:suppressAutoHyphens w:val="0"/>
              <w:spacing w:before="40" w:after="40" w:line="220" w:lineRule="exact"/>
              <w:rPr>
                <w:sz w:val="18"/>
              </w:rPr>
            </w:pPr>
            <w:r w:rsidRPr="008D2B16">
              <w:rPr>
                <w:sz w:val="18"/>
                <w:lang w:val="fr-FR"/>
              </w:rPr>
              <w:t>2020</w:t>
            </w:r>
          </w:p>
        </w:tc>
        <w:tc>
          <w:tcPr>
            <w:tcW w:w="1002" w:type="dxa"/>
            <w:shd w:val="clear" w:color="auto" w:fill="auto"/>
            <w:vAlign w:val="bottom"/>
          </w:tcPr>
          <w:p w14:paraId="7B8398C0" w14:textId="77777777" w:rsidR="0081022C" w:rsidRPr="008D2B16" w:rsidRDefault="0081022C" w:rsidP="008D2B16">
            <w:pPr>
              <w:suppressAutoHyphens w:val="0"/>
              <w:spacing w:before="40" w:after="40" w:line="220" w:lineRule="exact"/>
              <w:jc w:val="right"/>
              <w:rPr>
                <w:sz w:val="18"/>
              </w:rPr>
            </w:pPr>
            <w:r w:rsidRPr="008D2B16">
              <w:rPr>
                <w:sz w:val="18"/>
                <w:lang w:val="fr-FR"/>
              </w:rPr>
              <w:t>10</w:t>
            </w:r>
          </w:p>
        </w:tc>
        <w:tc>
          <w:tcPr>
            <w:tcW w:w="1003" w:type="dxa"/>
            <w:shd w:val="clear" w:color="auto" w:fill="auto"/>
            <w:vAlign w:val="bottom"/>
          </w:tcPr>
          <w:p w14:paraId="0287FC75" w14:textId="77777777" w:rsidR="0081022C" w:rsidRPr="008D2B16" w:rsidRDefault="0081022C" w:rsidP="008D2B16">
            <w:pPr>
              <w:suppressAutoHyphens w:val="0"/>
              <w:spacing w:before="40" w:after="40" w:line="220" w:lineRule="exact"/>
              <w:jc w:val="right"/>
              <w:rPr>
                <w:sz w:val="18"/>
              </w:rPr>
            </w:pPr>
            <w:r w:rsidRPr="008D2B16">
              <w:rPr>
                <w:sz w:val="18"/>
                <w:lang w:val="fr-FR"/>
              </w:rPr>
              <w:t>4</w:t>
            </w:r>
          </w:p>
        </w:tc>
        <w:tc>
          <w:tcPr>
            <w:tcW w:w="1003" w:type="dxa"/>
            <w:shd w:val="clear" w:color="auto" w:fill="auto"/>
            <w:vAlign w:val="bottom"/>
          </w:tcPr>
          <w:p w14:paraId="35ECCDFA" w14:textId="77777777" w:rsidR="0081022C" w:rsidRPr="008D2B16" w:rsidRDefault="0081022C" w:rsidP="008D2B16">
            <w:pPr>
              <w:suppressAutoHyphens w:val="0"/>
              <w:spacing w:before="40" w:after="40" w:line="220" w:lineRule="exact"/>
              <w:jc w:val="right"/>
              <w:rPr>
                <w:sz w:val="18"/>
              </w:rPr>
            </w:pPr>
            <w:r w:rsidRPr="008D2B16">
              <w:rPr>
                <w:sz w:val="18"/>
                <w:lang w:val="fr-FR"/>
              </w:rPr>
              <w:t>152</w:t>
            </w:r>
          </w:p>
        </w:tc>
        <w:tc>
          <w:tcPr>
            <w:tcW w:w="1003" w:type="dxa"/>
            <w:shd w:val="clear" w:color="auto" w:fill="auto"/>
            <w:vAlign w:val="bottom"/>
          </w:tcPr>
          <w:p w14:paraId="58A6AF83" w14:textId="77777777" w:rsidR="0081022C" w:rsidRPr="008D2B16" w:rsidRDefault="0081022C" w:rsidP="008D2B16">
            <w:pPr>
              <w:suppressAutoHyphens w:val="0"/>
              <w:spacing w:before="40" w:after="40" w:line="220" w:lineRule="exact"/>
              <w:jc w:val="right"/>
              <w:rPr>
                <w:sz w:val="18"/>
              </w:rPr>
            </w:pPr>
            <w:r w:rsidRPr="008D2B16">
              <w:rPr>
                <w:sz w:val="18"/>
                <w:lang w:val="fr-FR"/>
              </w:rPr>
              <w:t>87</w:t>
            </w:r>
          </w:p>
        </w:tc>
        <w:tc>
          <w:tcPr>
            <w:tcW w:w="1204" w:type="dxa"/>
            <w:shd w:val="clear" w:color="auto" w:fill="auto"/>
            <w:vAlign w:val="bottom"/>
          </w:tcPr>
          <w:p w14:paraId="0DA80E35"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595" w:type="dxa"/>
            <w:shd w:val="clear" w:color="auto" w:fill="auto"/>
            <w:vAlign w:val="bottom"/>
          </w:tcPr>
          <w:p w14:paraId="0335C406" w14:textId="77777777" w:rsidR="0081022C" w:rsidRPr="008D2B16" w:rsidRDefault="0081022C" w:rsidP="008D2B16">
            <w:pPr>
              <w:suppressAutoHyphens w:val="0"/>
              <w:spacing w:before="40" w:after="40" w:line="220" w:lineRule="exact"/>
              <w:jc w:val="right"/>
              <w:rPr>
                <w:sz w:val="18"/>
              </w:rPr>
            </w:pPr>
            <w:r w:rsidRPr="008D2B16">
              <w:rPr>
                <w:sz w:val="18"/>
                <w:lang w:val="fr-FR"/>
              </w:rPr>
              <w:t>253</w:t>
            </w:r>
          </w:p>
        </w:tc>
      </w:tr>
      <w:tr w:rsidR="0081022C" w:rsidRPr="008D2B16" w14:paraId="5593D091" w14:textId="77777777" w:rsidTr="008D2B16">
        <w:tc>
          <w:tcPr>
            <w:tcW w:w="1560" w:type="dxa"/>
            <w:tcBorders>
              <w:bottom w:val="single" w:sz="4" w:space="0" w:color="auto"/>
            </w:tcBorders>
            <w:shd w:val="clear" w:color="auto" w:fill="auto"/>
          </w:tcPr>
          <w:p w14:paraId="68808324" w14:textId="77777777" w:rsidR="0081022C" w:rsidRPr="008D2B16" w:rsidRDefault="0081022C" w:rsidP="008D2B16">
            <w:pPr>
              <w:suppressAutoHyphens w:val="0"/>
              <w:spacing w:before="40" w:after="40" w:line="220" w:lineRule="exact"/>
              <w:rPr>
                <w:sz w:val="18"/>
              </w:rPr>
            </w:pPr>
            <w:r w:rsidRPr="008D2B16">
              <w:rPr>
                <w:sz w:val="18"/>
                <w:lang w:val="fr-FR"/>
              </w:rPr>
              <w:t>Janvier à juin 2021</w:t>
            </w:r>
          </w:p>
        </w:tc>
        <w:tc>
          <w:tcPr>
            <w:tcW w:w="1002" w:type="dxa"/>
            <w:tcBorders>
              <w:bottom w:val="single" w:sz="4" w:space="0" w:color="auto"/>
            </w:tcBorders>
            <w:shd w:val="clear" w:color="auto" w:fill="auto"/>
            <w:vAlign w:val="bottom"/>
          </w:tcPr>
          <w:p w14:paraId="2533E967"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tcBorders>
              <w:bottom w:val="single" w:sz="4" w:space="0" w:color="auto"/>
            </w:tcBorders>
            <w:shd w:val="clear" w:color="auto" w:fill="auto"/>
            <w:vAlign w:val="bottom"/>
          </w:tcPr>
          <w:p w14:paraId="538DC86B"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tcBorders>
              <w:bottom w:val="single" w:sz="4" w:space="0" w:color="auto"/>
            </w:tcBorders>
            <w:shd w:val="clear" w:color="auto" w:fill="auto"/>
            <w:vAlign w:val="bottom"/>
          </w:tcPr>
          <w:p w14:paraId="014E8CF6"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003" w:type="dxa"/>
            <w:tcBorders>
              <w:bottom w:val="single" w:sz="4" w:space="0" w:color="auto"/>
            </w:tcBorders>
            <w:shd w:val="clear" w:color="auto" w:fill="auto"/>
            <w:vAlign w:val="bottom"/>
          </w:tcPr>
          <w:p w14:paraId="3D8275E9"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204" w:type="dxa"/>
            <w:tcBorders>
              <w:bottom w:val="single" w:sz="4" w:space="0" w:color="auto"/>
            </w:tcBorders>
            <w:shd w:val="clear" w:color="auto" w:fill="auto"/>
            <w:vAlign w:val="bottom"/>
          </w:tcPr>
          <w:p w14:paraId="50F23C7E" w14:textId="77777777" w:rsidR="0081022C" w:rsidRPr="008D2B16" w:rsidRDefault="0081022C" w:rsidP="008D2B16">
            <w:pPr>
              <w:suppressAutoHyphens w:val="0"/>
              <w:spacing w:before="40" w:after="40" w:line="220" w:lineRule="exact"/>
              <w:jc w:val="right"/>
              <w:rPr>
                <w:sz w:val="18"/>
              </w:rPr>
            </w:pPr>
            <w:r w:rsidRPr="008D2B16">
              <w:rPr>
                <w:sz w:val="18"/>
                <w:lang w:val="fr-FR"/>
              </w:rPr>
              <w:t>1</w:t>
            </w:r>
          </w:p>
        </w:tc>
        <w:tc>
          <w:tcPr>
            <w:tcW w:w="595" w:type="dxa"/>
            <w:tcBorders>
              <w:bottom w:val="single" w:sz="4" w:space="0" w:color="auto"/>
            </w:tcBorders>
            <w:shd w:val="clear" w:color="auto" w:fill="auto"/>
            <w:vAlign w:val="bottom"/>
          </w:tcPr>
          <w:p w14:paraId="780792B3" w14:textId="77777777" w:rsidR="0081022C" w:rsidRPr="008D2B16" w:rsidRDefault="0081022C" w:rsidP="008D2B16">
            <w:pPr>
              <w:suppressAutoHyphens w:val="0"/>
              <w:spacing w:before="40" w:after="40" w:line="220" w:lineRule="exact"/>
              <w:jc w:val="right"/>
              <w:rPr>
                <w:sz w:val="18"/>
              </w:rPr>
            </w:pPr>
            <w:r w:rsidRPr="008D2B16">
              <w:rPr>
                <w:sz w:val="18"/>
                <w:lang w:val="fr-FR"/>
              </w:rPr>
              <w:t>1</w:t>
            </w:r>
          </w:p>
        </w:tc>
      </w:tr>
      <w:tr w:rsidR="0081022C" w:rsidRPr="008D2B16" w14:paraId="0047BE96" w14:textId="77777777" w:rsidTr="008D2B16">
        <w:tc>
          <w:tcPr>
            <w:tcW w:w="1560" w:type="dxa"/>
            <w:tcBorders>
              <w:top w:val="single" w:sz="4" w:space="0" w:color="auto"/>
              <w:bottom w:val="single" w:sz="12" w:space="0" w:color="auto"/>
            </w:tcBorders>
            <w:shd w:val="clear" w:color="auto" w:fill="auto"/>
          </w:tcPr>
          <w:p w14:paraId="22B5281D" w14:textId="77777777" w:rsidR="0081022C" w:rsidRPr="008D2B16" w:rsidRDefault="0081022C" w:rsidP="008D2B16">
            <w:pPr>
              <w:suppressAutoHyphens w:val="0"/>
              <w:spacing w:before="80" w:after="80" w:line="220" w:lineRule="exact"/>
              <w:ind w:left="283"/>
              <w:rPr>
                <w:b/>
                <w:sz w:val="18"/>
              </w:rPr>
            </w:pPr>
            <w:r w:rsidRPr="008D2B16">
              <w:rPr>
                <w:b/>
                <w:sz w:val="18"/>
                <w:lang w:val="fr-FR"/>
              </w:rPr>
              <w:t>Total</w:t>
            </w:r>
          </w:p>
        </w:tc>
        <w:tc>
          <w:tcPr>
            <w:tcW w:w="1002" w:type="dxa"/>
            <w:tcBorders>
              <w:top w:val="single" w:sz="4" w:space="0" w:color="auto"/>
              <w:bottom w:val="single" w:sz="12" w:space="0" w:color="auto"/>
            </w:tcBorders>
            <w:shd w:val="clear" w:color="auto" w:fill="auto"/>
            <w:vAlign w:val="bottom"/>
          </w:tcPr>
          <w:p w14:paraId="1AD0A76B" w14:textId="77777777" w:rsidR="0081022C" w:rsidRPr="008D2B16" w:rsidRDefault="0081022C" w:rsidP="008D2B16">
            <w:pPr>
              <w:suppressAutoHyphens w:val="0"/>
              <w:spacing w:before="80" w:after="80" w:line="220" w:lineRule="exact"/>
              <w:jc w:val="right"/>
              <w:rPr>
                <w:b/>
                <w:sz w:val="18"/>
              </w:rPr>
            </w:pPr>
            <w:r w:rsidRPr="008D2B16">
              <w:rPr>
                <w:b/>
                <w:sz w:val="18"/>
                <w:lang w:val="fr-FR"/>
              </w:rPr>
              <w:t>11</w:t>
            </w:r>
          </w:p>
        </w:tc>
        <w:tc>
          <w:tcPr>
            <w:tcW w:w="1003" w:type="dxa"/>
            <w:tcBorders>
              <w:top w:val="single" w:sz="4" w:space="0" w:color="auto"/>
              <w:bottom w:val="single" w:sz="12" w:space="0" w:color="auto"/>
            </w:tcBorders>
            <w:shd w:val="clear" w:color="auto" w:fill="auto"/>
            <w:vAlign w:val="bottom"/>
          </w:tcPr>
          <w:p w14:paraId="51B38744" w14:textId="77777777" w:rsidR="0081022C" w:rsidRPr="008D2B16" w:rsidRDefault="0081022C" w:rsidP="008D2B16">
            <w:pPr>
              <w:suppressAutoHyphens w:val="0"/>
              <w:spacing w:before="80" w:after="80" w:line="220" w:lineRule="exact"/>
              <w:jc w:val="right"/>
              <w:rPr>
                <w:b/>
                <w:sz w:val="18"/>
              </w:rPr>
            </w:pPr>
            <w:r w:rsidRPr="008D2B16">
              <w:rPr>
                <w:b/>
                <w:sz w:val="18"/>
                <w:lang w:val="fr-FR"/>
              </w:rPr>
              <w:t>4</w:t>
            </w:r>
          </w:p>
        </w:tc>
        <w:tc>
          <w:tcPr>
            <w:tcW w:w="1003" w:type="dxa"/>
            <w:tcBorders>
              <w:top w:val="single" w:sz="4" w:space="0" w:color="auto"/>
              <w:bottom w:val="single" w:sz="12" w:space="0" w:color="auto"/>
            </w:tcBorders>
            <w:shd w:val="clear" w:color="auto" w:fill="auto"/>
            <w:vAlign w:val="bottom"/>
          </w:tcPr>
          <w:p w14:paraId="6F591BE9" w14:textId="77777777" w:rsidR="0081022C" w:rsidRPr="008D2B16" w:rsidRDefault="0081022C" w:rsidP="008D2B16">
            <w:pPr>
              <w:suppressAutoHyphens w:val="0"/>
              <w:spacing w:before="80" w:after="80" w:line="220" w:lineRule="exact"/>
              <w:jc w:val="right"/>
              <w:rPr>
                <w:b/>
                <w:sz w:val="18"/>
              </w:rPr>
            </w:pPr>
            <w:r w:rsidRPr="008D2B16">
              <w:rPr>
                <w:b/>
                <w:sz w:val="18"/>
                <w:lang w:val="fr-FR"/>
              </w:rPr>
              <w:t>154</w:t>
            </w:r>
          </w:p>
        </w:tc>
        <w:tc>
          <w:tcPr>
            <w:tcW w:w="1003" w:type="dxa"/>
            <w:tcBorders>
              <w:top w:val="single" w:sz="4" w:space="0" w:color="auto"/>
              <w:bottom w:val="single" w:sz="12" w:space="0" w:color="auto"/>
            </w:tcBorders>
            <w:shd w:val="clear" w:color="auto" w:fill="auto"/>
            <w:vAlign w:val="bottom"/>
          </w:tcPr>
          <w:p w14:paraId="48909C2D" w14:textId="77777777" w:rsidR="0081022C" w:rsidRPr="008D2B16" w:rsidRDefault="0081022C" w:rsidP="008D2B16">
            <w:pPr>
              <w:suppressAutoHyphens w:val="0"/>
              <w:spacing w:before="80" w:after="80" w:line="220" w:lineRule="exact"/>
              <w:jc w:val="right"/>
              <w:rPr>
                <w:b/>
                <w:sz w:val="18"/>
              </w:rPr>
            </w:pPr>
            <w:r w:rsidRPr="008D2B16">
              <w:rPr>
                <w:b/>
                <w:sz w:val="18"/>
                <w:lang w:val="fr-FR"/>
              </w:rPr>
              <w:t>99</w:t>
            </w:r>
          </w:p>
        </w:tc>
        <w:tc>
          <w:tcPr>
            <w:tcW w:w="1204" w:type="dxa"/>
            <w:tcBorders>
              <w:top w:val="single" w:sz="4" w:space="0" w:color="auto"/>
              <w:bottom w:val="single" w:sz="12" w:space="0" w:color="auto"/>
            </w:tcBorders>
            <w:shd w:val="clear" w:color="auto" w:fill="auto"/>
            <w:vAlign w:val="bottom"/>
          </w:tcPr>
          <w:p w14:paraId="6EC43ECA" w14:textId="77777777" w:rsidR="0081022C" w:rsidRPr="008D2B16" w:rsidRDefault="0081022C" w:rsidP="008D2B16">
            <w:pPr>
              <w:suppressAutoHyphens w:val="0"/>
              <w:spacing w:before="80" w:after="80" w:line="220" w:lineRule="exact"/>
              <w:jc w:val="right"/>
              <w:rPr>
                <w:b/>
                <w:sz w:val="18"/>
              </w:rPr>
            </w:pPr>
            <w:r w:rsidRPr="008D2B16">
              <w:rPr>
                <w:b/>
                <w:sz w:val="18"/>
                <w:lang w:val="fr-FR"/>
              </w:rPr>
              <w:t>1</w:t>
            </w:r>
          </w:p>
        </w:tc>
        <w:tc>
          <w:tcPr>
            <w:tcW w:w="595" w:type="dxa"/>
            <w:tcBorders>
              <w:top w:val="single" w:sz="4" w:space="0" w:color="auto"/>
              <w:bottom w:val="single" w:sz="12" w:space="0" w:color="auto"/>
            </w:tcBorders>
            <w:shd w:val="clear" w:color="auto" w:fill="auto"/>
            <w:vAlign w:val="bottom"/>
          </w:tcPr>
          <w:p w14:paraId="79A9C06B" w14:textId="77777777" w:rsidR="0081022C" w:rsidRPr="008D2B16" w:rsidRDefault="0081022C" w:rsidP="008D2B16">
            <w:pPr>
              <w:suppressAutoHyphens w:val="0"/>
              <w:spacing w:before="80" w:after="80" w:line="220" w:lineRule="exact"/>
              <w:jc w:val="right"/>
              <w:rPr>
                <w:b/>
                <w:sz w:val="18"/>
              </w:rPr>
            </w:pPr>
            <w:r w:rsidRPr="008D2B16">
              <w:rPr>
                <w:b/>
                <w:sz w:val="18"/>
                <w:lang w:val="fr-FR"/>
              </w:rPr>
              <w:t>269</w:t>
            </w:r>
          </w:p>
        </w:tc>
      </w:tr>
    </w:tbl>
    <w:p w14:paraId="5B6741C1" w14:textId="2E0B8A73" w:rsidR="0081022C" w:rsidRPr="008D2B16" w:rsidRDefault="0081022C" w:rsidP="00D15103">
      <w:pPr>
        <w:pStyle w:val="SingleTxtG"/>
        <w:spacing w:before="120" w:after="240"/>
        <w:ind w:firstLine="170"/>
        <w:rPr>
          <w:sz w:val="18"/>
          <w:szCs w:val="18"/>
          <w:lang w:val="fr-FR"/>
        </w:rPr>
      </w:pPr>
      <w:r w:rsidRPr="008D2B16">
        <w:rPr>
          <w:i/>
          <w:iCs/>
          <w:sz w:val="18"/>
          <w:szCs w:val="18"/>
          <w:lang w:val="fr-FR"/>
        </w:rPr>
        <w:t>Source</w:t>
      </w:r>
      <w:r w:rsidRPr="008D2B16">
        <w:rPr>
          <w:sz w:val="18"/>
          <w:szCs w:val="18"/>
          <w:lang w:val="fr-FR"/>
        </w:rPr>
        <w:t xml:space="preserve"> : CONARE </w:t>
      </w:r>
      <w:r w:rsidR="008D2B16">
        <w:rPr>
          <w:sz w:val="18"/>
          <w:szCs w:val="18"/>
          <w:lang w:val="fr-FR"/>
        </w:rPr>
        <w:t>−</w:t>
      </w:r>
      <w:r w:rsidRPr="008D2B16">
        <w:rPr>
          <w:sz w:val="18"/>
          <w:szCs w:val="18"/>
          <w:lang w:val="fr-FR"/>
        </w:rPr>
        <w:t xml:space="preserve"> 2021.</w:t>
      </w:r>
    </w:p>
    <w:p w14:paraId="23526AF9" w14:textId="77777777" w:rsidR="0081022C" w:rsidRPr="00C24248" w:rsidRDefault="0081022C" w:rsidP="008D2B16">
      <w:pPr>
        <w:pStyle w:val="H23G"/>
        <w:rPr>
          <w:rFonts w:eastAsia="Calibri"/>
        </w:rPr>
      </w:pPr>
      <w:r>
        <w:rPr>
          <w:lang w:val="fr-FR"/>
        </w:rPr>
        <w:tab/>
      </w:r>
      <w:r>
        <w:rPr>
          <w:lang w:val="fr-FR"/>
        </w:rPr>
        <w:tab/>
        <w:t>Répartition des réfugiés par genre</w:t>
      </w:r>
    </w:p>
    <w:tbl>
      <w:tblPr>
        <w:tblW w:w="7370" w:type="dxa"/>
        <w:tblInd w:w="1134" w:type="dxa"/>
        <w:tblLayout w:type="fixed"/>
        <w:tblCellMar>
          <w:left w:w="0" w:type="dxa"/>
          <w:right w:w="0" w:type="dxa"/>
        </w:tblCellMar>
        <w:tblLook w:val="04A0" w:firstRow="1" w:lastRow="0" w:firstColumn="1" w:lastColumn="0" w:noHBand="0" w:noVBand="1"/>
      </w:tblPr>
      <w:tblGrid>
        <w:gridCol w:w="2427"/>
        <w:gridCol w:w="1521"/>
        <w:gridCol w:w="1711"/>
        <w:gridCol w:w="1711"/>
      </w:tblGrid>
      <w:tr w:rsidR="0081022C" w:rsidRPr="008D2B16" w14:paraId="02843EE3" w14:textId="77777777" w:rsidTr="008D2B16">
        <w:trPr>
          <w:tblHeader/>
        </w:trPr>
        <w:tc>
          <w:tcPr>
            <w:tcW w:w="1809" w:type="dxa"/>
            <w:tcBorders>
              <w:top w:val="single" w:sz="4" w:space="0" w:color="auto"/>
              <w:bottom w:val="single" w:sz="12" w:space="0" w:color="auto"/>
            </w:tcBorders>
            <w:shd w:val="clear" w:color="auto" w:fill="auto"/>
            <w:vAlign w:val="bottom"/>
          </w:tcPr>
          <w:p w14:paraId="2BDE9CDD" w14:textId="77777777" w:rsidR="0081022C" w:rsidRPr="008D2B16" w:rsidRDefault="0081022C" w:rsidP="008D2B16">
            <w:pPr>
              <w:suppressAutoHyphens w:val="0"/>
              <w:spacing w:before="80" w:after="80" w:line="200" w:lineRule="exact"/>
              <w:rPr>
                <w:i/>
                <w:sz w:val="16"/>
              </w:rPr>
            </w:pPr>
            <w:r w:rsidRPr="008D2B16">
              <w:rPr>
                <w:i/>
                <w:sz w:val="16"/>
                <w:lang w:val="fr-FR"/>
              </w:rPr>
              <w:t xml:space="preserve">Année </w:t>
            </w:r>
          </w:p>
        </w:tc>
        <w:tc>
          <w:tcPr>
            <w:tcW w:w="1134" w:type="dxa"/>
            <w:tcBorders>
              <w:top w:val="single" w:sz="4" w:space="0" w:color="auto"/>
              <w:bottom w:val="single" w:sz="12" w:space="0" w:color="auto"/>
            </w:tcBorders>
            <w:shd w:val="clear" w:color="auto" w:fill="auto"/>
            <w:vAlign w:val="bottom"/>
          </w:tcPr>
          <w:p w14:paraId="16348BED" w14:textId="77777777" w:rsidR="0081022C" w:rsidRPr="008D2B16" w:rsidRDefault="0081022C" w:rsidP="008D2B16">
            <w:pPr>
              <w:suppressAutoHyphens w:val="0"/>
              <w:spacing w:before="80" w:after="80" w:line="200" w:lineRule="exact"/>
              <w:jc w:val="right"/>
              <w:rPr>
                <w:i/>
                <w:sz w:val="16"/>
              </w:rPr>
            </w:pPr>
            <w:r w:rsidRPr="008D2B16">
              <w:rPr>
                <w:i/>
                <w:sz w:val="16"/>
                <w:lang w:val="fr-FR"/>
              </w:rPr>
              <w:t xml:space="preserve">Femmes </w:t>
            </w:r>
          </w:p>
        </w:tc>
        <w:tc>
          <w:tcPr>
            <w:tcW w:w="1276" w:type="dxa"/>
            <w:tcBorders>
              <w:top w:val="single" w:sz="4" w:space="0" w:color="auto"/>
              <w:bottom w:val="single" w:sz="12" w:space="0" w:color="auto"/>
            </w:tcBorders>
            <w:shd w:val="clear" w:color="auto" w:fill="auto"/>
            <w:vAlign w:val="bottom"/>
          </w:tcPr>
          <w:p w14:paraId="78E8BB11" w14:textId="77777777" w:rsidR="0081022C" w:rsidRPr="008D2B16" w:rsidRDefault="0081022C" w:rsidP="008D2B16">
            <w:pPr>
              <w:suppressAutoHyphens w:val="0"/>
              <w:spacing w:before="80" w:after="80" w:line="200" w:lineRule="exact"/>
              <w:jc w:val="right"/>
              <w:rPr>
                <w:i/>
                <w:sz w:val="16"/>
              </w:rPr>
            </w:pPr>
            <w:r w:rsidRPr="008D2B16">
              <w:rPr>
                <w:i/>
                <w:sz w:val="16"/>
                <w:lang w:val="fr-FR"/>
              </w:rPr>
              <w:t>Hommes</w:t>
            </w:r>
          </w:p>
        </w:tc>
        <w:tc>
          <w:tcPr>
            <w:tcW w:w="1276" w:type="dxa"/>
            <w:tcBorders>
              <w:top w:val="single" w:sz="4" w:space="0" w:color="auto"/>
              <w:bottom w:val="single" w:sz="12" w:space="0" w:color="auto"/>
            </w:tcBorders>
            <w:shd w:val="clear" w:color="auto" w:fill="auto"/>
            <w:vAlign w:val="bottom"/>
          </w:tcPr>
          <w:p w14:paraId="135D6F51" w14:textId="77777777" w:rsidR="0081022C" w:rsidRPr="008D2B16" w:rsidRDefault="0081022C" w:rsidP="008D2B16">
            <w:pPr>
              <w:suppressAutoHyphens w:val="0"/>
              <w:spacing w:before="80" w:after="80" w:line="200" w:lineRule="exact"/>
              <w:jc w:val="right"/>
              <w:rPr>
                <w:i/>
                <w:sz w:val="16"/>
              </w:rPr>
            </w:pPr>
            <w:r w:rsidRPr="008D2B16">
              <w:rPr>
                <w:i/>
                <w:sz w:val="16"/>
                <w:lang w:val="fr-FR"/>
              </w:rPr>
              <w:t>Total</w:t>
            </w:r>
          </w:p>
        </w:tc>
      </w:tr>
      <w:tr w:rsidR="0081022C" w:rsidRPr="008D2B16" w14:paraId="50C88E19" w14:textId="77777777" w:rsidTr="008D2B16">
        <w:tc>
          <w:tcPr>
            <w:tcW w:w="1809" w:type="dxa"/>
            <w:tcBorders>
              <w:top w:val="single" w:sz="12" w:space="0" w:color="auto"/>
            </w:tcBorders>
            <w:shd w:val="clear" w:color="auto" w:fill="auto"/>
          </w:tcPr>
          <w:p w14:paraId="266D3061" w14:textId="77777777" w:rsidR="0081022C" w:rsidRPr="008D2B16" w:rsidRDefault="0081022C" w:rsidP="008D2B16">
            <w:pPr>
              <w:suppressAutoHyphens w:val="0"/>
              <w:spacing w:before="40" w:after="40" w:line="220" w:lineRule="exact"/>
              <w:rPr>
                <w:sz w:val="18"/>
              </w:rPr>
            </w:pPr>
            <w:r w:rsidRPr="008D2B16">
              <w:rPr>
                <w:sz w:val="18"/>
                <w:lang w:val="fr-FR"/>
              </w:rPr>
              <w:t>2018</w:t>
            </w:r>
          </w:p>
        </w:tc>
        <w:tc>
          <w:tcPr>
            <w:tcW w:w="1134" w:type="dxa"/>
            <w:tcBorders>
              <w:top w:val="single" w:sz="12" w:space="0" w:color="auto"/>
            </w:tcBorders>
            <w:shd w:val="clear" w:color="auto" w:fill="auto"/>
            <w:vAlign w:val="bottom"/>
          </w:tcPr>
          <w:p w14:paraId="45E5CFA2" w14:textId="77777777" w:rsidR="0081022C" w:rsidRPr="008D2B16" w:rsidRDefault="0081022C" w:rsidP="008D2B16">
            <w:pPr>
              <w:suppressAutoHyphens w:val="0"/>
              <w:spacing w:before="40" w:after="40" w:line="220" w:lineRule="exact"/>
              <w:jc w:val="right"/>
              <w:rPr>
                <w:sz w:val="18"/>
              </w:rPr>
            </w:pPr>
            <w:r w:rsidRPr="008D2B16">
              <w:rPr>
                <w:sz w:val="18"/>
                <w:lang w:val="fr-FR"/>
              </w:rPr>
              <w:t>9</w:t>
            </w:r>
          </w:p>
        </w:tc>
        <w:tc>
          <w:tcPr>
            <w:tcW w:w="1276" w:type="dxa"/>
            <w:tcBorders>
              <w:top w:val="single" w:sz="12" w:space="0" w:color="auto"/>
            </w:tcBorders>
            <w:shd w:val="clear" w:color="auto" w:fill="auto"/>
            <w:vAlign w:val="bottom"/>
          </w:tcPr>
          <w:p w14:paraId="1C5B54E4" w14:textId="77777777" w:rsidR="0081022C" w:rsidRPr="008D2B16" w:rsidRDefault="0081022C" w:rsidP="008D2B16">
            <w:pPr>
              <w:suppressAutoHyphens w:val="0"/>
              <w:spacing w:before="40" w:after="40" w:line="220" w:lineRule="exact"/>
              <w:jc w:val="right"/>
              <w:rPr>
                <w:sz w:val="18"/>
              </w:rPr>
            </w:pPr>
            <w:r w:rsidRPr="008D2B16">
              <w:rPr>
                <w:sz w:val="18"/>
                <w:lang w:val="fr-FR"/>
              </w:rPr>
              <w:t>2</w:t>
            </w:r>
          </w:p>
        </w:tc>
        <w:tc>
          <w:tcPr>
            <w:tcW w:w="1276" w:type="dxa"/>
            <w:tcBorders>
              <w:top w:val="single" w:sz="12" w:space="0" w:color="auto"/>
            </w:tcBorders>
            <w:shd w:val="clear" w:color="auto" w:fill="auto"/>
            <w:vAlign w:val="bottom"/>
          </w:tcPr>
          <w:p w14:paraId="76D47CE6" w14:textId="77777777" w:rsidR="0081022C" w:rsidRPr="008D2B16" w:rsidRDefault="0081022C" w:rsidP="008D2B16">
            <w:pPr>
              <w:suppressAutoHyphens w:val="0"/>
              <w:spacing w:before="40" w:after="40" w:line="220" w:lineRule="exact"/>
              <w:jc w:val="right"/>
              <w:rPr>
                <w:sz w:val="18"/>
              </w:rPr>
            </w:pPr>
            <w:r w:rsidRPr="008D2B16">
              <w:rPr>
                <w:sz w:val="18"/>
                <w:lang w:val="fr-FR"/>
              </w:rPr>
              <w:t>11</w:t>
            </w:r>
          </w:p>
        </w:tc>
      </w:tr>
      <w:tr w:rsidR="0081022C" w:rsidRPr="008D2B16" w14:paraId="455D5037" w14:textId="77777777" w:rsidTr="008D2B16">
        <w:tc>
          <w:tcPr>
            <w:tcW w:w="1809" w:type="dxa"/>
            <w:shd w:val="clear" w:color="auto" w:fill="auto"/>
          </w:tcPr>
          <w:p w14:paraId="39002961" w14:textId="77777777" w:rsidR="0081022C" w:rsidRPr="008D2B16" w:rsidRDefault="0081022C" w:rsidP="008D2B16">
            <w:pPr>
              <w:suppressAutoHyphens w:val="0"/>
              <w:spacing w:before="40" w:after="40" w:line="220" w:lineRule="exact"/>
              <w:rPr>
                <w:sz w:val="18"/>
              </w:rPr>
            </w:pPr>
            <w:r w:rsidRPr="008D2B16">
              <w:rPr>
                <w:sz w:val="18"/>
                <w:lang w:val="fr-FR"/>
              </w:rPr>
              <w:t>2019</w:t>
            </w:r>
          </w:p>
        </w:tc>
        <w:tc>
          <w:tcPr>
            <w:tcW w:w="1134" w:type="dxa"/>
            <w:shd w:val="clear" w:color="auto" w:fill="auto"/>
            <w:vAlign w:val="bottom"/>
          </w:tcPr>
          <w:p w14:paraId="56402EFA" w14:textId="77777777" w:rsidR="0081022C" w:rsidRPr="008D2B16" w:rsidRDefault="0081022C" w:rsidP="008D2B16">
            <w:pPr>
              <w:suppressAutoHyphens w:val="0"/>
              <w:spacing w:before="40" w:after="40" w:line="220" w:lineRule="exact"/>
              <w:jc w:val="right"/>
              <w:rPr>
                <w:sz w:val="18"/>
              </w:rPr>
            </w:pPr>
            <w:r w:rsidRPr="008D2B16">
              <w:rPr>
                <w:sz w:val="18"/>
                <w:lang w:val="fr-FR"/>
              </w:rPr>
              <w:t>2</w:t>
            </w:r>
          </w:p>
        </w:tc>
        <w:tc>
          <w:tcPr>
            <w:tcW w:w="1276" w:type="dxa"/>
            <w:shd w:val="clear" w:color="auto" w:fill="auto"/>
            <w:vAlign w:val="bottom"/>
          </w:tcPr>
          <w:p w14:paraId="77570442" w14:textId="77777777" w:rsidR="0081022C" w:rsidRPr="008D2B16" w:rsidRDefault="0081022C" w:rsidP="008D2B16">
            <w:pPr>
              <w:suppressAutoHyphens w:val="0"/>
              <w:spacing w:before="40" w:after="40" w:line="220" w:lineRule="exact"/>
              <w:jc w:val="right"/>
              <w:rPr>
                <w:sz w:val="18"/>
              </w:rPr>
            </w:pPr>
            <w:r w:rsidRPr="008D2B16">
              <w:rPr>
                <w:sz w:val="18"/>
                <w:lang w:val="fr-FR"/>
              </w:rPr>
              <w:t>2</w:t>
            </w:r>
          </w:p>
        </w:tc>
        <w:tc>
          <w:tcPr>
            <w:tcW w:w="1276" w:type="dxa"/>
            <w:shd w:val="clear" w:color="auto" w:fill="auto"/>
            <w:vAlign w:val="bottom"/>
          </w:tcPr>
          <w:p w14:paraId="604B5734" w14:textId="77777777" w:rsidR="0081022C" w:rsidRPr="008D2B16" w:rsidRDefault="0081022C" w:rsidP="008D2B16">
            <w:pPr>
              <w:suppressAutoHyphens w:val="0"/>
              <w:spacing w:before="40" w:after="40" w:line="220" w:lineRule="exact"/>
              <w:jc w:val="right"/>
              <w:rPr>
                <w:sz w:val="18"/>
              </w:rPr>
            </w:pPr>
            <w:r w:rsidRPr="008D2B16">
              <w:rPr>
                <w:sz w:val="18"/>
                <w:lang w:val="fr-FR"/>
              </w:rPr>
              <w:t>4</w:t>
            </w:r>
          </w:p>
        </w:tc>
      </w:tr>
      <w:tr w:rsidR="0081022C" w:rsidRPr="008D2B16" w14:paraId="1378C88C" w14:textId="77777777" w:rsidTr="008D2B16">
        <w:tc>
          <w:tcPr>
            <w:tcW w:w="1809" w:type="dxa"/>
            <w:shd w:val="clear" w:color="auto" w:fill="auto"/>
          </w:tcPr>
          <w:p w14:paraId="27DB1E28" w14:textId="77777777" w:rsidR="0081022C" w:rsidRPr="008D2B16" w:rsidRDefault="0081022C" w:rsidP="008D2B16">
            <w:pPr>
              <w:suppressAutoHyphens w:val="0"/>
              <w:spacing w:before="40" w:after="40" w:line="220" w:lineRule="exact"/>
              <w:rPr>
                <w:sz w:val="18"/>
              </w:rPr>
            </w:pPr>
            <w:r w:rsidRPr="008D2B16">
              <w:rPr>
                <w:sz w:val="18"/>
                <w:lang w:val="fr-FR"/>
              </w:rPr>
              <w:t>2020</w:t>
            </w:r>
          </w:p>
        </w:tc>
        <w:tc>
          <w:tcPr>
            <w:tcW w:w="1134" w:type="dxa"/>
            <w:shd w:val="clear" w:color="auto" w:fill="auto"/>
            <w:vAlign w:val="bottom"/>
          </w:tcPr>
          <w:p w14:paraId="1C20A5A5" w14:textId="77777777" w:rsidR="0081022C" w:rsidRPr="008D2B16" w:rsidRDefault="0081022C" w:rsidP="008D2B16">
            <w:pPr>
              <w:suppressAutoHyphens w:val="0"/>
              <w:spacing w:before="40" w:after="40" w:line="220" w:lineRule="exact"/>
              <w:jc w:val="right"/>
              <w:rPr>
                <w:sz w:val="18"/>
              </w:rPr>
            </w:pPr>
            <w:r w:rsidRPr="008D2B16">
              <w:rPr>
                <w:sz w:val="18"/>
                <w:lang w:val="fr-FR"/>
              </w:rPr>
              <w:t>134</w:t>
            </w:r>
          </w:p>
        </w:tc>
        <w:tc>
          <w:tcPr>
            <w:tcW w:w="1276" w:type="dxa"/>
            <w:shd w:val="clear" w:color="auto" w:fill="auto"/>
            <w:vAlign w:val="bottom"/>
          </w:tcPr>
          <w:p w14:paraId="2B7F7EDD" w14:textId="77777777" w:rsidR="0081022C" w:rsidRPr="008D2B16" w:rsidRDefault="0081022C" w:rsidP="008D2B16">
            <w:pPr>
              <w:suppressAutoHyphens w:val="0"/>
              <w:spacing w:before="40" w:after="40" w:line="220" w:lineRule="exact"/>
              <w:jc w:val="right"/>
              <w:rPr>
                <w:sz w:val="18"/>
              </w:rPr>
            </w:pPr>
            <w:r w:rsidRPr="008D2B16">
              <w:rPr>
                <w:sz w:val="18"/>
                <w:lang w:val="fr-FR"/>
              </w:rPr>
              <w:t>119</w:t>
            </w:r>
          </w:p>
        </w:tc>
        <w:tc>
          <w:tcPr>
            <w:tcW w:w="1276" w:type="dxa"/>
            <w:shd w:val="clear" w:color="auto" w:fill="auto"/>
            <w:vAlign w:val="bottom"/>
          </w:tcPr>
          <w:p w14:paraId="5532A88B" w14:textId="77777777" w:rsidR="0081022C" w:rsidRPr="008D2B16" w:rsidRDefault="0081022C" w:rsidP="008D2B16">
            <w:pPr>
              <w:suppressAutoHyphens w:val="0"/>
              <w:spacing w:before="40" w:after="40" w:line="220" w:lineRule="exact"/>
              <w:jc w:val="right"/>
              <w:rPr>
                <w:sz w:val="18"/>
              </w:rPr>
            </w:pPr>
            <w:r w:rsidRPr="008D2B16">
              <w:rPr>
                <w:sz w:val="18"/>
                <w:lang w:val="fr-FR"/>
              </w:rPr>
              <w:t>253</w:t>
            </w:r>
          </w:p>
        </w:tc>
      </w:tr>
      <w:tr w:rsidR="0081022C" w:rsidRPr="008D2B16" w14:paraId="07896D0A" w14:textId="77777777" w:rsidTr="008D2B16">
        <w:tc>
          <w:tcPr>
            <w:tcW w:w="1809" w:type="dxa"/>
            <w:tcBorders>
              <w:bottom w:val="single" w:sz="4" w:space="0" w:color="auto"/>
            </w:tcBorders>
            <w:shd w:val="clear" w:color="auto" w:fill="auto"/>
          </w:tcPr>
          <w:p w14:paraId="1BB2537E" w14:textId="77777777" w:rsidR="0081022C" w:rsidRPr="008D2B16" w:rsidRDefault="0081022C" w:rsidP="008D2B16">
            <w:pPr>
              <w:suppressAutoHyphens w:val="0"/>
              <w:spacing w:before="40" w:after="40" w:line="220" w:lineRule="exact"/>
              <w:rPr>
                <w:sz w:val="18"/>
              </w:rPr>
            </w:pPr>
            <w:r w:rsidRPr="008D2B16">
              <w:rPr>
                <w:sz w:val="18"/>
                <w:lang w:val="fr-FR"/>
              </w:rPr>
              <w:t>Janvier à juin 2021</w:t>
            </w:r>
          </w:p>
        </w:tc>
        <w:tc>
          <w:tcPr>
            <w:tcW w:w="1134" w:type="dxa"/>
            <w:tcBorders>
              <w:bottom w:val="single" w:sz="4" w:space="0" w:color="auto"/>
            </w:tcBorders>
            <w:shd w:val="clear" w:color="auto" w:fill="auto"/>
            <w:vAlign w:val="bottom"/>
          </w:tcPr>
          <w:p w14:paraId="2339B7D5" w14:textId="77777777" w:rsidR="0081022C" w:rsidRPr="008D2B16" w:rsidRDefault="0081022C" w:rsidP="008D2B16">
            <w:pPr>
              <w:suppressAutoHyphens w:val="0"/>
              <w:spacing w:before="40" w:after="40" w:line="220" w:lineRule="exact"/>
              <w:jc w:val="right"/>
              <w:rPr>
                <w:sz w:val="18"/>
                <w:lang w:eastAsia="es-BO"/>
              </w:rPr>
            </w:pPr>
            <w:r w:rsidRPr="008D2B16">
              <w:rPr>
                <w:sz w:val="18"/>
                <w:lang w:eastAsia="es-BO"/>
              </w:rPr>
              <w:t>-</w:t>
            </w:r>
          </w:p>
        </w:tc>
        <w:tc>
          <w:tcPr>
            <w:tcW w:w="1276" w:type="dxa"/>
            <w:tcBorders>
              <w:bottom w:val="single" w:sz="4" w:space="0" w:color="auto"/>
            </w:tcBorders>
            <w:shd w:val="clear" w:color="auto" w:fill="auto"/>
            <w:vAlign w:val="bottom"/>
          </w:tcPr>
          <w:p w14:paraId="784E1C8D" w14:textId="77777777" w:rsidR="0081022C" w:rsidRPr="008D2B16" w:rsidRDefault="0081022C" w:rsidP="008D2B16">
            <w:pPr>
              <w:suppressAutoHyphens w:val="0"/>
              <w:spacing w:before="40" w:after="40" w:line="220" w:lineRule="exact"/>
              <w:jc w:val="right"/>
              <w:rPr>
                <w:sz w:val="18"/>
              </w:rPr>
            </w:pPr>
            <w:r w:rsidRPr="008D2B16">
              <w:rPr>
                <w:sz w:val="18"/>
                <w:lang w:val="fr-FR"/>
              </w:rPr>
              <w:t>1</w:t>
            </w:r>
          </w:p>
        </w:tc>
        <w:tc>
          <w:tcPr>
            <w:tcW w:w="1276" w:type="dxa"/>
            <w:tcBorders>
              <w:bottom w:val="single" w:sz="4" w:space="0" w:color="auto"/>
            </w:tcBorders>
            <w:shd w:val="clear" w:color="auto" w:fill="auto"/>
            <w:vAlign w:val="bottom"/>
          </w:tcPr>
          <w:p w14:paraId="67AA3393" w14:textId="77777777" w:rsidR="0081022C" w:rsidRPr="008D2B16" w:rsidRDefault="0081022C" w:rsidP="008D2B16">
            <w:pPr>
              <w:suppressAutoHyphens w:val="0"/>
              <w:spacing w:before="40" w:after="40" w:line="220" w:lineRule="exact"/>
              <w:jc w:val="right"/>
              <w:rPr>
                <w:sz w:val="18"/>
              </w:rPr>
            </w:pPr>
            <w:r w:rsidRPr="008D2B16">
              <w:rPr>
                <w:sz w:val="18"/>
                <w:lang w:val="fr-FR"/>
              </w:rPr>
              <w:t>1</w:t>
            </w:r>
          </w:p>
        </w:tc>
      </w:tr>
      <w:tr w:rsidR="0081022C" w:rsidRPr="008D2B16" w14:paraId="71D3B87D" w14:textId="77777777" w:rsidTr="008D2B16">
        <w:tc>
          <w:tcPr>
            <w:tcW w:w="1809" w:type="dxa"/>
            <w:tcBorders>
              <w:top w:val="single" w:sz="4" w:space="0" w:color="auto"/>
              <w:bottom w:val="single" w:sz="12" w:space="0" w:color="auto"/>
            </w:tcBorders>
            <w:shd w:val="clear" w:color="auto" w:fill="auto"/>
          </w:tcPr>
          <w:p w14:paraId="3E28DBEB" w14:textId="77777777" w:rsidR="0081022C" w:rsidRPr="008D2B16" w:rsidRDefault="0081022C" w:rsidP="008D2B16">
            <w:pPr>
              <w:suppressAutoHyphens w:val="0"/>
              <w:spacing w:before="80" w:after="80" w:line="220" w:lineRule="exact"/>
              <w:ind w:left="283"/>
              <w:rPr>
                <w:b/>
                <w:sz w:val="18"/>
              </w:rPr>
            </w:pPr>
            <w:r w:rsidRPr="008D2B16">
              <w:rPr>
                <w:b/>
                <w:sz w:val="18"/>
                <w:lang w:val="fr-FR"/>
              </w:rPr>
              <w:t>Total</w:t>
            </w:r>
          </w:p>
        </w:tc>
        <w:tc>
          <w:tcPr>
            <w:tcW w:w="1134" w:type="dxa"/>
            <w:tcBorders>
              <w:top w:val="single" w:sz="4" w:space="0" w:color="auto"/>
              <w:bottom w:val="single" w:sz="12" w:space="0" w:color="auto"/>
            </w:tcBorders>
            <w:shd w:val="clear" w:color="auto" w:fill="auto"/>
            <w:vAlign w:val="bottom"/>
          </w:tcPr>
          <w:p w14:paraId="4089A48E" w14:textId="77777777" w:rsidR="0081022C" w:rsidRPr="008D2B16" w:rsidRDefault="0081022C" w:rsidP="008D2B16">
            <w:pPr>
              <w:suppressAutoHyphens w:val="0"/>
              <w:spacing w:before="80" w:after="80" w:line="220" w:lineRule="exact"/>
              <w:jc w:val="right"/>
              <w:rPr>
                <w:b/>
                <w:sz w:val="18"/>
              </w:rPr>
            </w:pPr>
            <w:r w:rsidRPr="008D2B16">
              <w:rPr>
                <w:b/>
                <w:sz w:val="18"/>
                <w:lang w:val="fr-FR"/>
              </w:rPr>
              <w:t>145</w:t>
            </w:r>
          </w:p>
        </w:tc>
        <w:tc>
          <w:tcPr>
            <w:tcW w:w="1276" w:type="dxa"/>
            <w:tcBorders>
              <w:top w:val="single" w:sz="4" w:space="0" w:color="auto"/>
              <w:bottom w:val="single" w:sz="12" w:space="0" w:color="auto"/>
            </w:tcBorders>
            <w:shd w:val="clear" w:color="auto" w:fill="auto"/>
            <w:vAlign w:val="bottom"/>
          </w:tcPr>
          <w:p w14:paraId="7B7AC1C9" w14:textId="77777777" w:rsidR="0081022C" w:rsidRPr="008D2B16" w:rsidRDefault="0081022C" w:rsidP="008D2B16">
            <w:pPr>
              <w:suppressAutoHyphens w:val="0"/>
              <w:spacing w:before="80" w:after="80" w:line="220" w:lineRule="exact"/>
              <w:jc w:val="right"/>
              <w:rPr>
                <w:b/>
                <w:sz w:val="18"/>
              </w:rPr>
            </w:pPr>
            <w:r w:rsidRPr="008D2B16">
              <w:rPr>
                <w:b/>
                <w:sz w:val="18"/>
                <w:lang w:val="fr-FR"/>
              </w:rPr>
              <w:t>124</w:t>
            </w:r>
          </w:p>
        </w:tc>
        <w:tc>
          <w:tcPr>
            <w:tcW w:w="1276" w:type="dxa"/>
            <w:tcBorders>
              <w:top w:val="single" w:sz="4" w:space="0" w:color="auto"/>
              <w:bottom w:val="single" w:sz="12" w:space="0" w:color="auto"/>
            </w:tcBorders>
            <w:shd w:val="clear" w:color="auto" w:fill="auto"/>
            <w:vAlign w:val="bottom"/>
          </w:tcPr>
          <w:p w14:paraId="2F6932EF" w14:textId="77777777" w:rsidR="0081022C" w:rsidRPr="008D2B16" w:rsidRDefault="0081022C" w:rsidP="008D2B16">
            <w:pPr>
              <w:suppressAutoHyphens w:val="0"/>
              <w:spacing w:before="80" w:after="80" w:line="220" w:lineRule="exact"/>
              <w:jc w:val="right"/>
              <w:rPr>
                <w:b/>
                <w:sz w:val="18"/>
              </w:rPr>
            </w:pPr>
            <w:r w:rsidRPr="008D2B16">
              <w:rPr>
                <w:b/>
                <w:sz w:val="18"/>
                <w:lang w:val="fr-FR"/>
              </w:rPr>
              <w:t>269</w:t>
            </w:r>
          </w:p>
        </w:tc>
      </w:tr>
    </w:tbl>
    <w:p w14:paraId="6259800E" w14:textId="73D384D0" w:rsidR="0081022C" w:rsidRPr="004B0800" w:rsidRDefault="0081022C" w:rsidP="00D15103">
      <w:pPr>
        <w:pStyle w:val="SingleTxtG"/>
        <w:spacing w:before="120" w:after="240"/>
        <w:ind w:firstLine="170"/>
        <w:rPr>
          <w:rFonts w:eastAsia="Calibri"/>
          <w:sz w:val="18"/>
          <w:szCs w:val="18"/>
        </w:rPr>
      </w:pPr>
      <w:r w:rsidRPr="008D2B16">
        <w:rPr>
          <w:i/>
          <w:iCs/>
          <w:sz w:val="18"/>
          <w:szCs w:val="18"/>
          <w:lang w:val="fr-FR"/>
        </w:rPr>
        <w:t>Source</w:t>
      </w:r>
      <w:r>
        <w:rPr>
          <w:lang w:val="fr-FR"/>
        </w:rPr>
        <w:t xml:space="preserve"> : </w:t>
      </w:r>
      <w:r w:rsidRPr="008D2B16">
        <w:rPr>
          <w:sz w:val="18"/>
          <w:szCs w:val="18"/>
          <w:lang w:val="fr-FR"/>
        </w:rPr>
        <w:t xml:space="preserve">CONARE </w:t>
      </w:r>
      <w:r w:rsidR="008D2B16" w:rsidRPr="008D2B16">
        <w:rPr>
          <w:sz w:val="18"/>
          <w:szCs w:val="18"/>
          <w:lang w:val="fr-FR"/>
        </w:rPr>
        <w:t>−</w:t>
      </w:r>
      <w:r w:rsidRPr="008D2B16">
        <w:rPr>
          <w:sz w:val="18"/>
          <w:szCs w:val="18"/>
          <w:lang w:val="fr-FR"/>
        </w:rPr>
        <w:t xml:space="preserve"> 2021.</w:t>
      </w:r>
    </w:p>
    <w:p w14:paraId="1E92819D" w14:textId="77777777" w:rsidR="0081022C" w:rsidRPr="00C24248" w:rsidRDefault="0081022C" w:rsidP="0081022C">
      <w:pPr>
        <w:pStyle w:val="SingleTxtG"/>
      </w:pPr>
      <w:r>
        <w:rPr>
          <w:lang w:val="fr-FR"/>
        </w:rPr>
        <w:t>186.</w:t>
      </w:r>
      <w:r>
        <w:rPr>
          <w:lang w:val="fr-FR"/>
        </w:rPr>
        <w:tab/>
        <w:t>L’Unité du contrôle et de l’enregistrement des habitants de la Direction générale des migrations travaille sur une proposition de décret suprême de régularisation, qui permettrait d’assouplir les conditions et de rationaliser les coûts.</w:t>
      </w:r>
    </w:p>
    <w:p w14:paraId="7583266B" w14:textId="77777777" w:rsidR="0081022C" w:rsidRPr="002014CD" w:rsidRDefault="0081022C" w:rsidP="008D2B16">
      <w:pPr>
        <w:pStyle w:val="H23G"/>
      </w:pPr>
      <w:r>
        <w:rPr>
          <w:lang w:val="fr-FR"/>
        </w:rPr>
        <w:tab/>
        <w:t>24.</w:t>
      </w:r>
      <w:r>
        <w:rPr>
          <w:lang w:val="fr-FR"/>
        </w:rPr>
        <w:tab/>
        <w:t>Réponse au paragraphe 24 de la liste de points</w:t>
      </w:r>
    </w:p>
    <w:p w14:paraId="4365D487" w14:textId="3EB49D81" w:rsidR="0081022C" w:rsidRPr="00C24248" w:rsidRDefault="0081022C" w:rsidP="0081022C">
      <w:pPr>
        <w:pStyle w:val="SingleTxtG"/>
      </w:pPr>
      <w:r>
        <w:rPr>
          <w:lang w:val="fr-FR"/>
        </w:rPr>
        <w:t>187.</w:t>
      </w:r>
      <w:r>
        <w:rPr>
          <w:lang w:val="fr-FR"/>
        </w:rPr>
        <w:tab/>
        <w:t>a)</w:t>
      </w:r>
      <w:r w:rsidR="008D2B16">
        <w:rPr>
          <w:lang w:val="fr-FR"/>
        </w:rPr>
        <w:t> </w:t>
      </w:r>
      <w:r>
        <w:rPr>
          <w:lang w:val="fr-FR"/>
        </w:rPr>
        <w:t>Sur ce point, il convient de préciser qu’aucune plainte n’a été reçue et/ou formalisée concernant des actions illégales de l’Unité de police chargée du contrôle des migrations.</w:t>
      </w:r>
    </w:p>
    <w:p w14:paraId="34970A0C" w14:textId="2B878804" w:rsidR="0081022C" w:rsidRPr="00C24248" w:rsidRDefault="0081022C" w:rsidP="0081022C">
      <w:pPr>
        <w:pStyle w:val="SingleTxtG"/>
      </w:pPr>
      <w:r>
        <w:rPr>
          <w:lang w:val="fr-FR"/>
        </w:rPr>
        <w:t>188.</w:t>
      </w:r>
      <w:r>
        <w:rPr>
          <w:lang w:val="fr-FR"/>
        </w:rPr>
        <w:tab/>
        <w:t>b)</w:t>
      </w:r>
      <w:r w:rsidR="008D2B16">
        <w:rPr>
          <w:lang w:val="fr-FR"/>
        </w:rPr>
        <w:t> </w:t>
      </w:r>
      <w:r>
        <w:rPr>
          <w:lang w:val="fr-FR"/>
        </w:rPr>
        <w:t xml:space="preserve">En matière migratoire, lorsqu’une personne s’adresse au contrôle des migrations et exprime sa volonté de se prévaloir du droit d’asile, elle est admise sur le territoire sur présentation d’un document d’identité ou d’un passeport, selon le cas. Il lui est alors demandé </w:t>
      </w:r>
      <w:r>
        <w:rPr>
          <w:lang w:val="fr-FR"/>
        </w:rPr>
        <w:lastRenderedPageBreak/>
        <w:t xml:space="preserve">de formaliser dans un délai raisonnable sa demande d’asile auprès de la Commission nationale pour les réfugiés. Par conséquent, l’État nie que des demandeurs d’asile aient été empêchés d’entrer sur le territoire bolivien lorsque des gouvernements démocratiques étaient au pouvoir. Il est cependant impossible de déterminer si, sous le régime du Gouvernement </w:t>
      </w:r>
      <w:r w:rsidRPr="00D24049">
        <w:rPr>
          <w:i/>
          <w:iCs/>
          <w:lang w:val="fr-FR"/>
        </w:rPr>
        <w:t>de</w:t>
      </w:r>
      <w:r w:rsidR="00234638">
        <w:rPr>
          <w:i/>
          <w:iCs/>
          <w:lang w:val="fr-FR"/>
        </w:rPr>
        <w:t> </w:t>
      </w:r>
      <w:r w:rsidRPr="00D24049">
        <w:rPr>
          <w:i/>
          <w:iCs/>
          <w:lang w:val="fr-FR"/>
        </w:rPr>
        <w:t>facto</w:t>
      </w:r>
      <w:r>
        <w:rPr>
          <w:lang w:val="fr-FR"/>
        </w:rPr>
        <w:t>, les autorités ayant usurpé le pouvoir en Bolivie ont respecté ou non le droit à l’asile consacré par la loi n</w:t>
      </w:r>
      <w:r w:rsidRPr="00D24049">
        <w:rPr>
          <w:vertAlign w:val="superscript"/>
          <w:lang w:val="fr-FR"/>
        </w:rPr>
        <w:t>o</w:t>
      </w:r>
      <w:r>
        <w:rPr>
          <w:lang w:val="fr-FR"/>
        </w:rPr>
        <w:t> 251 sur les réfugiés.</w:t>
      </w:r>
    </w:p>
    <w:p w14:paraId="21694162" w14:textId="5C282944" w:rsidR="0081022C" w:rsidRPr="00C24248" w:rsidRDefault="0081022C" w:rsidP="0081022C">
      <w:pPr>
        <w:pStyle w:val="SingleTxtG"/>
      </w:pPr>
      <w:r>
        <w:rPr>
          <w:lang w:val="fr-FR"/>
        </w:rPr>
        <w:t>189.</w:t>
      </w:r>
      <w:r>
        <w:rPr>
          <w:lang w:val="fr-FR"/>
        </w:rPr>
        <w:tab/>
        <w:t>c)</w:t>
      </w:r>
      <w:r w:rsidR="008D2B16">
        <w:rPr>
          <w:lang w:val="fr-FR"/>
        </w:rPr>
        <w:t> </w:t>
      </w:r>
      <w:r>
        <w:rPr>
          <w:lang w:val="fr-FR"/>
        </w:rPr>
        <w:t>Aucune autre condition que la présentation d’un document d’identité ou d’un passeport, le cas échéant, n’est requise pour qu’un demandeur d’asile soit autorisé à entrer dans le pays. Il est alors invité à formaliser sa demande auprès de la Commission nationale pour les réfugiés dans un délai raisonnable.</w:t>
      </w:r>
    </w:p>
    <w:p w14:paraId="5DFE09F7" w14:textId="7BB1A0A6" w:rsidR="0081022C" w:rsidRPr="00C24248" w:rsidRDefault="0081022C" w:rsidP="0081022C">
      <w:pPr>
        <w:pStyle w:val="SingleTxtG"/>
      </w:pPr>
      <w:r>
        <w:rPr>
          <w:lang w:val="fr-FR"/>
        </w:rPr>
        <w:t>190.</w:t>
      </w:r>
      <w:r>
        <w:rPr>
          <w:lang w:val="fr-FR"/>
        </w:rPr>
        <w:tab/>
        <w:t>d)</w:t>
      </w:r>
      <w:r w:rsidR="008D2B16">
        <w:rPr>
          <w:lang w:val="fr-FR"/>
        </w:rPr>
        <w:t> </w:t>
      </w:r>
      <w:r>
        <w:rPr>
          <w:lang w:val="fr-FR"/>
        </w:rPr>
        <w:t>Il est à signaler que la Direction générale des migrations respecte toutes les conditions de la loi n</w:t>
      </w:r>
      <w:r w:rsidRPr="002319F5">
        <w:rPr>
          <w:vertAlign w:val="superscript"/>
          <w:lang w:val="fr-FR"/>
        </w:rPr>
        <w:t>o</w:t>
      </w:r>
      <w:r>
        <w:rPr>
          <w:lang w:val="fr-FR"/>
        </w:rPr>
        <w:t> 370 sur les migrations et émet les obligations de quitter le territoire dans le strict respect des motifs décrits dans la loi susmentionnée.</w:t>
      </w:r>
    </w:p>
    <w:p w14:paraId="75D13FDD" w14:textId="77777777" w:rsidR="0081022C" w:rsidRPr="00C24248" w:rsidRDefault="0081022C" w:rsidP="0081022C">
      <w:pPr>
        <w:pStyle w:val="SingleTxtG"/>
      </w:pPr>
      <w:r>
        <w:rPr>
          <w:lang w:val="fr-FR"/>
        </w:rPr>
        <w:t>191.</w:t>
      </w:r>
      <w:r>
        <w:rPr>
          <w:lang w:val="fr-FR"/>
        </w:rPr>
        <w:tab/>
        <w:t>Les ressortissants vénézuéliens en situation irrégulière, contrairement aux autres ressortissants présents en mars 2019, ont reçu des obligations de quitter le territoire en dépit de leur statut de demandeurs d’asile, car ils avaient exprimé leur consentement et demandé à être reconduits à la frontière du fait de leur situation de vulnérabilité et de précarité.</w:t>
      </w:r>
    </w:p>
    <w:p w14:paraId="778BFA24" w14:textId="77777777" w:rsidR="0081022C" w:rsidRPr="002014CD" w:rsidRDefault="0081022C" w:rsidP="008D2B16">
      <w:pPr>
        <w:pStyle w:val="H1G"/>
        <w:rPr>
          <w:i/>
        </w:rPr>
      </w:pPr>
      <w:r>
        <w:rPr>
          <w:lang w:val="fr-FR"/>
        </w:rPr>
        <w:tab/>
      </w:r>
      <w:r>
        <w:rPr>
          <w:lang w:val="fr-FR"/>
        </w:rPr>
        <w:tab/>
        <w:t>Peuples autochtones (art. 2, 25, 26 et 27)</w:t>
      </w:r>
    </w:p>
    <w:p w14:paraId="500836D5" w14:textId="77777777" w:rsidR="0081022C" w:rsidRPr="002014CD" w:rsidRDefault="0081022C" w:rsidP="008D2B16">
      <w:pPr>
        <w:pStyle w:val="H23G"/>
      </w:pPr>
      <w:r>
        <w:rPr>
          <w:lang w:val="fr-FR"/>
        </w:rPr>
        <w:tab/>
        <w:t>25.</w:t>
      </w:r>
      <w:r>
        <w:rPr>
          <w:lang w:val="fr-FR"/>
        </w:rPr>
        <w:tab/>
        <w:t>Réponse au paragraphe 25 de la liste de points</w:t>
      </w:r>
    </w:p>
    <w:p w14:paraId="662C57AD" w14:textId="14B82EE1" w:rsidR="0081022C" w:rsidRPr="00C24248" w:rsidRDefault="0081022C" w:rsidP="0081022C">
      <w:pPr>
        <w:pStyle w:val="SingleTxtG"/>
      </w:pPr>
      <w:r>
        <w:rPr>
          <w:lang w:val="fr-FR"/>
        </w:rPr>
        <w:t>192.</w:t>
      </w:r>
      <w:r>
        <w:rPr>
          <w:lang w:val="fr-FR"/>
        </w:rPr>
        <w:tab/>
        <w:t>La Constitution politique de l’État garantit le droit des nations et peuples autochtones paysans à la consultation préalable et ce droit est également prévu dans la loi relative au régime électoral, la loi relative aux hydrocarbures et la loi relative aux activités minières et métallurgiques. En outre, les décrets suprêmes n</w:t>
      </w:r>
      <w:r>
        <w:rPr>
          <w:vertAlign w:val="superscript"/>
          <w:lang w:val="fr-FR"/>
        </w:rPr>
        <w:t>o</w:t>
      </w:r>
      <w:r>
        <w:rPr>
          <w:lang w:val="fr-FR"/>
        </w:rPr>
        <w:t> 29033, n</w:t>
      </w:r>
      <w:r>
        <w:rPr>
          <w:vertAlign w:val="superscript"/>
          <w:lang w:val="fr-FR"/>
        </w:rPr>
        <w:t>o</w:t>
      </w:r>
      <w:r>
        <w:rPr>
          <w:lang w:val="fr-FR"/>
        </w:rPr>
        <w:t> 29124 et n</w:t>
      </w:r>
      <w:r>
        <w:rPr>
          <w:vertAlign w:val="superscript"/>
          <w:lang w:val="fr-FR"/>
        </w:rPr>
        <w:t>o</w:t>
      </w:r>
      <w:r>
        <w:rPr>
          <w:lang w:val="fr-FR"/>
        </w:rPr>
        <w:t> 29574 prévoient des procédures aux fins de la consultation et de la participation des nations et peuples autochtones paysans avant la réalisation de tous travaux, projets ou activités</w:t>
      </w:r>
      <w:r w:rsidR="00D15103">
        <w:rPr>
          <w:lang w:val="fr-FR"/>
        </w:rPr>
        <w:t xml:space="preserve"> </w:t>
      </w:r>
      <w:r>
        <w:rPr>
          <w:lang w:val="fr-FR"/>
        </w:rPr>
        <w:t>relatifs aux hydrocarbures.</w:t>
      </w:r>
    </w:p>
    <w:p w14:paraId="4E2C80EE" w14:textId="77777777" w:rsidR="0081022C" w:rsidRPr="00C24248" w:rsidRDefault="0081022C" w:rsidP="0081022C">
      <w:pPr>
        <w:pStyle w:val="SingleTxtG"/>
      </w:pPr>
      <w:r>
        <w:rPr>
          <w:lang w:val="fr-FR"/>
        </w:rPr>
        <w:t>193.</w:t>
      </w:r>
      <w:r>
        <w:rPr>
          <w:lang w:val="fr-FR"/>
        </w:rPr>
        <w:tab/>
        <w:t>Entre 2016 et 2019, en application de la loi relative aux activités minières et métallurgiques, le Ministère de l’industrie minière et de la métallurgie a rendu au total 90 décisions administratives définitives en matière de consultation préalable et décisions de recours en révision.</w:t>
      </w:r>
    </w:p>
    <w:p w14:paraId="1C5B18AF" w14:textId="46FBD607" w:rsidR="0081022C" w:rsidRPr="00C24248" w:rsidRDefault="0081022C" w:rsidP="0081022C">
      <w:pPr>
        <w:pStyle w:val="SingleTxtG"/>
      </w:pPr>
      <w:r>
        <w:rPr>
          <w:lang w:val="fr-FR"/>
        </w:rPr>
        <w:t>194.</w:t>
      </w:r>
      <w:r>
        <w:rPr>
          <w:lang w:val="fr-FR"/>
        </w:rPr>
        <w:tab/>
        <w:t>Le Tribunal suprême électoral a adopté le règlement relatif à l’observation et à l’accompagnement des procédures de consultation préalable, aux fins de la vérification des documents et des informations recueillis au cours des séances de délibération menées au titre de la procédure de consultation préalable. Dans le cadre de la loi relative au régime électoral, la mise en œuvre de ces mesures est associée à l’exécution de projets, travaux ou activités liés à l’exploitation des ressources minéralogiques naturelles. Entre octobre 2015 et décembre 2019, le Tribunal suprême électoral a été notifié de la tenue de 1</w:t>
      </w:r>
      <w:r w:rsidR="008D2B16">
        <w:rPr>
          <w:lang w:val="fr-FR"/>
        </w:rPr>
        <w:t> </w:t>
      </w:r>
      <w:r>
        <w:rPr>
          <w:lang w:val="fr-FR"/>
        </w:rPr>
        <w:t>236 consultations préalables, assorties de mesures d’observation et d’accompagnement, qui ont été convoquées par l’autorité juridictionnelle administrative chargée des questions minières, ainsi que de l’endroit où elles ont eu lieu.</w:t>
      </w:r>
    </w:p>
    <w:p w14:paraId="6DCEAC77" w14:textId="77777777" w:rsidR="0081022C" w:rsidRPr="00C24248" w:rsidRDefault="0081022C" w:rsidP="0081022C">
      <w:pPr>
        <w:pStyle w:val="SingleTxtG"/>
      </w:pPr>
      <w:r>
        <w:rPr>
          <w:lang w:val="fr-FR"/>
        </w:rPr>
        <w:t>195.</w:t>
      </w:r>
      <w:r>
        <w:rPr>
          <w:lang w:val="fr-FR"/>
        </w:rPr>
        <w:tab/>
        <w:t>En application de la réglementation en vigueur et des mesures d’observation et d’accompagnement prévues, le Tribunal suprême électoral a enregistré 753 procédures achevées sur décision de l’assemblée plénière et 36 abandons, pour un total de 447 procédures entre 2015 et 2019.</w:t>
      </w:r>
    </w:p>
    <w:p w14:paraId="30AEAF5F" w14:textId="464EAE92" w:rsidR="008445B2" w:rsidRDefault="0081022C" w:rsidP="0081022C">
      <w:pPr>
        <w:pStyle w:val="SingleTxtG"/>
        <w:rPr>
          <w:lang w:val="fr-FR"/>
        </w:rPr>
      </w:pPr>
      <w:r>
        <w:rPr>
          <w:lang w:val="fr-FR"/>
        </w:rPr>
        <w:t>196.</w:t>
      </w:r>
      <w:r>
        <w:rPr>
          <w:lang w:val="fr-FR"/>
        </w:rPr>
        <w:tab/>
        <w:t>S’agissant des activités extractives, la législation sectorielle prévoit</w:t>
      </w:r>
      <w:r w:rsidRPr="00E9231E">
        <w:rPr>
          <w:lang w:val="fr-FR"/>
        </w:rPr>
        <w:t xml:space="preserve"> </w:t>
      </w:r>
      <w:r>
        <w:rPr>
          <w:lang w:val="fr-FR"/>
        </w:rPr>
        <w:t>l’effet différé de la consultation préalable en ce qui concerne les politiques environnementales et leurs incidences sur la zone d’influence ou d’exécution des projets, travaux ou activités. Elle met donc l’accent sur la présence et la répartition de certaines composantes environnementales, du moins de la flore ou de la végétation du territoire sur lequel ces activités doivent être mises en œuvre.</w:t>
      </w:r>
    </w:p>
    <w:p w14:paraId="538C03AF" w14:textId="3D7638F3" w:rsidR="008D2B16" w:rsidRPr="008D2B16" w:rsidRDefault="008D2B16" w:rsidP="008D2B16">
      <w:pPr>
        <w:pStyle w:val="SingleTxtG"/>
        <w:spacing w:before="240" w:after="0"/>
        <w:jc w:val="center"/>
        <w:rPr>
          <w:u w:val="single"/>
        </w:rPr>
      </w:pPr>
      <w:r>
        <w:rPr>
          <w:u w:val="single"/>
        </w:rPr>
        <w:tab/>
      </w:r>
      <w:r>
        <w:rPr>
          <w:u w:val="single"/>
        </w:rPr>
        <w:tab/>
      </w:r>
      <w:r>
        <w:rPr>
          <w:u w:val="single"/>
        </w:rPr>
        <w:tab/>
      </w:r>
    </w:p>
    <w:sectPr w:rsidR="008D2B16" w:rsidRPr="008D2B16" w:rsidSect="008445B2">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6AF7" w14:textId="77777777" w:rsidR="000606B7" w:rsidRDefault="000606B7" w:rsidP="00F95C08">
      <w:pPr>
        <w:spacing w:line="240" w:lineRule="auto"/>
      </w:pPr>
    </w:p>
  </w:endnote>
  <w:endnote w:type="continuationSeparator" w:id="0">
    <w:p w14:paraId="70287809" w14:textId="77777777" w:rsidR="000606B7" w:rsidRPr="00AC3823" w:rsidRDefault="000606B7" w:rsidP="00AC3823">
      <w:pPr>
        <w:pStyle w:val="Pieddepage"/>
      </w:pPr>
    </w:p>
  </w:endnote>
  <w:endnote w:type="continuationNotice" w:id="1">
    <w:p w14:paraId="087685E1" w14:textId="77777777" w:rsidR="000606B7" w:rsidRDefault="000606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re Baskerville">
    <w:altName w:val="Cambria"/>
    <w:charset w:val="00"/>
    <w:family w:val="auto"/>
    <w:pitch w:val="variable"/>
    <w:sig w:usb0="A00000B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E449" w14:textId="26523A18" w:rsidR="008445B2" w:rsidRPr="008445B2" w:rsidRDefault="008445B2" w:rsidP="008445B2">
    <w:pPr>
      <w:pStyle w:val="Pieddepage"/>
      <w:tabs>
        <w:tab w:val="right" w:pos="9638"/>
      </w:tabs>
    </w:pPr>
    <w:r w:rsidRPr="008445B2">
      <w:rPr>
        <w:b/>
        <w:sz w:val="18"/>
      </w:rPr>
      <w:fldChar w:fldCharType="begin"/>
    </w:r>
    <w:r w:rsidRPr="008445B2">
      <w:rPr>
        <w:b/>
        <w:sz w:val="18"/>
      </w:rPr>
      <w:instrText xml:space="preserve"> PAGE  \* MERGEFORMAT </w:instrText>
    </w:r>
    <w:r w:rsidRPr="008445B2">
      <w:rPr>
        <w:b/>
        <w:sz w:val="18"/>
      </w:rPr>
      <w:fldChar w:fldCharType="separate"/>
    </w:r>
    <w:r w:rsidRPr="008445B2">
      <w:rPr>
        <w:b/>
        <w:noProof/>
        <w:sz w:val="18"/>
      </w:rPr>
      <w:t>2</w:t>
    </w:r>
    <w:r w:rsidRPr="008445B2">
      <w:rPr>
        <w:b/>
        <w:sz w:val="18"/>
      </w:rPr>
      <w:fldChar w:fldCharType="end"/>
    </w:r>
    <w:r>
      <w:rPr>
        <w:b/>
        <w:sz w:val="18"/>
      </w:rPr>
      <w:tab/>
    </w:r>
    <w:r>
      <w:t>GE.22-00627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C64" w14:textId="3C22296A" w:rsidR="008445B2" w:rsidRPr="008445B2" w:rsidRDefault="008445B2" w:rsidP="008445B2">
    <w:pPr>
      <w:pStyle w:val="Pieddepage"/>
      <w:tabs>
        <w:tab w:val="right" w:pos="9638"/>
      </w:tabs>
      <w:rPr>
        <w:b/>
        <w:sz w:val="18"/>
      </w:rPr>
    </w:pPr>
    <w:r>
      <w:t>GE.22-00627</w:t>
    </w:r>
    <w:r>
      <w:tab/>
    </w:r>
    <w:r w:rsidRPr="008445B2">
      <w:rPr>
        <w:b/>
        <w:sz w:val="18"/>
      </w:rPr>
      <w:fldChar w:fldCharType="begin"/>
    </w:r>
    <w:r w:rsidRPr="008445B2">
      <w:rPr>
        <w:b/>
        <w:sz w:val="18"/>
      </w:rPr>
      <w:instrText xml:space="preserve"> PAGE  \* MERGEFORMAT </w:instrText>
    </w:r>
    <w:r w:rsidRPr="008445B2">
      <w:rPr>
        <w:b/>
        <w:sz w:val="18"/>
      </w:rPr>
      <w:fldChar w:fldCharType="separate"/>
    </w:r>
    <w:r w:rsidRPr="008445B2">
      <w:rPr>
        <w:b/>
        <w:noProof/>
        <w:sz w:val="18"/>
      </w:rPr>
      <w:t>3</w:t>
    </w:r>
    <w:r w:rsidRPr="008445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5CBE" w14:textId="34EEBF3C" w:rsidR="001B379B" w:rsidRPr="008445B2" w:rsidRDefault="008445B2" w:rsidP="008445B2">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E4B29CB" wp14:editId="12E41D9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22-00627  (F)</w:t>
    </w:r>
    <w:r>
      <w:rPr>
        <w:noProof/>
        <w:sz w:val="20"/>
      </w:rPr>
      <w:drawing>
        <wp:anchor distT="0" distB="0" distL="114300" distR="114300" simplePos="0" relativeHeight="251660288" behindDoc="0" locked="0" layoutInCell="1" allowOverlap="1" wp14:anchorId="28313B01" wp14:editId="4CADB9AA">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080622    100622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F98B" w14:textId="77777777" w:rsidR="000606B7" w:rsidRPr="00AC3823" w:rsidRDefault="000606B7" w:rsidP="00AC3823">
      <w:pPr>
        <w:pStyle w:val="Pieddepage"/>
        <w:tabs>
          <w:tab w:val="right" w:pos="2155"/>
        </w:tabs>
        <w:spacing w:after="80" w:line="240" w:lineRule="atLeast"/>
        <w:ind w:left="680"/>
        <w:rPr>
          <w:u w:val="single"/>
        </w:rPr>
      </w:pPr>
      <w:r>
        <w:rPr>
          <w:u w:val="single"/>
        </w:rPr>
        <w:tab/>
      </w:r>
    </w:p>
  </w:footnote>
  <w:footnote w:type="continuationSeparator" w:id="0">
    <w:p w14:paraId="545251FE" w14:textId="77777777" w:rsidR="000606B7" w:rsidRPr="00AC3823" w:rsidRDefault="000606B7" w:rsidP="00AC3823">
      <w:pPr>
        <w:pStyle w:val="Pieddepage"/>
        <w:tabs>
          <w:tab w:val="right" w:pos="2155"/>
        </w:tabs>
        <w:spacing w:after="80" w:line="240" w:lineRule="atLeast"/>
        <w:ind w:left="680"/>
        <w:rPr>
          <w:u w:val="single"/>
        </w:rPr>
      </w:pPr>
      <w:r>
        <w:rPr>
          <w:u w:val="single"/>
        </w:rPr>
        <w:tab/>
      </w:r>
    </w:p>
  </w:footnote>
  <w:footnote w:type="continuationNotice" w:id="1">
    <w:p w14:paraId="74F162BF" w14:textId="77777777" w:rsidR="000606B7" w:rsidRPr="00AC3823" w:rsidRDefault="000606B7">
      <w:pPr>
        <w:spacing w:line="240" w:lineRule="auto"/>
        <w:rPr>
          <w:sz w:val="2"/>
          <w:szCs w:val="2"/>
        </w:rPr>
      </w:pPr>
    </w:p>
  </w:footnote>
  <w:footnote w:id="2">
    <w:p w14:paraId="300643A8" w14:textId="2DA687DB" w:rsidR="008445B2" w:rsidRPr="008445B2" w:rsidRDefault="008445B2">
      <w:pPr>
        <w:pStyle w:val="Notedebasdepage"/>
      </w:pPr>
      <w:r>
        <w:rPr>
          <w:rStyle w:val="Appelnotedebasdep"/>
        </w:rPr>
        <w:tab/>
      </w:r>
      <w:r w:rsidRPr="008445B2">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1900A594" w14:textId="39A9E2A7" w:rsidR="0081022C" w:rsidRPr="00B741F1" w:rsidRDefault="0081022C" w:rsidP="00AA16F9">
      <w:pPr>
        <w:pStyle w:val="Notedebasdepage"/>
      </w:pPr>
      <w:r>
        <w:rPr>
          <w:lang w:val="fr-FR"/>
        </w:rPr>
        <w:tab/>
      </w:r>
      <w:r w:rsidRPr="00AA16F9">
        <w:rPr>
          <w:rStyle w:val="Appelnotedebasdep"/>
        </w:rPr>
        <w:footnoteRef/>
      </w:r>
      <w:r>
        <w:rPr>
          <w:lang w:val="fr-FR"/>
        </w:rPr>
        <w:tab/>
        <w:t>Référence à la jurisprudence du Comité concernant les éléments du droit à une procédure régulière.</w:t>
      </w:r>
    </w:p>
  </w:footnote>
  <w:footnote w:id="4">
    <w:p w14:paraId="48DCD430" w14:textId="43C2D509" w:rsidR="0081022C" w:rsidRPr="00B741F1" w:rsidRDefault="0081022C" w:rsidP="00AA16F9">
      <w:pPr>
        <w:pStyle w:val="Notedebasdepage"/>
      </w:pPr>
      <w:r w:rsidRPr="00B741F1">
        <w:rPr>
          <w:lang w:val="fr-FR"/>
        </w:rPr>
        <w:tab/>
      </w:r>
      <w:r w:rsidRPr="00AA16F9">
        <w:rPr>
          <w:rStyle w:val="Appelnotedebasdep"/>
        </w:rPr>
        <w:footnoteRef/>
      </w:r>
      <w:r>
        <w:rPr>
          <w:lang w:val="fr-FR"/>
        </w:rPr>
        <w:tab/>
        <w:t>Référence à l’</w:t>
      </w:r>
      <w:r w:rsidR="0065119B">
        <w:rPr>
          <w:lang w:val="fr-FR"/>
        </w:rPr>
        <w:t>o</w:t>
      </w:r>
      <w:r>
        <w:rPr>
          <w:lang w:val="fr-FR"/>
        </w:rPr>
        <w:t>bservation générale n</w:t>
      </w:r>
      <w:r w:rsidRPr="00D33E83">
        <w:rPr>
          <w:vertAlign w:val="superscript"/>
          <w:lang w:val="fr-FR"/>
        </w:rPr>
        <w:t>o</w:t>
      </w:r>
      <w:r>
        <w:rPr>
          <w:lang w:val="fr-FR"/>
        </w:rPr>
        <w:t> 32 sur le droit à l’égalité devant les tribunaux et à un procès équitable.</w:t>
      </w:r>
    </w:p>
  </w:footnote>
  <w:footnote w:id="5">
    <w:p w14:paraId="5AC522D5" w14:textId="7F53BB5E" w:rsidR="0081022C" w:rsidRPr="0004454B" w:rsidRDefault="0081022C" w:rsidP="005B4E8E">
      <w:pPr>
        <w:pStyle w:val="Notedebasdepage"/>
      </w:pPr>
      <w:r w:rsidRPr="00B741F1">
        <w:rPr>
          <w:lang w:val="fr-FR"/>
        </w:rPr>
        <w:tab/>
      </w:r>
      <w:r w:rsidRPr="005B4E8E">
        <w:rPr>
          <w:rStyle w:val="Appelnotedebasdep"/>
        </w:rPr>
        <w:footnoteRef/>
      </w:r>
      <w:r>
        <w:rPr>
          <w:lang w:val="fr-FR"/>
        </w:rPr>
        <w:tab/>
        <w:t>Référence à l’</w:t>
      </w:r>
      <w:r w:rsidR="0065119B">
        <w:rPr>
          <w:lang w:val="fr-FR"/>
        </w:rPr>
        <w:t>o</w:t>
      </w:r>
      <w:r>
        <w:rPr>
          <w:lang w:val="fr-FR"/>
        </w:rPr>
        <w:t>bservation générale n</w:t>
      </w:r>
      <w:r w:rsidRPr="00D33E83">
        <w:rPr>
          <w:vertAlign w:val="superscript"/>
          <w:lang w:val="fr-FR"/>
        </w:rPr>
        <w:t>o</w:t>
      </w:r>
      <w:r>
        <w:rPr>
          <w:lang w:val="fr-FR"/>
        </w:rPr>
        <w:t> 27, notamment au fait qu’il ne suffit pas que la détention poursuive un but légitime, mais qu’il faut également qu’elle soit nécessaire et proportionnée à l’intérêt de protection, un devoir qui revient autant aux autorités judiciaires qu’administratives.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7853" w14:textId="55F0ECE0" w:rsidR="008445B2" w:rsidRPr="008445B2" w:rsidRDefault="00123898">
    <w:pPr>
      <w:pStyle w:val="En-tte"/>
    </w:pPr>
    <w:fldSimple w:instr=" TITLE  \* MERGEFORMAT ">
      <w:r w:rsidR="008445B2">
        <w:t>CCPR/C/BOL/RQ/4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2111" w14:textId="21F32AEB" w:rsidR="008445B2" w:rsidRPr="008445B2" w:rsidRDefault="00123898" w:rsidP="008445B2">
    <w:pPr>
      <w:pStyle w:val="En-tte"/>
      <w:jc w:val="right"/>
    </w:pPr>
    <w:fldSimple w:instr=" TITLE  \* MERGEFORMAT ">
      <w:r w:rsidR="008445B2">
        <w:t>CCPR/C/BOL/RQ/4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173B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DF7501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0F544D7C"/>
    <w:lvl w:ilvl="0" w:tplc="0E12463C">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lvlText w:val="%2)"/>
      <w:lvlJc w:val="left"/>
      <w:pPr>
        <w:tabs>
          <w:tab w:val="num" w:pos="1701"/>
        </w:tabs>
        <w:ind w:left="1134" w:firstLine="567"/>
      </w:pPr>
      <w:rPr>
        <w:rFonts w:hint="default"/>
      </w:rPr>
    </w:lvl>
    <w:lvl w:ilvl="2">
      <w:start w:val="1"/>
      <w:numFmt w:val="lowerRoman"/>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9E1C9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8CF0765E"/>
    <w:lvl w:ilvl="0" w:tplc="8CC6182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1"/>
  </w:num>
  <w:num w:numId="17">
    <w:abstractNumId w:val="17"/>
  </w:num>
  <w:num w:numId="18">
    <w:abstractNumId w:val="14"/>
  </w:num>
  <w:num w:numId="19">
    <w:abstractNumId w:val="11"/>
  </w:num>
  <w:num w:numId="20">
    <w:abstractNumId w:val="10"/>
  </w:num>
  <w:num w:numId="21">
    <w:abstractNumId w:val="12"/>
  </w:num>
  <w:num w:numId="22">
    <w:abstractNumId w:val="16"/>
  </w:num>
  <w:num w:numId="23">
    <w:abstractNumId w:val="18"/>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B7"/>
    <w:rsid w:val="00017F94"/>
    <w:rsid w:val="00023842"/>
    <w:rsid w:val="000334F9"/>
    <w:rsid w:val="000606B7"/>
    <w:rsid w:val="0007796D"/>
    <w:rsid w:val="00077BD3"/>
    <w:rsid w:val="000919AD"/>
    <w:rsid w:val="000A0F51"/>
    <w:rsid w:val="000B7790"/>
    <w:rsid w:val="000C2225"/>
    <w:rsid w:val="00111F2F"/>
    <w:rsid w:val="00123898"/>
    <w:rsid w:val="0014365E"/>
    <w:rsid w:val="00175548"/>
    <w:rsid w:val="00176178"/>
    <w:rsid w:val="001B379B"/>
    <w:rsid w:val="001E2C2B"/>
    <w:rsid w:val="001F36A4"/>
    <w:rsid w:val="001F525A"/>
    <w:rsid w:val="00202A57"/>
    <w:rsid w:val="002042D0"/>
    <w:rsid w:val="00223272"/>
    <w:rsid w:val="00234638"/>
    <w:rsid w:val="0024779E"/>
    <w:rsid w:val="00290896"/>
    <w:rsid w:val="002B7BC7"/>
    <w:rsid w:val="002C440C"/>
    <w:rsid w:val="002D7BE8"/>
    <w:rsid w:val="002E2D46"/>
    <w:rsid w:val="0032225A"/>
    <w:rsid w:val="003265B7"/>
    <w:rsid w:val="003402F1"/>
    <w:rsid w:val="00351332"/>
    <w:rsid w:val="003A6E96"/>
    <w:rsid w:val="003E276F"/>
    <w:rsid w:val="003F5702"/>
    <w:rsid w:val="00446FE5"/>
    <w:rsid w:val="00452396"/>
    <w:rsid w:val="004709B9"/>
    <w:rsid w:val="004B1AC4"/>
    <w:rsid w:val="004B47B4"/>
    <w:rsid w:val="00507788"/>
    <w:rsid w:val="005505B7"/>
    <w:rsid w:val="00565D16"/>
    <w:rsid w:val="00573BE5"/>
    <w:rsid w:val="00586ED3"/>
    <w:rsid w:val="00596AA9"/>
    <w:rsid w:val="005B4E8E"/>
    <w:rsid w:val="005E216F"/>
    <w:rsid w:val="006450E2"/>
    <w:rsid w:val="0065119B"/>
    <w:rsid w:val="00680C65"/>
    <w:rsid w:val="006A4B5C"/>
    <w:rsid w:val="006C2403"/>
    <w:rsid w:val="006D1448"/>
    <w:rsid w:val="006F44A7"/>
    <w:rsid w:val="006F7144"/>
    <w:rsid w:val="006F71EA"/>
    <w:rsid w:val="0071601D"/>
    <w:rsid w:val="00742328"/>
    <w:rsid w:val="0076146C"/>
    <w:rsid w:val="00774521"/>
    <w:rsid w:val="00793E85"/>
    <w:rsid w:val="007A611C"/>
    <w:rsid w:val="007A62E6"/>
    <w:rsid w:val="007B66BA"/>
    <w:rsid w:val="007C5863"/>
    <w:rsid w:val="007E0697"/>
    <w:rsid w:val="007E2032"/>
    <w:rsid w:val="0080684C"/>
    <w:rsid w:val="0081022C"/>
    <w:rsid w:val="008445B2"/>
    <w:rsid w:val="008560DB"/>
    <w:rsid w:val="00871C75"/>
    <w:rsid w:val="008776DC"/>
    <w:rsid w:val="008D2B16"/>
    <w:rsid w:val="009705C8"/>
    <w:rsid w:val="009B1E6C"/>
    <w:rsid w:val="009E2C6A"/>
    <w:rsid w:val="00A57411"/>
    <w:rsid w:val="00A9151D"/>
    <w:rsid w:val="00A92823"/>
    <w:rsid w:val="00AA02E2"/>
    <w:rsid w:val="00AA16F9"/>
    <w:rsid w:val="00AA6A35"/>
    <w:rsid w:val="00AC3823"/>
    <w:rsid w:val="00AE323C"/>
    <w:rsid w:val="00B00181"/>
    <w:rsid w:val="00B71CE9"/>
    <w:rsid w:val="00B765F7"/>
    <w:rsid w:val="00BA0CA9"/>
    <w:rsid w:val="00BB4B50"/>
    <w:rsid w:val="00BF5C93"/>
    <w:rsid w:val="00C01ACF"/>
    <w:rsid w:val="00C02897"/>
    <w:rsid w:val="00C123CF"/>
    <w:rsid w:val="00C23F94"/>
    <w:rsid w:val="00C95B47"/>
    <w:rsid w:val="00CA7BC4"/>
    <w:rsid w:val="00CC6028"/>
    <w:rsid w:val="00CD26C3"/>
    <w:rsid w:val="00D05667"/>
    <w:rsid w:val="00D15103"/>
    <w:rsid w:val="00D22C9C"/>
    <w:rsid w:val="00D3439C"/>
    <w:rsid w:val="00D744E5"/>
    <w:rsid w:val="00D83177"/>
    <w:rsid w:val="00D842DB"/>
    <w:rsid w:val="00D90198"/>
    <w:rsid w:val="00DB1831"/>
    <w:rsid w:val="00DD3BFD"/>
    <w:rsid w:val="00DF6678"/>
    <w:rsid w:val="00E33DB8"/>
    <w:rsid w:val="00E36D92"/>
    <w:rsid w:val="00E85C42"/>
    <w:rsid w:val="00EC30D5"/>
    <w:rsid w:val="00EE1BD4"/>
    <w:rsid w:val="00EE1C8E"/>
    <w:rsid w:val="00F12152"/>
    <w:rsid w:val="00F26D6A"/>
    <w:rsid w:val="00F660DF"/>
    <w:rsid w:val="00F743CB"/>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90789"/>
  <w15:docId w15:val="{7177A6BA-5FB1-4757-8F5F-BAA57CDA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s refss,Appel note de bas de page,referencia nota al pie,Footnote numbe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Cuadro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81022C"/>
    <w:pPr>
      <w:spacing w:after="0" w:line="240" w:lineRule="auto"/>
    </w:pPr>
    <w:rPr>
      <w:rFonts w:ascii="Calibri" w:eastAsia="Calibri" w:hAnsi="Calibri" w:cs="Times New Roman"/>
      <w:sz w:val="24"/>
      <w:szCs w:val="24"/>
      <w:lang w:val="es-ES_tradnl" w:eastAsia="en-US"/>
    </w:rPr>
  </w:style>
  <w:style w:type="character" w:styleId="Mentionnonrsolue">
    <w:name w:val="Unresolved Mention"/>
    <w:basedOn w:val="Policepardfaut"/>
    <w:uiPriority w:val="99"/>
    <w:semiHidden/>
    <w:unhideWhenUsed/>
    <w:rsid w:val="004B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BOL/CO/3" TargetMode="Externa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ocs.org/fr/CCPR/C/BOL/Q/4"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CARLA_OBSCD_2021\SEGURIDAD%20CIUDADANA\TRATA%20Y%20TR&#193;FICO\1_RESPUESTAS%20A%20REQUERIMIENTO%20DE%20INFORMACI&#211;N\APOYO_INFORMACI&#211;N_GENERAL_TRATA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507C-47A8-87B8-315DF78D207C}"/>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507C-47A8-87B8-315DF78D207C}"/>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5-507C-47A8-87B8-315DF78D207C}"/>
              </c:ext>
            </c:extLst>
          </c:dPt>
          <c:dPt>
            <c:idx val="3"/>
            <c:invertIfNegative val="0"/>
            <c:bubble3D val="0"/>
            <c:spPr>
              <a:solidFill>
                <a:schemeClr val="accent1">
                  <a:lumMod val="75000"/>
                </a:schemeClr>
              </a:solidFill>
              <a:ln>
                <a:noFill/>
              </a:ln>
              <a:effectLst/>
            </c:spPr>
            <c:extLst>
              <c:ext xmlns:c16="http://schemas.microsoft.com/office/drawing/2014/chart" uri="{C3380CC4-5D6E-409C-BE32-E72D297353CC}">
                <c16:uniqueId val="{00000007-507C-47A8-87B8-315DF78D207C}"/>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9-507C-47A8-87B8-315DF78D207C}"/>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B-507C-47A8-87B8-315DF78D207C}"/>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507C-47A8-87B8-315DF78D207C}"/>
              </c:ext>
            </c:extLst>
          </c:dPt>
          <c:dPt>
            <c:idx val="7"/>
            <c:invertIfNegative val="0"/>
            <c:bubble3D val="0"/>
            <c:spPr>
              <a:solidFill>
                <a:srgbClr val="FF66FF"/>
              </a:solidFill>
              <a:ln>
                <a:noFill/>
              </a:ln>
              <a:effectLst/>
            </c:spPr>
            <c:extLst>
              <c:ext xmlns:c16="http://schemas.microsoft.com/office/drawing/2014/chart" uri="{C3380CC4-5D6E-409C-BE32-E72D297353CC}">
                <c16:uniqueId val="{0000000F-507C-47A8-87B8-315DF78D207C}"/>
              </c:ext>
            </c:extLst>
          </c:dPt>
          <c:dPt>
            <c:idx val="8"/>
            <c:invertIfNegative val="0"/>
            <c:bubble3D val="0"/>
            <c:spPr>
              <a:solidFill>
                <a:srgbClr val="FF66FF"/>
              </a:solidFill>
              <a:ln>
                <a:noFill/>
              </a:ln>
              <a:effectLst/>
            </c:spPr>
            <c:extLst>
              <c:ext xmlns:c16="http://schemas.microsoft.com/office/drawing/2014/chart" uri="{C3380CC4-5D6E-409C-BE32-E72D297353CC}">
                <c16:uniqueId val="{00000011-507C-47A8-87B8-315DF78D207C}"/>
              </c:ext>
            </c:extLst>
          </c:dPt>
          <c:dPt>
            <c:idx val="9"/>
            <c:invertIfNegative val="0"/>
            <c:bubble3D val="0"/>
            <c:spPr>
              <a:solidFill>
                <a:srgbClr val="FF66FF"/>
              </a:solidFill>
              <a:ln>
                <a:noFill/>
              </a:ln>
              <a:effectLst/>
            </c:spPr>
            <c:extLst>
              <c:ext xmlns:c16="http://schemas.microsoft.com/office/drawing/2014/chart" uri="{C3380CC4-5D6E-409C-BE32-E72D297353CC}">
                <c16:uniqueId val="{00000013-507C-47A8-87B8-315DF78D207C}"/>
              </c:ext>
            </c:extLst>
          </c:dPt>
          <c:dPt>
            <c:idx val="10"/>
            <c:invertIfNegative val="0"/>
            <c:bubble3D val="0"/>
            <c:spPr>
              <a:solidFill>
                <a:srgbClr val="FF66FF"/>
              </a:solidFill>
              <a:ln>
                <a:noFill/>
              </a:ln>
              <a:effectLst/>
            </c:spPr>
            <c:extLst>
              <c:ext xmlns:c16="http://schemas.microsoft.com/office/drawing/2014/chart" uri="{C3380CC4-5D6E-409C-BE32-E72D297353CC}">
                <c16:uniqueId val="{00000015-507C-47A8-87B8-315DF78D207C}"/>
              </c:ext>
            </c:extLst>
          </c:dPt>
          <c:dPt>
            <c:idx val="11"/>
            <c:invertIfNegative val="0"/>
            <c:bubble3D val="0"/>
            <c:spPr>
              <a:solidFill>
                <a:srgbClr val="FF66FF"/>
              </a:solidFill>
              <a:ln>
                <a:noFill/>
              </a:ln>
              <a:effectLst/>
            </c:spPr>
            <c:extLst>
              <c:ext xmlns:c16="http://schemas.microsoft.com/office/drawing/2014/chart" uri="{C3380CC4-5D6E-409C-BE32-E72D297353CC}">
                <c16:uniqueId val="{00000017-507C-47A8-87B8-315DF78D207C}"/>
              </c:ext>
            </c:extLst>
          </c:dPt>
          <c:dPt>
            <c:idx val="12"/>
            <c:invertIfNegative val="0"/>
            <c:bubble3D val="0"/>
            <c:spPr>
              <a:solidFill>
                <a:srgbClr val="FF66FF"/>
              </a:solidFill>
              <a:ln>
                <a:noFill/>
              </a:ln>
              <a:effectLst/>
            </c:spPr>
            <c:extLst>
              <c:ext xmlns:c16="http://schemas.microsoft.com/office/drawing/2014/chart" uri="{C3380CC4-5D6E-409C-BE32-E72D297353CC}">
                <c16:uniqueId val="{00000019-507C-47A8-87B8-315DF78D207C}"/>
              </c:ext>
            </c:extLst>
          </c:dPt>
          <c:dPt>
            <c:idx val="13"/>
            <c:invertIfNegative val="0"/>
            <c:bubble3D val="0"/>
            <c:spPr>
              <a:solidFill>
                <a:srgbClr val="FF66FF"/>
              </a:solidFill>
              <a:ln>
                <a:noFill/>
              </a:ln>
              <a:effectLst/>
            </c:spPr>
            <c:extLst>
              <c:ext xmlns:c16="http://schemas.microsoft.com/office/drawing/2014/chart" uri="{C3380CC4-5D6E-409C-BE32-E72D297353CC}">
                <c16:uniqueId val="{0000001B-507C-47A8-87B8-315DF78D207C}"/>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'TRATA DE PERSONAS'!$B$26:$C$39</c:f>
              <c:multiLvlStrCache>
                <c:ptCount val="14"/>
                <c:lvl>
                  <c:pt idx="0">
                    <c:v>Por determinar</c:v>
                  </c:pt>
                  <c:pt idx="1">
                    <c:v>61 a más</c:v>
                  </c:pt>
                  <c:pt idx="2">
                    <c:v>51 a 60</c:v>
                  </c:pt>
                  <c:pt idx="3">
                    <c:v>36 a 50</c:v>
                  </c:pt>
                  <c:pt idx="4">
                    <c:v>19 a 35</c:v>
                  </c:pt>
                  <c:pt idx="5">
                    <c:v>11 a 18</c:v>
                  </c:pt>
                  <c:pt idx="6">
                    <c:v>01 a 10</c:v>
                  </c:pt>
                  <c:pt idx="7">
                    <c:v>Por determinar</c:v>
                  </c:pt>
                  <c:pt idx="8">
                    <c:v>61 a más</c:v>
                  </c:pt>
                  <c:pt idx="9">
                    <c:v>51 a 60</c:v>
                  </c:pt>
                  <c:pt idx="10">
                    <c:v>36 a 50</c:v>
                  </c:pt>
                  <c:pt idx="11">
                    <c:v>19 a 35</c:v>
                  </c:pt>
                  <c:pt idx="12">
                    <c:v>11 a 18</c:v>
                  </c:pt>
                  <c:pt idx="13">
                    <c:v>01 a 10</c:v>
                  </c:pt>
                </c:lvl>
                <c:lvl>
                  <c:pt idx="0">
                    <c:v>Hombre</c:v>
                  </c:pt>
                  <c:pt idx="7">
                    <c:v>Mujer</c:v>
                  </c:pt>
                </c:lvl>
              </c:multiLvlStrCache>
            </c:multiLvlStrRef>
          </c:cat>
          <c:val>
            <c:numRef>
              <c:f>'TRATA DE PERSONAS'!$E$26:$E$39</c:f>
              <c:numCache>
                <c:formatCode>0%</c:formatCode>
                <c:ptCount val="14"/>
                <c:pt idx="0">
                  <c:v>0.23893805309734514</c:v>
                </c:pt>
                <c:pt idx="1">
                  <c:v>5.8997050147492625E-2</c:v>
                </c:pt>
                <c:pt idx="2">
                  <c:v>6.1946902654867256E-2</c:v>
                </c:pt>
                <c:pt idx="3">
                  <c:v>0.15634218289085547</c:v>
                </c:pt>
                <c:pt idx="4">
                  <c:v>0.20648967551622419</c:v>
                </c:pt>
                <c:pt idx="5">
                  <c:v>0.1887905604719764</c:v>
                </c:pt>
                <c:pt idx="6">
                  <c:v>8.8495575221238937E-2</c:v>
                </c:pt>
                <c:pt idx="7">
                  <c:v>6.3694267515923567E-2</c:v>
                </c:pt>
                <c:pt idx="8">
                  <c:v>2.5477707006369428E-2</c:v>
                </c:pt>
                <c:pt idx="9">
                  <c:v>2.0700636942675158E-2</c:v>
                </c:pt>
                <c:pt idx="10">
                  <c:v>7.32484076433121E-2</c:v>
                </c:pt>
                <c:pt idx="11">
                  <c:v>0.25636942675159236</c:v>
                </c:pt>
                <c:pt idx="12">
                  <c:v>0.50318471337579618</c:v>
                </c:pt>
                <c:pt idx="13">
                  <c:v>5.7324840764331211E-2</c:v>
                </c:pt>
              </c:numCache>
            </c:numRef>
          </c:val>
          <c:extLst>
            <c:ext xmlns:c16="http://schemas.microsoft.com/office/drawing/2014/chart" uri="{C3380CC4-5D6E-409C-BE32-E72D297353CC}">
              <c16:uniqueId val="{0000001C-507C-47A8-87B8-315DF78D207C}"/>
            </c:ext>
          </c:extLst>
        </c:ser>
        <c:dLbls>
          <c:dLblPos val="outEnd"/>
          <c:showLegendKey val="0"/>
          <c:showVal val="1"/>
          <c:showCatName val="0"/>
          <c:showSerName val="0"/>
          <c:showPercent val="0"/>
          <c:showBubbleSize val="0"/>
        </c:dLbls>
        <c:gapWidth val="182"/>
        <c:axId val="412006576"/>
        <c:axId val="412006968"/>
      </c:barChart>
      <c:catAx>
        <c:axId val="41200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2006968"/>
        <c:crosses val="autoZero"/>
        <c:auto val="1"/>
        <c:lblAlgn val="ctr"/>
        <c:lblOffset val="100"/>
        <c:noMultiLvlLbl val="0"/>
      </c:catAx>
      <c:valAx>
        <c:axId val="412006968"/>
        <c:scaling>
          <c:orientation val="minMax"/>
        </c:scaling>
        <c:delete val="1"/>
        <c:axPos val="b"/>
        <c:numFmt formatCode="0%" sourceLinked="1"/>
        <c:majorTickMark val="none"/>
        <c:minorTickMark val="none"/>
        <c:tickLblPos val="nextTo"/>
        <c:crossAx val="412006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CCPR.dotm</Template>
  <TotalTime>0</TotalTime>
  <Pages>36</Pages>
  <Words>20519</Words>
  <Characters>107365</Characters>
  <Application>Microsoft Office Word</Application>
  <DocSecurity>0</DocSecurity>
  <Lines>2500</Lines>
  <Paragraphs>1196</Paragraphs>
  <ScaleCrop>false</ScaleCrop>
  <HeadingPairs>
    <vt:vector size="2" baseType="variant">
      <vt:variant>
        <vt:lpstr>Titre</vt:lpstr>
      </vt:variant>
      <vt:variant>
        <vt:i4>1</vt:i4>
      </vt:variant>
    </vt:vector>
  </HeadingPairs>
  <TitlesOfParts>
    <vt:vector size="1" baseType="lpstr">
      <vt:lpstr>CCPR/C/BOL/RQ/4</vt:lpstr>
    </vt:vector>
  </TitlesOfParts>
  <Company>DCM</Company>
  <LinksUpToDate>false</LinksUpToDate>
  <CharactersWithSpaces>126884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CCPR/C/BOL/RQ/4</dc:title>
  <dc:subject/>
  <dc:creator>Marie DESCHAMPS</dc:creator>
  <cp:keywords/>
  <cp:lastModifiedBy>Marie Deschamps</cp:lastModifiedBy>
  <cp:revision>2</cp:revision>
  <cp:lastPrinted>2014-05-14T10:59:00Z</cp:lastPrinted>
  <dcterms:created xsi:type="dcterms:W3CDTF">2022-06-10T09:57:00Z</dcterms:created>
  <dcterms:modified xsi:type="dcterms:W3CDTF">2022-06-10T09:57:00Z</dcterms:modified>
</cp:coreProperties>
</file>