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27D7DAAC" w14:textId="77777777" w:rsidTr="00CA1AEA">
        <w:trPr>
          <w:cantSplit/>
          <w:trHeight w:hRule="exact" w:val="851"/>
        </w:trPr>
        <w:tc>
          <w:tcPr>
            <w:tcW w:w="1276" w:type="dxa"/>
            <w:tcBorders>
              <w:bottom w:val="single" w:sz="4" w:space="0" w:color="auto"/>
            </w:tcBorders>
            <w:vAlign w:val="bottom"/>
          </w:tcPr>
          <w:p w14:paraId="4684F869" w14:textId="77777777" w:rsidR="00165C15" w:rsidRDefault="00165C15" w:rsidP="00CA1AEA">
            <w:pPr>
              <w:spacing w:after="80"/>
            </w:pPr>
          </w:p>
        </w:tc>
        <w:tc>
          <w:tcPr>
            <w:tcW w:w="2268" w:type="dxa"/>
            <w:tcBorders>
              <w:bottom w:val="single" w:sz="4" w:space="0" w:color="auto"/>
            </w:tcBorders>
            <w:vAlign w:val="bottom"/>
          </w:tcPr>
          <w:p w14:paraId="763AA494"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2C8AE69" w14:textId="0221D074" w:rsidR="00165C15" w:rsidRPr="00D47EEA" w:rsidRDefault="00014538" w:rsidP="00014538">
            <w:pPr>
              <w:spacing w:after="20" w:line="240" w:lineRule="atLeast"/>
              <w:jc w:val="right"/>
            </w:pPr>
            <w:r w:rsidRPr="00BA1404">
              <w:rPr>
                <w:sz w:val="40"/>
              </w:rPr>
              <w:t>CCPR</w:t>
            </w:r>
            <w:r w:rsidRPr="00BA1404">
              <w:t>/C/BOL/RQ/4</w:t>
            </w:r>
          </w:p>
        </w:tc>
      </w:tr>
      <w:tr w:rsidR="00165C15" w14:paraId="08971202" w14:textId="77777777" w:rsidTr="00CA1AEA">
        <w:trPr>
          <w:cantSplit/>
          <w:trHeight w:hRule="exact" w:val="2835"/>
        </w:trPr>
        <w:tc>
          <w:tcPr>
            <w:tcW w:w="1276" w:type="dxa"/>
            <w:tcBorders>
              <w:top w:val="single" w:sz="4" w:space="0" w:color="auto"/>
              <w:bottom w:val="single" w:sz="12" w:space="0" w:color="auto"/>
            </w:tcBorders>
          </w:tcPr>
          <w:p w14:paraId="1EECBAE0" w14:textId="77777777" w:rsidR="00165C15" w:rsidRDefault="00165C15" w:rsidP="00CA1AEA">
            <w:pPr>
              <w:spacing w:before="120"/>
            </w:pPr>
            <w:r>
              <w:rPr>
                <w:noProof/>
                <w:lang w:val="fr-CH" w:eastAsia="fr-CH"/>
              </w:rPr>
              <w:drawing>
                <wp:inline distT="0" distB="0" distL="0" distR="0" wp14:anchorId="02FB860C" wp14:editId="0652221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C9D44D"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2BE27F44" w14:textId="77777777" w:rsidR="00165C15" w:rsidRDefault="00014538" w:rsidP="00014538">
            <w:pPr>
              <w:spacing w:before="240"/>
            </w:pPr>
            <w:r>
              <w:t>Distr.: General</w:t>
            </w:r>
          </w:p>
          <w:p w14:paraId="6B835702" w14:textId="77777777" w:rsidR="002227E6" w:rsidRPr="00D470FC" w:rsidRDefault="002227E6" w:rsidP="002227E6">
            <w:pPr>
              <w:spacing w:line="240" w:lineRule="exact"/>
            </w:pPr>
            <w:r w:rsidRPr="00D470FC">
              <w:t>19 January 2022</w:t>
            </w:r>
          </w:p>
          <w:p w14:paraId="28ADE921" w14:textId="77777777" w:rsidR="002227E6" w:rsidRPr="00D470FC" w:rsidRDefault="002227E6" w:rsidP="002227E6">
            <w:pPr>
              <w:spacing w:line="240" w:lineRule="exact"/>
            </w:pPr>
            <w:r w:rsidRPr="00D470FC">
              <w:t>English</w:t>
            </w:r>
          </w:p>
          <w:p w14:paraId="32D56524" w14:textId="77777777" w:rsidR="002227E6" w:rsidRPr="00D470FC" w:rsidRDefault="002227E6" w:rsidP="002227E6">
            <w:pPr>
              <w:spacing w:line="240" w:lineRule="exact"/>
            </w:pPr>
            <w:r w:rsidRPr="00D470FC">
              <w:t>Original: Spanish</w:t>
            </w:r>
          </w:p>
          <w:p w14:paraId="6B71D220" w14:textId="3F95DADD" w:rsidR="00014538" w:rsidRDefault="002227E6" w:rsidP="002227E6">
            <w:pPr>
              <w:spacing w:line="240" w:lineRule="atLeast"/>
            </w:pPr>
            <w:r w:rsidRPr="00D470FC">
              <w:t>English, French and Spanish only</w:t>
            </w:r>
          </w:p>
        </w:tc>
      </w:tr>
    </w:tbl>
    <w:p w14:paraId="7E12ADE8" w14:textId="77777777" w:rsidR="002227E6" w:rsidRPr="00914368" w:rsidRDefault="002227E6" w:rsidP="002227E6">
      <w:pPr>
        <w:spacing w:before="120"/>
        <w:rPr>
          <w:b/>
          <w:bCs/>
          <w:sz w:val="24"/>
          <w:szCs w:val="24"/>
        </w:rPr>
      </w:pPr>
      <w:r w:rsidRPr="00914368">
        <w:rPr>
          <w:b/>
          <w:bCs/>
          <w:sz w:val="24"/>
          <w:szCs w:val="24"/>
        </w:rPr>
        <w:t>Human Rights Committee</w:t>
      </w:r>
    </w:p>
    <w:p w14:paraId="2DA6879B" w14:textId="77777777" w:rsidR="002227E6" w:rsidRPr="00914368" w:rsidRDefault="002227E6" w:rsidP="002227E6">
      <w:pPr>
        <w:textAlignment w:val="baseline"/>
        <w:rPr>
          <w:rFonts w:ascii="Segoe UI" w:hAnsi="Segoe UI" w:cs="Segoe UI"/>
        </w:rPr>
      </w:pPr>
      <w:r w:rsidRPr="00914368">
        <w:rPr>
          <w:b/>
          <w:bCs/>
        </w:rPr>
        <w:t>134th session</w:t>
      </w:r>
      <w:r w:rsidRPr="00914368">
        <w:t xml:space="preserve"> </w:t>
      </w:r>
    </w:p>
    <w:p w14:paraId="68AD158E" w14:textId="77777777" w:rsidR="002227E6" w:rsidRPr="00914368" w:rsidRDefault="002227E6" w:rsidP="002227E6">
      <w:pPr>
        <w:textAlignment w:val="baseline"/>
        <w:rPr>
          <w:rFonts w:ascii="Segoe UI" w:hAnsi="Segoe UI" w:cs="Segoe UI"/>
        </w:rPr>
      </w:pPr>
      <w:r w:rsidRPr="00914368">
        <w:t>28 February–25 March 2022</w:t>
      </w:r>
    </w:p>
    <w:p w14:paraId="5320D708" w14:textId="77777777" w:rsidR="002227E6" w:rsidRPr="00914368" w:rsidRDefault="002227E6" w:rsidP="002227E6">
      <w:pPr>
        <w:textAlignment w:val="baseline"/>
        <w:rPr>
          <w:rFonts w:ascii="Segoe UI" w:hAnsi="Segoe UI" w:cs="Segoe UI"/>
          <w:b/>
          <w:bCs/>
          <w:sz w:val="18"/>
          <w:szCs w:val="18"/>
        </w:rPr>
      </w:pPr>
      <w:r w:rsidRPr="00914368">
        <w:rPr>
          <w:b/>
          <w:bCs/>
        </w:rPr>
        <w:t>Consideration of reports submitted by States parties under article 40 of the Covenant</w:t>
      </w:r>
      <w:r w:rsidRPr="00914368">
        <w:rPr>
          <w:b/>
          <w:bCs/>
          <w:sz w:val="24"/>
          <w:szCs w:val="24"/>
        </w:rPr>
        <w:t xml:space="preserve"> </w:t>
      </w:r>
    </w:p>
    <w:p w14:paraId="2DE61DB5" w14:textId="77777777" w:rsidR="002227E6" w:rsidRPr="00914368" w:rsidRDefault="002227E6" w:rsidP="000E0B4F">
      <w:pPr>
        <w:pStyle w:val="HMG"/>
      </w:pPr>
      <w:r w:rsidRPr="00914368">
        <w:tab/>
      </w:r>
      <w:r w:rsidRPr="00914368">
        <w:tab/>
        <w:t>Replies of the Plurinational State of Bolivia to the list of issues in relation to its fourth periodic report</w:t>
      </w:r>
      <w:r w:rsidRPr="002C4A33">
        <w:rPr>
          <w:rFonts w:eastAsiaTheme="majorEastAsia"/>
          <w:b w:val="0"/>
          <w:bCs/>
          <w:sz w:val="20"/>
        </w:rPr>
        <w:footnoteReference w:customMarkFollows="1" w:id="2"/>
        <w:t>*</w:t>
      </w:r>
    </w:p>
    <w:p w14:paraId="700E6D63" w14:textId="77777777" w:rsidR="002227E6" w:rsidRPr="00914368" w:rsidRDefault="002227E6" w:rsidP="002227E6">
      <w:pPr>
        <w:tabs>
          <w:tab w:val="left" w:pos="1701"/>
          <w:tab w:val="left" w:pos="2268"/>
          <w:tab w:val="left" w:pos="2835"/>
        </w:tabs>
        <w:spacing w:after="120"/>
        <w:ind w:left="1134" w:right="1134"/>
        <w:jc w:val="right"/>
      </w:pPr>
      <w:r w:rsidRPr="00914368">
        <w:t>[Date received: 21 December 2021]</w:t>
      </w:r>
    </w:p>
    <w:p w14:paraId="7487577D" w14:textId="77777777" w:rsidR="002227E6" w:rsidRPr="00914368" w:rsidRDefault="002227E6" w:rsidP="002227E6">
      <w:pPr>
        <w:tabs>
          <w:tab w:val="left" w:pos="1701"/>
          <w:tab w:val="left" w:pos="2268"/>
          <w:tab w:val="left" w:pos="2835"/>
        </w:tabs>
        <w:spacing w:after="120"/>
        <w:ind w:left="1134" w:right="1134"/>
        <w:jc w:val="both"/>
        <w:rPr>
          <w:rFonts w:eastAsiaTheme="minorHAnsi"/>
        </w:rPr>
      </w:pPr>
      <w:r w:rsidRPr="00914368">
        <w:br w:type="page"/>
      </w:r>
    </w:p>
    <w:p w14:paraId="07343F3D" w14:textId="562416DD" w:rsidR="002227E6" w:rsidRPr="00914368" w:rsidRDefault="002227E6" w:rsidP="00CD4884">
      <w:pPr>
        <w:pStyle w:val="HChG"/>
      </w:pPr>
      <w:r w:rsidRPr="00914368">
        <w:lastRenderedPageBreak/>
        <w:tab/>
        <w:t>I.</w:t>
      </w:r>
      <w:r w:rsidRPr="00914368">
        <w:tab/>
        <w:t>Introduction</w:t>
      </w:r>
    </w:p>
    <w:p w14:paraId="7A6ABF21" w14:textId="77777777" w:rsidR="002227E6" w:rsidRPr="00914368" w:rsidRDefault="002227E6" w:rsidP="00DA044A">
      <w:pPr>
        <w:pStyle w:val="SingleTxtG"/>
      </w:pPr>
      <w:r w:rsidRPr="00914368">
        <w:t>1.</w:t>
      </w:r>
      <w:r w:rsidRPr="00914368">
        <w:tab/>
        <w:t>Bolivia ratified the International Covenant on Civil and Political Rights by Supreme Decree No. 18950 of 17 May 1982 and elevated it to the status of law by Act No. 2119 of 11 September 2000.</w:t>
      </w:r>
    </w:p>
    <w:p w14:paraId="6C334920" w14:textId="77777777" w:rsidR="002227E6" w:rsidRPr="00914368" w:rsidRDefault="002227E6" w:rsidP="00DA044A">
      <w:pPr>
        <w:pStyle w:val="SingleTxtG"/>
        <w:rPr>
          <w:spacing w:val="-4"/>
        </w:rPr>
      </w:pPr>
      <w:r w:rsidRPr="00914368">
        <w:t>2.</w:t>
      </w:r>
      <w:r w:rsidRPr="00914368">
        <w:tab/>
        <w:t>Under articles 13 (II) and (IV), 256 and 410 (II) of the Constitution, the Covenant and other international human rights instruments form part of the constitutional body of law and therefore take precedence over domestic legislation.</w:t>
      </w:r>
    </w:p>
    <w:p w14:paraId="06893F73" w14:textId="6AE2DAF0" w:rsidR="002227E6" w:rsidRPr="00914368" w:rsidRDefault="002227E6" w:rsidP="00DA044A">
      <w:pPr>
        <w:pStyle w:val="SingleTxtG"/>
      </w:pPr>
      <w:r w:rsidRPr="00914368">
        <w:t>3.</w:t>
      </w:r>
      <w:r w:rsidRPr="00914368">
        <w:tab/>
        <w:t>Pursuant to article 40 of the Covenant, the Plurinational State of Bolivia hereby submits its replies to the list of issues in relation to its fourth periodic report, in which it describes the legislative developments and the measures adopted in the country to comply with the Covenant and the Committee</w:t>
      </w:r>
      <w:r w:rsidR="008D6E06">
        <w:t>’</w:t>
      </w:r>
      <w:r w:rsidRPr="00914368">
        <w:t>s recommendations in its concluding observations on the third periodic report of the Plurinational State of Bolivia (</w:t>
      </w:r>
      <w:hyperlink r:id="rId12" w:history="1">
        <w:r w:rsidRPr="00BA1404">
          <w:rPr>
            <w:rStyle w:val="Hyperlink"/>
          </w:rPr>
          <w:t>CCPR/C/BOL/CO/3</w:t>
        </w:r>
      </w:hyperlink>
      <w:r w:rsidRPr="00914368">
        <w:t>), dated 22 September 2011.</w:t>
      </w:r>
    </w:p>
    <w:p w14:paraId="5A53C4C4" w14:textId="77777777" w:rsidR="002227E6" w:rsidRPr="00914368" w:rsidRDefault="002227E6" w:rsidP="00CD4884">
      <w:pPr>
        <w:pStyle w:val="HChG"/>
      </w:pPr>
      <w:r w:rsidRPr="00914368">
        <w:tab/>
        <w:t>II.</w:t>
      </w:r>
      <w:r w:rsidRPr="00914368">
        <w:tab/>
        <w:t>Constitutional and legal framework within which the Covenant is implemented (arts. 1–2)</w:t>
      </w:r>
    </w:p>
    <w:p w14:paraId="5AB07090" w14:textId="3988E2E9" w:rsidR="002227E6" w:rsidRPr="00914368" w:rsidRDefault="002227E6" w:rsidP="00CD4884">
      <w:pPr>
        <w:pStyle w:val="H23G"/>
      </w:pPr>
      <w:r w:rsidRPr="00914368">
        <w:tab/>
        <w:t>1.</w:t>
      </w:r>
      <w:r w:rsidRPr="00914368">
        <w:tab/>
        <w:t>Replies to the issues raised in paragraph 1 of the list of issues (</w:t>
      </w:r>
      <w:hyperlink r:id="rId13" w:history="1">
        <w:r w:rsidRPr="00BA1404">
          <w:rPr>
            <w:rStyle w:val="Hyperlink"/>
          </w:rPr>
          <w:t>CCPR/C/BOL/Q/4</w:t>
        </w:r>
      </w:hyperlink>
      <w:r w:rsidRPr="00914368">
        <w:t>)</w:t>
      </w:r>
    </w:p>
    <w:p w14:paraId="3DDB2A97" w14:textId="77777777" w:rsidR="002227E6" w:rsidRPr="00914368" w:rsidRDefault="002227E6" w:rsidP="00DA044A">
      <w:pPr>
        <w:pStyle w:val="SingleTxtG"/>
        <w:rPr>
          <w:rFonts w:eastAsia="Calibri"/>
        </w:rPr>
      </w:pPr>
      <w:r w:rsidRPr="00914368">
        <w:t>4.</w:t>
      </w:r>
      <w:r w:rsidRPr="00914368">
        <w:tab/>
        <w:t>Since the promulgation of the Constitution in 2009, the Government has set new standards to ensure that the national constitutional order is aligned with international provisions, on the basis of previous jurisprudence. Under article 410 (II) of the Constitution, international human rights treaties and conventions and rules of community law ratified by the country, including the International Covenant on Civil and Political Rights, form part of the constitutional body of law. Under articles 13 (IV) and 256 (I), international human rights instruments take precedence when they contain rights more favourable than those set out in the Constitution.</w:t>
      </w:r>
    </w:p>
    <w:p w14:paraId="1BFDBA60" w14:textId="77777777" w:rsidR="002227E6" w:rsidRPr="00914368" w:rsidRDefault="002227E6" w:rsidP="00DA044A">
      <w:pPr>
        <w:pStyle w:val="SingleTxtG"/>
        <w:rPr>
          <w:rFonts w:eastAsia="Calibri"/>
        </w:rPr>
      </w:pPr>
      <w:r w:rsidRPr="00914368">
        <w:t>5.</w:t>
      </w:r>
      <w:r w:rsidRPr="00914368">
        <w:tab/>
        <w:t>In Plurinational Constitutional Decision No. 110/2010-R of 10 May, the Constitutional Court found that regulatory elements and jurisdictional decisions of the inter-American human rights protection system are not separate from or independent of the domestic legal order, given that effective protection of fundamental rights is guaranteed insofar as the domestic order assumes, in terms of its content, the scope and effects of these regulations and decisions. The Court stated the following:</w:t>
      </w:r>
    </w:p>
    <w:p w14:paraId="6FE3AE58" w14:textId="77777777" w:rsidR="002227E6" w:rsidRPr="00DA044A" w:rsidRDefault="002227E6" w:rsidP="00DA044A">
      <w:pPr>
        <w:pStyle w:val="SingleTxtG"/>
        <w:rPr>
          <w:rFonts w:eastAsia="Calibri"/>
          <w:i/>
          <w:iCs/>
        </w:rPr>
      </w:pPr>
      <w:r w:rsidRPr="00DA044A">
        <w:rPr>
          <w:i/>
          <w:iCs/>
        </w:rPr>
        <w:tab/>
        <w:t>The doctrine of the constitutional order recognized by article 410 of the Constitution encompasses the international human rights treaties, which unequivocally include the Pact of San José, also known as the American Convention on Human Rights, which was ratified by Bolivia in Act No. 1.599 of 18 October 1994. That Convention, by virtue of its essence and subject matter, is protected by the principle of constitutional supremacy, which forms the basis of the hierarchy of norms in operation in the Plurinational State of Bolivia.</w:t>
      </w:r>
    </w:p>
    <w:p w14:paraId="0CA44C06" w14:textId="0504BF2D" w:rsidR="002227E6" w:rsidRPr="00DA044A" w:rsidRDefault="002227E6" w:rsidP="00DA044A">
      <w:pPr>
        <w:pStyle w:val="SingleTxtG"/>
        <w:rPr>
          <w:rFonts w:eastAsia="Calibri"/>
          <w:i/>
          <w:iCs/>
        </w:rPr>
      </w:pPr>
      <w:r w:rsidRPr="00DA044A">
        <w:rPr>
          <w:i/>
          <w:iCs/>
        </w:rPr>
        <w:tab/>
        <w:t xml:space="preserve">The Pact of San José, as a regulatory component of the constitutional order, is made up of three essential and closely interrelated parts, namely the preamble, the obligations and the organizational provisions. Chapter VIII of the Pact specifically regulates the Inter-American Court of Human Rights. It therefore follows, on the basis of a </w:t>
      </w:r>
      <w:r w:rsidR="008D6E06">
        <w:rPr>
          <w:i/>
          <w:iCs/>
        </w:rPr>
        <w:t>‘</w:t>
      </w:r>
      <w:r w:rsidRPr="00DA044A">
        <w:rPr>
          <w:i/>
          <w:iCs/>
        </w:rPr>
        <w:t>systemic</w:t>
      </w:r>
      <w:r w:rsidR="008D6E06">
        <w:rPr>
          <w:i/>
          <w:iCs/>
        </w:rPr>
        <w:t>’</w:t>
      </w:r>
      <w:r w:rsidRPr="00DA044A">
        <w:rPr>
          <w:i/>
          <w:iCs/>
        </w:rPr>
        <w:t xml:space="preserve"> reading of constitutional interpretation, that the Court and, consequently, the decisions emanating from it, form part of the constitutional order.</w:t>
      </w:r>
    </w:p>
    <w:p w14:paraId="160544F2" w14:textId="79FCCC15" w:rsidR="002227E6" w:rsidRPr="00914368" w:rsidRDefault="002227E6" w:rsidP="00DA044A">
      <w:pPr>
        <w:pStyle w:val="SingleTxtG"/>
        <w:rPr>
          <w:rFonts w:eastAsia="Calibri"/>
        </w:rPr>
      </w:pPr>
      <w:r w:rsidRPr="00914368">
        <w:t>6.</w:t>
      </w:r>
      <w:r w:rsidRPr="00914368">
        <w:tab/>
        <w:t xml:space="preserve">The Constitutional Court concluded by stating in its decision that since the Inter-American Court of Human Rights is the supreme guarantor of respect for human rights at the supranational level, the subject of its jurisdiction and the decisions that it issues constitute the cornerstones that give effect to the legitimacy of the </w:t>
      </w:r>
      <w:r w:rsidR="008D6E06">
        <w:t>“</w:t>
      </w:r>
      <w:r w:rsidRPr="00914368">
        <w:t>constitutional State</w:t>
      </w:r>
      <w:r w:rsidR="008D6E06">
        <w:t>”</w:t>
      </w:r>
      <w:r w:rsidRPr="00914368">
        <w:t xml:space="preserve">, which at the same time translates into the </w:t>
      </w:r>
      <w:r w:rsidR="008D6E06">
        <w:t>“</w:t>
      </w:r>
      <w:r w:rsidRPr="00914368">
        <w:t>social and democratic rule of law</w:t>
      </w:r>
      <w:r w:rsidR="008D6E06">
        <w:t>”</w:t>
      </w:r>
      <w:r w:rsidRPr="00914368">
        <w:t xml:space="preserve">, the central elements of which include the protection of human rights and the existence of effective mechanisms to enforce them. For this reason, judgments issued by the Inter-American Court of Human Rights are now also part of the constitutional order. They form not only the basis for the actions of public officials, but also take precedence, in terms of their content, over all </w:t>
      </w:r>
      <w:r w:rsidRPr="00914368">
        <w:lastRenderedPageBreak/>
        <w:t xml:space="preserve">regulations in force below the level of the Constitution. The Constitutional Court stated the following: </w:t>
      </w:r>
      <w:r w:rsidR="008D6E06">
        <w:t>“</w:t>
      </w:r>
      <w:r w:rsidRPr="00914368">
        <w:t xml:space="preserve">In the context of the foregoing, it is unequivocally inferred that the judgments issued by the Inter-American Court of Human Rights, by their nature and effects, do not sit below either the Constitution or the regulations in force below that level; on the contrary, they form part of constitutional law and, based on the scope of the principle of constitutional supremacy inherent to the regulations that make up such law, are fundamental to and inform the entire domestic legal order, which must be fully aligned with the content of constitutional law so as to enshrine the full legitimacy of the </w:t>
      </w:r>
      <w:r w:rsidR="008D6E06">
        <w:t>“</w:t>
      </w:r>
      <w:r w:rsidRPr="00914368">
        <w:t>constitutional State</w:t>
      </w:r>
      <w:r w:rsidR="008D6E06">
        <w:t>”</w:t>
      </w:r>
      <w:r w:rsidRPr="00914368">
        <w:t xml:space="preserve"> within the operation of the inter-American human rights protection system.</w:t>
      </w:r>
      <w:r w:rsidR="008D6E06">
        <w:t>”</w:t>
      </w:r>
    </w:p>
    <w:p w14:paraId="6332A552" w14:textId="1E7E5338" w:rsidR="002227E6" w:rsidRPr="00914368" w:rsidRDefault="002227E6" w:rsidP="00DA044A">
      <w:pPr>
        <w:pStyle w:val="SingleTxtG"/>
        <w:rPr>
          <w:rFonts w:eastAsia="Calibri"/>
        </w:rPr>
      </w:pPr>
      <w:r w:rsidRPr="00914368">
        <w:t>7.</w:t>
      </w:r>
      <w:r w:rsidRPr="00914368">
        <w:tab/>
        <w:t>In Plurinational Constitutional Decision No. 0032/2019 of 9 July, the Constitutional Court established that all State authorities, within the framework of their competences, have a duty to assess whether their actions are compatible with treaties. This involves an examination of compatibility between national regulations and international human rights law, including international human rights treaties and the decisions issued by international bodies that interpret those treaties. Consequently, in establishing the content of the duty to assess compatibility with treaties, the Court recognized the binding nature of the decisions and guidance of the human rights treaty bodies, including the Human Rights Committee, as contained in their general comments and individual communications.</w:t>
      </w:r>
    </w:p>
    <w:p w14:paraId="28FD177A" w14:textId="46ED7241" w:rsidR="002227E6" w:rsidRPr="00914368" w:rsidRDefault="002227E6" w:rsidP="00DA044A">
      <w:pPr>
        <w:pStyle w:val="SingleTxtG"/>
        <w:rPr>
          <w:rFonts w:eastAsia="Calibri"/>
        </w:rPr>
      </w:pPr>
      <w:r w:rsidRPr="00914368">
        <w:t>8.</w:t>
      </w:r>
      <w:r w:rsidRPr="00914368">
        <w:tab/>
        <w:t>Consequently, in the exercise of its jurisdiction over regulatory monitoring and oversight, the Plurinational Constitutional Court made use of the Views issued by the Human Rights Committee both as a fundamental basis for the resolution of specific cases and as a source of reference. Below are some meaningful examples of instances in which the Committee</w:t>
      </w:r>
      <w:r w:rsidR="008D6E06">
        <w:t>’</w:t>
      </w:r>
      <w:r w:rsidRPr="00914368">
        <w:t>s Views have informed the work of the Plurinational Constitutional Court:</w:t>
      </w:r>
    </w:p>
    <w:p w14:paraId="107A7140" w14:textId="44BCD684"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Views issued by the Committee used in the resolution of specific cases:</w:t>
      </w:r>
    </w:p>
    <w:p w14:paraId="44575421" w14:textId="62F0A37D" w:rsidR="002227E6" w:rsidRPr="00914368" w:rsidRDefault="00521EED" w:rsidP="00521EED">
      <w:pPr>
        <w:pStyle w:val="Bullet2G"/>
        <w:numPr>
          <w:ilvl w:val="0"/>
          <w:numId w:val="0"/>
        </w:numPr>
        <w:tabs>
          <w:tab w:val="left" w:pos="2268"/>
        </w:tabs>
        <w:ind w:left="2268" w:hanging="170"/>
      </w:pPr>
      <w:r w:rsidRPr="00914368">
        <w:t>•</w:t>
      </w:r>
      <w:r w:rsidRPr="00914368">
        <w:tab/>
      </w:r>
      <w:r w:rsidR="002227E6" w:rsidRPr="00914368">
        <w:t xml:space="preserve">Due process </w:t>
      </w:r>
      <w:r w:rsidR="00AC4838">
        <w:t>–</w:t>
      </w:r>
      <w:r w:rsidR="002227E6" w:rsidRPr="00914368">
        <w:t xml:space="preserve"> Plurinational Constitutional Decisions No. 0480/2019-S2 of 9 July 2019, No. 2055/2012 of 16 October and No. 0432/2015-S2 of 29 April</w:t>
      </w:r>
    </w:p>
    <w:p w14:paraId="65435273" w14:textId="4947CF83" w:rsidR="002227E6" w:rsidRPr="00914368" w:rsidRDefault="00521EED" w:rsidP="00521EED">
      <w:pPr>
        <w:pStyle w:val="Bullet2G"/>
        <w:numPr>
          <w:ilvl w:val="0"/>
          <w:numId w:val="0"/>
        </w:numPr>
        <w:tabs>
          <w:tab w:val="left" w:pos="2268"/>
        </w:tabs>
        <w:ind w:left="2268" w:hanging="170"/>
      </w:pPr>
      <w:r w:rsidRPr="00914368">
        <w:t>•</w:t>
      </w:r>
      <w:r w:rsidRPr="00914368">
        <w:tab/>
      </w:r>
      <w:r w:rsidR="002227E6" w:rsidRPr="00914368">
        <w:t xml:space="preserve">Freedom of residence </w:t>
      </w:r>
      <w:r w:rsidR="00AC4838">
        <w:t>–</w:t>
      </w:r>
      <w:r w:rsidR="002227E6" w:rsidRPr="00914368">
        <w:t xml:space="preserve"> Plurinational Constitutional Decision No. 0024/2018 of 27 June</w:t>
      </w:r>
    </w:p>
    <w:p w14:paraId="62BEE529" w14:textId="3F9EC712" w:rsidR="002227E6" w:rsidRPr="00914368" w:rsidRDefault="00521EED" w:rsidP="00521EED">
      <w:pPr>
        <w:pStyle w:val="Bullet2G"/>
        <w:numPr>
          <w:ilvl w:val="0"/>
          <w:numId w:val="0"/>
        </w:numPr>
        <w:tabs>
          <w:tab w:val="left" w:pos="2268"/>
        </w:tabs>
        <w:ind w:left="2268" w:hanging="170"/>
      </w:pPr>
      <w:r w:rsidRPr="00914368">
        <w:t>•</w:t>
      </w:r>
      <w:r w:rsidRPr="00914368">
        <w:tab/>
      </w:r>
      <w:r w:rsidR="002227E6" w:rsidRPr="00914368">
        <w:t xml:space="preserve">Political rights </w:t>
      </w:r>
      <w:r w:rsidR="00AC4838">
        <w:t>–</w:t>
      </w:r>
      <w:r w:rsidR="002227E6" w:rsidRPr="00914368">
        <w:t xml:space="preserve"> Plurinational Constitutional Decision No. 0021/2019-S3 of 1 March</w:t>
      </w:r>
    </w:p>
    <w:p w14:paraId="506A3880" w14:textId="27F6BC33" w:rsidR="002227E6" w:rsidRPr="00914368" w:rsidRDefault="00521EED" w:rsidP="00521EED">
      <w:pPr>
        <w:pStyle w:val="Bullet2G"/>
        <w:numPr>
          <w:ilvl w:val="0"/>
          <w:numId w:val="0"/>
        </w:numPr>
        <w:tabs>
          <w:tab w:val="left" w:pos="2268"/>
        </w:tabs>
        <w:ind w:left="2268" w:hanging="170"/>
      </w:pPr>
      <w:r w:rsidRPr="00914368">
        <w:t>•</w:t>
      </w:r>
      <w:r w:rsidRPr="00914368">
        <w:tab/>
      </w:r>
      <w:r w:rsidR="002227E6" w:rsidRPr="00914368">
        <w:t xml:space="preserve">Indigenous peoples in voluntary isolation </w:t>
      </w:r>
      <w:r w:rsidR="00AC4838">
        <w:t>–</w:t>
      </w:r>
      <w:r w:rsidR="002227E6" w:rsidRPr="00914368">
        <w:t xml:space="preserve"> Plurinational Constitutional Decision No. 0014/2013-L of 20 February</w:t>
      </w:r>
    </w:p>
    <w:p w14:paraId="160661D7" w14:textId="78C13AB9" w:rsidR="002227E6" w:rsidRPr="00914368" w:rsidRDefault="00521EED" w:rsidP="00521EED">
      <w:pPr>
        <w:pStyle w:val="Bullet2G"/>
        <w:numPr>
          <w:ilvl w:val="0"/>
          <w:numId w:val="0"/>
        </w:numPr>
        <w:tabs>
          <w:tab w:val="left" w:pos="2268"/>
        </w:tabs>
        <w:ind w:left="2268" w:hanging="170"/>
      </w:pPr>
      <w:r w:rsidRPr="00914368">
        <w:t>•</w:t>
      </w:r>
      <w:r w:rsidRPr="00914368">
        <w:tab/>
      </w:r>
      <w:r w:rsidR="002227E6" w:rsidRPr="00914368">
        <w:t xml:space="preserve">Judicial independence </w:t>
      </w:r>
      <w:r w:rsidR="00AC4838">
        <w:t>–</w:t>
      </w:r>
      <w:r w:rsidR="002227E6" w:rsidRPr="00914368">
        <w:t xml:space="preserve"> Plurinational Constitutional Decision No. 0034/2020 of 25 November</w:t>
      </w:r>
    </w:p>
    <w:p w14:paraId="0DE438B2" w14:textId="3C61387F"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Views issued by the Committee repeatedly cited for reference purposes:</w:t>
      </w:r>
    </w:p>
    <w:p w14:paraId="075FB200" w14:textId="3D9C9DDF" w:rsidR="002227E6" w:rsidRPr="00914368" w:rsidRDefault="00521EED" w:rsidP="00521EED">
      <w:pPr>
        <w:pStyle w:val="Bullet2G"/>
        <w:numPr>
          <w:ilvl w:val="0"/>
          <w:numId w:val="0"/>
        </w:numPr>
        <w:tabs>
          <w:tab w:val="left" w:pos="2268"/>
        </w:tabs>
        <w:ind w:left="2268" w:hanging="170"/>
      </w:pPr>
      <w:r w:rsidRPr="00914368">
        <w:t>•</w:t>
      </w:r>
      <w:r w:rsidRPr="00914368">
        <w:tab/>
      </w:r>
      <w:r w:rsidR="002227E6" w:rsidRPr="00914368">
        <w:t xml:space="preserve">Right to equality and non-discrimination </w:t>
      </w:r>
      <w:r w:rsidR="00AC4838">
        <w:t>–</w:t>
      </w:r>
      <w:r w:rsidR="002227E6" w:rsidRPr="00914368">
        <w:t xml:space="preserve"> Plurinational Constitutional Decision No. 1250/2012 of 20 September</w:t>
      </w:r>
    </w:p>
    <w:p w14:paraId="7D3C595A" w14:textId="6603DF5B" w:rsidR="002227E6" w:rsidRPr="00914368" w:rsidRDefault="00521EED" w:rsidP="00521EED">
      <w:pPr>
        <w:pStyle w:val="Bullet2G"/>
        <w:numPr>
          <w:ilvl w:val="0"/>
          <w:numId w:val="0"/>
        </w:numPr>
        <w:tabs>
          <w:tab w:val="left" w:pos="2268"/>
        </w:tabs>
        <w:ind w:left="2268" w:hanging="170"/>
      </w:pPr>
      <w:r w:rsidRPr="00914368">
        <w:t>•</w:t>
      </w:r>
      <w:r w:rsidRPr="00914368">
        <w:tab/>
      </w:r>
      <w:r w:rsidR="002227E6" w:rsidRPr="00914368">
        <w:t xml:space="preserve">Minimum standard of treatment of persons deprived of their liberty </w:t>
      </w:r>
      <w:r w:rsidR="00AC4838">
        <w:t>–</w:t>
      </w:r>
      <w:r w:rsidR="002227E6" w:rsidRPr="00914368">
        <w:t xml:space="preserve"> Plurinational Constitutional Decision No. 0662/2013 of 31 May</w:t>
      </w:r>
    </w:p>
    <w:p w14:paraId="0F3CCA1C" w14:textId="0D93467D" w:rsidR="002227E6" w:rsidRPr="00914368" w:rsidRDefault="00521EED" w:rsidP="00521EED">
      <w:pPr>
        <w:pStyle w:val="Bullet2G"/>
        <w:numPr>
          <w:ilvl w:val="0"/>
          <w:numId w:val="0"/>
        </w:numPr>
        <w:tabs>
          <w:tab w:val="left" w:pos="2268"/>
        </w:tabs>
        <w:ind w:left="2268" w:hanging="170"/>
      </w:pPr>
      <w:r w:rsidRPr="00914368">
        <w:t>•</w:t>
      </w:r>
      <w:r w:rsidRPr="00914368">
        <w:tab/>
      </w:r>
      <w:r w:rsidR="002227E6" w:rsidRPr="00914368">
        <w:t xml:space="preserve">Due process </w:t>
      </w:r>
      <w:r w:rsidR="00AC4838">
        <w:t>–</w:t>
      </w:r>
      <w:r w:rsidR="002227E6" w:rsidRPr="00914368">
        <w:t xml:space="preserve"> Plurinational Constitutional Decisions No. 0028/2014 of 3 January,</w:t>
      </w:r>
      <w:r w:rsidR="002227E6" w:rsidRPr="008D6E06">
        <w:rPr>
          <w:rStyle w:val="FootnoteReference"/>
        </w:rPr>
        <w:footnoteReference w:id="3"/>
      </w:r>
      <w:r w:rsidR="002227E6" w:rsidRPr="008D6E06">
        <w:rPr>
          <w:rStyle w:val="FootnoteReference"/>
        </w:rPr>
        <w:t xml:space="preserve"> </w:t>
      </w:r>
      <w:r w:rsidR="002227E6" w:rsidRPr="00914368">
        <w:t>No. 0165/2019-S2 of 24 April</w:t>
      </w:r>
      <w:r w:rsidR="002227E6" w:rsidRPr="008D6E06">
        <w:rPr>
          <w:rStyle w:val="FootnoteReference"/>
        </w:rPr>
        <w:footnoteReference w:id="4"/>
      </w:r>
      <w:r w:rsidR="002227E6" w:rsidRPr="008D6E06">
        <w:rPr>
          <w:rStyle w:val="FootnoteReference"/>
        </w:rPr>
        <w:t xml:space="preserve"> </w:t>
      </w:r>
      <w:r w:rsidR="002227E6" w:rsidRPr="00914368">
        <w:t>(procedural fairness) and No. 1512/2012 of 24 September</w:t>
      </w:r>
    </w:p>
    <w:p w14:paraId="2A2243C1" w14:textId="50E8C9D1" w:rsidR="002227E6" w:rsidRPr="00914368" w:rsidRDefault="00521EED" w:rsidP="00521EED">
      <w:pPr>
        <w:pStyle w:val="Bullet2G"/>
        <w:numPr>
          <w:ilvl w:val="0"/>
          <w:numId w:val="0"/>
        </w:numPr>
        <w:tabs>
          <w:tab w:val="left" w:pos="2268"/>
        </w:tabs>
        <w:ind w:left="2268" w:hanging="170"/>
      </w:pPr>
      <w:r w:rsidRPr="00914368">
        <w:t>•</w:t>
      </w:r>
      <w:r w:rsidRPr="00914368">
        <w:tab/>
      </w:r>
      <w:r w:rsidR="002227E6" w:rsidRPr="00914368">
        <w:t xml:space="preserve">Personal liberty and freedom of movement </w:t>
      </w:r>
      <w:r w:rsidR="00AC4838">
        <w:t>–</w:t>
      </w:r>
      <w:r w:rsidR="002227E6" w:rsidRPr="00914368">
        <w:t xml:space="preserve"> Plurinational Constitutional Decisions No. 0162/2018-S4 of 30 April</w:t>
      </w:r>
      <w:r w:rsidR="002227E6" w:rsidRPr="008D6E06">
        <w:rPr>
          <w:rStyle w:val="FootnoteReference"/>
        </w:rPr>
        <w:footnoteReference w:id="5"/>
      </w:r>
      <w:r w:rsidR="002227E6" w:rsidRPr="008D6E06">
        <w:rPr>
          <w:rStyle w:val="FootnoteReference"/>
        </w:rPr>
        <w:t xml:space="preserve"> </w:t>
      </w:r>
      <w:r w:rsidR="002227E6" w:rsidRPr="00914368">
        <w:t>and No. 0514/2018-S4 of 12 September</w:t>
      </w:r>
    </w:p>
    <w:p w14:paraId="7F8E03B3" w14:textId="05741225" w:rsidR="002227E6" w:rsidRPr="00914368" w:rsidRDefault="00521EED" w:rsidP="00521EED">
      <w:pPr>
        <w:pStyle w:val="Bullet2G"/>
        <w:numPr>
          <w:ilvl w:val="0"/>
          <w:numId w:val="0"/>
        </w:numPr>
        <w:tabs>
          <w:tab w:val="left" w:pos="2268"/>
        </w:tabs>
        <w:ind w:left="2268" w:hanging="170"/>
      </w:pPr>
      <w:r w:rsidRPr="00914368">
        <w:lastRenderedPageBreak/>
        <w:t>•</w:t>
      </w:r>
      <w:r w:rsidRPr="00914368">
        <w:tab/>
      </w:r>
      <w:r w:rsidR="002227E6" w:rsidRPr="00914368">
        <w:t>In addition, the Plurinational School of Constitutional Studies, which was created by the Code of Constitutional Procedure and is run by the Plurinational Constitutional Court, organized a number of internal and external training opportunities on human rights and related matters. Below is a list of the events held between 2018 and 2021.</w:t>
      </w:r>
    </w:p>
    <w:p w14:paraId="0630D9E6" w14:textId="01E33BA6"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2018:</w:t>
      </w:r>
    </w:p>
    <w:p w14:paraId="1B240760" w14:textId="5F19F545" w:rsidR="002227E6" w:rsidRPr="00914368" w:rsidRDefault="00521EED" w:rsidP="00521EED">
      <w:pPr>
        <w:pStyle w:val="Bullet2G"/>
        <w:numPr>
          <w:ilvl w:val="0"/>
          <w:numId w:val="0"/>
        </w:numPr>
        <w:tabs>
          <w:tab w:val="left" w:pos="2268"/>
        </w:tabs>
        <w:ind w:left="2268" w:hanging="170"/>
      </w:pPr>
      <w:r w:rsidRPr="00914368">
        <w:t>•</w:t>
      </w:r>
      <w:r w:rsidRPr="00914368">
        <w:tab/>
      </w:r>
      <w:r w:rsidR="002227E6" w:rsidRPr="00914368">
        <w:t>Lecture on concepts in the theory of law and an in-depth review of respect for human rights</w:t>
      </w:r>
    </w:p>
    <w:p w14:paraId="503BB7E7" w14:textId="0B0F2563" w:rsidR="002227E6" w:rsidRPr="00914368" w:rsidRDefault="00521EED" w:rsidP="00521EED">
      <w:pPr>
        <w:pStyle w:val="Bullet2G"/>
        <w:numPr>
          <w:ilvl w:val="0"/>
          <w:numId w:val="0"/>
        </w:numPr>
        <w:tabs>
          <w:tab w:val="left" w:pos="2268"/>
        </w:tabs>
        <w:ind w:left="2268" w:hanging="170"/>
      </w:pPr>
      <w:r w:rsidRPr="00914368">
        <w:t>•</w:t>
      </w:r>
      <w:r w:rsidRPr="00914368">
        <w:tab/>
      </w:r>
      <w:r w:rsidR="002227E6" w:rsidRPr="00914368">
        <w:t>Workshop on the powers of the Plurinational Constitutional Court, fundamental rights and constitutional guarantees</w:t>
      </w:r>
    </w:p>
    <w:p w14:paraId="1E0B0471" w14:textId="2221F05F" w:rsidR="002227E6" w:rsidRPr="00914368" w:rsidRDefault="00521EED" w:rsidP="00521EED">
      <w:pPr>
        <w:pStyle w:val="Bullet2G"/>
        <w:numPr>
          <w:ilvl w:val="0"/>
          <w:numId w:val="0"/>
        </w:numPr>
        <w:tabs>
          <w:tab w:val="left" w:pos="2268"/>
        </w:tabs>
        <w:ind w:left="2268" w:hanging="170"/>
      </w:pPr>
      <w:r w:rsidRPr="00914368">
        <w:t>•</w:t>
      </w:r>
      <w:r w:rsidRPr="00914368">
        <w:tab/>
      </w:r>
      <w:r w:rsidR="002227E6" w:rsidRPr="00914368">
        <w:t>Information sessions on the Plurinational Constitutional Court, fundamental rights, constitutional guarantees and indigenous and aboriginal campesino jurisdiction</w:t>
      </w:r>
    </w:p>
    <w:p w14:paraId="27B62FA1" w14:textId="69EF732A" w:rsidR="002227E6" w:rsidRPr="00914368" w:rsidRDefault="00521EED" w:rsidP="00521EED">
      <w:pPr>
        <w:pStyle w:val="Bullet2G"/>
        <w:numPr>
          <w:ilvl w:val="0"/>
          <w:numId w:val="0"/>
        </w:numPr>
        <w:tabs>
          <w:tab w:val="left" w:pos="2268"/>
        </w:tabs>
        <w:ind w:left="2268" w:hanging="170"/>
      </w:pPr>
      <w:r w:rsidRPr="00914368">
        <w:t>•</w:t>
      </w:r>
      <w:r w:rsidRPr="00914368">
        <w:tab/>
      </w:r>
      <w:r w:rsidR="002227E6" w:rsidRPr="00914368">
        <w:t>Information sessions on the Plurinational Constitutional Court, fundamental rights, constitutional guarantees and indigenous and aboriginal campesino jurisdiction</w:t>
      </w:r>
    </w:p>
    <w:p w14:paraId="134DFF65" w14:textId="155E9E66" w:rsidR="002227E6" w:rsidRPr="00914368" w:rsidRDefault="00521EED" w:rsidP="00521EED">
      <w:pPr>
        <w:pStyle w:val="Bullet2G"/>
        <w:numPr>
          <w:ilvl w:val="0"/>
          <w:numId w:val="0"/>
        </w:numPr>
        <w:tabs>
          <w:tab w:val="left" w:pos="2268"/>
        </w:tabs>
        <w:ind w:left="2268" w:hanging="170"/>
      </w:pPr>
      <w:r w:rsidRPr="00914368">
        <w:t>•</w:t>
      </w:r>
      <w:r w:rsidRPr="00914368">
        <w:tab/>
      </w:r>
      <w:r w:rsidR="002227E6" w:rsidRPr="00914368">
        <w:t>First conference series on the shift from the rule of law to a constitutional State and subsumption versus weighting, judicial guaranismo and fundamental rights</w:t>
      </w:r>
    </w:p>
    <w:p w14:paraId="324B793E" w14:textId="68F836E3"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2019:</w:t>
      </w:r>
    </w:p>
    <w:p w14:paraId="1477182B" w14:textId="658636FB" w:rsidR="002227E6" w:rsidRPr="00914368" w:rsidRDefault="00521EED" w:rsidP="00521EED">
      <w:pPr>
        <w:pStyle w:val="Bullet2G"/>
        <w:numPr>
          <w:ilvl w:val="0"/>
          <w:numId w:val="0"/>
        </w:numPr>
        <w:tabs>
          <w:tab w:val="left" w:pos="2268"/>
        </w:tabs>
        <w:ind w:left="2268" w:hanging="170"/>
        <w:rPr>
          <w:b/>
        </w:rPr>
      </w:pPr>
      <w:r w:rsidRPr="00914368">
        <w:t>•</w:t>
      </w:r>
      <w:r w:rsidRPr="00914368">
        <w:tab/>
      </w:r>
      <w:r w:rsidR="002227E6" w:rsidRPr="00914368">
        <w:t>Lecture on Bartolomé de las Casas and the origin of human rights</w:t>
      </w:r>
    </w:p>
    <w:p w14:paraId="37E6D887" w14:textId="7FF14237" w:rsidR="002227E6" w:rsidRPr="00914368" w:rsidRDefault="00521EED" w:rsidP="00521EED">
      <w:pPr>
        <w:pStyle w:val="Bullet2G"/>
        <w:numPr>
          <w:ilvl w:val="0"/>
          <w:numId w:val="0"/>
        </w:numPr>
        <w:tabs>
          <w:tab w:val="left" w:pos="2268"/>
        </w:tabs>
        <w:ind w:left="2268" w:hanging="170"/>
        <w:rPr>
          <w:b/>
        </w:rPr>
      </w:pPr>
      <w:r w:rsidRPr="00914368">
        <w:t>•</w:t>
      </w:r>
      <w:r w:rsidRPr="00914368">
        <w:tab/>
      </w:r>
      <w:r w:rsidR="002227E6" w:rsidRPr="00914368">
        <w:t>Lecture on fundamental rights and constitutional case law of the Constitutional Court concerning older persons</w:t>
      </w:r>
    </w:p>
    <w:p w14:paraId="2E0D81A5" w14:textId="6CDD46C7"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2020:</w:t>
      </w:r>
    </w:p>
    <w:p w14:paraId="57335F2C" w14:textId="3EF58ADE" w:rsidR="002227E6" w:rsidRPr="00914368" w:rsidRDefault="00521EED" w:rsidP="00521EED">
      <w:pPr>
        <w:pStyle w:val="Bullet2G"/>
        <w:numPr>
          <w:ilvl w:val="0"/>
          <w:numId w:val="0"/>
        </w:numPr>
        <w:tabs>
          <w:tab w:val="left" w:pos="2268"/>
        </w:tabs>
        <w:ind w:left="2268" w:hanging="170"/>
      </w:pPr>
      <w:r w:rsidRPr="00914368">
        <w:t>•</w:t>
      </w:r>
      <w:r w:rsidRPr="00914368">
        <w:tab/>
      </w:r>
      <w:r w:rsidR="002227E6" w:rsidRPr="00914368">
        <w:t>Lecture on the culture of neoconstitutionalism and legal argumentation</w:t>
      </w:r>
    </w:p>
    <w:p w14:paraId="68D6F8B8" w14:textId="1D4A1ADE" w:rsidR="002227E6" w:rsidRPr="00914368" w:rsidRDefault="00521EED" w:rsidP="00521EED">
      <w:pPr>
        <w:pStyle w:val="Bullet2G"/>
        <w:numPr>
          <w:ilvl w:val="0"/>
          <w:numId w:val="0"/>
        </w:numPr>
        <w:tabs>
          <w:tab w:val="left" w:pos="2268"/>
        </w:tabs>
        <w:ind w:left="2268" w:hanging="170"/>
      </w:pPr>
      <w:r w:rsidRPr="00914368">
        <w:t>•</w:t>
      </w:r>
      <w:r w:rsidRPr="00914368">
        <w:tab/>
      </w:r>
      <w:r w:rsidR="002227E6" w:rsidRPr="00914368">
        <w:t>International seminar on human rights during pandemics</w:t>
      </w:r>
    </w:p>
    <w:p w14:paraId="1A108D9A" w14:textId="1D7B4671" w:rsidR="002227E6" w:rsidRPr="00914368" w:rsidRDefault="00521EED" w:rsidP="00521EED">
      <w:pPr>
        <w:pStyle w:val="Bullet2G"/>
        <w:numPr>
          <w:ilvl w:val="0"/>
          <w:numId w:val="0"/>
        </w:numPr>
        <w:tabs>
          <w:tab w:val="left" w:pos="2268"/>
        </w:tabs>
        <w:ind w:left="2268" w:hanging="170"/>
      </w:pPr>
      <w:r w:rsidRPr="00914368">
        <w:t>•</w:t>
      </w:r>
      <w:r w:rsidRPr="00914368">
        <w:tab/>
      </w:r>
      <w:r w:rsidR="002227E6" w:rsidRPr="00914368">
        <w:t>Fourth National Conference on Evidentiary Reasoning, Fundamental Rights and Constitutional Interpretation</w:t>
      </w:r>
    </w:p>
    <w:p w14:paraId="08150FDC" w14:textId="7F348911"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2021:</w:t>
      </w:r>
    </w:p>
    <w:p w14:paraId="2B0E2644" w14:textId="2B0BCFED" w:rsidR="002227E6" w:rsidRPr="00914368" w:rsidRDefault="00521EED" w:rsidP="00521EED">
      <w:pPr>
        <w:pStyle w:val="Bullet2G"/>
        <w:numPr>
          <w:ilvl w:val="0"/>
          <w:numId w:val="0"/>
        </w:numPr>
        <w:tabs>
          <w:tab w:val="left" w:pos="2268"/>
        </w:tabs>
        <w:ind w:left="2268" w:hanging="170"/>
      </w:pPr>
      <w:r w:rsidRPr="00914368">
        <w:t>•</w:t>
      </w:r>
      <w:r w:rsidRPr="00914368">
        <w:tab/>
      </w:r>
      <w:r w:rsidR="002227E6" w:rsidRPr="00914368">
        <w:t>Free online course on principles, rights and constitutional guarantees in the protection of persons deprived of liberty</w:t>
      </w:r>
    </w:p>
    <w:p w14:paraId="58DED325" w14:textId="617044C9" w:rsidR="002227E6" w:rsidRPr="00914368" w:rsidRDefault="00521EED" w:rsidP="00521EED">
      <w:pPr>
        <w:pStyle w:val="Bullet2G"/>
        <w:numPr>
          <w:ilvl w:val="0"/>
          <w:numId w:val="0"/>
        </w:numPr>
        <w:tabs>
          <w:tab w:val="left" w:pos="2268"/>
        </w:tabs>
        <w:ind w:left="2268" w:hanging="170"/>
      </w:pPr>
      <w:r w:rsidRPr="00914368">
        <w:t>•</w:t>
      </w:r>
      <w:r w:rsidRPr="00914368">
        <w:tab/>
      </w:r>
      <w:r w:rsidR="002227E6" w:rsidRPr="00914368">
        <w:t>Free online seminar on case law and constitutional legal instruments in the protection of the rights of children and adolescents</w:t>
      </w:r>
    </w:p>
    <w:p w14:paraId="7757277A" w14:textId="66B24E3C" w:rsidR="002227E6" w:rsidRPr="00914368" w:rsidRDefault="00521EED" w:rsidP="00521EED">
      <w:pPr>
        <w:pStyle w:val="Bullet2G"/>
        <w:numPr>
          <w:ilvl w:val="0"/>
          <w:numId w:val="0"/>
        </w:numPr>
        <w:tabs>
          <w:tab w:val="left" w:pos="2268"/>
        </w:tabs>
        <w:ind w:left="2268" w:hanging="170"/>
      </w:pPr>
      <w:r w:rsidRPr="00914368">
        <w:t>•</w:t>
      </w:r>
      <w:r w:rsidRPr="00914368">
        <w:tab/>
      </w:r>
      <w:r w:rsidR="002227E6" w:rsidRPr="00914368">
        <w:t>Specialized Course on constitutional interpretation and judicial reasoning: Ibero-American Congress on criminal law and criminal procedure from a constitutional perspective</w:t>
      </w:r>
    </w:p>
    <w:p w14:paraId="659268E1" w14:textId="3113FBDE" w:rsidR="002227E6" w:rsidRPr="00914368" w:rsidRDefault="00521EED" w:rsidP="00521EED">
      <w:pPr>
        <w:pStyle w:val="Bullet2G"/>
        <w:numPr>
          <w:ilvl w:val="0"/>
          <w:numId w:val="0"/>
        </w:numPr>
        <w:tabs>
          <w:tab w:val="left" w:pos="2268"/>
        </w:tabs>
        <w:ind w:left="2268" w:hanging="170"/>
      </w:pPr>
      <w:r w:rsidRPr="00914368">
        <w:t>•</w:t>
      </w:r>
      <w:r w:rsidRPr="00914368">
        <w:tab/>
      </w:r>
      <w:r w:rsidR="002227E6" w:rsidRPr="00914368">
        <w:t>Online course on habeas corpus remedies in Ibero-America: Comparative studies in commemoration of the forty-ninth anniversary of the filing of a habeas corpus petition written on toilet paper by Dr. Reynaldo Peters Arzabe</w:t>
      </w:r>
    </w:p>
    <w:p w14:paraId="3CCE7FCB" w14:textId="77777777" w:rsidR="002227E6" w:rsidRPr="00914368" w:rsidRDefault="002227E6" w:rsidP="00DB503A">
      <w:pPr>
        <w:pStyle w:val="SingleTxtG"/>
      </w:pPr>
      <w:r w:rsidRPr="00914368">
        <w:t>9.</w:t>
      </w:r>
      <w:r w:rsidRPr="00914368">
        <w:tab/>
        <w:t xml:space="preserve">The Training and Specialization Unit of the State Judicial Academy has incorporated the subject of civil and political rights as a central cross-cutting element in academic programmes, including in various modules and learning units of the curriculum of the first ordinary judicial training and specialization course, which was taught from 2015 to 2017 and completed by 171 individuals who have been appointed to judicial posts by the Council of the Judiciary, and the second ordinary judicial training and specialization course, which was completed by 140 individuals who have been appointed to judicial posts. </w:t>
      </w:r>
    </w:p>
    <w:p w14:paraId="5909527B" w14:textId="328F13B8" w:rsidR="002227E6" w:rsidRPr="00914368" w:rsidRDefault="002227E6" w:rsidP="00CD4884">
      <w:pPr>
        <w:pStyle w:val="H1G"/>
      </w:pPr>
      <w:r w:rsidRPr="00914368">
        <w:lastRenderedPageBreak/>
        <w:tab/>
      </w:r>
      <w:r w:rsidRPr="00914368">
        <w:tab/>
        <w:t>Public emergencies (art. 4)</w:t>
      </w:r>
    </w:p>
    <w:p w14:paraId="55AE1A50" w14:textId="35F45149" w:rsidR="002227E6" w:rsidRPr="00914368" w:rsidRDefault="002227E6" w:rsidP="00CD4884">
      <w:pPr>
        <w:pStyle w:val="H23G"/>
      </w:pPr>
      <w:r w:rsidRPr="00914368">
        <w:tab/>
        <w:t>2.</w:t>
      </w:r>
      <w:r w:rsidRPr="00914368">
        <w:tab/>
        <w:t>Replies to the issues raised in paragraph 2 of the list of issues</w:t>
      </w:r>
    </w:p>
    <w:p w14:paraId="133462E8" w14:textId="67F3D700" w:rsidR="002227E6" w:rsidRPr="00914368" w:rsidRDefault="002227E6" w:rsidP="00D26E28">
      <w:pPr>
        <w:pStyle w:val="SingleTxtG"/>
        <w:rPr>
          <w:rFonts w:eastAsia="Calibri"/>
        </w:rPr>
      </w:pPr>
      <w:r w:rsidRPr="00914368">
        <w:t>10.</w:t>
      </w:r>
      <w:r w:rsidRPr="00914368">
        <w:tab/>
        <w:t xml:space="preserve">The State has adopted legislation that clearly prohibits any derogation from the rights set forth in article 4 (2) of the Covenant during a state of emergency. Article 137 of the Constitution states that </w:t>
      </w:r>
      <w:r w:rsidR="008D6E06">
        <w:t>“</w:t>
      </w:r>
      <w:r w:rsidRPr="00914368">
        <w:t>in cases of threat to the security of the State, external threat, internal disturbance or natural disaster, the President shall have the power to declare a state of emergency in all or part of the territory as necessary. The declaration of a state of emergency shall not, under any circumstances, give rise to the suspension of human rights guarantees, fundamental rights, the right to due process, the right to information or the rights of persons deprived of their liberty.</w:t>
      </w:r>
      <w:r w:rsidR="008D6E06">
        <w:t>”</w:t>
      </w:r>
    </w:p>
    <w:p w14:paraId="5BC30AB6" w14:textId="77777777" w:rsidR="002227E6" w:rsidRPr="00914368" w:rsidRDefault="002227E6" w:rsidP="00CD4884">
      <w:pPr>
        <w:pStyle w:val="H1G"/>
      </w:pPr>
      <w:r w:rsidRPr="00914368">
        <w:tab/>
      </w:r>
      <w:r w:rsidRPr="00914368">
        <w:tab/>
        <w:t>Human rights violations during the dictatorship era (arts. 2 and 6–7)</w:t>
      </w:r>
    </w:p>
    <w:p w14:paraId="647EDD4E" w14:textId="77777777" w:rsidR="002227E6" w:rsidRPr="00914368" w:rsidRDefault="002227E6" w:rsidP="00CD4884">
      <w:pPr>
        <w:pStyle w:val="H23G"/>
      </w:pPr>
      <w:r w:rsidRPr="00914368">
        <w:tab/>
        <w:t>3.</w:t>
      </w:r>
      <w:r w:rsidRPr="00914368">
        <w:tab/>
        <w:t>Replies to the issues raised in paragraph 3 of the list of issues</w:t>
      </w:r>
    </w:p>
    <w:p w14:paraId="71FCD678" w14:textId="40681ED9" w:rsidR="002227E6" w:rsidRPr="00914368" w:rsidRDefault="002227E6" w:rsidP="00D26E28">
      <w:pPr>
        <w:pStyle w:val="SingleTxtG"/>
        <w:rPr>
          <w:rFonts w:eastAsia="Calibri"/>
        </w:rPr>
      </w:pPr>
      <w:r w:rsidRPr="00914368">
        <w:t>11.</w:t>
      </w:r>
      <w:r w:rsidRPr="00914368">
        <w:tab/>
        <w:t>The State, through the Counsel General</w:t>
      </w:r>
      <w:r w:rsidR="008D6E06">
        <w:t>’</w:t>
      </w:r>
      <w:r w:rsidRPr="00914368">
        <w:t>s Office, regularly convenes inter-agency expert meetings between the Attorney General</w:t>
      </w:r>
      <w:r w:rsidR="008D6E06">
        <w:t>’</w:t>
      </w:r>
      <w:r w:rsidRPr="00914368">
        <w:t xml:space="preserve">s Office and the Forensic Investigation Institute. The two bodies have worked together since 2018 in the following areas: (a) investigating enforced disappearances; (b) locating disappeared persons; and (c) identifying human remains. </w:t>
      </w:r>
    </w:p>
    <w:p w14:paraId="0BBCB155" w14:textId="4B999C2D" w:rsidR="002227E6" w:rsidRPr="00914368" w:rsidRDefault="002227E6" w:rsidP="00D26E28">
      <w:pPr>
        <w:pStyle w:val="SingleTxtG"/>
        <w:rPr>
          <w:rFonts w:eastAsia="Calibri"/>
        </w:rPr>
      </w:pPr>
      <w:r w:rsidRPr="00914368">
        <w:t>12.</w:t>
      </w:r>
      <w:r w:rsidRPr="00914368">
        <w:tab/>
        <w:t>After the Constitutional Government was re-established in November 2020, the internal work of the Counsel General</w:t>
      </w:r>
      <w:r w:rsidR="008D6E06">
        <w:t>’</w:t>
      </w:r>
      <w:r w:rsidRPr="00914368">
        <w:t>s Office was restructured. Inter-agency expert meetings were subsequently held on 29 January and 11 June 2021 and were attended by representatives of the Ministry of Justice and Institutional Transparency, the Attorney General</w:t>
      </w:r>
      <w:r w:rsidR="008D6E06">
        <w:t>’</w:t>
      </w:r>
      <w:r w:rsidRPr="00914368">
        <w:t>s Office, the Office of the Attorney General of the Department of La Paz, the Forensic Investigation Institute, the Service for the Prevention of Torture and the Counsel General</w:t>
      </w:r>
      <w:r w:rsidR="008D6E06">
        <w:t>’</w:t>
      </w:r>
      <w:r w:rsidRPr="00914368">
        <w:t>s Office. The meetings resulted in the design of a new workplan, which is currently being implemented and includes the following activities: (1) preparation and presentation of a legislative proposal to amend the Criminal Code to remove the statute of limitations for the prosecution of acts of enforced disappearance; (2) follow-up and coordination work on the case of the disappearance of Félix Melgar by the Service for the Prevention of Torture (currently the national preventive mechanism); (3) promotion, led by the Counsel General</w:t>
      </w:r>
      <w:r w:rsidR="008D6E06">
        <w:t>’</w:t>
      </w:r>
      <w:r w:rsidRPr="00914368">
        <w:t>s Office, of the feasibility of upgrading the Forensic Investigation Institute; and (4) follow-up of the case concerning samples from Gladys Solón, the mother of José Carlos Trujillo Oroza – the Counsel General</w:t>
      </w:r>
      <w:r w:rsidR="008D6E06">
        <w:t>’</w:t>
      </w:r>
      <w:r w:rsidRPr="00914368">
        <w:t xml:space="preserve">s Office will file an official request for the Ministry of Foreign Affairs to follow up on the samples and return them. </w:t>
      </w:r>
    </w:p>
    <w:p w14:paraId="60EBC78B" w14:textId="0460F665" w:rsidR="002227E6" w:rsidRPr="00914368" w:rsidRDefault="002227E6" w:rsidP="00D26E28">
      <w:pPr>
        <w:pStyle w:val="SingleTxtG"/>
        <w:rPr>
          <w:rFonts w:eastAsia="Calibri"/>
        </w:rPr>
      </w:pPr>
      <w:r w:rsidRPr="00914368">
        <w:t>13.</w:t>
      </w:r>
      <w:r w:rsidRPr="00914368">
        <w:tab/>
        <w:t>In summary, the Counsel General</w:t>
      </w:r>
      <w:r w:rsidR="008D6E06">
        <w:t>’</w:t>
      </w:r>
      <w:r w:rsidRPr="00914368">
        <w:t>s Office has engaged in coordination efforts through inter-agency expert meetings on enforced disappearances in Bolivia since 2018, with a particular focus on promoting concrete actions related to international procedures regarding the clarification of the whereabouts of individuals who disappeared between 1964 and 1982 and the search for their remains.</w:t>
      </w:r>
    </w:p>
    <w:p w14:paraId="50530C24" w14:textId="249C53D7" w:rsidR="002227E6" w:rsidRPr="00914368" w:rsidRDefault="002227E6" w:rsidP="00D26E28">
      <w:pPr>
        <w:pStyle w:val="SingleTxtG"/>
        <w:rPr>
          <w:rFonts w:eastAsia="Calibri"/>
        </w:rPr>
      </w:pPr>
      <w:r w:rsidRPr="00914368">
        <w:t>14.</w:t>
      </w:r>
      <w:r w:rsidRPr="00914368">
        <w:tab/>
        <w:t>The Public Prosecution Service has initiated three ex officio proceedings, in conjunction with the Counsel General</w:t>
      </w:r>
      <w:r w:rsidR="008D6E06">
        <w:t>’</w:t>
      </w:r>
      <w:r w:rsidRPr="00914368">
        <w:t>s Office and the former Service for the Prevention of Torture, to investigate the perpetrators of enforced disappearances and bring to justice individuals who committed human rights violations under the unconstitutional regimes that held power between 1964 and 1982.</w:t>
      </w:r>
    </w:p>
    <w:p w14:paraId="1D05A975" w14:textId="3CB374C6" w:rsidR="002227E6" w:rsidRPr="00914368" w:rsidRDefault="002227E6" w:rsidP="00D26E28">
      <w:pPr>
        <w:pStyle w:val="SingleTxtG"/>
        <w:rPr>
          <w:rFonts w:eastAsia="Libre Baskerville"/>
        </w:rPr>
      </w:pPr>
      <w:r w:rsidRPr="00914368">
        <w:t>15.</w:t>
      </w:r>
      <w:r w:rsidRPr="00914368">
        <w:tab/>
        <w:t>The Truth Commission was established pursuant to Act No. 879 of 23 December 2016. At the end of its mandate, it issued a final report on the investigations into serious politically and ideologically motivated human rights violations, including murder, enforced disappearances, torture, arbitrary detentions and sexual violence, that occurred in Bolivia between 4 November 1964 and 10 October 1982. The report consists of 11 volumes; the Commission</w:t>
      </w:r>
      <w:r w:rsidR="008D6E06">
        <w:t>’</w:t>
      </w:r>
      <w:r w:rsidRPr="00914368">
        <w:t>s conclusions and recommendations are set out in Volume V.</w:t>
      </w:r>
    </w:p>
    <w:p w14:paraId="7D42A1F3" w14:textId="106DCECB" w:rsidR="002227E6" w:rsidRPr="00914368" w:rsidRDefault="002227E6" w:rsidP="00D26E28">
      <w:pPr>
        <w:pStyle w:val="SingleTxtG"/>
        <w:rPr>
          <w:rFonts w:eastAsia="Calibri"/>
        </w:rPr>
      </w:pPr>
      <w:r w:rsidRPr="00914368">
        <w:t>16.</w:t>
      </w:r>
      <w:r w:rsidRPr="00914368">
        <w:tab/>
        <w:t>The Truth Commission</w:t>
      </w:r>
      <w:r w:rsidR="008D6E06">
        <w:t>’</w:t>
      </w:r>
      <w:r w:rsidRPr="00914368">
        <w:t>s final report was submitted to the Office of the President of the Plurinational Legislative Assembly, the Attorney General</w:t>
      </w:r>
      <w:r w:rsidR="008D6E06">
        <w:t>’</w:t>
      </w:r>
      <w:r w:rsidRPr="00914368">
        <w:t>s Office, the Counsel General</w:t>
      </w:r>
      <w:r w:rsidR="008D6E06">
        <w:t>’</w:t>
      </w:r>
      <w:r w:rsidRPr="00914368">
        <w:t>s Office and the Ombudsman</w:t>
      </w:r>
      <w:r w:rsidR="008D6E06">
        <w:t>’</w:t>
      </w:r>
      <w:r w:rsidRPr="00914368">
        <w:t xml:space="preserve">s Office and was ultimately presented to the President of the </w:t>
      </w:r>
      <w:r w:rsidRPr="00914368">
        <w:lastRenderedPageBreak/>
        <w:t>Plurinational State on 22 March 2021 at a public event held at his official residence, Casa Grande del Pueblo.</w:t>
      </w:r>
    </w:p>
    <w:p w14:paraId="004BED2E" w14:textId="36AA23A2" w:rsidR="002227E6" w:rsidRPr="00914368" w:rsidRDefault="002227E6" w:rsidP="000D2CC7">
      <w:pPr>
        <w:pStyle w:val="SingleTxtG"/>
        <w:rPr>
          <w:rFonts w:eastAsia="Calibri"/>
        </w:rPr>
      </w:pPr>
      <w:r w:rsidRPr="00914368">
        <w:t>17.</w:t>
      </w:r>
      <w:r w:rsidRPr="00914368">
        <w:tab/>
        <w:t>Once the Truth Commission had been established pursuant to the relevant legislation and had been converted into a decentralized body within the Ministry of Justice and Institutional Transparency through Ministerial Decision No. 044/2021 of 22 April 2021, the Ministry</w:t>
      </w:r>
      <w:r w:rsidR="008D6E06">
        <w:t>’</w:t>
      </w:r>
      <w:r w:rsidRPr="00914368">
        <w:t>s Fundamental Rights Unit was designated as the body responsible for monitoring compliance with the recommendations set out in the Commission</w:t>
      </w:r>
      <w:r w:rsidR="008D6E06">
        <w:t>’</w:t>
      </w:r>
      <w:r w:rsidRPr="00914368">
        <w:t xml:space="preserve">s final report. </w:t>
      </w:r>
    </w:p>
    <w:p w14:paraId="7BD6A199" w14:textId="77777777" w:rsidR="002227E6" w:rsidRPr="00914368" w:rsidRDefault="002227E6" w:rsidP="000D2CC7">
      <w:pPr>
        <w:pStyle w:val="SingleTxtG"/>
        <w:rPr>
          <w:rFonts w:eastAsia="Calibri"/>
        </w:rPr>
      </w:pPr>
      <w:r w:rsidRPr="00914368">
        <w:t>18.</w:t>
      </w:r>
      <w:r w:rsidRPr="00914368">
        <w:tab/>
        <w:t>In compliance with the aforementioned Ministerial Decision, a review has been conducted of the conclusions and recommendations in the final report. They are set out in more than 100 sections containing suggestions for concrete action and 50 general and 19 specific recommendations, grouped by theme, that identify the institutions responsible for implementing them and the corresponding regulatory basis. All relevant public bodies are currently engaged in the appropriate follow-up action.</w:t>
      </w:r>
    </w:p>
    <w:p w14:paraId="74026B02" w14:textId="77777777" w:rsidR="002227E6" w:rsidRPr="00914368" w:rsidRDefault="002227E6" w:rsidP="000D2CC7">
      <w:pPr>
        <w:pStyle w:val="SingleTxtG"/>
        <w:rPr>
          <w:rFonts w:eastAsia="Calibri"/>
        </w:rPr>
      </w:pPr>
      <w:r w:rsidRPr="00914368">
        <w:t>19.</w:t>
      </w:r>
      <w:r w:rsidRPr="00914368">
        <w:tab/>
        <w:t>With regard to the declassification of files, on 19 May 2009, the Ministry of Defence issued Ministerial Decision No. 31G, authorizing the Commander-in-Chief of the Armed Forces to facilitate access to archives, public records and existing documents by relatives and victims of regimes imposed by military dictatorships when such persons request such access and can demonstrate their legitimate interest.</w:t>
      </w:r>
    </w:p>
    <w:p w14:paraId="1BD020B1" w14:textId="77777777" w:rsidR="002227E6" w:rsidRPr="00914368" w:rsidRDefault="002227E6" w:rsidP="000D2CC7">
      <w:pPr>
        <w:pStyle w:val="SingleTxtG"/>
        <w:rPr>
          <w:rFonts w:eastAsia="Calibri"/>
        </w:rPr>
      </w:pPr>
      <w:r w:rsidRPr="00914368">
        <w:t>20.</w:t>
      </w:r>
      <w:r w:rsidRPr="00914368">
        <w:tab/>
        <w:t>Pursuant to Supreme Decision No. 125/2010 of 1 April of the Supreme Court of Justice, the Commander-General of the Armed Forces and a representative of the Public Prosecution Service were instructed to declassify the files in the Second Department of General Staff covering the period from June 1979 to December 1980 and the record of arrivals and departures at the General Staff of the Army between 10 and 20 July 1980 and to send notarized photocopies to the Supreme Court in order to clarify the facts.</w:t>
      </w:r>
    </w:p>
    <w:p w14:paraId="1A82EE9C" w14:textId="1BBFB648" w:rsidR="002227E6" w:rsidRPr="00914368" w:rsidRDefault="002227E6" w:rsidP="000D2CC7">
      <w:pPr>
        <w:pStyle w:val="SingleTxtG"/>
        <w:rPr>
          <w:rFonts w:eastAsia="Calibri"/>
        </w:rPr>
      </w:pPr>
      <w:r w:rsidRPr="00914368">
        <w:t>21.</w:t>
      </w:r>
      <w:r w:rsidRPr="00914368">
        <w:tab/>
        <w:t>The Truth Commission</w:t>
      </w:r>
      <w:r w:rsidR="008D6E06">
        <w:t>’</w:t>
      </w:r>
      <w:r w:rsidRPr="00914368">
        <w:t>s technical team was given access to the archive of the Second Department of the General Staff of the Army. In addition, the Ministry of Foreign Affairs, the library and historical archives of the Plurinational Legislative Assembly, the Supreme Court of Justice and the Ministry of Justice and Institutional Transparency conveyed information and documentation on human rights violations to the Commission that have served to shed light on events.</w:t>
      </w:r>
    </w:p>
    <w:p w14:paraId="2C089504" w14:textId="6F71FEE6" w:rsidR="002227E6" w:rsidRPr="00914368" w:rsidRDefault="002227E6" w:rsidP="00065BBF">
      <w:pPr>
        <w:pStyle w:val="H23G"/>
      </w:pPr>
      <w:r w:rsidRPr="00914368">
        <w:tab/>
        <w:t>4.</w:t>
      </w:r>
      <w:r w:rsidRPr="00914368">
        <w:tab/>
        <w:t>Replies to the issues raised in paragraph 4 of the list of issues</w:t>
      </w:r>
    </w:p>
    <w:p w14:paraId="604972B9" w14:textId="77777777" w:rsidR="002227E6" w:rsidRPr="00914368" w:rsidRDefault="002227E6" w:rsidP="000D2CC7">
      <w:pPr>
        <w:pStyle w:val="SingleTxtG"/>
      </w:pPr>
      <w:r w:rsidRPr="00914368">
        <w:t>22.</w:t>
      </w:r>
      <w:r w:rsidRPr="00914368">
        <w:tab/>
        <w:t>Pursuant to Act No. 2640 and related regulations, the applications were assessed and beneficiaries were screened. The rules permit a review procedure.</w:t>
      </w:r>
    </w:p>
    <w:p w14:paraId="7CC30CDA" w14:textId="77777777" w:rsidR="002227E6" w:rsidRPr="00914368" w:rsidRDefault="002227E6" w:rsidP="000D2CC7">
      <w:pPr>
        <w:pStyle w:val="SingleTxtG"/>
      </w:pPr>
      <w:r w:rsidRPr="00914368">
        <w:t>23.</w:t>
      </w:r>
      <w:r w:rsidRPr="00914368">
        <w:tab/>
        <w:t>Through Supreme Decree No. 1211 of 1 May 2012, the official list was approved, and 1,714 beneficiaries were confirmed as having been victims of political violence between 4 November 1964 and 10 October 1982. Through Ministerial Decision No. 083/2012 of 16 May 2012, the then Ministry of Justice approved individual amounts corresponding to only 20 per cent of the total amount of compensation owed to the 1,714 beneficiaries on the official definitive list who had been declared eligible by the former Technical Certification Commission.</w:t>
      </w:r>
    </w:p>
    <w:p w14:paraId="61D10BBE" w14:textId="77777777" w:rsidR="002227E6" w:rsidRPr="00914368" w:rsidRDefault="002227E6" w:rsidP="000D2CC7">
      <w:pPr>
        <w:pStyle w:val="SingleTxtG"/>
      </w:pPr>
      <w:r w:rsidRPr="00914368">
        <w:t>24.</w:t>
      </w:r>
      <w:r w:rsidRPr="00914368">
        <w:tab/>
        <w:t>The Social Services Support Unit of the Ministry of the Presidency paid that 20 per cent to 1,567 of the beneficiaries. The Unit will settle the remaining 147 payments. The payment of the remaining 80 per cent of the total approved amount is pending, and the relevant ministries are coordinating the arrangements. Legal regulations are currently being drafted to enable the payments to be made.</w:t>
      </w:r>
    </w:p>
    <w:p w14:paraId="2BBC5E4D" w14:textId="77777777" w:rsidR="002227E6" w:rsidRPr="00914368" w:rsidRDefault="002227E6" w:rsidP="000D2CC7">
      <w:pPr>
        <w:pStyle w:val="SingleTxtG"/>
      </w:pPr>
      <w:r w:rsidRPr="00914368">
        <w:t>25.</w:t>
      </w:r>
      <w:r w:rsidRPr="00914368">
        <w:tab/>
        <w:t>With regard to medical care, following the adoption of the Universal Health System Act, the Plurinational State of Bolivia has taken steps to provide the population with a free and universal public health system. It is estimated that the universal health system will initially benefit the approximately 51 per cent of the population (5.8 million people) without any type of health insurance.</w:t>
      </w:r>
    </w:p>
    <w:p w14:paraId="747A877C" w14:textId="0DEE32B5" w:rsidR="002227E6" w:rsidRPr="00914368" w:rsidRDefault="002227E6" w:rsidP="000D2CC7">
      <w:pPr>
        <w:pStyle w:val="SingleTxtG"/>
      </w:pPr>
      <w:r w:rsidRPr="00914368">
        <w:t>26.</w:t>
      </w:r>
      <w:r w:rsidRPr="00914368">
        <w:tab/>
        <w:t>In practice, the creation of the universal health system has involved a reorganization of the health system. Patients enter the system at the first level of care, with each case assessed through the referral and counter-referral mechanisms according to each facility</w:t>
      </w:r>
      <w:r w:rsidR="008D6E06">
        <w:t>’</w:t>
      </w:r>
      <w:r w:rsidRPr="00914368">
        <w:t xml:space="preserve">s capacities. </w:t>
      </w:r>
      <w:r w:rsidRPr="00914368">
        <w:lastRenderedPageBreak/>
        <w:t>During the pandemic, the System has provided persons who do not have health insurance with access to timely diagnosis and free treatment, including intensive care and medication.</w:t>
      </w:r>
    </w:p>
    <w:p w14:paraId="1BACA63F" w14:textId="77777777" w:rsidR="002227E6" w:rsidRPr="00914368" w:rsidRDefault="002227E6" w:rsidP="00065BBF">
      <w:pPr>
        <w:pStyle w:val="H1G"/>
        <w:rPr>
          <w:rFonts w:eastAsia="Calibri"/>
        </w:rPr>
      </w:pPr>
      <w:r w:rsidRPr="00914368">
        <w:tab/>
      </w:r>
      <w:r w:rsidRPr="00914368">
        <w:tab/>
        <w:t>Non-discrimination (arts. 2–3, 17 and 26–27)</w:t>
      </w:r>
    </w:p>
    <w:p w14:paraId="49727EA7" w14:textId="77777777" w:rsidR="002227E6" w:rsidRPr="00914368" w:rsidRDefault="002227E6" w:rsidP="00065BBF">
      <w:pPr>
        <w:pStyle w:val="H23G"/>
      </w:pPr>
      <w:r w:rsidRPr="00914368">
        <w:tab/>
        <w:t>5.</w:t>
      </w:r>
      <w:r w:rsidRPr="00914368">
        <w:tab/>
        <w:t>Replies to the issues raised in paragraph 5 of the list of issues</w:t>
      </w:r>
    </w:p>
    <w:p w14:paraId="4871963F" w14:textId="486315EB" w:rsidR="002227E6" w:rsidRPr="00914368" w:rsidRDefault="002227E6" w:rsidP="000D2CC7">
      <w:pPr>
        <w:pStyle w:val="SingleTxtG"/>
        <w:rPr>
          <w:rFonts w:eastAsia="Calibri"/>
        </w:rPr>
      </w:pPr>
      <w:r w:rsidRPr="00914368">
        <w:t>27.</w:t>
      </w:r>
      <w:r w:rsidRPr="00914368">
        <w:tab/>
        <w:t>With respect to the Multisectoral Plan of the Plurinational State of Bolivia to Combat Racism, in line with the principle of equal pay, the State promotes women</w:t>
      </w:r>
      <w:r w:rsidR="008D6E06">
        <w:t>’</w:t>
      </w:r>
      <w:r w:rsidRPr="00914368">
        <w:t>s participation in the workforce, with equal pay for women and men for work of equal value. Checks are made on women</w:t>
      </w:r>
      <w:r w:rsidR="008D6E06">
        <w:t>’</w:t>
      </w:r>
      <w:r w:rsidRPr="00914368">
        <w:t>s working conditions to ensure that this principle is adhered to.</w:t>
      </w:r>
    </w:p>
    <w:p w14:paraId="489DD6F6" w14:textId="77777777" w:rsidR="002227E6" w:rsidRPr="00914368" w:rsidRDefault="002227E6" w:rsidP="000D2CC7">
      <w:pPr>
        <w:pStyle w:val="SingleTxtG"/>
        <w:rPr>
          <w:rFonts w:eastAsia="Calibri"/>
        </w:rPr>
      </w:pPr>
      <w:r w:rsidRPr="00914368">
        <w:t>28.</w:t>
      </w:r>
      <w:r w:rsidRPr="00914368">
        <w:tab/>
        <w:t>Checks are also made with a view to eradicating forced labour and progressively eradicating child labour, with support from the Gender Equality and Racism and Discrimination Units. Labour inspections are conducted to ensure that the inalienable fundamental rights of female workers are respected.</w:t>
      </w:r>
    </w:p>
    <w:p w14:paraId="6A4C80AB" w14:textId="77777777" w:rsidR="002227E6" w:rsidRPr="00914368" w:rsidRDefault="002227E6" w:rsidP="000D2CC7">
      <w:pPr>
        <w:pStyle w:val="SingleTxtG"/>
        <w:rPr>
          <w:rFonts w:eastAsia="Calibri"/>
        </w:rPr>
      </w:pPr>
      <w:r w:rsidRPr="00914368">
        <w:t>29.</w:t>
      </w:r>
      <w:r w:rsidRPr="00914368">
        <w:tab/>
        <w:t xml:space="preserve">The purpose of Supreme Decree No. 4401 of 26 November 2020 is to promote measures for equal opportunities in access to employment, remuneration and equal treatment at work for women and men and contribute to eliminating the wage gap between women and men. </w:t>
      </w:r>
    </w:p>
    <w:p w14:paraId="13F11024" w14:textId="77777777" w:rsidR="002227E6" w:rsidRPr="00914368" w:rsidRDefault="002227E6" w:rsidP="000D2CC7">
      <w:pPr>
        <w:pStyle w:val="SingleTxtG"/>
        <w:rPr>
          <w:rFonts w:eastAsia="Calibri"/>
        </w:rPr>
      </w:pPr>
      <w:r w:rsidRPr="00914368">
        <w:t>30.</w:t>
      </w:r>
      <w:r w:rsidRPr="00914368">
        <w:tab/>
        <w:t xml:space="preserve">The Racism and Discrimination Unit in the Fundamental Human Rights Section of the Ministry of Labour, Employment and Social Welfare takes action to raise awareness of labour rights and improve adherence to the principle of non-discrimination among salaried employees in both rural and urban areas, with a view to reducing the gap in access to violence-free employment. </w:t>
      </w:r>
    </w:p>
    <w:p w14:paraId="2204FDC3" w14:textId="77777777" w:rsidR="002227E6" w:rsidRPr="00914368" w:rsidRDefault="002227E6" w:rsidP="000D2CC7">
      <w:pPr>
        <w:pStyle w:val="SingleTxtG"/>
        <w:rPr>
          <w:rFonts w:eastAsia="Calibri"/>
        </w:rPr>
      </w:pPr>
      <w:r w:rsidRPr="00914368">
        <w:t>31.</w:t>
      </w:r>
      <w:r w:rsidRPr="00914368">
        <w:tab/>
        <w:t xml:space="preserve">The Ministry also issued Ministerial Decision No. 196/2021, which establishes the procedure for reporting workplace harassment, and conducts regular labour inspections and addresses complaints of unjustified dismissal and non-payment of salaries, Christmas bonuses and final settlements. </w:t>
      </w:r>
    </w:p>
    <w:p w14:paraId="3487DCA9" w14:textId="459FB051" w:rsidR="002227E6" w:rsidRPr="00914368" w:rsidRDefault="002227E6" w:rsidP="000D2CC7">
      <w:pPr>
        <w:pStyle w:val="SingleTxtG"/>
        <w:rPr>
          <w:rFonts w:eastAsia="Calibri"/>
        </w:rPr>
      </w:pPr>
      <w:r w:rsidRPr="00914368">
        <w:t>32.</w:t>
      </w:r>
      <w:r w:rsidRPr="00914368">
        <w:tab/>
        <w:t>The Ministry of Labour, Employment and Social Welfare has set up a system of temporary mobile offices in remote areas with the aim of restoring workers</w:t>
      </w:r>
      <w:r w:rsidR="008D6E06">
        <w:t>’</w:t>
      </w:r>
      <w:r w:rsidRPr="00914368">
        <w:t xml:space="preserve"> rights. Through these offices, complaints are received, inspections are carried out, hearings are set up and information and training on the application of labour rights is provided to adolescents, young people, parents and the general public.</w:t>
      </w:r>
    </w:p>
    <w:p w14:paraId="5B29096C" w14:textId="77777777" w:rsidR="002227E6" w:rsidRPr="00D470FC" w:rsidRDefault="002227E6" w:rsidP="000D2CC7">
      <w:pPr>
        <w:pStyle w:val="SingleTxtG"/>
      </w:pPr>
      <w:r w:rsidRPr="00914368">
        <w:t>33.</w:t>
      </w:r>
      <w:r w:rsidRPr="00914368">
        <w:tab/>
        <w:t xml:space="preserve">With regard to complaints of gender-based discrimination, the table below shows the number of complaints recorded for each department by the Office of the Deputy Minister for Equal Opportunities in relation to the murder or homicide of lesbian, gay, bisexual, transgender and intersex persons. </w:t>
      </w:r>
    </w:p>
    <w:p w14:paraId="505B5FC1" w14:textId="2FF945BE" w:rsidR="002227E6" w:rsidRPr="00D470FC" w:rsidRDefault="002227E6" w:rsidP="002227E6">
      <w:pPr>
        <w:pStyle w:val="H23G"/>
      </w:pPr>
      <w:r w:rsidRPr="00D470FC">
        <w:tab/>
      </w:r>
      <w:r w:rsidR="00065BBF">
        <w:tab/>
      </w:r>
      <w:r w:rsidR="00065BBF">
        <w:tab/>
      </w:r>
      <w:r w:rsidRPr="00D470FC">
        <w:rPr>
          <w:bCs/>
        </w:rPr>
        <w:t>Department of Cochabamba</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7"/>
        <w:gridCol w:w="1135"/>
        <w:gridCol w:w="990"/>
        <w:gridCol w:w="1134"/>
        <w:gridCol w:w="1134"/>
        <w:gridCol w:w="1276"/>
        <w:gridCol w:w="1134"/>
        <w:gridCol w:w="850"/>
        <w:gridCol w:w="1559"/>
      </w:tblGrid>
      <w:tr w:rsidR="00473F43" w:rsidRPr="00473F43" w14:paraId="141CB749" w14:textId="77777777" w:rsidTr="007423DF">
        <w:trPr>
          <w:trHeight w:val="240"/>
          <w:tblHeader/>
        </w:trPr>
        <w:tc>
          <w:tcPr>
            <w:tcW w:w="427" w:type="dxa"/>
            <w:tcBorders>
              <w:top w:val="single" w:sz="4" w:space="0" w:color="auto"/>
              <w:bottom w:val="single" w:sz="12" w:space="0" w:color="auto"/>
            </w:tcBorders>
            <w:shd w:val="clear" w:color="auto" w:fill="auto"/>
            <w:vAlign w:val="bottom"/>
          </w:tcPr>
          <w:p w14:paraId="5C75620D" w14:textId="77777777" w:rsidR="002227E6" w:rsidRPr="00473F43" w:rsidRDefault="002227E6" w:rsidP="00473F43">
            <w:pPr>
              <w:spacing w:before="80" w:after="80" w:line="200" w:lineRule="exact"/>
              <w:ind w:right="113"/>
              <w:rPr>
                <w:i/>
                <w:sz w:val="16"/>
                <w:szCs w:val="16"/>
              </w:rPr>
            </w:pPr>
            <w:r w:rsidRPr="00473F43">
              <w:rPr>
                <w:i/>
                <w:iCs/>
                <w:sz w:val="16"/>
                <w:szCs w:val="16"/>
              </w:rPr>
              <w:t>No.</w:t>
            </w:r>
          </w:p>
        </w:tc>
        <w:tc>
          <w:tcPr>
            <w:tcW w:w="1135" w:type="dxa"/>
            <w:tcBorders>
              <w:top w:val="single" w:sz="4" w:space="0" w:color="auto"/>
              <w:bottom w:val="single" w:sz="12" w:space="0" w:color="auto"/>
            </w:tcBorders>
            <w:shd w:val="clear" w:color="auto" w:fill="auto"/>
            <w:vAlign w:val="bottom"/>
          </w:tcPr>
          <w:p w14:paraId="1E3F7EFE" w14:textId="77777777" w:rsidR="002227E6" w:rsidRPr="00473F43" w:rsidRDefault="002227E6" w:rsidP="00473F43">
            <w:pPr>
              <w:spacing w:before="80" w:after="80" w:line="200" w:lineRule="exact"/>
              <w:ind w:right="113"/>
              <w:rPr>
                <w:i/>
                <w:sz w:val="16"/>
                <w:szCs w:val="16"/>
              </w:rPr>
            </w:pPr>
            <w:r w:rsidRPr="00473F43">
              <w:rPr>
                <w:i/>
                <w:iCs/>
                <w:sz w:val="16"/>
                <w:szCs w:val="16"/>
              </w:rPr>
              <w:t>Victim</w:t>
            </w:r>
            <w:r w:rsidRPr="00473F43">
              <w:rPr>
                <w:i/>
                <w:sz w:val="16"/>
                <w:szCs w:val="16"/>
              </w:rPr>
              <w:t xml:space="preserve"> </w:t>
            </w:r>
          </w:p>
        </w:tc>
        <w:tc>
          <w:tcPr>
            <w:tcW w:w="990" w:type="dxa"/>
            <w:tcBorders>
              <w:top w:val="single" w:sz="4" w:space="0" w:color="auto"/>
              <w:bottom w:val="single" w:sz="12" w:space="0" w:color="auto"/>
            </w:tcBorders>
            <w:shd w:val="clear" w:color="auto" w:fill="auto"/>
            <w:vAlign w:val="bottom"/>
          </w:tcPr>
          <w:p w14:paraId="04F789D4" w14:textId="77777777" w:rsidR="002227E6" w:rsidRPr="00473F43" w:rsidRDefault="002227E6" w:rsidP="00473F43">
            <w:pPr>
              <w:spacing w:before="80" w:after="80" w:line="200" w:lineRule="exact"/>
              <w:ind w:right="113"/>
              <w:rPr>
                <w:i/>
                <w:sz w:val="16"/>
                <w:szCs w:val="16"/>
              </w:rPr>
            </w:pPr>
            <w:r w:rsidRPr="00473F43">
              <w:rPr>
                <w:i/>
                <w:iCs/>
                <w:sz w:val="16"/>
                <w:szCs w:val="16"/>
              </w:rPr>
              <w:t>Date</w:t>
            </w:r>
            <w:r w:rsidRPr="00473F43">
              <w:rPr>
                <w:i/>
                <w:sz w:val="16"/>
                <w:szCs w:val="16"/>
              </w:rPr>
              <w:t xml:space="preserve"> </w:t>
            </w:r>
          </w:p>
        </w:tc>
        <w:tc>
          <w:tcPr>
            <w:tcW w:w="1134" w:type="dxa"/>
            <w:tcBorders>
              <w:top w:val="single" w:sz="4" w:space="0" w:color="auto"/>
              <w:bottom w:val="single" w:sz="12" w:space="0" w:color="auto"/>
            </w:tcBorders>
            <w:shd w:val="clear" w:color="auto" w:fill="auto"/>
            <w:vAlign w:val="bottom"/>
          </w:tcPr>
          <w:p w14:paraId="276F3C4B" w14:textId="77777777" w:rsidR="002227E6" w:rsidRPr="00473F43" w:rsidRDefault="002227E6" w:rsidP="00473F43">
            <w:pPr>
              <w:spacing w:before="80" w:after="80" w:line="200" w:lineRule="exact"/>
              <w:ind w:right="113"/>
              <w:rPr>
                <w:i/>
                <w:sz w:val="16"/>
                <w:szCs w:val="16"/>
              </w:rPr>
            </w:pPr>
            <w:r w:rsidRPr="00473F43">
              <w:rPr>
                <w:i/>
                <w:iCs/>
                <w:sz w:val="16"/>
                <w:szCs w:val="16"/>
              </w:rPr>
              <w:t>Details</w:t>
            </w:r>
          </w:p>
        </w:tc>
        <w:tc>
          <w:tcPr>
            <w:tcW w:w="1134" w:type="dxa"/>
            <w:tcBorders>
              <w:top w:val="single" w:sz="4" w:space="0" w:color="auto"/>
              <w:bottom w:val="single" w:sz="12" w:space="0" w:color="auto"/>
            </w:tcBorders>
            <w:shd w:val="clear" w:color="auto" w:fill="auto"/>
            <w:vAlign w:val="bottom"/>
          </w:tcPr>
          <w:p w14:paraId="7168DE83" w14:textId="77777777" w:rsidR="002227E6" w:rsidRPr="00473F43" w:rsidRDefault="002227E6" w:rsidP="00473F43">
            <w:pPr>
              <w:spacing w:before="80" w:after="80" w:line="200" w:lineRule="exact"/>
              <w:ind w:right="113"/>
              <w:rPr>
                <w:i/>
                <w:sz w:val="16"/>
                <w:szCs w:val="16"/>
              </w:rPr>
            </w:pPr>
            <w:r w:rsidRPr="00473F43">
              <w:rPr>
                <w:i/>
                <w:iCs/>
                <w:sz w:val="16"/>
                <w:szCs w:val="16"/>
              </w:rPr>
              <w:t>Case No.</w:t>
            </w:r>
          </w:p>
        </w:tc>
        <w:tc>
          <w:tcPr>
            <w:tcW w:w="1276" w:type="dxa"/>
            <w:tcBorders>
              <w:top w:val="single" w:sz="4" w:space="0" w:color="auto"/>
              <w:bottom w:val="single" w:sz="12" w:space="0" w:color="auto"/>
            </w:tcBorders>
            <w:shd w:val="clear" w:color="auto" w:fill="auto"/>
            <w:vAlign w:val="bottom"/>
          </w:tcPr>
          <w:p w14:paraId="5F2D3C8D" w14:textId="77777777" w:rsidR="002227E6" w:rsidRPr="00473F43" w:rsidRDefault="002227E6" w:rsidP="00473F43">
            <w:pPr>
              <w:spacing w:before="80" w:after="80" w:line="200" w:lineRule="exact"/>
              <w:ind w:right="113"/>
              <w:rPr>
                <w:i/>
                <w:sz w:val="16"/>
                <w:szCs w:val="16"/>
              </w:rPr>
            </w:pPr>
            <w:r w:rsidRPr="00473F43">
              <w:rPr>
                <w:i/>
                <w:iCs/>
                <w:sz w:val="16"/>
                <w:szCs w:val="16"/>
              </w:rPr>
              <w:t>Offence</w:t>
            </w:r>
          </w:p>
        </w:tc>
        <w:tc>
          <w:tcPr>
            <w:tcW w:w="1134" w:type="dxa"/>
            <w:tcBorders>
              <w:top w:val="single" w:sz="4" w:space="0" w:color="auto"/>
              <w:bottom w:val="single" w:sz="12" w:space="0" w:color="auto"/>
            </w:tcBorders>
            <w:shd w:val="clear" w:color="auto" w:fill="auto"/>
            <w:vAlign w:val="bottom"/>
          </w:tcPr>
          <w:p w14:paraId="6578DBE4" w14:textId="77777777" w:rsidR="002227E6" w:rsidRPr="00473F43" w:rsidRDefault="002227E6" w:rsidP="00473F43">
            <w:pPr>
              <w:spacing w:before="80" w:after="80" w:line="200" w:lineRule="exact"/>
              <w:ind w:right="113"/>
              <w:rPr>
                <w:i/>
                <w:sz w:val="16"/>
                <w:szCs w:val="16"/>
              </w:rPr>
            </w:pPr>
            <w:r w:rsidRPr="00473F43">
              <w:rPr>
                <w:i/>
                <w:iCs/>
                <w:sz w:val="16"/>
                <w:szCs w:val="16"/>
              </w:rPr>
              <w:t>Stage</w:t>
            </w:r>
          </w:p>
        </w:tc>
        <w:tc>
          <w:tcPr>
            <w:tcW w:w="850" w:type="dxa"/>
            <w:tcBorders>
              <w:top w:val="single" w:sz="4" w:space="0" w:color="auto"/>
              <w:bottom w:val="single" w:sz="12" w:space="0" w:color="auto"/>
            </w:tcBorders>
            <w:shd w:val="clear" w:color="auto" w:fill="auto"/>
            <w:vAlign w:val="bottom"/>
          </w:tcPr>
          <w:p w14:paraId="68989E88" w14:textId="77777777" w:rsidR="002227E6" w:rsidRPr="00473F43" w:rsidRDefault="002227E6" w:rsidP="00473F43">
            <w:pPr>
              <w:spacing w:before="80" w:after="80" w:line="200" w:lineRule="exact"/>
              <w:ind w:right="113"/>
              <w:rPr>
                <w:i/>
                <w:sz w:val="16"/>
                <w:szCs w:val="16"/>
              </w:rPr>
            </w:pPr>
            <w:r w:rsidRPr="00473F43">
              <w:rPr>
                <w:i/>
                <w:iCs/>
                <w:sz w:val="16"/>
                <w:szCs w:val="16"/>
              </w:rPr>
              <w:t>Status</w:t>
            </w:r>
          </w:p>
        </w:tc>
        <w:tc>
          <w:tcPr>
            <w:tcW w:w="1559" w:type="dxa"/>
            <w:tcBorders>
              <w:top w:val="single" w:sz="4" w:space="0" w:color="auto"/>
              <w:bottom w:val="single" w:sz="12" w:space="0" w:color="auto"/>
            </w:tcBorders>
            <w:shd w:val="clear" w:color="auto" w:fill="auto"/>
            <w:vAlign w:val="bottom"/>
          </w:tcPr>
          <w:p w14:paraId="4206A60A" w14:textId="77777777" w:rsidR="002227E6" w:rsidRPr="00473F43" w:rsidRDefault="002227E6" w:rsidP="00473F43">
            <w:pPr>
              <w:spacing w:before="80" w:after="80" w:line="200" w:lineRule="exact"/>
              <w:ind w:right="113"/>
              <w:rPr>
                <w:i/>
                <w:sz w:val="16"/>
                <w:szCs w:val="16"/>
              </w:rPr>
            </w:pPr>
            <w:r w:rsidRPr="00473F43">
              <w:rPr>
                <w:i/>
                <w:iCs/>
                <w:sz w:val="16"/>
                <w:szCs w:val="16"/>
              </w:rPr>
              <w:t>Comments</w:t>
            </w:r>
          </w:p>
        </w:tc>
      </w:tr>
      <w:tr w:rsidR="00473F43" w:rsidRPr="00473F43" w14:paraId="089AF2EB" w14:textId="77777777" w:rsidTr="007423DF">
        <w:trPr>
          <w:trHeight w:hRule="exact" w:val="113"/>
          <w:tblHeader/>
        </w:trPr>
        <w:tc>
          <w:tcPr>
            <w:tcW w:w="427" w:type="dxa"/>
            <w:tcBorders>
              <w:top w:val="single" w:sz="12" w:space="0" w:color="auto"/>
            </w:tcBorders>
            <w:shd w:val="clear" w:color="auto" w:fill="auto"/>
          </w:tcPr>
          <w:p w14:paraId="2CB02358" w14:textId="77777777" w:rsidR="002227E6" w:rsidRPr="00473F43" w:rsidRDefault="002227E6" w:rsidP="00473F43">
            <w:pPr>
              <w:spacing w:before="40" w:after="120" w:line="220" w:lineRule="exact"/>
              <w:ind w:right="113"/>
            </w:pPr>
          </w:p>
        </w:tc>
        <w:tc>
          <w:tcPr>
            <w:tcW w:w="1135" w:type="dxa"/>
            <w:tcBorders>
              <w:top w:val="single" w:sz="12" w:space="0" w:color="auto"/>
            </w:tcBorders>
            <w:shd w:val="clear" w:color="auto" w:fill="auto"/>
          </w:tcPr>
          <w:p w14:paraId="7C48A6CE" w14:textId="77777777" w:rsidR="002227E6" w:rsidRPr="00473F43" w:rsidRDefault="002227E6" w:rsidP="00473F43">
            <w:pPr>
              <w:spacing w:before="40" w:after="120" w:line="220" w:lineRule="exact"/>
              <w:ind w:right="113"/>
            </w:pPr>
          </w:p>
        </w:tc>
        <w:tc>
          <w:tcPr>
            <w:tcW w:w="990" w:type="dxa"/>
            <w:tcBorders>
              <w:top w:val="single" w:sz="12" w:space="0" w:color="auto"/>
            </w:tcBorders>
            <w:shd w:val="clear" w:color="auto" w:fill="auto"/>
          </w:tcPr>
          <w:p w14:paraId="0A3423C0" w14:textId="77777777" w:rsidR="002227E6" w:rsidRPr="00473F43" w:rsidRDefault="002227E6" w:rsidP="00473F43">
            <w:pPr>
              <w:spacing w:before="40" w:after="120" w:line="220" w:lineRule="exact"/>
              <w:ind w:right="113"/>
            </w:pPr>
          </w:p>
        </w:tc>
        <w:tc>
          <w:tcPr>
            <w:tcW w:w="1134" w:type="dxa"/>
            <w:tcBorders>
              <w:top w:val="single" w:sz="12" w:space="0" w:color="auto"/>
            </w:tcBorders>
            <w:shd w:val="clear" w:color="auto" w:fill="auto"/>
          </w:tcPr>
          <w:p w14:paraId="0D4C3A6B" w14:textId="77777777" w:rsidR="002227E6" w:rsidRPr="00473F43" w:rsidRDefault="002227E6" w:rsidP="00473F43">
            <w:pPr>
              <w:spacing w:before="40" w:after="120" w:line="220" w:lineRule="exact"/>
              <w:ind w:right="113"/>
            </w:pPr>
          </w:p>
        </w:tc>
        <w:tc>
          <w:tcPr>
            <w:tcW w:w="1134" w:type="dxa"/>
            <w:tcBorders>
              <w:top w:val="single" w:sz="12" w:space="0" w:color="auto"/>
            </w:tcBorders>
            <w:shd w:val="clear" w:color="auto" w:fill="auto"/>
          </w:tcPr>
          <w:p w14:paraId="4069E127" w14:textId="77777777" w:rsidR="002227E6" w:rsidRPr="00473F43" w:rsidRDefault="002227E6" w:rsidP="00473F43">
            <w:pPr>
              <w:spacing w:before="40" w:after="120" w:line="220" w:lineRule="exact"/>
              <w:ind w:right="113"/>
            </w:pPr>
          </w:p>
        </w:tc>
        <w:tc>
          <w:tcPr>
            <w:tcW w:w="1276" w:type="dxa"/>
            <w:tcBorders>
              <w:top w:val="single" w:sz="12" w:space="0" w:color="auto"/>
            </w:tcBorders>
            <w:shd w:val="clear" w:color="auto" w:fill="auto"/>
          </w:tcPr>
          <w:p w14:paraId="38EF7D8B" w14:textId="77777777" w:rsidR="002227E6" w:rsidRPr="00473F43" w:rsidRDefault="002227E6" w:rsidP="00473F43">
            <w:pPr>
              <w:spacing w:before="40" w:after="120" w:line="220" w:lineRule="exact"/>
              <w:ind w:right="113"/>
            </w:pPr>
          </w:p>
        </w:tc>
        <w:tc>
          <w:tcPr>
            <w:tcW w:w="1134" w:type="dxa"/>
            <w:tcBorders>
              <w:top w:val="single" w:sz="12" w:space="0" w:color="auto"/>
            </w:tcBorders>
            <w:shd w:val="clear" w:color="auto" w:fill="auto"/>
          </w:tcPr>
          <w:p w14:paraId="56B0184F" w14:textId="77777777" w:rsidR="002227E6" w:rsidRPr="00473F43" w:rsidRDefault="002227E6" w:rsidP="00473F43">
            <w:pPr>
              <w:spacing w:before="40" w:after="120" w:line="220" w:lineRule="exact"/>
              <w:ind w:right="113"/>
            </w:pPr>
          </w:p>
        </w:tc>
        <w:tc>
          <w:tcPr>
            <w:tcW w:w="850" w:type="dxa"/>
            <w:tcBorders>
              <w:top w:val="single" w:sz="12" w:space="0" w:color="auto"/>
            </w:tcBorders>
            <w:shd w:val="clear" w:color="auto" w:fill="auto"/>
          </w:tcPr>
          <w:p w14:paraId="3CA16E3C" w14:textId="77777777" w:rsidR="002227E6" w:rsidRPr="00473F43" w:rsidRDefault="002227E6" w:rsidP="00473F43">
            <w:pPr>
              <w:spacing w:before="40" w:after="120" w:line="220" w:lineRule="exact"/>
              <w:ind w:right="113"/>
            </w:pPr>
          </w:p>
        </w:tc>
        <w:tc>
          <w:tcPr>
            <w:tcW w:w="1559" w:type="dxa"/>
            <w:tcBorders>
              <w:top w:val="single" w:sz="12" w:space="0" w:color="auto"/>
            </w:tcBorders>
            <w:shd w:val="clear" w:color="auto" w:fill="auto"/>
          </w:tcPr>
          <w:p w14:paraId="180EBDFB" w14:textId="77777777" w:rsidR="002227E6" w:rsidRPr="00473F43" w:rsidRDefault="002227E6" w:rsidP="00473F43">
            <w:pPr>
              <w:spacing w:before="40" w:after="120" w:line="220" w:lineRule="exact"/>
              <w:ind w:right="113"/>
            </w:pPr>
          </w:p>
        </w:tc>
      </w:tr>
      <w:tr w:rsidR="00473F43" w:rsidRPr="00473F43" w14:paraId="4279D19A" w14:textId="77777777" w:rsidTr="007423DF">
        <w:trPr>
          <w:trHeight w:val="240"/>
        </w:trPr>
        <w:tc>
          <w:tcPr>
            <w:tcW w:w="427" w:type="dxa"/>
            <w:shd w:val="clear" w:color="auto" w:fill="auto"/>
          </w:tcPr>
          <w:p w14:paraId="3B65E5B5" w14:textId="77777777" w:rsidR="002227E6" w:rsidRPr="00473F43" w:rsidRDefault="002227E6" w:rsidP="00473F43">
            <w:pPr>
              <w:spacing w:before="40" w:after="120" w:line="220" w:lineRule="exact"/>
              <w:ind w:right="113"/>
            </w:pPr>
            <w:r w:rsidRPr="00473F43">
              <w:t>1.</w:t>
            </w:r>
          </w:p>
        </w:tc>
        <w:tc>
          <w:tcPr>
            <w:tcW w:w="1135" w:type="dxa"/>
            <w:shd w:val="clear" w:color="auto" w:fill="auto"/>
          </w:tcPr>
          <w:p w14:paraId="4F2A1D68" w14:textId="77777777" w:rsidR="002227E6" w:rsidRPr="00473F43" w:rsidRDefault="002227E6" w:rsidP="00473F43">
            <w:pPr>
              <w:spacing w:before="40" w:after="120" w:line="220" w:lineRule="exact"/>
              <w:ind w:right="113"/>
            </w:pPr>
            <w:r w:rsidRPr="00473F43">
              <w:t>Alessandra Ferreti</w:t>
            </w:r>
          </w:p>
        </w:tc>
        <w:tc>
          <w:tcPr>
            <w:tcW w:w="990" w:type="dxa"/>
            <w:shd w:val="clear" w:color="auto" w:fill="auto"/>
          </w:tcPr>
          <w:p w14:paraId="1DB6F1A8" w14:textId="77777777" w:rsidR="002227E6" w:rsidRPr="00473F43" w:rsidRDefault="002227E6" w:rsidP="00473F43">
            <w:pPr>
              <w:spacing w:before="40" w:after="120" w:line="220" w:lineRule="exact"/>
              <w:ind w:right="113"/>
            </w:pPr>
            <w:r w:rsidRPr="00473F43">
              <w:t>6 February 2021</w:t>
            </w:r>
          </w:p>
        </w:tc>
        <w:tc>
          <w:tcPr>
            <w:tcW w:w="1134" w:type="dxa"/>
            <w:shd w:val="clear" w:color="auto" w:fill="auto"/>
          </w:tcPr>
          <w:p w14:paraId="0E616977" w14:textId="77777777" w:rsidR="002227E6" w:rsidRPr="00473F43" w:rsidRDefault="002227E6" w:rsidP="00473F43">
            <w:pPr>
              <w:spacing w:before="40" w:after="120" w:line="220" w:lineRule="exact"/>
              <w:ind w:right="113"/>
            </w:pPr>
            <w:r w:rsidRPr="00473F43">
              <w:t>Transgender woman suffocated by a client</w:t>
            </w:r>
          </w:p>
        </w:tc>
        <w:tc>
          <w:tcPr>
            <w:tcW w:w="1134" w:type="dxa"/>
            <w:shd w:val="clear" w:color="auto" w:fill="auto"/>
          </w:tcPr>
          <w:p w14:paraId="4A17ACE2" w14:textId="77777777" w:rsidR="002227E6" w:rsidRPr="00473F43" w:rsidRDefault="002227E6" w:rsidP="00473F43">
            <w:pPr>
              <w:spacing w:before="40" w:after="120" w:line="220" w:lineRule="exact"/>
              <w:ind w:right="113"/>
            </w:pPr>
            <w:r w:rsidRPr="00473F43">
              <w:t>30110200000000</w:t>
            </w:r>
          </w:p>
        </w:tc>
        <w:tc>
          <w:tcPr>
            <w:tcW w:w="1276" w:type="dxa"/>
            <w:shd w:val="clear" w:color="auto" w:fill="auto"/>
          </w:tcPr>
          <w:p w14:paraId="09502BDA" w14:textId="77777777" w:rsidR="002227E6" w:rsidRPr="00473F43" w:rsidRDefault="002227E6" w:rsidP="00473F43">
            <w:pPr>
              <w:spacing w:before="40" w:after="120" w:line="220" w:lineRule="exact"/>
              <w:ind w:right="113"/>
            </w:pPr>
            <w:r w:rsidRPr="00473F43">
              <w:t>Murder, art. 252</w:t>
            </w:r>
          </w:p>
        </w:tc>
        <w:tc>
          <w:tcPr>
            <w:tcW w:w="1134" w:type="dxa"/>
            <w:shd w:val="clear" w:color="auto" w:fill="auto"/>
          </w:tcPr>
          <w:p w14:paraId="63AF0430" w14:textId="77777777" w:rsidR="002227E6" w:rsidRPr="00473F43" w:rsidRDefault="002227E6" w:rsidP="00473F43">
            <w:pPr>
              <w:spacing w:before="40" w:after="120" w:line="220" w:lineRule="exact"/>
              <w:ind w:right="113"/>
            </w:pPr>
            <w:r w:rsidRPr="00473F43">
              <w:t>Preliminary</w:t>
            </w:r>
          </w:p>
        </w:tc>
        <w:tc>
          <w:tcPr>
            <w:tcW w:w="850" w:type="dxa"/>
            <w:shd w:val="clear" w:color="auto" w:fill="auto"/>
          </w:tcPr>
          <w:p w14:paraId="4C4095E8" w14:textId="77777777" w:rsidR="002227E6" w:rsidRPr="00473F43" w:rsidRDefault="002227E6" w:rsidP="00473F43">
            <w:pPr>
              <w:spacing w:before="40" w:after="120" w:line="220" w:lineRule="exact"/>
              <w:ind w:right="113"/>
            </w:pPr>
            <w:r w:rsidRPr="00473F43">
              <w:t>Open</w:t>
            </w:r>
          </w:p>
        </w:tc>
        <w:tc>
          <w:tcPr>
            <w:tcW w:w="1559" w:type="dxa"/>
            <w:shd w:val="clear" w:color="auto" w:fill="auto"/>
          </w:tcPr>
          <w:p w14:paraId="64C3B168" w14:textId="77777777" w:rsidR="002227E6" w:rsidRPr="00473F43" w:rsidRDefault="002227E6" w:rsidP="00473F43">
            <w:pPr>
              <w:spacing w:before="40" w:after="120" w:line="220" w:lineRule="exact"/>
              <w:ind w:right="113"/>
            </w:pPr>
            <w:r w:rsidRPr="00473F43">
              <w:t>Scope of proceedings broadened 22 February 2021 (60 days)</w:t>
            </w:r>
          </w:p>
        </w:tc>
      </w:tr>
      <w:tr w:rsidR="00473F43" w:rsidRPr="00473F43" w14:paraId="2BFA69FB" w14:textId="77777777" w:rsidTr="007423DF">
        <w:trPr>
          <w:trHeight w:val="240"/>
        </w:trPr>
        <w:tc>
          <w:tcPr>
            <w:tcW w:w="427" w:type="dxa"/>
            <w:shd w:val="clear" w:color="auto" w:fill="auto"/>
          </w:tcPr>
          <w:p w14:paraId="566ACD39" w14:textId="77777777" w:rsidR="002227E6" w:rsidRPr="00473F43" w:rsidRDefault="002227E6" w:rsidP="00473F43">
            <w:pPr>
              <w:spacing w:before="40" w:after="120" w:line="220" w:lineRule="exact"/>
              <w:ind w:right="113"/>
            </w:pPr>
            <w:r w:rsidRPr="00473F43">
              <w:t>2.</w:t>
            </w:r>
          </w:p>
        </w:tc>
        <w:tc>
          <w:tcPr>
            <w:tcW w:w="1135" w:type="dxa"/>
            <w:shd w:val="clear" w:color="auto" w:fill="auto"/>
          </w:tcPr>
          <w:p w14:paraId="5A4FDA19" w14:textId="77777777" w:rsidR="002227E6" w:rsidRPr="00473F43" w:rsidRDefault="002227E6" w:rsidP="00473F43">
            <w:pPr>
              <w:spacing w:before="40" w:after="120" w:line="220" w:lineRule="exact"/>
              <w:ind w:right="113"/>
            </w:pPr>
            <w:r w:rsidRPr="00473F43">
              <w:t>Three transgender women</w:t>
            </w:r>
          </w:p>
        </w:tc>
        <w:tc>
          <w:tcPr>
            <w:tcW w:w="990" w:type="dxa"/>
            <w:shd w:val="clear" w:color="auto" w:fill="auto"/>
          </w:tcPr>
          <w:p w14:paraId="446EDB7B" w14:textId="77777777" w:rsidR="002227E6" w:rsidRPr="00473F43" w:rsidRDefault="002227E6" w:rsidP="00473F43">
            <w:pPr>
              <w:spacing w:before="40" w:after="120" w:line="220" w:lineRule="exact"/>
              <w:ind w:right="113"/>
            </w:pPr>
            <w:r w:rsidRPr="00473F43">
              <w:t>10 May 2013</w:t>
            </w:r>
          </w:p>
        </w:tc>
        <w:tc>
          <w:tcPr>
            <w:tcW w:w="1134" w:type="dxa"/>
            <w:shd w:val="clear" w:color="auto" w:fill="auto"/>
          </w:tcPr>
          <w:p w14:paraId="6BE6D4D3" w14:textId="77777777" w:rsidR="002227E6" w:rsidRPr="00473F43" w:rsidRDefault="002227E6" w:rsidP="00473F43">
            <w:pPr>
              <w:spacing w:before="40" w:after="120" w:line="220" w:lineRule="exact"/>
              <w:ind w:right="113"/>
            </w:pPr>
            <w:r w:rsidRPr="00473F43">
              <w:t>Assaulted by a taxi driver</w:t>
            </w:r>
          </w:p>
        </w:tc>
        <w:tc>
          <w:tcPr>
            <w:tcW w:w="1134" w:type="dxa"/>
            <w:shd w:val="clear" w:color="auto" w:fill="auto"/>
          </w:tcPr>
          <w:p w14:paraId="117F8603" w14:textId="77777777" w:rsidR="002227E6" w:rsidRPr="00473F43" w:rsidRDefault="002227E6" w:rsidP="00473F43">
            <w:pPr>
              <w:spacing w:before="40" w:after="120" w:line="220" w:lineRule="exact"/>
              <w:ind w:right="113"/>
            </w:pPr>
            <w:r w:rsidRPr="00473F43">
              <w:t>Int. 79/2013</w:t>
            </w:r>
          </w:p>
        </w:tc>
        <w:tc>
          <w:tcPr>
            <w:tcW w:w="1276" w:type="dxa"/>
            <w:shd w:val="clear" w:color="auto" w:fill="auto"/>
          </w:tcPr>
          <w:p w14:paraId="6444CF2B" w14:textId="77777777" w:rsidR="002227E6" w:rsidRPr="00473F43" w:rsidRDefault="002227E6" w:rsidP="00473F43">
            <w:pPr>
              <w:spacing w:before="40" w:after="120" w:line="220" w:lineRule="exact"/>
              <w:ind w:right="113"/>
            </w:pPr>
            <w:r w:rsidRPr="00473F43">
              <w:t>Serious and minor bodily harm, aggravated robbery,</w:t>
            </w:r>
          </w:p>
          <w:p w14:paraId="3ECC99A9" w14:textId="77777777" w:rsidR="002227E6" w:rsidRPr="00473F43" w:rsidRDefault="002227E6" w:rsidP="00473F43">
            <w:pPr>
              <w:spacing w:before="40" w:after="120" w:line="220" w:lineRule="exact"/>
              <w:ind w:right="113"/>
            </w:pPr>
            <w:r w:rsidRPr="00473F43">
              <w:t>arts. 271 and 332, Criminal Code</w:t>
            </w:r>
          </w:p>
        </w:tc>
        <w:tc>
          <w:tcPr>
            <w:tcW w:w="1134" w:type="dxa"/>
            <w:shd w:val="clear" w:color="auto" w:fill="auto"/>
          </w:tcPr>
          <w:p w14:paraId="4A2FB798" w14:textId="77777777" w:rsidR="002227E6" w:rsidRPr="00473F43" w:rsidRDefault="002227E6" w:rsidP="00473F43">
            <w:pPr>
              <w:spacing w:before="40" w:after="120" w:line="220" w:lineRule="exact"/>
              <w:ind w:right="113"/>
            </w:pPr>
            <w:r w:rsidRPr="00473F43">
              <w:t>Summary proceedings concluded</w:t>
            </w:r>
          </w:p>
        </w:tc>
        <w:tc>
          <w:tcPr>
            <w:tcW w:w="850" w:type="dxa"/>
            <w:shd w:val="clear" w:color="auto" w:fill="auto"/>
          </w:tcPr>
          <w:p w14:paraId="23A31BD6" w14:textId="77777777" w:rsidR="002227E6" w:rsidRPr="00473F43" w:rsidRDefault="002227E6" w:rsidP="00473F43">
            <w:pPr>
              <w:spacing w:before="40" w:after="120" w:line="220" w:lineRule="exact"/>
              <w:ind w:right="113"/>
            </w:pPr>
            <w:r w:rsidRPr="00473F43">
              <w:t>Closed</w:t>
            </w:r>
          </w:p>
        </w:tc>
        <w:tc>
          <w:tcPr>
            <w:tcW w:w="1559" w:type="dxa"/>
            <w:shd w:val="clear" w:color="auto" w:fill="auto"/>
          </w:tcPr>
          <w:p w14:paraId="436F9D82" w14:textId="77777777" w:rsidR="002227E6" w:rsidRPr="00473F43" w:rsidRDefault="002227E6" w:rsidP="00473F43">
            <w:pPr>
              <w:spacing w:before="40" w:after="120" w:line="220" w:lineRule="exact"/>
              <w:ind w:right="113"/>
            </w:pPr>
            <w:r w:rsidRPr="00473F43">
              <w:t>Completed</w:t>
            </w:r>
          </w:p>
        </w:tc>
      </w:tr>
    </w:tbl>
    <w:p w14:paraId="40C08F49" w14:textId="470834DA" w:rsidR="002227E6" w:rsidRPr="00D470FC" w:rsidRDefault="002227E6" w:rsidP="002227E6">
      <w:pPr>
        <w:pStyle w:val="H23G"/>
      </w:pPr>
      <w:r w:rsidRPr="00D470FC">
        <w:lastRenderedPageBreak/>
        <w:tab/>
      </w:r>
      <w:r w:rsidR="00065BBF">
        <w:tab/>
      </w:r>
      <w:r w:rsidR="00065BBF">
        <w:tab/>
      </w:r>
      <w:r w:rsidRPr="00D470FC">
        <w:rPr>
          <w:bCs/>
        </w:rPr>
        <w:t>Department of Santa Cruz</w:t>
      </w:r>
    </w:p>
    <w:tbl>
      <w:tblPr>
        <w:tblW w:w="9637" w:type="dxa"/>
        <w:tblBorders>
          <w:top w:val="single" w:sz="4" w:space="0" w:color="auto"/>
        </w:tblBorders>
        <w:tblLayout w:type="fixed"/>
        <w:tblCellMar>
          <w:left w:w="0" w:type="dxa"/>
          <w:right w:w="113" w:type="dxa"/>
        </w:tblCellMar>
        <w:tblLook w:val="04A0" w:firstRow="1" w:lastRow="0" w:firstColumn="1" w:lastColumn="0" w:noHBand="0" w:noVBand="1"/>
      </w:tblPr>
      <w:tblGrid>
        <w:gridCol w:w="426"/>
        <w:gridCol w:w="992"/>
        <w:gridCol w:w="934"/>
        <w:gridCol w:w="1476"/>
        <w:gridCol w:w="1559"/>
        <w:gridCol w:w="992"/>
        <w:gridCol w:w="1418"/>
        <w:gridCol w:w="992"/>
        <w:gridCol w:w="848"/>
      </w:tblGrid>
      <w:tr w:rsidR="002F50B0" w:rsidRPr="00D470FC" w14:paraId="2533E041" w14:textId="77777777" w:rsidTr="002F50B0">
        <w:trPr>
          <w:trHeight w:val="240"/>
          <w:tblHeader/>
        </w:trPr>
        <w:tc>
          <w:tcPr>
            <w:tcW w:w="426" w:type="dxa"/>
            <w:tcBorders>
              <w:top w:val="single" w:sz="4" w:space="0" w:color="auto"/>
              <w:bottom w:val="single" w:sz="12" w:space="0" w:color="auto"/>
            </w:tcBorders>
            <w:shd w:val="clear" w:color="auto" w:fill="auto"/>
            <w:vAlign w:val="bottom"/>
          </w:tcPr>
          <w:p w14:paraId="3645B9D6" w14:textId="77777777" w:rsidR="002227E6" w:rsidRPr="00D470FC" w:rsidRDefault="002227E6" w:rsidP="00CD06B1">
            <w:pPr>
              <w:spacing w:before="80" w:after="80" w:line="200" w:lineRule="exact"/>
              <w:rPr>
                <w:i/>
                <w:sz w:val="16"/>
                <w:szCs w:val="16"/>
              </w:rPr>
            </w:pPr>
            <w:r w:rsidRPr="00D470FC">
              <w:rPr>
                <w:i/>
                <w:iCs/>
                <w:sz w:val="16"/>
                <w:szCs w:val="16"/>
              </w:rPr>
              <w:t>No.</w:t>
            </w:r>
          </w:p>
        </w:tc>
        <w:tc>
          <w:tcPr>
            <w:tcW w:w="992" w:type="dxa"/>
            <w:tcBorders>
              <w:top w:val="single" w:sz="4" w:space="0" w:color="auto"/>
              <w:bottom w:val="single" w:sz="12" w:space="0" w:color="auto"/>
            </w:tcBorders>
            <w:shd w:val="clear" w:color="auto" w:fill="auto"/>
            <w:vAlign w:val="bottom"/>
          </w:tcPr>
          <w:p w14:paraId="2BF72A2C" w14:textId="77777777" w:rsidR="002227E6" w:rsidRPr="00D470FC" w:rsidRDefault="002227E6" w:rsidP="00CD06B1">
            <w:pPr>
              <w:spacing w:before="80" w:after="80" w:line="200" w:lineRule="exact"/>
              <w:rPr>
                <w:i/>
                <w:sz w:val="16"/>
                <w:szCs w:val="16"/>
              </w:rPr>
            </w:pPr>
            <w:r w:rsidRPr="00D470FC">
              <w:rPr>
                <w:i/>
                <w:iCs/>
                <w:sz w:val="16"/>
                <w:szCs w:val="16"/>
              </w:rPr>
              <w:t>Victim</w:t>
            </w:r>
            <w:r w:rsidRPr="00D470FC">
              <w:rPr>
                <w:sz w:val="16"/>
                <w:szCs w:val="16"/>
              </w:rPr>
              <w:t xml:space="preserve"> </w:t>
            </w:r>
          </w:p>
        </w:tc>
        <w:tc>
          <w:tcPr>
            <w:tcW w:w="934" w:type="dxa"/>
            <w:tcBorders>
              <w:top w:val="single" w:sz="4" w:space="0" w:color="auto"/>
              <w:bottom w:val="single" w:sz="12" w:space="0" w:color="auto"/>
            </w:tcBorders>
            <w:shd w:val="clear" w:color="auto" w:fill="auto"/>
            <w:vAlign w:val="bottom"/>
          </w:tcPr>
          <w:p w14:paraId="4419B53F" w14:textId="77777777" w:rsidR="002227E6" w:rsidRPr="00D470FC" w:rsidRDefault="002227E6" w:rsidP="00CD06B1">
            <w:pPr>
              <w:spacing w:before="80" w:after="80" w:line="200" w:lineRule="exact"/>
              <w:rPr>
                <w:i/>
                <w:sz w:val="16"/>
                <w:szCs w:val="16"/>
              </w:rPr>
            </w:pPr>
            <w:r w:rsidRPr="00D470FC">
              <w:rPr>
                <w:i/>
                <w:iCs/>
                <w:sz w:val="16"/>
                <w:szCs w:val="16"/>
              </w:rPr>
              <w:t>Date</w:t>
            </w:r>
            <w:r w:rsidRPr="00D470FC">
              <w:rPr>
                <w:sz w:val="16"/>
                <w:szCs w:val="16"/>
              </w:rPr>
              <w:t xml:space="preserve"> </w:t>
            </w:r>
          </w:p>
        </w:tc>
        <w:tc>
          <w:tcPr>
            <w:tcW w:w="1476" w:type="dxa"/>
            <w:tcBorders>
              <w:top w:val="single" w:sz="4" w:space="0" w:color="auto"/>
              <w:bottom w:val="single" w:sz="12" w:space="0" w:color="auto"/>
            </w:tcBorders>
            <w:shd w:val="clear" w:color="auto" w:fill="auto"/>
            <w:vAlign w:val="bottom"/>
          </w:tcPr>
          <w:p w14:paraId="294B14DE" w14:textId="77777777" w:rsidR="002227E6" w:rsidRPr="00D470FC" w:rsidRDefault="002227E6" w:rsidP="00CD06B1">
            <w:pPr>
              <w:spacing w:before="80" w:after="80" w:line="200" w:lineRule="exact"/>
              <w:rPr>
                <w:i/>
                <w:sz w:val="16"/>
                <w:szCs w:val="16"/>
              </w:rPr>
            </w:pPr>
            <w:r w:rsidRPr="00D470FC">
              <w:rPr>
                <w:i/>
                <w:iCs/>
                <w:sz w:val="16"/>
                <w:szCs w:val="16"/>
              </w:rPr>
              <w:t>Details</w:t>
            </w:r>
          </w:p>
        </w:tc>
        <w:tc>
          <w:tcPr>
            <w:tcW w:w="1559" w:type="dxa"/>
            <w:tcBorders>
              <w:top w:val="single" w:sz="4" w:space="0" w:color="auto"/>
              <w:bottom w:val="single" w:sz="12" w:space="0" w:color="auto"/>
            </w:tcBorders>
            <w:shd w:val="clear" w:color="auto" w:fill="auto"/>
            <w:vAlign w:val="bottom"/>
          </w:tcPr>
          <w:p w14:paraId="406C6077" w14:textId="77777777" w:rsidR="002227E6" w:rsidRPr="00D470FC" w:rsidRDefault="002227E6" w:rsidP="00CD06B1">
            <w:pPr>
              <w:spacing w:before="80" w:after="80" w:line="200" w:lineRule="exact"/>
              <w:rPr>
                <w:i/>
                <w:sz w:val="16"/>
                <w:szCs w:val="16"/>
              </w:rPr>
            </w:pPr>
            <w:r w:rsidRPr="00D470FC">
              <w:rPr>
                <w:i/>
                <w:iCs/>
                <w:sz w:val="16"/>
                <w:szCs w:val="16"/>
              </w:rPr>
              <w:t>Case No.</w:t>
            </w:r>
          </w:p>
        </w:tc>
        <w:tc>
          <w:tcPr>
            <w:tcW w:w="992" w:type="dxa"/>
            <w:tcBorders>
              <w:top w:val="single" w:sz="4" w:space="0" w:color="auto"/>
              <w:bottom w:val="single" w:sz="12" w:space="0" w:color="auto"/>
            </w:tcBorders>
            <w:shd w:val="clear" w:color="auto" w:fill="auto"/>
            <w:vAlign w:val="bottom"/>
          </w:tcPr>
          <w:p w14:paraId="18BD8A94" w14:textId="77777777" w:rsidR="002227E6" w:rsidRPr="00D470FC" w:rsidRDefault="002227E6" w:rsidP="00CD06B1">
            <w:pPr>
              <w:spacing w:before="80" w:after="80" w:line="200" w:lineRule="exact"/>
              <w:rPr>
                <w:i/>
                <w:sz w:val="16"/>
                <w:szCs w:val="16"/>
              </w:rPr>
            </w:pPr>
            <w:r w:rsidRPr="00D470FC">
              <w:rPr>
                <w:i/>
                <w:iCs/>
                <w:sz w:val="16"/>
                <w:szCs w:val="16"/>
              </w:rPr>
              <w:t>Offence</w:t>
            </w:r>
          </w:p>
        </w:tc>
        <w:tc>
          <w:tcPr>
            <w:tcW w:w="1418" w:type="dxa"/>
            <w:tcBorders>
              <w:top w:val="single" w:sz="4" w:space="0" w:color="auto"/>
              <w:bottom w:val="single" w:sz="12" w:space="0" w:color="auto"/>
            </w:tcBorders>
            <w:shd w:val="clear" w:color="auto" w:fill="auto"/>
            <w:vAlign w:val="bottom"/>
          </w:tcPr>
          <w:p w14:paraId="3A79FEF9" w14:textId="77777777" w:rsidR="002227E6" w:rsidRPr="00D470FC" w:rsidRDefault="002227E6" w:rsidP="00CD06B1">
            <w:pPr>
              <w:spacing w:before="80" w:after="80" w:line="200" w:lineRule="exact"/>
              <w:rPr>
                <w:i/>
                <w:sz w:val="16"/>
                <w:szCs w:val="16"/>
              </w:rPr>
            </w:pPr>
            <w:r w:rsidRPr="00D470FC">
              <w:rPr>
                <w:i/>
                <w:iCs/>
                <w:sz w:val="16"/>
                <w:szCs w:val="16"/>
              </w:rPr>
              <w:t>Stage</w:t>
            </w:r>
          </w:p>
        </w:tc>
        <w:tc>
          <w:tcPr>
            <w:tcW w:w="992" w:type="dxa"/>
            <w:tcBorders>
              <w:top w:val="single" w:sz="4" w:space="0" w:color="auto"/>
              <w:bottom w:val="single" w:sz="12" w:space="0" w:color="auto"/>
            </w:tcBorders>
            <w:shd w:val="clear" w:color="auto" w:fill="auto"/>
            <w:vAlign w:val="bottom"/>
          </w:tcPr>
          <w:p w14:paraId="75375A90" w14:textId="77777777" w:rsidR="002227E6" w:rsidRPr="00D470FC" w:rsidRDefault="002227E6" w:rsidP="00CD06B1">
            <w:pPr>
              <w:spacing w:before="80" w:after="80" w:line="200" w:lineRule="exact"/>
              <w:rPr>
                <w:i/>
                <w:sz w:val="16"/>
                <w:szCs w:val="16"/>
              </w:rPr>
            </w:pPr>
            <w:r w:rsidRPr="00D470FC">
              <w:rPr>
                <w:i/>
                <w:iCs/>
                <w:sz w:val="16"/>
                <w:szCs w:val="16"/>
              </w:rPr>
              <w:t>Status</w:t>
            </w:r>
          </w:p>
        </w:tc>
        <w:tc>
          <w:tcPr>
            <w:tcW w:w="848" w:type="dxa"/>
            <w:tcBorders>
              <w:top w:val="single" w:sz="4" w:space="0" w:color="auto"/>
              <w:bottom w:val="single" w:sz="12" w:space="0" w:color="auto"/>
            </w:tcBorders>
            <w:shd w:val="clear" w:color="auto" w:fill="auto"/>
            <w:vAlign w:val="bottom"/>
          </w:tcPr>
          <w:p w14:paraId="679A4AC9" w14:textId="77777777" w:rsidR="002227E6" w:rsidRPr="00D470FC" w:rsidRDefault="002227E6" w:rsidP="00CD06B1">
            <w:pPr>
              <w:spacing w:before="80" w:after="80" w:line="200" w:lineRule="exact"/>
              <w:rPr>
                <w:i/>
                <w:sz w:val="16"/>
                <w:szCs w:val="16"/>
              </w:rPr>
            </w:pPr>
            <w:r w:rsidRPr="00D470FC">
              <w:rPr>
                <w:i/>
                <w:iCs/>
                <w:sz w:val="16"/>
                <w:szCs w:val="16"/>
              </w:rPr>
              <w:t>Comments</w:t>
            </w:r>
          </w:p>
        </w:tc>
      </w:tr>
      <w:tr w:rsidR="002F50B0" w:rsidRPr="00D470FC" w14:paraId="14B7EB84" w14:textId="77777777" w:rsidTr="002F50B0">
        <w:trPr>
          <w:trHeight w:hRule="exact" w:val="113"/>
        </w:trPr>
        <w:tc>
          <w:tcPr>
            <w:tcW w:w="426" w:type="dxa"/>
            <w:tcBorders>
              <w:top w:val="single" w:sz="12" w:space="0" w:color="auto"/>
            </w:tcBorders>
            <w:shd w:val="clear" w:color="auto" w:fill="auto"/>
          </w:tcPr>
          <w:p w14:paraId="522EF248" w14:textId="77777777" w:rsidR="002227E6" w:rsidRPr="00D470FC" w:rsidRDefault="002227E6" w:rsidP="00CD06B1">
            <w:pPr>
              <w:spacing w:before="40" w:after="120"/>
              <w:rPr>
                <w:szCs w:val="16"/>
              </w:rPr>
            </w:pPr>
          </w:p>
        </w:tc>
        <w:tc>
          <w:tcPr>
            <w:tcW w:w="992" w:type="dxa"/>
            <w:tcBorders>
              <w:top w:val="single" w:sz="12" w:space="0" w:color="auto"/>
            </w:tcBorders>
            <w:shd w:val="clear" w:color="auto" w:fill="auto"/>
          </w:tcPr>
          <w:p w14:paraId="6E1197BC" w14:textId="77777777" w:rsidR="002227E6" w:rsidRPr="00D470FC" w:rsidRDefault="002227E6" w:rsidP="00CD06B1">
            <w:pPr>
              <w:spacing w:before="40" w:after="120"/>
              <w:rPr>
                <w:szCs w:val="16"/>
              </w:rPr>
            </w:pPr>
          </w:p>
        </w:tc>
        <w:tc>
          <w:tcPr>
            <w:tcW w:w="934" w:type="dxa"/>
            <w:tcBorders>
              <w:top w:val="single" w:sz="12" w:space="0" w:color="auto"/>
            </w:tcBorders>
            <w:shd w:val="clear" w:color="auto" w:fill="auto"/>
          </w:tcPr>
          <w:p w14:paraId="33F6F07F" w14:textId="77777777" w:rsidR="002227E6" w:rsidRPr="00D470FC" w:rsidRDefault="002227E6" w:rsidP="00CD06B1">
            <w:pPr>
              <w:spacing w:before="40" w:after="120"/>
              <w:rPr>
                <w:szCs w:val="16"/>
              </w:rPr>
            </w:pPr>
          </w:p>
        </w:tc>
        <w:tc>
          <w:tcPr>
            <w:tcW w:w="1476" w:type="dxa"/>
            <w:tcBorders>
              <w:top w:val="single" w:sz="12" w:space="0" w:color="auto"/>
            </w:tcBorders>
            <w:shd w:val="clear" w:color="auto" w:fill="auto"/>
          </w:tcPr>
          <w:p w14:paraId="237512E0" w14:textId="77777777" w:rsidR="002227E6" w:rsidRPr="00D470FC" w:rsidRDefault="002227E6" w:rsidP="00CD06B1">
            <w:pPr>
              <w:spacing w:before="40" w:after="120"/>
              <w:rPr>
                <w:szCs w:val="16"/>
              </w:rPr>
            </w:pPr>
          </w:p>
        </w:tc>
        <w:tc>
          <w:tcPr>
            <w:tcW w:w="1559" w:type="dxa"/>
            <w:tcBorders>
              <w:top w:val="single" w:sz="12" w:space="0" w:color="auto"/>
            </w:tcBorders>
            <w:shd w:val="clear" w:color="auto" w:fill="auto"/>
          </w:tcPr>
          <w:p w14:paraId="5D61F3F0" w14:textId="77777777" w:rsidR="002227E6" w:rsidRPr="00D470FC" w:rsidRDefault="002227E6" w:rsidP="00CD06B1">
            <w:pPr>
              <w:spacing w:before="40" w:after="120"/>
              <w:rPr>
                <w:szCs w:val="16"/>
              </w:rPr>
            </w:pPr>
          </w:p>
        </w:tc>
        <w:tc>
          <w:tcPr>
            <w:tcW w:w="992" w:type="dxa"/>
            <w:tcBorders>
              <w:top w:val="single" w:sz="12" w:space="0" w:color="auto"/>
            </w:tcBorders>
            <w:shd w:val="clear" w:color="auto" w:fill="auto"/>
          </w:tcPr>
          <w:p w14:paraId="11D832DB" w14:textId="77777777" w:rsidR="002227E6" w:rsidRPr="00D470FC" w:rsidRDefault="002227E6" w:rsidP="00CD06B1">
            <w:pPr>
              <w:spacing w:before="40" w:after="120"/>
              <w:rPr>
                <w:szCs w:val="16"/>
              </w:rPr>
            </w:pPr>
          </w:p>
        </w:tc>
        <w:tc>
          <w:tcPr>
            <w:tcW w:w="1418" w:type="dxa"/>
            <w:tcBorders>
              <w:top w:val="single" w:sz="12" w:space="0" w:color="auto"/>
            </w:tcBorders>
            <w:shd w:val="clear" w:color="auto" w:fill="auto"/>
          </w:tcPr>
          <w:p w14:paraId="2E23A7EB" w14:textId="77777777" w:rsidR="002227E6" w:rsidRPr="00D470FC" w:rsidRDefault="002227E6" w:rsidP="00CD06B1">
            <w:pPr>
              <w:spacing w:before="40" w:after="120"/>
              <w:rPr>
                <w:szCs w:val="16"/>
              </w:rPr>
            </w:pPr>
          </w:p>
        </w:tc>
        <w:tc>
          <w:tcPr>
            <w:tcW w:w="992" w:type="dxa"/>
            <w:tcBorders>
              <w:top w:val="single" w:sz="12" w:space="0" w:color="auto"/>
            </w:tcBorders>
            <w:shd w:val="clear" w:color="auto" w:fill="auto"/>
          </w:tcPr>
          <w:p w14:paraId="28EDAA3B" w14:textId="77777777" w:rsidR="002227E6" w:rsidRPr="00D470FC" w:rsidRDefault="002227E6" w:rsidP="00CD06B1">
            <w:pPr>
              <w:spacing w:before="40" w:after="120"/>
              <w:rPr>
                <w:szCs w:val="16"/>
              </w:rPr>
            </w:pPr>
          </w:p>
        </w:tc>
        <w:tc>
          <w:tcPr>
            <w:tcW w:w="848" w:type="dxa"/>
            <w:tcBorders>
              <w:top w:val="single" w:sz="12" w:space="0" w:color="auto"/>
            </w:tcBorders>
            <w:shd w:val="clear" w:color="auto" w:fill="auto"/>
          </w:tcPr>
          <w:p w14:paraId="40A85454" w14:textId="77777777" w:rsidR="002227E6" w:rsidRPr="00D470FC" w:rsidRDefault="002227E6" w:rsidP="00CD06B1">
            <w:pPr>
              <w:spacing w:before="40" w:after="120"/>
              <w:rPr>
                <w:szCs w:val="16"/>
              </w:rPr>
            </w:pPr>
          </w:p>
        </w:tc>
      </w:tr>
      <w:tr w:rsidR="002F50B0" w:rsidRPr="00D470FC" w14:paraId="04219A4D" w14:textId="77777777" w:rsidTr="002F50B0">
        <w:trPr>
          <w:trHeight w:val="240"/>
        </w:trPr>
        <w:tc>
          <w:tcPr>
            <w:tcW w:w="426" w:type="dxa"/>
            <w:shd w:val="clear" w:color="auto" w:fill="auto"/>
          </w:tcPr>
          <w:p w14:paraId="6ED2E7FD" w14:textId="77777777" w:rsidR="002227E6" w:rsidRPr="00D470FC" w:rsidRDefault="002227E6" w:rsidP="00CD06B1">
            <w:pPr>
              <w:spacing w:before="40" w:after="120"/>
              <w:rPr>
                <w:szCs w:val="16"/>
              </w:rPr>
            </w:pPr>
            <w:r w:rsidRPr="00D470FC">
              <w:t>1.</w:t>
            </w:r>
          </w:p>
        </w:tc>
        <w:tc>
          <w:tcPr>
            <w:tcW w:w="992" w:type="dxa"/>
            <w:shd w:val="clear" w:color="auto" w:fill="auto"/>
          </w:tcPr>
          <w:p w14:paraId="2C1AC83A" w14:textId="77777777" w:rsidR="002227E6" w:rsidRPr="00D470FC" w:rsidRDefault="002227E6" w:rsidP="00CD06B1">
            <w:pPr>
              <w:spacing w:before="40" w:after="120"/>
              <w:rPr>
                <w:szCs w:val="16"/>
              </w:rPr>
            </w:pPr>
            <w:r w:rsidRPr="00D470FC">
              <w:t>Carla Suarez</w:t>
            </w:r>
          </w:p>
        </w:tc>
        <w:tc>
          <w:tcPr>
            <w:tcW w:w="934" w:type="dxa"/>
            <w:shd w:val="clear" w:color="auto" w:fill="auto"/>
          </w:tcPr>
          <w:p w14:paraId="1A802187" w14:textId="77777777" w:rsidR="002227E6" w:rsidRPr="00D470FC" w:rsidRDefault="002227E6" w:rsidP="00CD06B1">
            <w:pPr>
              <w:spacing w:before="40" w:after="120"/>
              <w:rPr>
                <w:szCs w:val="16"/>
              </w:rPr>
            </w:pPr>
            <w:r w:rsidRPr="00D470FC">
              <w:t>24 March 2016</w:t>
            </w:r>
          </w:p>
        </w:tc>
        <w:tc>
          <w:tcPr>
            <w:tcW w:w="1476" w:type="dxa"/>
            <w:shd w:val="clear" w:color="auto" w:fill="auto"/>
          </w:tcPr>
          <w:p w14:paraId="40930452" w14:textId="77777777" w:rsidR="002227E6" w:rsidRPr="00D470FC" w:rsidRDefault="002227E6" w:rsidP="00CD06B1">
            <w:pPr>
              <w:spacing w:before="40" w:after="120"/>
              <w:rPr>
                <w:szCs w:val="16"/>
              </w:rPr>
            </w:pPr>
            <w:r w:rsidRPr="00D470FC">
              <w:t>Transgender woman tortured on the bank of Buena Vista lake</w:t>
            </w:r>
          </w:p>
        </w:tc>
        <w:tc>
          <w:tcPr>
            <w:tcW w:w="1559" w:type="dxa"/>
            <w:shd w:val="clear" w:color="auto" w:fill="auto"/>
          </w:tcPr>
          <w:p w14:paraId="6319942E" w14:textId="77777777" w:rsidR="002227E6" w:rsidRPr="00D470FC" w:rsidRDefault="002227E6" w:rsidP="00CD06B1">
            <w:pPr>
              <w:spacing w:before="40" w:after="120"/>
              <w:rPr>
                <w:szCs w:val="16"/>
              </w:rPr>
            </w:pPr>
            <w:r w:rsidRPr="00D470FC">
              <w:t>Case No. 122/2016</w:t>
            </w:r>
          </w:p>
          <w:p w14:paraId="6756931B" w14:textId="77777777" w:rsidR="002227E6" w:rsidRPr="00D470FC" w:rsidRDefault="002227E6" w:rsidP="00CD06B1">
            <w:pPr>
              <w:spacing w:before="40" w:after="120"/>
              <w:rPr>
                <w:szCs w:val="16"/>
              </w:rPr>
            </w:pPr>
            <w:r w:rsidRPr="00D470FC">
              <w:t>FELCC</w:t>
            </w:r>
          </w:p>
          <w:p w14:paraId="7F56704F" w14:textId="77777777" w:rsidR="002227E6" w:rsidRPr="00D470FC" w:rsidRDefault="002227E6" w:rsidP="00CD06B1">
            <w:pPr>
              <w:spacing w:before="40" w:after="120"/>
              <w:rPr>
                <w:szCs w:val="16"/>
              </w:rPr>
            </w:pPr>
            <w:r w:rsidRPr="00D470FC">
              <w:t>Prov. Ichilo</w:t>
            </w:r>
          </w:p>
        </w:tc>
        <w:tc>
          <w:tcPr>
            <w:tcW w:w="992" w:type="dxa"/>
            <w:shd w:val="clear" w:color="auto" w:fill="auto"/>
          </w:tcPr>
          <w:p w14:paraId="321F906B" w14:textId="77777777" w:rsidR="002227E6" w:rsidRPr="00D470FC" w:rsidRDefault="002227E6" w:rsidP="00CD06B1">
            <w:pPr>
              <w:spacing w:before="40" w:after="120"/>
              <w:rPr>
                <w:szCs w:val="16"/>
              </w:rPr>
            </w:pPr>
            <w:r w:rsidRPr="00D470FC">
              <w:t>Homicide, art. 251</w:t>
            </w:r>
          </w:p>
        </w:tc>
        <w:tc>
          <w:tcPr>
            <w:tcW w:w="1418" w:type="dxa"/>
            <w:shd w:val="clear" w:color="auto" w:fill="auto"/>
          </w:tcPr>
          <w:p w14:paraId="7FF42D50" w14:textId="3FDF8219" w:rsidR="002227E6" w:rsidRPr="00D470FC" w:rsidRDefault="002227E6" w:rsidP="00CD06B1">
            <w:pPr>
              <w:spacing w:before="40" w:after="120"/>
              <w:rPr>
                <w:szCs w:val="16"/>
              </w:rPr>
            </w:pPr>
            <w:r w:rsidRPr="00D470FC">
              <w:t>Dismissal order</w:t>
            </w:r>
          </w:p>
        </w:tc>
        <w:tc>
          <w:tcPr>
            <w:tcW w:w="992" w:type="dxa"/>
            <w:shd w:val="clear" w:color="auto" w:fill="auto"/>
          </w:tcPr>
          <w:p w14:paraId="557B4B19" w14:textId="64F6D6AA" w:rsidR="002227E6" w:rsidRPr="00D470FC" w:rsidRDefault="002227E6" w:rsidP="00CD06B1">
            <w:pPr>
              <w:spacing w:before="40" w:after="120"/>
              <w:rPr>
                <w:szCs w:val="16"/>
              </w:rPr>
            </w:pPr>
            <w:r w:rsidRPr="00D470FC">
              <w:t>Dismissed</w:t>
            </w:r>
          </w:p>
        </w:tc>
        <w:tc>
          <w:tcPr>
            <w:tcW w:w="848" w:type="dxa"/>
            <w:shd w:val="clear" w:color="auto" w:fill="auto"/>
          </w:tcPr>
          <w:p w14:paraId="75FCF3CB" w14:textId="77777777" w:rsidR="002227E6" w:rsidRPr="00D470FC" w:rsidRDefault="002227E6" w:rsidP="00CD06B1">
            <w:pPr>
              <w:spacing w:before="40" w:after="120"/>
              <w:rPr>
                <w:szCs w:val="16"/>
              </w:rPr>
            </w:pPr>
          </w:p>
        </w:tc>
      </w:tr>
      <w:tr w:rsidR="002F50B0" w:rsidRPr="00D470FC" w14:paraId="626C2F75" w14:textId="77777777" w:rsidTr="002F50B0">
        <w:trPr>
          <w:trHeight w:val="240"/>
        </w:trPr>
        <w:tc>
          <w:tcPr>
            <w:tcW w:w="426" w:type="dxa"/>
            <w:shd w:val="clear" w:color="auto" w:fill="auto"/>
          </w:tcPr>
          <w:p w14:paraId="182930A6" w14:textId="77777777" w:rsidR="002227E6" w:rsidRPr="00D470FC" w:rsidRDefault="002227E6" w:rsidP="00CD06B1">
            <w:pPr>
              <w:spacing w:before="40" w:after="120"/>
              <w:rPr>
                <w:szCs w:val="16"/>
              </w:rPr>
            </w:pPr>
            <w:r w:rsidRPr="00D470FC">
              <w:t>2.</w:t>
            </w:r>
          </w:p>
        </w:tc>
        <w:tc>
          <w:tcPr>
            <w:tcW w:w="992" w:type="dxa"/>
            <w:shd w:val="clear" w:color="auto" w:fill="auto"/>
          </w:tcPr>
          <w:p w14:paraId="7F3C1E60" w14:textId="77777777" w:rsidR="002227E6" w:rsidRPr="00D470FC" w:rsidRDefault="002227E6" w:rsidP="00CD06B1">
            <w:pPr>
              <w:spacing w:before="40" w:after="120"/>
              <w:rPr>
                <w:szCs w:val="16"/>
              </w:rPr>
            </w:pPr>
            <w:r w:rsidRPr="00D470FC">
              <w:t>Dayana Zarate</w:t>
            </w:r>
          </w:p>
        </w:tc>
        <w:tc>
          <w:tcPr>
            <w:tcW w:w="934" w:type="dxa"/>
            <w:shd w:val="clear" w:color="auto" w:fill="auto"/>
          </w:tcPr>
          <w:p w14:paraId="4066536B" w14:textId="77777777" w:rsidR="002227E6" w:rsidRPr="00D470FC" w:rsidRDefault="002227E6" w:rsidP="00CD06B1">
            <w:pPr>
              <w:spacing w:before="40" w:after="120"/>
              <w:rPr>
                <w:szCs w:val="16"/>
              </w:rPr>
            </w:pPr>
            <w:r w:rsidRPr="00D470FC">
              <w:t>1 April 2016</w:t>
            </w:r>
          </w:p>
        </w:tc>
        <w:tc>
          <w:tcPr>
            <w:tcW w:w="1476" w:type="dxa"/>
            <w:shd w:val="clear" w:color="auto" w:fill="auto"/>
          </w:tcPr>
          <w:p w14:paraId="309B042B" w14:textId="77777777" w:rsidR="002227E6" w:rsidRPr="00D470FC" w:rsidRDefault="002227E6" w:rsidP="00CD06B1">
            <w:pPr>
              <w:spacing w:before="40" w:after="120"/>
              <w:rPr>
                <w:szCs w:val="16"/>
              </w:rPr>
            </w:pPr>
            <w:r w:rsidRPr="00D470FC">
              <w:t>Transgender woman found dead in a nightclub with hands and feet bound</w:t>
            </w:r>
          </w:p>
        </w:tc>
        <w:tc>
          <w:tcPr>
            <w:tcW w:w="1559" w:type="dxa"/>
            <w:shd w:val="clear" w:color="auto" w:fill="auto"/>
          </w:tcPr>
          <w:p w14:paraId="45FBA65C" w14:textId="77777777" w:rsidR="002227E6" w:rsidRPr="00D470FC" w:rsidRDefault="002227E6" w:rsidP="00CD06B1">
            <w:pPr>
              <w:spacing w:before="40" w:after="120"/>
              <w:rPr>
                <w:szCs w:val="16"/>
              </w:rPr>
            </w:pPr>
            <w:r w:rsidRPr="00D470FC">
              <w:t>FISSCZ1602422</w:t>
            </w:r>
          </w:p>
        </w:tc>
        <w:tc>
          <w:tcPr>
            <w:tcW w:w="992" w:type="dxa"/>
            <w:shd w:val="clear" w:color="auto" w:fill="auto"/>
          </w:tcPr>
          <w:p w14:paraId="6229EEDD" w14:textId="77777777" w:rsidR="002227E6" w:rsidRPr="00D470FC" w:rsidRDefault="002227E6" w:rsidP="00CD06B1">
            <w:pPr>
              <w:spacing w:before="40" w:after="120"/>
              <w:rPr>
                <w:szCs w:val="16"/>
              </w:rPr>
            </w:pPr>
            <w:r w:rsidRPr="00D470FC">
              <w:t>Murder, art. 252</w:t>
            </w:r>
          </w:p>
        </w:tc>
        <w:tc>
          <w:tcPr>
            <w:tcW w:w="1418" w:type="dxa"/>
            <w:shd w:val="clear" w:color="auto" w:fill="auto"/>
          </w:tcPr>
          <w:p w14:paraId="7DBD6D26" w14:textId="77777777" w:rsidR="002227E6" w:rsidRPr="00D470FC" w:rsidRDefault="002227E6" w:rsidP="00CD06B1">
            <w:pPr>
              <w:spacing w:before="40" w:after="120"/>
              <w:rPr>
                <w:szCs w:val="16"/>
              </w:rPr>
            </w:pPr>
            <w:r w:rsidRPr="00D470FC">
              <w:t>30-year prison sentence without right to pardon</w:t>
            </w:r>
          </w:p>
        </w:tc>
        <w:tc>
          <w:tcPr>
            <w:tcW w:w="992" w:type="dxa"/>
            <w:shd w:val="clear" w:color="auto" w:fill="auto"/>
          </w:tcPr>
          <w:p w14:paraId="671134FA" w14:textId="77777777" w:rsidR="002227E6" w:rsidRPr="00D470FC" w:rsidRDefault="002227E6" w:rsidP="00CD06B1">
            <w:pPr>
              <w:spacing w:before="40" w:after="120"/>
              <w:rPr>
                <w:szCs w:val="16"/>
              </w:rPr>
            </w:pPr>
            <w:r w:rsidRPr="00D470FC">
              <w:t>Sentence enforced</w:t>
            </w:r>
          </w:p>
        </w:tc>
        <w:tc>
          <w:tcPr>
            <w:tcW w:w="848" w:type="dxa"/>
            <w:shd w:val="clear" w:color="auto" w:fill="auto"/>
          </w:tcPr>
          <w:p w14:paraId="1A2A437F" w14:textId="77777777" w:rsidR="002227E6" w:rsidRPr="00D470FC" w:rsidRDefault="002227E6" w:rsidP="00CD06B1">
            <w:pPr>
              <w:spacing w:before="40" w:after="120"/>
              <w:rPr>
                <w:szCs w:val="16"/>
              </w:rPr>
            </w:pPr>
          </w:p>
        </w:tc>
      </w:tr>
      <w:tr w:rsidR="002F50B0" w:rsidRPr="00D470FC" w14:paraId="11789356" w14:textId="77777777" w:rsidTr="002F50B0">
        <w:trPr>
          <w:trHeight w:val="240"/>
        </w:trPr>
        <w:tc>
          <w:tcPr>
            <w:tcW w:w="426" w:type="dxa"/>
            <w:tcBorders>
              <w:bottom w:val="single" w:sz="12" w:space="0" w:color="auto"/>
            </w:tcBorders>
            <w:shd w:val="clear" w:color="auto" w:fill="auto"/>
          </w:tcPr>
          <w:p w14:paraId="6B6590EA" w14:textId="77777777" w:rsidR="002227E6" w:rsidRPr="00D470FC" w:rsidRDefault="002227E6" w:rsidP="00CD06B1">
            <w:pPr>
              <w:spacing w:before="40" w:after="120"/>
              <w:rPr>
                <w:szCs w:val="16"/>
              </w:rPr>
            </w:pPr>
            <w:r w:rsidRPr="00D470FC">
              <w:t>3.</w:t>
            </w:r>
          </w:p>
        </w:tc>
        <w:tc>
          <w:tcPr>
            <w:tcW w:w="992" w:type="dxa"/>
            <w:tcBorders>
              <w:bottom w:val="single" w:sz="12" w:space="0" w:color="auto"/>
            </w:tcBorders>
            <w:shd w:val="clear" w:color="auto" w:fill="auto"/>
          </w:tcPr>
          <w:p w14:paraId="3275530D" w14:textId="77777777" w:rsidR="002227E6" w:rsidRPr="00D470FC" w:rsidRDefault="002227E6" w:rsidP="00CD06B1">
            <w:pPr>
              <w:spacing w:before="40" w:after="120"/>
              <w:rPr>
                <w:szCs w:val="16"/>
              </w:rPr>
            </w:pPr>
            <w:r w:rsidRPr="00D470FC">
              <w:t>Luisa Durán</w:t>
            </w:r>
          </w:p>
        </w:tc>
        <w:tc>
          <w:tcPr>
            <w:tcW w:w="934" w:type="dxa"/>
            <w:tcBorders>
              <w:bottom w:val="single" w:sz="12" w:space="0" w:color="auto"/>
            </w:tcBorders>
            <w:shd w:val="clear" w:color="auto" w:fill="auto"/>
          </w:tcPr>
          <w:p w14:paraId="59FFDEE1" w14:textId="77777777" w:rsidR="002227E6" w:rsidRPr="00D470FC" w:rsidRDefault="002227E6" w:rsidP="00CD06B1">
            <w:pPr>
              <w:spacing w:before="40" w:after="120"/>
              <w:rPr>
                <w:szCs w:val="16"/>
              </w:rPr>
            </w:pPr>
            <w:r w:rsidRPr="00D470FC">
              <w:t>6 October 2012</w:t>
            </w:r>
          </w:p>
        </w:tc>
        <w:tc>
          <w:tcPr>
            <w:tcW w:w="1476" w:type="dxa"/>
            <w:tcBorders>
              <w:bottom w:val="single" w:sz="12" w:space="0" w:color="auto"/>
            </w:tcBorders>
            <w:shd w:val="clear" w:color="auto" w:fill="auto"/>
          </w:tcPr>
          <w:p w14:paraId="481650AE" w14:textId="77777777" w:rsidR="002227E6" w:rsidRPr="00D470FC" w:rsidRDefault="002227E6" w:rsidP="00CD06B1">
            <w:pPr>
              <w:spacing w:before="40" w:after="120"/>
              <w:rPr>
                <w:szCs w:val="16"/>
              </w:rPr>
            </w:pPr>
            <w:r w:rsidRPr="00D470FC">
              <w:t>Transgender woman stabbed 52 times</w:t>
            </w:r>
          </w:p>
        </w:tc>
        <w:tc>
          <w:tcPr>
            <w:tcW w:w="1559" w:type="dxa"/>
            <w:tcBorders>
              <w:bottom w:val="single" w:sz="12" w:space="0" w:color="auto"/>
            </w:tcBorders>
            <w:shd w:val="clear" w:color="auto" w:fill="auto"/>
          </w:tcPr>
          <w:p w14:paraId="1B21EF1E" w14:textId="77777777" w:rsidR="002227E6" w:rsidRPr="00D470FC" w:rsidRDefault="002227E6" w:rsidP="00CD06B1">
            <w:pPr>
              <w:spacing w:before="40" w:after="120"/>
              <w:rPr>
                <w:szCs w:val="16"/>
              </w:rPr>
            </w:pPr>
            <w:r w:rsidRPr="00D470FC">
              <w:t>SCZ TUS1200001</w:t>
            </w:r>
          </w:p>
        </w:tc>
        <w:tc>
          <w:tcPr>
            <w:tcW w:w="992" w:type="dxa"/>
            <w:tcBorders>
              <w:bottom w:val="single" w:sz="12" w:space="0" w:color="auto"/>
            </w:tcBorders>
            <w:shd w:val="clear" w:color="auto" w:fill="auto"/>
          </w:tcPr>
          <w:p w14:paraId="7FDF0572" w14:textId="77777777" w:rsidR="002227E6" w:rsidRPr="00D470FC" w:rsidRDefault="002227E6" w:rsidP="00CD06B1">
            <w:pPr>
              <w:spacing w:before="40" w:after="120"/>
              <w:rPr>
                <w:szCs w:val="16"/>
              </w:rPr>
            </w:pPr>
            <w:r w:rsidRPr="00D470FC">
              <w:t>Murder, art. 252</w:t>
            </w:r>
          </w:p>
        </w:tc>
        <w:tc>
          <w:tcPr>
            <w:tcW w:w="1418" w:type="dxa"/>
            <w:tcBorders>
              <w:bottom w:val="single" w:sz="12" w:space="0" w:color="auto"/>
            </w:tcBorders>
            <w:shd w:val="clear" w:color="auto" w:fill="auto"/>
          </w:tcPr>
          <w:p w14:paraId="29E0E56B" w14:textId="77777777" w:rsidR="002227E6" w:rsidRPr="00D470FC" w:rsidRDefault="002227E6" w:rsidP="00CD06B1">
            <w:pPr>
              <w:spacing w:before="40" w:after="120"/>
              <w:rPr>
                <w:szCs w:val="16"/>
              </w:rPr>
            </w:pPr>
            <w:r w:rsidRPr="00D470FC">
              <w:t>Dismissal order</w:t>
            </w:r>
          </w:p>
        </w:tc>
        <w:tc>
          <w:tcPr>
            <w:tcW w:w="992" w:type="dxa"/>
            <w:tcBorders>
              <w:bottom w:val="single" w:sz="12" w:space="0" w:color="auto"/>
            </w:tcBorders>
            <w:shd w:val="clear" w:color="auto" w:fill="auto"/>
          </w:tcPr>
          <w:p w14:paraId="33CE0F37" w14:textId="77777777" w:rsidR="002227E6" w:rsidRPr="00D470FC" w:rsidRDefault="002227E6" w:rsidP="00CD06B1">
            <w:pPr>
              <w:spacing w:before="40" w:after="120"/>
              <w:rPr>
                <w:szCs w:val="16"/>
              </w:rPr>
            </w:pPr>
            <w:r w:rsidRPr="00D470FC">
              <w:t>Dismissed</w:t>
            </w:r>
          </w:p>
        </w:tc>
        <w:tc>
          <w:tcPr>
            <w:tcW w:w="848" w:type="dxa"/>
            <w:tcBorders>
              <w:bottom w:val="single" w:sz="12" w:space="0" w:color="auto"/>
            </w:tcBorders>
            <w:shd w:val="clear" w:color="auto" w:fill="auto"/>
          </w:tcPr>
          <w:p w14:paraId="032A868D" w14:textId="77777777" w:rsidR="002227E6" w:rsidRPr="00D470FC" w:rsidRDefault="002227E6" w:rsidP="00CD06B1">
            <w:pPr>
              <w:spacing w:before="40" w:after="120"/>
              <w:rPr>
                <w:szCs w:val="16"/>
              </w:rPr>
            </w:pPr>
          </w:p>
        </w:tc>
      </w:tr>
    </w:tbl>
    <w:p w14:paraId="59B901FD" w14:textId="08A774C6" w:rsidR="002227E6" w:rsidRPr="00D470FC" w:rsidRDefault="002227E6" w:rsidP="002227E6">
      <w:pPr>
        <w:pStyle w:val="H23G"/>
      </w:pPr>
      <w:r w:rsidRPr="00D470FC">
        <w:tab/>
      </w:r>
      <w:r w:rsidR="004D46FC">
        <w:tab/>
      </w:r>
      <w:r w:rsidRPr="00D470FC">
        <w:rPr>
          <w:bCs/>
        </w:rPr>
        <w:t>El Alto</w:t>
      </w:r>
    </w:p>
    <w:tbl>
      <w:tblPr>
        <w:tblW w:w="9637" w:type="dxa"/>
        <w:tblBorders>
          <w:top w:val="single" w:sz="4" w:space="0" w:color="auto"/>
        </w:tblBorders>
        <w:tblLayout w:type="fixed"/>
        <w:tblCellMar>
          <w:left w:w="0" w:type="dxa"/>
          <w:right w:w="113" w:type="dxa"/>
        </w:tblCellMar>
        <w:tblLook w:val="04A0" w:firstRow="1" w:lastRow="0" w:firstColumn="1" w:lastColumn="0" w:noHBand="0" w:noVBand="1"/>
      </w:tblPr>
      <w:tblGrid>
        <w:gridCol w:w="426"/>
        <w:gridCol w:w="949"/>
        <w:gridCol w:w="977"/>
        <w:gridCol w:w="1617"/>
        <w:gridCol w:w="1418"/>
        <w:gridCol w:w="992"/>
        <w:gridCol w:w="1276"/>
        <w:gridCol w:w="1134"/>
        <w:gridCol w:w="848"/>
      </w:tblGrid>
      <w:tr w:rsidR="002227E6" w:rsidRPr="00D470FC" w14:paraId="2AA0EA7B" w14:textId="77777777" w:rsidTr="00D16077">
        <w:trPr>
          <w:trHeight w:val="240"/>
          <w:tblHeader/>
        </w:trPr>
        <w:tc>
          <w:tcPr>
            <w:tcW w:w="426" w:type="dxa"/>
            <w:tcBorders>
              <w:top w:val="single" w:sz="4" w:space="0" w:color="auto"/>
              <w:bottom w:val="single" w:sz="12" w:space="0" w:color="auto"/>
            </w:tcBorders>
            <w:shd w:val="clear" w:color="auto" w:fill="auto"/>
            <w:vAlign w:val="bottom"/>
          </w:tcPr>
          <w:p w14:paraId="298E3D26" w14:textId="77777777" w:rsidR="002227E6" w:rsidRPr="00D470FC" w:rsidRDefault="002227E6" w:rsidP="00CD06B1">
            <w:pPr>
              <w:spacing w:before="80" w:after="80" w:line="200" w:lineRule="exact"/>
              <w:rPr>
                <w:i/>
                <w:sz w:val="16"/>
                <w:szCs w:val="16"/>
              </w:rPr>
            </w:pPr>
            <w:r w:rsidRPr="00D470FC">
              <w:rPr>
                <w:sz w:val="16"/>
                <w:szCs w:val="16"/>
              </w:rPr>
              <w:t>No.</w:t>
            </w:r>
          </w:p>
        </w:tc>
        <w:tc>
          <w:tcPr>
            <w:tcW w:w="949" w:type="dxa"/>
            <w:tcBorders>
              <w:top w:val="single" w:sz="4" w:space="0" w:color="auto"/>
              <w:bottom w:val="single" w:sz="12" w:space="0" w:color="auto"/>
            </w:tcBorders>
            <w:shd w:val="clear" w:color="auto" w:fill="auto"/>
            <w:vAlign w:val="bottom"/>
          </w:tcPr>
          <w:p w14:paraId="50CCA668" w14:textId="77777777" w:rsidR="002227E6" w:rsidRPr="00D470FC" w:rsidRDefault="002227E6" w:rsidP="00CD06B1">
            <w:pPr>
              <w:spacing w:before="80" w:after="80" w:line="200" w:lineRule="exact"/>
              <w:rPr>
                <w:i/>
                <w:sz w:val="16"/>
                <w:szCs w:val="16"/>
              </w:rPr>
            </w:pPr>
            <w:r w:rsidRPr="00D470FC">
              <w:rPr>
                <w:i/>
                <w:iCs/>
                <w:sz w:val="16"/>
                <w:szCs w:val="16"/>
              </w:rPr>
              <w:t>Victim</w:t>
            </w:r>
            <w:r w:rsidRPr="00D470FC">
              <w:rPr>
                <w:sz w:val="16"/>
                <w:szCs w:val="16"/>
              </w:rPr>
              <w:t xml:space="preserve"> </w:t>
            </w:r>
          </w:p>
        </w:tc>
        <w:tc>
          <w:tcPr>
            <w:tcW w:w="977" w:type="dxa"/>
            <w:tcBorders>
              <w:top w:val="single" w:sz="4" w:space="0" w:color="auto"/>
              <w:bottom w:val="single" w:sz="12" w:space="0" w:color="auto"/>
            </w:tcBorders>
            <w:shd w:val="clear" w:color="auto" w:fill="auto"/>
            <w:vAlign w:val="bottom"/>
          </w:tcPr>
          <w:p w14:paraId="5618C82F" w14:textId="77777777" w:rsidR="002227E6" w:rsidRPr="00D470FC" w:rsidRDefault="002227E6" w:rsidP="00CD06B1">
            <w:pPr>
              <w:spacing w:before="80" w:after="80" w:line="200" w:lineRule="exact"/>
              <w:rPr>
                <w:i/>
                <w:sz w:val="16"/>
                <w:szCs w:val="16"/>
              </w:rPr>
            </w:pPr>
            <w:r w:rsidRPr="00D470FC">
              <w:rPr>
                <w:i/>
                <w:iCs/>
                <w:sz w:val="16"/>
                <w:szCs w:val="16"/>
              </w:rPr>
              <w:t>Date</w:t>
            </w:r>
            <w:r w:rsidRPr="00D470FC">
              <w:rPr>
                <w:sz w:val="16"/>
                <w:szCs w:val="16"/>
              </w:rPr>
              <w:t xml:space="preserve"> </w:t>
            </w:r>
          </w:p>
        </w:tc>
        <w:tc>
          <w:tcPr>
            <w:tcW w:w="1617" w:type="dxa"/>
            <w:tcBorders>
              <w:top w:val="single" w:sz="4" w:space="0" w:color="auto"/>
              <w:bottom w:val="single" w:sz="12" w:space="0" w:color="auto"/>
            </w:tcBorders>
            <w:shd w:val="clear" w:color="auto" w:fill="auto"/>
            <w:vAlign w:val="bottom"/>
          </w:tcPr>
          <w:p w14:paraId="0FC49C34" w14:textId="77777777" w:rsidR="002227E6" w:rsidRPr="00D470FC" w:rsidRDefault="002227E6" w:rsidP="00CD06B1">
            <w:pPr>
              <w:spacing w:before="80" w:after="80" w:line="200" w:lineRule="exact"/>
              <w:rPr>
                <w:i/>
                <w:sz w:val="16"/>
                <w:szCs w:val="16"/>
              </w:rPr>
            </w:pPr>
            <w:r w:rsidRPr="00D470FC">
              <w:rPr>
                <w:i/>
                <w:iCs/>
                <w:sz w:val="16"/>
                <w:szCs w:val="16"/>
              </w:rPr>
              <w:t>Details</w:t>
            </w:r>
          </w:p>
        </w:tc>
        <w:tc>
          <w:tcPr>
            <w:tcW w:w="1418" w:type="dxa"/>
            <w:tcBorders>
              <w:top w:val="single" w:sz="4" w:space="0" w:color="auto"/>
              <w:bottom w:val="single" w:sz="12" w:space="0" w:color="auto"/>
            </w:tcBorders>
            <w:shd w:val="clear" w:color="auto" w:fill="auto"/>
            <w:vAlign w:val="bottom"/>
          </w:tcPr>
          <w:p w14:paraId="04A9244D" w14:textId="77777777" w:rsidR="002227E6" w:rsidRPr="00D470FC" w:rsidRDefault="002227E6" w:rsidP="00CD06B1">
            <w:pPr>
              <w:spacing w:before="80" w:after="80" w:line="200" w:lineRule="exact"/>
              <w:rPr>
                <w:i/>
                <w:sz w:val="16"/>
                <w:szCs w:val="16"/>
              </w:rPr>
            </w:pPr>
            <w:r w:rsidRPr="00D470FC">
              <w:rPr>
                <w:i/>
                <w:iCs/>
                <w:sz w:val="16"/>
                <w:szCs w:val="16"/>
              </w:rPr>
              <w:t>Case No.</w:t>
            </w:r>
          </w:p>
        </w:tc>
        <w:tc>
          <w:tcPr>
            <w:tcW w:w="992" w:type="dxa"/>
            <w:tcBorders>
              <w:top w:val="single" w:sz="4" w:space="0" w:color="auto"/>
              <w:bottom w:val="single" w:sz="12" w:space="0" w:color="auto"/>
            </w:tcBorders>
            <w:shd w:val="clear" w:color="auto" w:fill="auto"/>
            <w:vAlign w:val="bottom"/>
          </w:tcPr>
          <w:p w14:paraId="67E2544B" w14:textId="77777777" w:rsidR="002227E6" w:rsidRPr="00D470FC" w:rsidRDefault="002227E6" w:rsidP="00CD06B1">
            <w:pPr>
              <w:spacing w:before="80" w:after="80" w:line="200" w:lineRule="exact"/>
              <w:rPr>
                <w:i/>
                <w:sz w:val="16"/>
                <w:szCs w:val="16"/>
              </w:rPr>
            </w:pPr>
            <w:r w:rsidRPr="00D470FC">
              <w:rPr>
                <w:i/>
                <w:iCs/>
                <w:sz w:val="16"/>
                <w:szCs w:val="16"/>
              </w:rPr>
              <w:t>Offence</w:t>
            </w:r>
          </w:p>
        </w:tc>
        <w:tc>
          <w:tcPr>
            <w:tcW w:w="1276" w:type="dxa"/>
            <w:tcBorders>
              <w:top w:val="single" w:sz="4" w:space="0" w:color="auto"/>
              <w:bottom w:val="single" w:sz="12" w:space="0" w:color="auto"/>
            </w:tcBorders>
            <w:shd w:val="clear" w:color="auto" w:fill="auto"/>
            <w:vAlign w:val="bottom"/>
          </w:tcPr>
          <w:p w14:paraId="70C8B588" w14:textId="77777777" w:rsidR="002227E6" w:rsidRPr="00D470FC" w:rsidRDefault="002227E6" w:rsidP="00CD06B1">
            <w:pPr>
              <w:spacing w:before="80" w:after="80" w:line="200" w:lineRule="exact"/>
              <w:rPr>
                <w:i/>
                <w:sz w:val="16"/>
                <w:szCs w:val="16"/>
              </w:rPr>
            </w:pPr>
            <w:r w:rsidRPr="00D470FC">
              <w:rPr>
                <w:i/>
                <w:iCs/>
                <w:sz w:val="16"/>
                <w:szCs w:val="16"/>
              </w:rPr>
              <w:t>Stage</w:t>
            </w:r>
          </w:p>
        </w:tc>
        <w:tc>
          <w:tcPr>
            <w:tcW w:w="1134" w:type="dxa"/>
            <w:tcBorders>
              <w:top w:val="single" w:sz="4" w:space="0" w:color="auto"/>
              <w:bottom w:val="single" w:sz="12" w:space="0" w:color="auto"/>
            </w:tcBorders>
            <w:shd w:val="clear" w:color="auto" w:fill="auto"/>
            <w:vAlign w:val="bottom"/>
          </w:tcPr>
          <w:p w14:paraId="5EE91F03" w14:textId="77777777" w:rsidR="002227E6" w:rsidRPr="00D470FC" w:rsidRDefault="002227E6" w:rsidP="00CD06B1">
            <w:pPr>
              <w:spacing w:before="80" w:after="80" w:line="200" w:lineRule="exact"/>
              <w:rPr>
                <w:i/>
                <w:sz w:val="16"/>
                <w:szCs w:val="16"/>
              </w:rPr>
            </w:pPr>
            <w:r w:rsidRPr="00D470FC">
              <w:rPr>
                <w:i/>
                <w:iCs/>
                <w:sz w:val="16"/>
                <w:szCs w:val="16"/>
              </w:rPr>
              <w:t>Status</w:t>
            </w:r>
          </w:p>
        </w:tc>
        <w:tc>
          <w:tcPr>
            <w:tcW w:w="848" w:type="dxa"/>
            <w:tcBorders>
              <w:top w:val="single" w:sz="4" w:space="0" w:color="auto"/>
              <w:bottom w:val="single" w:sz="12" w:space="0" w:color="auto"/>
            </w:tcBorders>
            <w:shd w:val="clear" w:color="auto" w:fill="auto"/>
            <w:vAlign w:val="bottom"/>
          </w:tcPr>
          <w:p w14:paraId="305792A1" w14:textId="77777777" w:rsidR="002227E6" w:rsidRPr="00D470FC" w:rsidRDefault="002227E6" w:rsidP="00CD06B1">
            <w:pPr>
              <w:spacing w:before="80" w:after="80" w:line="200" w:lineRule="exact"/>
              <w:rPr>
                <w:i/>
                <w:sz w:val="16"/>
                <w:szCs w:val="16"/>
              </w:rPr>
            </w:pPr>
            <w:r w:rsidRPr="00D470FC">
              <w:rPr>
                <w:i/>
                <w:iCs/>
                <w:sz w:val="16"/>
                <w:szCs w:val="16"/>
              </w:rPr>
              <w:t>Comments</w:t>
            </w:r>
          </w:p>
        </w:tc>
      </w:tr>
      <w:tr w:rsidR="002227E6" w:rsidRPr="00D470FC" w14:paraId="748BB166" w14:textId="77777777" w:rsidTr="00D16077">
        <w:trPr>
          <w:trHeight w:hRule="exact" w:val="113"/>
        </w:trPr>
        <w:tc>
          <w:tcPr>
            <w:tcW w:w="426" w:type="dxa"/>
            <w:tcBorders>
              <w:top w:val="single" w:sz="12" w:space="0" w:color="auto"/>
            </w:tcBorders>
            <w:shd w:val="clear" w:color="auto" w:fill="auto"/>
          </w:tcPr>
          <w:p w14:paraId="7A5028CD" w14:textId="77777777" w:rsidR="002227E6" w:rsidRPr="00D470FC" w:rsidRDefault="002227E6" w:rsidP="00CD06B1">
            <w:pPr>
              <w:spacing w:before="40" w:after="120"/>
              <w:rPr>
                <w:szCs w:val="16"/>
              </w:rPr>
            </w:pPr>
          </w:p>
        </w:tc>
        <w:tc>
          <w:tcPr>
            <w:tcW w:w="949" w:type="dxa"/>
            <w:tcBorders>
              <w:top w:val="single" w:sz="12" w:space="0" w:color="auto"/>
            </w:tcBorders>
            <w:shd w:val="clear" w:color="auto" w:fill="auto"/>
          </w:tcPr>
          <w:p w14:paraId="703A428C" w14:textId="77777777" w:rsidR="002227E6" w:rsidRPr="00D470FC" w:rsidRDefault="002227E6" w:rsidP="00CD06B1">
            <w:pPr>
              <w:spacing w:before="40" w:after="120"/>
              <w:rPr>
                <w:szCs w:val="16"/>
              </w:rPr>
            </w:pPr>
          </w:p>
        </w:tc>
        <w:tc>
          <w:tcPr>
            <w:tcW w:w="977" w:type="dxa"/>
            <w:tcBorders>
              <w:top w:val="single" w:sz="12" w:space="0" w:color="auto"/>
            </w:tcBorders>
            <w:shd w:val="clear" w:color="auto" w:fill="auto"/>
          </w:tcPr>
          <w:p w14:paraId="0617DB4A" w14:textId="77777777" w:rsidR="002227E6" w:rsidRPr="00D470FC" w:rsidRDefault="002227E6" w:rsidP="00CD06B1">
            <w:pPr>
              <w:spacing w:before="40" w:after="120"/>
              <w:rPr>
                <w:szCs w:val="16"/>
              </w:rPr>
            </w:pPr>
          </w:p>
        </w:tc>
        <w:tc>
          <w:tcPr>
            <w:tcW w:w="1617" w:type="dxa"/>
            <w:tcBorders>
              <w:top w:val="single" w:sz="12" w:space="0" w:color="auto"/>
            </w:tcBorders>
            <w:shd w:val="clear" w:color="auto" w:fill="auto"/>
          </w:tcPr>
          <w:p w14:paraId="5C44650C" w14:textId="77777777" w:rsidR="002227E6" w:rsidRPr="00D470FC" w:rsidRDefault="002227E6" w:rsidP="00CD06B1">
            <w:pPr>
              <w:spacing w:before="40" w:after="120"/>
              <w:rPr>
                <w:szCs w:val="16"/>
              </w:rPr>
            </w:pPr>
          </w:p>
        </w:tc>
        <w:tc>
          <w:tcPr>
            <w:tcW w:w="1418" w:type="dxa"/>
            <w:tcBorders>
              <w:top w:val="single" w:sz="12" w:space="0" w:color="auto"/>
            </w:tcBorders>
            <w:shd w:val="clear" w:color="auto" w:fill="auto"/>
          </w:tcPr>
          <w:p w14:paraId="46E55BEB" w14:textId="77777777" w:rsidR="002227E6" w:rsidRPr="00D470FC" w:rsidRDefault="002227E6" w:rsidP="00CD06B1">
            <w:pPr>
              <w:spacing w:before="40" w:after="120"/>
              <w:rPr>
                <w:szCs w:val="16"/>
              </w:rPr>
            </w:pPr>
          </w:p>
        </w:tc>
        <w:tc>
          <w:tcPr>
            <w:tcW w:w="992" w:type="dxa"/>
            <w:tcBorders>
              <w:top w:val="single" w:sz="12" w:space="0" w:color="auto"/>
            </w:tcBorders>
            <w:shd w:val="clear" w:color="auto" w:fill="auto"/>
          </w:tcPr>
          <w:p w14:paraId="6804290D" w14:textId="77777777" w:rsidR="002227E6" w:rsidRPr="00D470FC" w:rsidRDefault="002227E6" w:rsidP="00CD06B1">
            <w:pPr>
              <w:spacing w:before="40" w:after="120"/>
              <w:rPr>
                <w:szCs w:val="16"/>
              </w:rPr>
            </w:pPr>
          </w:p>
        </w:tc>
        <w:tc>
          <w:tcPr>
            <w:tcW w:w="1276" w:type="dxa"/>
            <w:tcBorders>
              <w:top w:val="single" w:sz="12" w:space="0" w:color="auto"/>
            </w:tcBorders>
            <w:shd w:val="clear" w:color="auto" w:fill="auto"/>
          </w:tcPr>
          <w:p w14:paraId="02A7BA08" w14:textId="77777777" w:rsidR="002227E6" w:rsidRPr="00D470FC" w:rsidRDefault="002227E6" w:rsidP="00CD06B1">
            <w:pPr>
              <w:spacing w:before="40" w:after="120"/>
              <w:rPr>
                <w:szCs w:val="16"/>
              </w:rPr>
            </w:pPr>
          </w:p>
        </w:tc>
        <w:tc>
          <w:tcPr>
            <w:tcW w:w="1134" w:type="dxa"/>
            <w:tcBorders>
              <w:top w:val="single" w:sz="12" w:space="0" w:color="auto"/>
            </w:tcBorders>
            <w:shd w:val="clear" w:color="auto" w:fill="auto"/>
          </w:tcPr>
          <w:p w14:paraId="7798845E" w14:textId="77777777" w:rsidR="002227E6" w:rsidRPr="00D470FC" w:rsidRDefault="002227E6" w:rsidP="00CD06B1">
            <w:pPr>
              <w:spacing w:before="40" w:after="120"/>
              <w:rPr>
                <w:szCs w:val="16"/>
              </w:rPr>
            </w:pPr>
          </w:p>
        </w:tc>
        <w:tc>
          <w:tcPr>
            <w:tcW w:w="848" w:type="dxa"/>
            <w:tcBorders>
              <w:top w:val="single" w:sz="12" w:space="0" w:color="auto"/>
            </w:tcBorders>
            <w:shd w:val="clear" w:color="auto" w:fill="auto"/>
          </w:tcPr>
          <w:p w14:paraId="311B0496" w14:textId="77777777" w:rsidR="002227E6" w:rsidRPr="00D470FC" w:rsidRDefault="002227E6" w:rsidP="00CD06B1">
            <w:pPr>
              <w:spacing w:before="40" w:after="120"/>
              <w:rPr>
                <w:szCs w:val="16"/>
              </w:rPr>
            </w:pPr>
          </w:p>
        </w:tc>
      </w:tr>
      <w:tr w:rsidR="002227E6" w:rsidRPr="00D470FC" w14:paraId="7B9F03CC" w14:textId="77777777" w:rsidTr="00D16077">
        <w:trPr>
          <w:trHeight w:val="240"/>
        </w:trPr>
        <w:tc>
          <w:tcPr>
            <w:tcW w:w="426" w:type="dxa"/>
            <w:tcBorders>
              <w:bottom w:val="single" w:sz="12" w:space="0" w:color="auto"/>
            </w:tcBorders>
            <w:shd w:val="clear" w:color="auto" w:fill="auto"/>
          </w:tcPr>
          <w:p w14:paraId="2E219E20" w14:textId="77777777" w:rsidR="002227E6" w:rsidRPr="00D470FC" w:rsidRDefault="002227E6" w:rsidP="00CD06B1">
            <w:pPr>
              <w:spacing w:before="40" w:after="120"/>
              <w:rPr>
                <w:szCs w:val="16"/>
              </w:rPr>
            </w:pPr>
            <w:r w:rsidRPr="00D470FC">
              <w:t>1.</w:t>
            </w:r>
          </w:p>
        </w:tc>
        <w:tc>
          <w:tcPr>
            <w:tcW w:w="949" w:type="dxa"/>
            <w:tcBorders>
              <w:bottom w:val="single" w:sz="12" w:space="0" w:color="auto"/>
            </w:tcBorders>
            <w:shd w:val="clear" w:color="auto" w:fill="auto"/>
          </w:tcPr>
          <w:p w14:paraId="5ABC0611" w14:textId="77777777" w:rsidR="002227E6" w:rsidRPr="00D470FC" w:rsidRDefault="002227E6" w:rsidP="00CD06B1">
            <w:pPr>
              <w:spacing w:before="40" w:after="120"/>
              <w:rPr>
                <w:szCs w:val="16"/>
              </w:rPr>
            </w:pPr>
            <w:r w:rsidRPr="00D470FC">
              <w:t>Litzy Hurtado</w:t>
            </w:r>
          </w:p>
        </w:tc>
        <w:tc>
          <w:tcPr>
            <w:tcW w:w="977" w:type="dxa"/>
            <w:tcBorders>
              <w:bottom w:val="single" w:sz="12" w:space="0" w:color="auto"/>
            </w:tcBorders>
            <w:shd w:val="clear" w:color="auto" w:fill="auto"/>
          </w:tcPr>
          <w:p w14:paraId="7A41AF36" w14:textId="77777777" w:rsidR="002227E6" w:rsidRPr="00D470FC" w:rsidRDefault="002227E6" w:rsidP="00CD06B1">
            <w:pPr>
              <w:spacing w:before="40" w:after="120"/>
              <w:rPr>
                <w:szCs w:val="16"/>
              </w:rPr>
            </w:pPr>
            <w:r w:rsidRPr="00D470FC">
              <w:t>23 December 2018</w:t>
            </w:r>
          </w:p>
        </w:tc>
        <w:tc>
          <w:tcPr>
            <w:tcW w:w="1617" w:type="dxa"/>
            <w:tcBorders>
              <w:bottom w:val="single" w:sz="12" w:space="0" w:color="auto"/>
            </w:tcBorders>
            <w:shd w:val="clear" w:color="auto" w:fill="auto"/>
          </w:tcPr>
          <w:p w14:paraId="44EBA02E" w14:textId="77777777" w:rsidR="002227E6" w:rsidRPr="00D470FC" w:rsidRDefault="002227E6" w:rsidP="00CD06B1">
            <w:pPr>
              <w:spacing w:before="40" w:after="120"/>
              <w:rPr>
                <w:szCs w:val="16"/>
              </w:rPr>
            </w:pPr>
            <w:r w:rsidRPr="00D470FC">
              <w:t>Transgender woman attacked and stabbed in the chest with a screwdriver</w:t>
            </w:r>
          </w:p>
        </w:tc>
        <w:tc>
          <w:tcPr>
            <w:tcW w:w="1418" w:type="dxa"/>
            <w:tcBorders>
              <w:bottom w:val="single" w:sz="12" w:space="0" w:color="auto"/>
            </w:tcBorders>
            <w:shd w:val="clear" w:color="auto" w:fill="auto"/>
          </w:tcPr>
          <w:p w14:paraId="1E6CDE67" w14:textId="77777777" w:rsidR="002227E6" w:rsidRPr="00D470FC" w:rsidRDefault="002227E6" w:rsidP="00CD06B1">
            <w:pPr>
              <w:spacing w:before="40" w:after="120"/>
              <w:rPr>
                <w:szCs w:val="16"/>
              </w:rPr>
            </w:pPr>
            <w:r w:rsidRPr="00D470FC">
              <w:t>EAL1811787</w:t>
            </w:r>
          </w:p>
        </w:tc>
        <w:tc>
          <w:tcPr>
            <w:tcW w:w="992" w:type="dxa"/>
            <w:tcBorders>
              <w:bottom w:val="single" w:sz="12" w:space="0" w:color="auto"/>
            </w:tcBorders>
            <w:shd w:val="clear" w:color="auto" w:fill="auto"/>
          </w:tcPr>
          <w:p w14:paraId="519CD927" w14:textId="77777777" w:rsidR="002227E6" w:rsidRPr="00D470FC" w:rsidRDefault="002227E6" w:rsidP="00CD06B1">
            <w:pPr>
              <w:spacing w:before="40" w:after="120"/>
              <w:rPr>
                <w:szCs w:val="16"/>
              </w:rPr>
            </w:pPr>
            <w:r w:rsidRPr="00D470FC">
              <w:t>Homicide, art. 251</w:t>
            </w:r>
          </w:p>
        </w:tc>
        <w:tc>
          <w:tcPr>
            <w:tcW w:w="1276" w:type="dxa"/>
            <w:tcBorders>
              <w:bottom w:val="single" w:sz="12" w:space="0" w:color="auto"/>
            </w:tcBorders>
            <w:shd w:val="clear" w:color="auto" w:fill="auto"/>
          </w:tcPr>
          <w:p w14:paraId="09438ECE" w14:textId="77777777" w:rsidR="002227E6" w:rsidRPr="00D470FC" w:rsidRDefault="002227E6" w:rsidP="00CD06B1">
            <w:pPr>
              <w:spacing w:before="40" w:after="120"/>
              <w:rPr>
                <w:szCs w:val="16"/>
              </w:rPr>
            </w:pPr>
            <w:r w:rsidRPr="00D470FC">
              <w:t>Formal charges laid</w:t>
            </w:r>
          </w:p>
        </w:tc>
        <w:tc>
          <w:tcPr>
            <w:tcW w:w="1134" w:type="dxa"/>
            <w:tcBorders>
              <w:bottom w:val="single" w:sz="12" w:space="0" w:color="auto"/>
            </w:tcBorders>
            <w:shd w:val="clear" w:color="auto" w:fill="auto"/>
          </w:tcPr>
          <w:p w14:paraId="7FCA1BF2" w14:textId="77777777" w:rsidR="002227E6" w:rsidRPr="00D470FC" w:rsidRDefault="002227E6" w:rsidP="00CD06B1">
            <w:pPr>
              <w:spacing w:before="40" w:after="120"/>
              <w:rPr>
                <w:szCs w:val="16"/>
              </w:rPr>
            </w:pPr>
            <w:r w:rsidRPr="00D470FC">
              <w:t>Oral proceedings</w:t>
            </w:r>
          </w:p>
        </w:tc>
        <w:tc>
          <w:tcPr>
            <w:tcW w:w="848" w:type="dxa"/>
            <w:tcBorders>
              <w:bottom w:val="single" w:sz="12" w:space="0" w:color="auto"/>
            </w:tcBorders>
            <w:shd w:val="clear" w:color="auto" w:fill="auto"/>
          </w:tcPr>
          <w:p w14:paraId="079F0C14" w14:textId="77777777" w:rsidR="002227E6" w:rsidRPr="00D470FC" w:rsidRDefault="002227E6" w:rsidP="00CD06B1">
            <w:pPr>
              <w:spacing w:before="40" w:after="120"/>
              <w:rPr>
                <w:szCs w:val="16"/>
              </w:rPr>
            </w:pPr>
          </w:p>
        </w:tc>
      </w:tr>
      <w:tr w:rsidR="002227E6" w:rsidRPr="00D470FC" w14:paraId="4365EDDF" w14:textId="77777777" w:rsidTr="00D16077">
        <w:trPr>
          <w:trHeight w:val="240"/>
        </w:trPr>
        <w:tc>
          <w:tcPr>
            <w:tcW w:w="426" w:type="dxa"/>
            <w:tcBorders>
              <w:bottom w:val="single" w:sz="12" w:space="0" w:color="auto"/>
            </w:tcBorders>
            <w:shd w:val="clear" w:color="auto" w:fill="auto"/>
          </w:tcPr>
          <w:p w14:paraId="1E61B394" w14:textId="77777777" w:rsidR="002227E6" w:rsidRPr="00D470FC" w:rsidRDefault="002227E6" w:rsidP="00CD06B1">
            <w:pPr>
              <w:spacing w:before="40" w:after="120"/>
              <w:rPr>
                <w:szCs w:val="16"/>
              </w:rPr>
            </w:pPr>
            <w:r w:rsidRPr="00D470FC">
              <w:t>2.</w:t>
            </w:r>
          </w:p>
        </w:tc>
        <w:tc>
          <w:tcPr>
            <w:tcW w:w="949" w:type="dxa"/>
            <w:tcBorders>
              <w:bottom w:val="single" w:sz="12" w:space="0" w:color="auto"/>
            </w:tcBorders>
            <w:shd w:val="clear" w:color="auto" w:fill="auto"/>
          </w:tcPr>
          <w:p w14:paraId="25330205" w14:textId="77777777" w:rsidR="002227E6" w:rsidRPr="00D470FC" w:rsidRDefault="002227E6" w:rsidP="00CD06B1">
            <w:pPr>
              <w:spacing w:before="40" w:after="120"/>
              <w:rPr>
                <w:szCs w:val="16"/>
              </w:rPr>
            </w:pPr>
            <w:r w:rsidRPr="00D470FC">
              <w:t>Gabriela Ramírez</w:t>
            </w:r>
          </w:p>
        </w:tc>
        <w:tc>
          <w:tcPr>
            <w:tcW w:w="977" w:type="dxa"/>
            <w:tcBorders>
              <w:bottom w:val="single" w:sz="12" w:space="0" w:color="auto"/>
            </w:tcBorders>
            <w:shd w:val="clear" w:color="auto" w:fill="auto"/>
          </w:tcPr>
          <w:p w14:paraId="30E137B5" w14:textId="77777777" w:rsidR="002227E6" w:rsidRPr="00D470FC" w:rsidRDefault="002227E6" w:rsidP="00CD06B1">
            <w:pPr>
              <w:spacing w:before="40" w:after="120"/>
              <w:rPr>
                <w:szCs w:val="16"/>
              </w:rPr>
            </w:pPr>
            <w:r w:rsidRPr="00D470FC">
              <w:t>22 October 2020</w:t>
            </w:r>
          </w:p>
        </w:tc>
        <w:tc>
          <w:tcPr>
            <w:tcW w:w="1617" w:type="dxa"/>
            <w:tcBorders>
              <w:bottom w:val="single" w:sz="12" w:space="0" w:color="auto"/>
            </w:tcBorders>
            <w:shd w:val="clear" w:color="auto" w:fill="auto"/>
          </w:tcPr>
          <w:p w14:paraId="4B22F5F1" w14:textId="77777777" w:rsidR="002227E6" w:rsidRPr="00D470FC" w:rsidRDefault="002227E6" w:rsidP="00CD06B1">
            <w:pPr>
              <w:spacing w:before="40" w:after="120"/>
              <w:rPr>
                <w:szCs w:val="16"/>
              </w:rPr>
            </w:pPr>
            <w:r w:rsidRPr="00D470FC">
              <w:t>Transgender woman stabbed 18 times in Villa Adela hostel, El Alto</w:t>
            </w:r>
          </w:p>
        </w:tc>
        <w:tc>
          <w:tcPr>
            <w:tcW w:w="1418" w:type="dxa"/>
            <w:tcBorders>
              <w:bottom w:val="single" w:sz="12" w:space="0" w:color="auto"/>
            </w:tcBorders>
            <w:shd w:val="clear" w:color="auto" w:fill="auto"/>
          </w:tcPr>
          <w:p w14:paraId="1741FA91" w14:textId="77777777" w:rsidR="002227E6" w:rsidRPr="00D470FC" w:rsidRDefault="002227E6" w:rsidP="00CD06B1">
            <w:pPr>
              <w:spacing w:before="40" w:after="120"/>
              <w:rPr>
                <w:szCs w:val="16"/>
              </w:rPr>
            </w:pPr>
            <w:r w:rsidRPr="00D470FC">
              <w:t>201502022004212</w:t>
            </w:r>
          </w:p>
        </w:tc>
        <w:tc>
          <w:tcPr>
            <w:tcW w:w="992" w:type="dxa"/>
            <w:tcBorders>
              <w:bottom w:val="single" w:sz="12" w:space="0" w:color="auto"/>
            </w:tcBorders>
            <w:shd w:val="clear" w:color="auto" w:fill="auto"/>
          </w:tcPr>
          <w:p w14:paraId="59364240" w14:textId="77777777" w:rsidR="002227E6" w:rsidRPr="00D470FC" w:rsidRDefault="002227E6" w:rsidP="00CD06B1">
            <w:pPr>
              <w:spacing w:before="40" w:after="120"/>
              <w:rPr>
                <w:szCs w:val="16"/>
              </w:rPr>
            </w:pPr>
            <w:r w:rsidRPr="00D470FC">
              <w:t>Murder, art. 252</w:t>
            </w:r>
          </w:p>
        </w:tc>
        <w:tc>
          <w:tcPr>
            <w:tcW w:w="1276" w:type="dxa"/>
            <w:tcBorders>
              <w:bottom w:val="single" w:sz="12" w:space="0" w:color="auto"/>
            </w:tcBorders>
            <w:shd w:val="clear" w:color="auto" w:fill="auto"/>
          </w:tcPr>
          <w:p w14:paraId="11986639" w14:textId="77777777" w:rsidR="002227E6" w:rsidRPr="00D470FC" w:rsidRDefault="002227E6" w:rsidP="00CD06B1">
            <w:pPr>
              <w:spacing w:before="40" w:after="120"/>
              <w:rPr>
                <w:szCs w:val="16"/>
              </w:rPr>
            </w:pPr>
            <w:r w:rsidRPr="00D470FC">
              <w:t>Formal indictment filed</w:t>
            </w:r>
          </w:p>
        </w:tc>
        <w:tc>
          <w:tcPr>
            <w:tcW w:w="1134" w:type="dxa"/>
            <w:tcBorders>
              <w:bottom w:val="single" w:sz="12" w:space="0" w:color="auto"/>
            </w:tcBorders>
            <w:shd w:val="clear" w:color="auto" w:fill="auto"/>
          </w:tcPr>
          <w:p w14:paraId="1E964B70" w14:textId="77777777" w:rsidR="002227E6" w:rsidRPr="00D470FC" w:rsidRDefault="002227E6" w:rsidP="00CD06B1">
            <w:pPr>
              <w:spacing w:before="40" w:after="120"/>
              <w:rPr>
                <w:szCs w:val="16"/>
              </w:rPr>
            </w:pPr>
            <w:r w:rsidRPr="00D470FC">
              <w:t>Preparatory stage</w:t>
            </w:r>
          </w:p>
        </w:tc>
        <w:tc>
          <w:tcPr>
            <w:tcW w:w="848" w:type="dxa"/>
            <w:tcBorders>
              <w:bottom w:val="single" w:sz="12" w:space="0" w:color="auto"/>
            </w:tcBorders>
            <w:shd w:val="clear" w:color="auto" w:fill="auto"/>
          </w:tcPr>
          <w:p w14:paraId="06D8BA0B" w14:textId="77777777" w:rsidR="002227E6" w:rsidRPr="00D470FC" w:rsidRDefault="002227E6" w:rsidP="00CD06B1">
            <w:pPr>
              <w:spacing w:before="40" w:after="120"/>
              <w:rPr>
                <w:szCs w:val="16"/>
              </w:rPr>
            </w:pPr>
          </w:p>
        </w:tc>
      </w:tr>
    </w:tbl>
    <w:p w14:paraId="54C70061" w14:textId="77777777" w:rsidR="002227E6" w:rsidRPr="00914368" w:rsidRDefault="002227E6" w:rsidP="00117237">
      <w:pPr>
        <w:pStyle w:val="H1G"/>
        <w:rPr>
          <w:rFonts w:eastAsia="Calibri"/>
        </w:rPr>
      </w:pPr>
      <w:r w:rsidRPr="00914368">
        <w:tab/>
      </w:r>
      <w:r w:rsidRPr="00914368">
        <w:tab/>
      </w:r>
      <w:r w:rsidRPr="00914368">
        <w:tab/>
        <w:t>Equality between men and women (arts. 2–3 and 25–26)</w:t>
      </w:r>
    </w:p>
    <w:p w14:paraId="71666373" w14:textId="053C2D0A" w:rsidR="002227E6" w:rsidRPr="00914368" w:rsidRDefault="002227E6" w:rsidP="00117237">
      <w:pPr>
        <w:pStyle w:val="H23G"/>
      </w:pPr>
      <w:r w:rsidRPr="00914368">
        <w:tab/>
        <w:t>6.</w:t>
      </w:r>
      <w:r w:rsidRPr="00914368">
        <w:tab/>
        <w:t>Replies to the issues raised in paragraph 6 of the list of issues</w:t>
      </w:r>
    </w:p>
    <w:p w14:paraId="0002274C" w14:textId="3B209BD8" w:rsidR="002227E6" w:rsidRPr="00914368" w:rsidRDefault="002227E6" w:rsidP="000D2CC7">
      <w:pPr>
        <w:pStyle w:val="SingleTxtG"/>
        <w:rPr>
          <w:rFonts w:eastAsia="Calibri"/>
        </w:rPr>
      </w:pPr>
      <w:r w:rsidRPr="00914368">
        <w:t>34.</w:t>
      </w:r>
      <w:r w:rsidRPr="00914368">
        <w:tab/>
        <w:t>The Multisectoral Plan to Dismantle the Patriarchal System and Promote Women</w:t>
      </w:r>
      <w:r w:rsidR="008D6E06">
        <w:t>’</w:t>
      </w:r>
      <w:r w:rsidRPr="00914368">
        <w:t>s Well-being entered into force following its adoption by the Sectoral and Intersectoral Council for a Life Free from Violence, at its fifth ordinary session, in Decision No. 001/2017 of 27 July 2017. The Plan was in place until 2020 and is currently being evaluated with a view to ascertaining the results and lessons learned in order to shape a new five-year plan and improve the results, in partnership with all the relevant actors. The results of the Plan to date are concentrated in the areas accorded the highest priority by women</w:t>
      </w:r>
      <w:r w:rsidR="008D6E06">
        <w:t>’</w:t>
      </w:r>
      <w:r w:rsidRPr="00914368">
        <w:t xml:space="preserve">s rights campaigners. </w:t>
      </w:r>
    </w:p>
    <w:p w14:paraId="6DAA2D1A" w14:textId="77777777" w:rsidR="002227E6" w:rsidRPr="00914368" w:rsidRDefault="002227E6" w:rsidP="000D2CC7">
      <w:pPr>
        <w:pStyle w:val="SingleTxtG"/>
        <w:rPr>
          <w:rFonts w:eastAsia="Calibri"/>
        </w:rPr>
      </w:pPr>
      <w:r w:rsidRPr="00914368">
        <w:t>35.</w:t>
      </w:r>
      <w:r w:rsidRPr="00914368">
        <w:tab/>
        <w:t>The Plurinational Electoral Bureau reports on the measures taken to increase the representation of women, especially indigenous and Afro-Bolivian women. Act No. 1096 on Political Organizations establishes that all political organizations must set out in their statutes rules intended to tackle the patriarchal system, including guaranteeing equivalence and equal opportunities by ensuring that there is gender balance at all levels of the organization and in all discussion and decision-making structures, and by instituting mechanisms to promote the effective participation of women, young persons and indigenous and aboriginal campesino nations and peoples.</w:t>
      </w:r>
    </w:p>
    <w:p w14:paraId="34913BE1" w14:textId="77777777" w:rsidR="002227E6" w:rsidRPr="00914368" w:rsidRDefault="002227E6" w:rsidP="000D2CC7">
      <w:pPr>
        <w:pStyle w:val="SingleTxtG"/>
        <w:rPr>
          <w:rFonts w:eastAsia="Calibri"/>
        </w:rPr>
      </w:pPr>
      <w:r w:rsidRPr="00914368">
        <w:t>36.</w:t>
      </w:r>
      <w:r w:rsidRPr="00914368">
        <w:tab/>
        <w:t xml:space="preserve">Other rules in place include the regulations setting out the criteria for parity and alternation in the registration of candidates for the 2020 and 2021 general elections, the regulations on electoral offences and sanctions relating to harassment and political violence, </w:t>
      </w:r>
      <w:r w:rsidRPr="00914368">
        <w:lastRenderedPageBreak/>
        <w:t>and the regulations on the processing of complaints and resignations relating to harassment and political violence against female candidates, female elected representatives and women holding public office.</w:t>
      </w:r>
    </w:p>
    <w:p w14:paraId="42B2EAB3" w14:textId="56A1FF11" w:rsidR="002227E6" w:rsidRPr="00914368" w:rsidRDefault="002227E6" w:rsidP="000D2CC7">
      <w:pPr>
        <w:pStyle w:val="SingleTxtG"/>
        <w:rPr>
          <w:rFonts w:eastAsia="Calibri"/>
        </w:rPr>
      </w:pPr>
      <w:r w:rsidRPr="00914368">
        <w:t>37.</w:t>
      </w:r>
      <w:r w:rsidRPr="00914368">
        <w:tab/>
        <w:t>As part of the communication measures and actions adopted in 2018, five research projects were conducted on topics relating to democratic parity and complementarity between women and men from indigenous and aboriginal campesino</w:t>
      </w:r>
      <w:r w:rsidRPr="00914368" w:rsidDel="00C63048">
        <w:t xml:space="preserve"> </w:t>
      </w:r>
      <w:r w:rsidRPr="00914368">
        <w:t>backgrounds. In 2019, communication materials were developed to promote women</w:t>
      </w:r>
      <w:r w:rsidR="008D6E06">
        <w:t>’</w:t>
      </w:r>
      <w:r w:rsidRPr="00914368">
        <w:t>s political participation.</w:t>
      </w:r>
    </w:p>
    <w:p w14:paraId="64E2A533" w14:textId="7CCE2AE4" w:rsidR="002227E6" w:rsidRPr="00914368" w:rsidRDefault="002227E6" w:rsidP="000D2CC7">
      <w:pPr>
        <w:pStyle w:val="SingleTxtG"/>
      </w:pPr>
      <w:r w:rsidRPr="00914368">
        <w:t>38.</w:t>
      </w:r>
      <w:r w:rsidRPr="00914368">
        <w:tab/>
        <w:t>In 2020, the Democratic Parity Observatory ran a communications campaign to promote women</w:t>
      </w:r>
      <w:r w:rsidR="008D6E06">
        <w:t>’</w:t>
      </w:r>
      <w:r w:rsidRPr="00914368">
        <w:t>s political rights in the context of the 2020 general elections and the 2021 departmental, regional and municipal elections</w:t>
      </w:r>
      <w:r w:rsidR="00350BBD">
        <w:t>.</w:t>
      </w:r>
    </w:p>
    <w:p w14:paraId="65E87D00" w14:textId="456795A8" w:rsidR="002227E6" w:rsidRPr="00914368" w:rsidRDefault="002227E6" w:rsidP="000D2CC7">
      <w:pPr>
        <w:pStyle w:val="SingleTxtG"/>
      </w:pPr>
      <w:r w:rsidRPr="00914368">
        <w:t>39.</w:t>
      </w:r>
      <w:r w:rsidRPr="00914368">
        <w:tab/>
        <w:t>It also conducted awareness-raising activities designed to increase the exercise of women</w:t>
      </w:r>
      <w:r w:rsidR="008D6E06">
        <w:t>’</w:t>
      </w:r>
      <w:r w:rsidRPr="00914368">
        <w:t>s political rights.</w:t>
      </w:r>
    </w:p>
    <w:p w14:paraId="23106349" w14:textId="77777777" w:rsidR="002227E6" w:rsidRPr="00914368" w:rsidRDefault="002227E6" w:rsidP="000D2CC7">
      <w:pPr>
        <w:pStyle w:val="SingleTxtG"/>
        <w:rPr>
          <w:rFonts w:eastAsia="Calibri"/>
        </w:rPr>
      </w:pPr>
      <w:r w:rsidRPr="00914368">
        <w:t>40.</w:t>
      </w:r>
      <w:r w:rsidRPr="00914368">
        <w:tab/>
        <w:t>In 2018, 91 complaints of harassment and political violence against women were recorded; 21 were recorded in 2019; 20 were recorded in 2020; and 22 were recorded in 2021. Between 2016 and October 2021, 360 resignations were recorded, 43 of which were due to harassment and political violence.</w:t>
      </w:r>
    </w:p>
    <w:p w14:paraId="46BDABC7" w14:textId="77777777" w:rsidR="002227E6" w:rsidRPr="00914368" w:rsidRDefault="002227E6" w:rsidP="000D2CC7">
      <w:pPr>
        <w:pStyle w:val="SingleTxtG"/>
        <w:rPr>
          <w:rFonts w:eastAsia="Calibri"/>
        </w:rPr>
      </w:pPr>
      <w:r w:rsidRPr="00914368">
        <w:t>41.</w:t>
      </w:r>
      <w:r w:rsidRPr="00914368">
        <w:tab/>
        <w:t>The Directorate General for the Prevention of All Forms of Gender-based and Generational Violence has been made aware of seven cases of political harassment in 2021. In accordance with the provisions of article 9 of Supreme Decree No. 2935 of 5 October 2016, setting out the regulations on Act No. 243 on Political Harassment and Violence against Women, every complaint is followed up.</w:t>
      </w:r>
    </w:p>
    <w:p w14:paraId="7573DD56" w14:textId="77777777" w:rsidR="002227E6" w:rsidRPr="00914368" w:rsidRDefault="002227E6" w:rsidP="00117237">
      <w:pPr>
        <w:pStyle w:val="H1G"/>
      </w:pPr>
      <w:r w:rsidRPr="00914368">
        <w:tab/>
      </w:r>
      <w:r w:rsidRPr="00914368">
        <w:tab/>
        <w:t>Violence against women, including domestic violence (arts. 2–3, 6–7, 14 and 24–26)</w:t>
      </w:r>
    </w:p>
    <w:p w14:paraId="78FF2998" w14:textId="77777777" w:rsidR="002227E6" w:rsidRPr="00914368" w:rsidRDefault="002227E6" w:rsidP="00117237">
      <w:pPr>
        <w:pStyle w:val="H23G"/>
      </w:pPr>
      <w:r w:rsidRPr="00914368">
        <w:tab/>
        <w:t>7.</w:t>
      </w:r>
      <w:r w:rsidRPr="00914368">
        <w:tab/>
        <w:t xml:space="preserve">Replies to the issues raised in paragraph 7 of the list of issues </w:t>
      </w:r>
    </w:p>
    <w:p w14:paraId="6FEBA813" w14:textId="77777777" w:rsidR="002227E6" w:rsidRPr="00914368" w:rsidRDefault="002227E6" w:rsidP="000D2CC7">
      <w:pPr>
        <w:pStyle w:val="SingleTxtG"/>
      </w:pPr>
      <w:r w:rsidRPr="00914368">
        <w:t>42.</w:t>
      </w:r>
      <w:r w:rsidRPr="00914368">
        <w:tab/>
        <w:t>In accordance with the guidelines on budget preparation adopted in Biministerial Decision No. 07 of 24 June 2016 by the Ministry of Development Planning and the Ministry of Economy and Public Finance, the budget allocated over the past three years by departmental autonomous and municipal autonomous governments to item 25, on promotion and policies for vulnerable groups and women, was analysed to identify investments that comply with Act No. 348 and Supreme Decree No. 2145.</w:t>
      </w:r>
    </w:p>
    <w:p w14:paraId="78CD8BF4" w14:textId="73FC612D" w:rsidR="002227E6" w:rsidRPr="00914368" w:rsidRDefault="00117237" w:rsidP="00117237">
      <w:pPr>
        <w:pStyle w:val="H23G"/>
        <w:rPr>
          <w:rFonts w:eastAsia="Calibri"/>
          <w:b w:val="0"/>
        </w:rPr>
      </w:pPr>
      <w:r w:rsidRPr="00117237">
        <w:rPr>
          <w:b w:val="0"/>
          <w:bCs/>
        </w:rPr>
        <w:tab/>
      </w:r>
      <w:r w:rsidRPr="00117237">
        <w:rPr>
          <w:b w:val="0"/>
          <w:bCs/>
        </w:rPr>
        <w:tab/>
      </w:r>
      <w:r w:rsidR="002227E6" w:rsidRPr="00117237">
        <w:rPr>
          <w:b w:val="0"/>
          <w:bCs/>
        </w:rPr>
        <w:t>Table 1</w:t>
      </w:r>
      <w:r w:rsidRPr="00117237">
        <w:rPr>
          <w:b w:val="0"/>
          <w:bCs/>
        </w:rPr>
        <w:br/>
      </w:r>
      <w:r w:rsidR="002227E6" w:rsidRPr="00914368">
        <w:rPr>
          <w:bCs/>
        </w:rPr>
        <w:t>Budget of the departmental autonomous governments for item 25, on promotion and policies for vulnerable groups and women, 2018–2020 (bolivianos)</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939"/>
        <w:gridCol w:w="938"/>
        <w:gridCol w:w="557"/>
        <w:gridCol w:w="1067"/>
        <w:gridCol w:w="924"/>
        <w:gridCol w:w="620"/>
        <w:gridCol w:w="1073"/>
        <w:gridCol w:w="924"/>
        <w:gridCol w:w="518"/>
        <w:gridCol w:w="945"/>
      </w:tblGrid>
      <w:tr w:rsidR="00F91191" w:rsidRPr="00117237" w14:paraId="109B9F4E" w14:textId="77777777" w:rsidTr="005462C9">
        <w:trPr>
          <w:trHeight w:val="240"/>
          <w:tblHeader/>
        </w:trPr>
        <w:tc>
          <w:tcPr>
            <w:tcW w:w="1134" w:type="dxa"/>
            <w:vMerge w:val="restart"/>
            <w:tcBorders>
              <w:top w:val="single" w:sz="4" w:space="0" w:color="auto"/>
              <w:bottom w:val="single" w:sz="12" w:space="0" w:color="auto"/>
            </w:tcBorders>
            <w:shd w:val="clear" w:color="auto" w:fill="auto"/>
            <w:noWrap/>
            <w:vAlign w:val="bottom"/>
            <w:hideMark/>
          </w:tcPr>
          <w:p w14:paraId="007F17B7" w14:textId="77777777" w:rsidR="00F91191" w:rsidRPr="00117237" w:rsidRDefault="00F91191" w:rsidP="00117237">
            <w:pPr>
              <w:spacing w:before="80" w:after="80" w:line="200" w:lineRule="exact"/>
              <w:ind w:right="113"/>
              <w:rPr>
                <w:i/>
                <w:sz w:val="16"/>
                <w:szCs w:val="16"/>
              </w:rPr>
            </w:pPr>
            <w:r w:rsidRPr="00117237">
              <w:rPr>
                <w:i/>
                <w:iCs/>
                <w:sz w:val="16"/>
                <w:szCs w:val="16"/>
              </w:rPr>
              <w:t>Department</w:t>
            </w:r>
          </w:p>
        </w:tc>
        <w:tc>
          <w:tcPr>
            <w:tcW w:w="2434" w:type="dxa"/>
            <w:gridSpan w:val="3"/>
            <w:tcBorders>
              <w:top w:val="single" w:sz="4" w:space="0" w:color="auto"/>
              <w:bottom w:val="single" w:sz="4" w:space="0" w:color="auto"/>
              <w:right w:val="single" w:sz="24" w:space="0" w:color="FFFFFF" w:themeColor="background1"/>
            </w:tcBorders>
            <w:shd w:val="clear" w:color="auto" w:fill="auto"/>
            <w:noWrap/>
            <w:vAlign w:val="bottom"/>
            <w:hideMark/>
          </w:tcPr>
          <w:p w14:paraId="26BD7590" w14:textId="77777777" w:rsidR="00F91191" w:rsidRPr="00117237" w:rsidRDefault="00F91191" w:rsidP="00F91191">
            <w:pPr>
              <w:spacing w:before="80" w:after="80" w:line="200" w:lineRule="exact"/>
              <w:ind w:right="113"/>
              <w:jc w:val="center"/>
              <w:rPr>
                <w:i/>
                <w:sz w:val="16"/>
                <w:szCs w:val="16"/>
              </w:rPr>
            </w:pPr>
            <w:r w:rsidRPr="00117237">
              <w:rPr>
                <w:i/>
                <w:iCs/>
                <w:sz w:val="16"/>
                <w:szCs w:val="16"/>
              </w:rPr>
              <w:t>2018</w:t>
            </w:r>
          </w:p>
        </w:tc>
        <w:tc>
          <w:tcPr>
            <w:tcW w:w="2611"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4D53E3FD" w14:textId="77777777" w:rsidR="00F91191" w:rsidRPr="00117237" w:rsidRDefault="00F91191" w:rsidP="00F91191">
            <w:pPr>
              <w:spacing w:before="80" w:after="80" w:line="200" w:lineRule="exact"/>
              <w:ind w:right="113"/>
              <w:jc w:val="center"/>
              <w:rPr>
                <w:i/>
                <w:sz w:val="16"/>
                <w:szCs w:val="16"/>
              </w:rPr>
            </w:pPr>
            <w:r w:rsidRPr="00117237">
              <w:rPr>
                <w:i/>
                <w:iCs/>
                <w:sz w:val="16"/>
                <w:szCs w:val="16"/>
              </w:rPr>
              <w:t>2019</w:t>
            </w:r>
          </w:p>
        </w:tc>
        <w:tc>
          <w:tcPr>
            <w:tcW w:w="2515" w:type="dxa"/>
            <w:gridSpan w:val="3"/>
            <w:tcBorders>
              <w:top w:val="single" w:sz="4" w:space="0" w:color="auto"/>
              <w:left w:val="single" w:sz="24" w:space="0" w:color="FFFFFF" w:themeColor="background1"/>
              <w:bottom w:val="single" w:sz="4" w:space="0" w:color="auto"/>
            </w:tcBorders>
            <w:shd w:val="clear" w:color="auto" w:fill="auto"/>
            <w:noWrap/>
            <w:vAlign w:val="bottom"/>
            <w:hideMark/>
          </w:tcPr>
          <w:p w14:paraId="265E3B9D" w14:textId="77777777" w:rsidR="00F91191" w:rsidRPr="00117237" w:rsidRDefault="00F91191" w:rsidP="00F91191">
            <w:pPr>
              <w:spacing w:before="80" w:after="80" w:line="200" w:lineRule="exact"/>
              <w:ind w:right="113"/>
              <w:jc w:val="center"/>
              <w:rPr>
                <w:i/>
                <w:sz w:val="16"/>
                <w:szCs w:val="16"/>
              </w:rPr>
            </w:pPr>
            <w:r w:rsidRPr="00117237">
              <w:rPr>
                <w:i/>
                <w:iCs/>
                <w:sz w:val="16"/>
                <w:szCs w:val="16"/>
              </w:rPr>
              <w:t>2020</w:t>
            </w:r>
          </w:p>
        </w:tc>
        <w:tc>
          <w:tcPr>
            <w:tcW w:w="945" w:type="dxa"/>
            <w:vMerge w:val="restart"/>
            <w:tcBorders>
              <w:top w:val="single" w:sz="4" w:space="0" w:color="auto"/>
            </w:tcBorders>
            <w:shd w:val="clear" w:color="auto" w:fill="auto"/>
            <w:noWrap/>
            <w:vAlign w:val="bottom"/>
            <w:hideMark/>
          </w:tcPr>
          <w:p w14:paraId="0821B7FA" w14:textId="77777777" w:rsidR="00F91191" w:rsidRPr="00117237" w:rsidRDefault="00F91191" w:rsidP="00117237">
            <w:pPr>
              <w:spacing w:before="80" w:after="80" w:line="200" w:lineRule="exact"/>
              <w:ind w:right="113"/>
              <w:jc w:val="right"/>
              <w:rPr>
                <w:i/>
                <w:sz w:val="16"/>
                <w:szCs w:val="16"/>
              </w:rPr>
            </w:pPr>
            <w:r w:rsidRPr="00117237">
              <w:rPr>
                <w:i/>
                <w:iCs/>
                <w:sz w:val="16"/>
                <w:szCs w:val="16"/>
              </w:rPr>
              <w:t>Average expenditure</w:t>
            </w:r>
          </w:p>
        </w:tc>
      </w:tr>
      <w:tr w:rsidR="00F91191" w:rsidRPr="00117237" w14:paraId="6C801BD8" w14:textId="77777777" w:rsidTr="005462C9">
        <w:trPr>
          <w:trHeight w:val="240"/>
          <w:tblHeader/>
        </w:trPr>
        <w:tc>
          <w:tcPr>
            <w:tcW w:w="1134" w:type="dxa"/>
            <w:vMerge/>
            <w:tcBorders>
              <w:top w:val="single" w:sz="12" w:space="0" w:color="auto"/>
              <w:bottom w:val="single" w:sz="12" w:space="0" w:color="auto"/>
            </w:tcBorders>
            <w:shd w:val="clear" w:color="auto" w:fill="auto"/>
            <w:vAlign w:val="bottom"/>
            <w:hideMark/>
          </w:tcPr>
          <w:p w14:paraId="3D3B30A1" w14:textId="77777777" w:rsidR="00F91191" w:rsidRPr="00117237" w:rsidRDefault="00F91191" w:rsidP="00117237">
            <w:pPr>
              <w:spacing w:before="40" w:after="40" w:line="220" w:lineRule="exact"/>
              <w:ind w:right="113"/>
              <w:rPr>
                <w:sz w:val="18"/>
                <w:szCs w:val="16"/>
              </w:rPr>
            </w:pPr>
          </w:p>
        </w:tc>
        <w:tc>
          <w:tcPr>
            <w:tcW w:w="939" w:type="dxa"/>
            <w:tcBorders>
              <w:top w:val="single" w:sz="4" w:space="0" w:color="auto"/>
              <w:bottom w:val="single" w:sz="12" w:space="0" w:color="auto"/>
            </w:tcBorders>
            <w:shd w:val="clear" w:color="auto" w:fill="auto"/>
            <w:noWrap/>
            <w:vAlign w:val="bottom"/>
            <w:hideMark/>
          </w:tcPr>
          <w:p w14:paraId="22C55A4B" w14:textId="77777777" w:rsidR="00F91191" w:rsidRPr="00F91191" w:rsidRDefault="00F91191" w:rsidP="00EF1D17">
            <w:pPr>
              <w:spacing w:before="80" w:after="80" w:line="200" w:lineRule="exact"/>
              <w:ind w:right="113"/>
              <w:jc w:val="right"/>
              <w:rPr>
                <w:i/>
                <w:iCs/>
                <w:sz w:val="16"/>
                <w:szCs w:val="16"/>
              </w:rPr>
            </w:pPr>
            <w:r w:rsidRPr="00F91191">
              <w:rPr>
                <w:i/>
                <w:iCs/>
                <w:sz w:val="16"/>
                <w:szCs w:val="16"/>
              </w:rPr>
              <w:t>Budgeted</w:t>
            </w:r>
          </w:p>
        </w:tc>
        <w:tc>
          <w:tcPr>
            <w:tcW w:w="938" w:type="dxa"/>
            <w:tcBorders>
              <w:top w:val="single" w:sz="4" w:space="0" w:color="auto"/>
              <w:bottom w:val="single" w:sz="12" w:space="0" w:color="auto"/>
            </w:tcBorders>
            <w:shd w:val="clear" w:color="auto" w:fill="auto"/>
            <w:vAlign w:val="bottom"/>
            <w:hideMark/>
          </w:tcPr>
          <w:p w14:paraId="0825C5DE" w14:textId="77777777" w:rsidR="00F91191" w:rsidRPr="00F91191" w:rsidRDefault="00F91191" w:rsidP="00EF1D17">
            <w:pPr>
              <w:spacing w:before="80" w:after="80" w:line="200" w:lineRule="exact"/>
              <w:ind w:right="113"/>
              <w:jc w:val="right"/>
              <w:rPr>
                <w:i/>
                <w:iCs/>
                <w:sz w:val="16"/>
                <w:szCs w:val="16"/>
              </w:rPr>
            </w:pPr>
            <w:r w:rsidRPr="00F91191">
              <w:rPr>
                <w:i/>
                <w:iCs/>
                <w:sz w:val="16"/>
                <w:szCs w:val="16"/>
              </w:rPr>
              <w:t>Spent</w:t>
            </w:r>
          </w:p>
        </w:tc>
        <w:tc>
          <w:tcPr>
            <w:tcW w:w="557" w:type="dxa"/>
            <w:tcBorders>
              <w:top w:val="single" w:sz="4" w:space="0" w:color="auto"/>
              <w:bottom w:val="single" w:sz="12" w:space="0" w:color="auto"/>
              <w:right w:val="single" w:sz="24" w:space="0" w:color="FFFFFF" w:themeColor="background1"/>
            </w:tcBorders>
            <w:shd w:val="clear" w:color="auto" w:fill="auto"/>
            <w:vAlign w:val="bottom"/>
            <w:hideMark/>
          </w:tcPr>
          <w:p w14:paraId="2C24883A" w14:textId="77777777" w:rsidR="00F91191" w:rsidRPr="00F91191" w:rsidRDefault="00F91191" w:rsidP="00EF1D17">
            <w:pPr>
              <w:spacing w:before="80" w:after="80" w:line="200" w:lineRule="exact"/>
              <w:ind w:right="113"/>
              <w:jc w:val="right"/>
              <w:rPr>
                <w:i/>
                <w:iCs/>
                <w:sz w:val="16"/>
                <w:szCs w:val="16"/>
              </w:rPr>
            </w:pPr>
            <w:r w:rsidRPr="00F91191">
              <w:rPr>
                <w:i/>
                <w:iCs/>
                <w:sz w:val="16"/>
                <w:szCs w:val="16"/>
              </w:rPr>
              <w:t>%</w:t>
            </w:r>
          </w:p>
        </w:tc>
        <w:tc>
          <w:tcPr>
            <w:tcW w:w="1067" w:type="dxa"/>
            <w:tcBorders>
              <w:top w:val="single" w:sz="4" w:space="0" w:color="auto"/>
              <w:left w:val="single" w:sz="24" w:space="0" w:color="FFFFFF" w:themeColor="background1"/>
              <w:bottom w:val="single" w:sz="12" w:space="0" w:color="auto"/>
            </w:tcBorders>
            <w:shd w:val="clear" w:color="auto" w:fill="auto"/>
            <w:noWrap/>
            <w:vAlign w:val="bottom"/>
            <w:hideMark/>
          </w:tcPr>
          <w:p w14:paraId="108AE3DA" w14:textId="77777777" w:rsidR="00F91191" w:rsidRPr="00F91191" w:rsidRDefault="00F91191" w:rsidP="00EF1D17">
            <w:pPr>
              <w:spacing w:before="80" w:after="80" w:line="200" w:lineRule="exact"/>
              <w:ind w:right="113"/>
              <w:jc w:val="right"/>
              <w:rPr>
                <w:i/>
                <w:iCs/>
                <w:sz w:val="16"/>
                <w:szCs w:val="16"/>
              </w:rPr>
            </w:pPr>
            <w:r w:rsidRPr="00F91191">
              <w:rPr>
                <w:i/>
                <w:iCs/>
                <w:sz w:val="16"/>
                <w:szCs w:val="16"/>
              </w:rPr>
              <w:t>Budgeted</w:t>
            </w:r>
          </w:p>
        </w:tc>
        <w:tc>
          <w:tcPr>
            <w:tcW w:w="924" w:type="dxa"/>
            <w:tcBorders>
              <w:top w:val="single" w:sz="4" w:space="0" w:color="auto"/>
              <w:bottom w:val="single" w:sz="12" w:space="0" w:color="auto"/>
            </w:tcBorders>
            <w:shd w:val="clear" w:color="auto" w:fill="auto"/>
            <w:vAlign w:val="bottom"/>
            <w:hideMark/>
          </w:tcPr>
          <w:p w14:paraId="3B53E050" w14:textId="77777777" w:rsidR="00F91191" w:rsidRPr="00F91191" w:rsidRDefault="00F91191" w:rsidP="00EF1D17">
            <w:pPr>
              <w:spacing w:before="80" w:after="80" w:line="200" w:lineRule="exact"/>
              <w:ind w:right="113"/>
              <w:jc w:val="right"/>
              <w:rPr>
                <w:i/>
                <w:iCs/>
                <w:sz w:val="16"/>
                <w:szCs w:val="16"/>
              </w:rPr>
            </w:pPr>
            <w:r w:rsidRPr="00F91191">
              <w:rPr>
                <w:i/>
                <w:iCs/>
                <w:sz w:val="16"/>
                <w:szCs w:val="16"/>
              </w:rPr>
              <w:t>Spent</w:t>
            </w:r>
          </w:p>
        </w:tc>
        <w:tc>
          <w:tcPr>
            <w:tcW w:w="620" w:type="dxa"/>
            <w:tcBorders>
              <w:top w:val="single" w:sz="4" w:space="0" w:color="auto"/>
              <w:bottom w:val="single" w:sz="12" w:space="0" w:color="auto"/>
              <w:right w:val="single" w:sz="24" w:space="0" w:color="FFFFFF" w:themeColor="background1"/>
            </w:tcBorders>
            <w:shd w:val="clear" w:color="auto" w:fill="auto"/>
            <w:vAlign w:val="bottom"/>
            <w:hideMark/>
          </w:tcPr>
          <w:p w14:paraId="1BD126CB" w14:textId="77777777" w:rsidR="00F91191" w:rsidRPr="00F91191" w:rsidRDefault="00F91191" w:rsidP="00EF1D17">
            <w:pPr>
              <w:spacing w:before="80" w:after="80" w:line="200" w:lineRule="exact"/>
              <w:ind w:right="113"/>
              <w:jc w:val="right"/>
              <w:rPr>
                <w:i/>
                <w:iCs/>
                <w:sz w:val="16"/>
                <w:szCs w:val="16"/>
              </w:rPr>
            </w:pPr>
            <w:r w:rsidRPr="00F91191">
              <w:rPr>
                <w:i/>
                <w:iCs/>
                <w:sz w:val="16"/>
                <w:szCs w:val="16"/>
              </w:rPr>
              <w:t>%</w:t>
            </w:r>
          </w:p>
        </w:tc>
        <w:tc>
          <w:tcPr>
            <w:tcW w:w="1073" w:type="dxa"/>
            <w:tcBorders>
              <w:top w:val="single" w:sz="4" w:space="0" w:color="auto"/>
              <w:left w:val="single" w:sz="24" w:space="0" w:color="FFFFFF" w:themeColor="background1"/>
              <w:bottom w:val="single" w:sz="12" w:space="0" w:color="auto"/>
            </w:tcBorders>
            <w:shd w:val="clear" w:color="auto" w:fill="auto"/>
            <w:noWrap/>
            <w:vAlign w:val="bottom"/>
            <w:hideMark/>
          </w:tcPr>
          <w:p w14:paraId="41CA0965" w14:textId="77777777" w:rsidR="00F91191" w:rsidRPr="00F91191" w:rsidRDefault="00F91191" w:rsidP="00EF1D17">
            <w:pPr>
              <w:spacing w:before="80" w:after="80" w:line="200" w:lineRule="exact"/>
              <w:ind w:right="113"/>
              <w:jc w:val="right"/>
              <w:rPr>
                <w:i/>
                <w:iCs/>
                <w:sz w:val="16"/>
                <w:szCs w:val="16"/>
              </w:rPr>
            </w:pPr>
            <w:r w:rsidRPr="00F91191">
              <w:rPr>
                <w:i/>
                <w:iCs/>
                <w:sz w:val="16"/>
                <w:szCs w:val="16"/>
              </w:rPr>
              <w:t>Budgeted</w:t>
            </w:r>
          </w:p>
        </w:tc>
        <w:tc>
          <w:tcPr>
            <w:tcW w:w="924" w:type="dxa"/>
            <w:tcBorders>
              <w:top w:val="single" w:sz="4" w:space="0" w:color="auto"/>
              <w:bottom w:val="single" w:sz="12" w:space="0" w:color="auto"/>
            </w:tcBorders>
            <w:shd w:val="clear" w:color="auto" w:fill="auto"/>
            <w:vAlign w:val="bottom"/>
            <w:hideMark/>
          </w:tcPr>
          <w:p w14:paraId="7ED744C0" w14:textId="77777777" w:rsidR="00F91191" w:rsidRPr="00F91191" w:rsidRDefault="00F91191" w:rsidP="00EF1D17">
            <w:pPr>
              <w:spacing w:before="80" w:after="80" w:line="200" w:lineRule="exact"/>
              <w:ind w:right="113"/>
              <w:jc w:val="right"/>
              <w:rPr>
                <w:i/>
                <w:iCs/>
                <w:sz w:val="16"/>
                <w:szCs w:val="16"/>
              </w:rPr>
            </w:pPr>
            <w:r w:rsidRPr="00F91191">
              <w:rPr>
                <w:i/>
                <w:iCs/>
                <w:sz w:val="16"/>
                <w:szCs w:val="16"/>
              </w:rPr>
              <w:t>Spent</w:t>
            </w:r>
          </w:p>
        </w:tc>
        <w:tc>
          <w:tcPr>
            <w:tcW w:w="518" w:type="dxa"/>
            <w:tcBorders>
              <w:top w:val="single" w:sz="4" w:space="0" w:color="auto"/>
              <w:bottom w:val="single" w:sz="12" w:space="0" w:color="auto"/>
            </w:tcBorders>
            <w:shd w:val="clear" w:color="auto" w:fill="auto"/>
            <w:vAlign w:val="bottom"/>
            <w:hideMark/>
          </w:tcPr>
          <w:p w14:paraId="23756A85" w14:textId="77777777" w:rsidR="00F91191" w:rsidRPr="00F91191" w:rsidRDefault="00F91191" w:rsidP="00EF1D17">
            <w:pPr>
              <w:spacing w:before="80" w:after="80" w:line="200" w:lineRule="exact"/>
              <w:ind w:right="113"/>
              <w:jc w:val="right"/>
              <w:rPr>
                <w:i/>
                <w:iCs/>
                <w:sz w:val="16"/>
                <w:szCs w:val="16"/>
              </w:rPr>
            </w:pPr>
            <w:r w:rsidRPr="00F91191">
              <w:rPr>
                <w:i/>
                <w:iCs/>
                <w:sz w:val="16"/>
                <w:szCs w:val="16"/>
              </w:rPr>
              <w:t>%</w:t>
            </w:r>
          </w:p>
        </w:tc>
        <w:tc>
          <w:tcPr>
            <w:tcW w:w="945" w:type="dxa"/>
            <w:vMerge/>
            <w:tcBorders>
              <w:bottom w:val="single" w:sz="12" w:space="0" w:color="auto"/>
            </w:tcBorders>
            <w:shd w:val="clear" w:color="auto" w:fill="auto"/>
            <w:vAlign w:val="bottom"/>
            <w:hideMark/>
          </w:tcPr>
          <w:p w14:paraId="6A843207" w14:textId="77777777" w:rsidR="00F91191" w:rsidRPr="00F91191" w:rsidRDefault="00F91191" w:rsidP="00F91191">
            <w:pPr>
              <w:spacing w:before="80" w:after="80" w:line="200" w:lineRule="exact"/>
              <w:ind w:right="113"/>
              <w:rPr>
                <w:i/>
                <w:iCs/>
                <w:sz w:val="16"/>
                <w:szCs w:val="16"/>
              </w:rPr>
            </w:pPr>
          </w:p>
        </w:tc>
      </w:tr>
      <w:tr w:rsidR="00117237" w:rsidRPr="00117237" w14:paraId="1D245BF0" w14:textId="77777777" w:rsidTr="005462C9">
        <w:trPr>
          <w:trHeight w:val="240"/>
        </w:trPr>
        <w:tc>
          <w:tcPr>
            <w:tcW w:w="1134" w:type="dxa"/>
            <w:tcBorders>
              <w:top w:val="single" w:sz="12" w:space="0" w:color="auto"/>
            </w:tcBorders>
            <w:shd w:val="clear" w:color="auto" w:fill="auto"/>
            <w:hideMark/>
          </w:tcPr>
          <w:p w14:paraId="09B91D7D" w14:textId="77777777" w:rsidR="002227E6" w:rsidRPr="00117237" w:rsidRDefault="002227E6" w:rsidP="00117237">
            <w:pPr>
              <w:spacing w:before="40" w:after="40" w:line="220" w:lineRule="exact"/>
              <w:ind w:right="113"/>
              <w:rPr>
                <w:sz w:val="18"/>
                <w:szCs w:val="18"/>
              </w:rPr>
            </w:pPr>
            <w:r w:rsidRPr="00117237">
              <w:rPr>
                <w:sz w:val="18"/>
                <w:szCs w:val="18"/>
              </w:rPr>
              <w:t>Chuquisaca</w:t>
            </w:r>
          </w:p>
        </w:tc>
        <w:tc>
          <w:tcPr>
            <w:tcW w:w="939" w:type="dxa"/>
            <w:tcBorders>
              <w:top w:val="single" w:sz="12" w:space="0" w:color="auto"/>
            </w:tcBorders>
            <w:shd w:val="clear" w:color="auto" w:fill="auto"/>
            <w:vAlign w:val="bottom"/>
            <w:hideMark/>
          </w:tcPr>
          <w:p w14:paraId="1DAD0D2B" w14:textId="78B11EA6" w:rsidR="002227E6" w:rsidRPr="00117237" w:rsidRDefault="002227E6" w:rsidP="00117237">
            <w:pPr>
              <w:spacing w:before="40" w:after="40" w:line="220" w:lineRule="exact"/>
              <w:ind w:right="113"/>
              <w:jc w:val="right"/>
              <w:rPr>
                <w:sz w:val="18"/>
                <w:szCs w:val="18"/>
              </w:rPr>
            </w:pPr>
            <w:r w:rsidRPr="00117237">
              <w:rPr>
                <w:sz w:val="18"/>
                <w:szCs w:val="18"/>
              </w:rPr>
              <w:t>717</w:t>
            </w:r>
            <w:r w:rsidR="008825A1">
              <w:rPr>
                <w:sz w:val="18"/>
                <w:szCs w:val="18"/>
              </w:rPr>
              <w:t xml:space="preserve"> </w:t>
            </w:r>
            <w:r w:rsidRPr="00117237">
              <w:rPr>
                <w:sz w:val="18"/>
                <w:szCs w:val="18"/>
              </w:rPr>
              <w:t>020</w:t>
            </w:r>
          </w:p>
        </w:tc>
        <w:tc>
          <w:tcPr>
            <w:tcW w:w="938" w:type="dxa"/>
            <w:tcBorders>
              <w:top w:val="single" w:sz="12" w:space="0" w:color="auto"/>
            </w:tcBorders>
            <w:shd w:val="clear" w:color="auto" w:fill="auto"/>
            <w:vAlign w:val="bottom"/>
            <w:hideMark/>
          </w:tcPr>
          <w:p w14:paraId="12DEEC69" w14:textId="7E3CA7B3" w:rsidR="002227E6" w:rsidRPr="00117237" w:rsidRDefault="002227E6" w:rsidP="00117237">
            <w:pPr>
              <w:spacing w:before="40" w:after="40" w:line="220" w:lineRule="exact"/>
              <w:ind w:right="113"/>
              <w:jc w:val="right"/>
              <w:rPr>
                <w:sz w:val="18"/>
                <w:szCs w:val="18"/>
              </w:rPr>
            </w:pPr>
            <w:r w:rsidRPr="00117237">
              <w:rPr>
                <w:sz w:val="18"/>
                <w:szCs w:val="18"/>
              </w:rPr>
              <w:t>191</w:t>
            </w:r>
            <w:r w:rsidR="008825A1">
              <w:rPr>
                <w:sz w:val="18"/>
                <w:szCs w:val="18"/>
              </w:rPr>
              <w:t xml:space="preserve"> </w:t>
            </w:r>
            <w:r w:rsidRPr="00117237">
              <w:rPr>
                <w:sz w:val="18"/>
                <w:szCs w:val="18"/>
              </w:rPr>
              <w:t>205</w:t>
            </w:r>
          </w:p>
        </w:tc>
        <w:tc>
          <w:tcPr>
            <w:tcW w:w="557" w:type="dxa"/>
            <w:tcBorders>
              <w:top w:val="single" w:sz="12" w:space="0" w:color="auto"/>
            </w:tcBorders>
            <w:shd w:val="clear" w:color="auto" w:fill="auto"/>
            <w:noWrap/>
            <w:vAlign w:val="bottom"/>
            <w:hideMark/>
          </w:tcPr>
          <w:p w14:paraId="0D203E0E" w14:textId="77777777" w:rsidR="002227E6" w:rsidRPr="00117237" w:rsidRDefault="002227E6" w:rsidP="00117237">
            <w:pPr>
              <w:spacing w:before="40" w:after="40" w:line="220" w:lineRule="exact"/>
              <w:ind w:right="113"/>
              <w:jc w:val="right"/>
              <w:rPr>
                <w:sz w:val="18"/>
                <w:szCs w:val="18"/>
              </w:rPr>
            </w:pPr>
            <w:r w:rsidRPr="00117237">
              <w:rPr>
                <w:sz w:val="18"/>
                <w:szCs w:val="18"/>
              </w:rPr>
              <w:t>26.67</w:t>
            </w:r>
          </w:p>
        </w:tc>
        <w:tc>
          <w:tcPr>
            <w:tcW w:w="1067" w:type="dxa"/>
            <w:tcBorders>
              <w:top w:val="single" w:sz="12" w:space="0" w:color="auto"/>
            </w:tcBorders>
            <w:shd w:val="clear" w:color="auto" w:fill="auto"/>
            <w:vAlign w:val="bottom"/>
            <w:hideMark/>
          </w:tcPr>
          <w:p w14:paraId="28F9649F" w14:textId="5D9EA837" w:rsidR="002227E6" w:rsidRPr="00117237" w:rsidRDefault="002227E6" w:rsidP="00117237">
            <w:pPr>
              <w:spacing w:before="40" w:after="40" w:line="220" w:lineRule="exact"/>
              <w:ind w:right="113"/>
              <w:jc w:val="right"/>
              <w:rPr>
                <w:sz w:val="18"/>
                <w:szCs w:val="18"/>
              </w:rPr>
            </w:pPr>
            <w:r w:rsidRPr="00117237">
              <w:rPr>
                <w:sz w:val="18"/>
                <w:szCs w:val="18"/>
              </w:rPr>
              <w:t>728</w:t>
            </w:r>
            <w:r w:rsidR="008825A1">
              <w:rPr>
                <w:sz w:val="18"/>
                <w:szCs w:val="18"/>
              </w:rPr>
              <w:t xml:space="preserve"> </w:t>
            </w:r>
            <w:r w:rsidRPr="00117237">
              <w:rPr>
                <w:sz w:val="18"/>
                <w:szCs w:val="18"/>
              </w:rPr>
              <w:t>488</w:t>
            </w:r>
          </w:p>
        </w:tc>
        <w:tc>
          <w:tcPr>
            <w:tcW w:w="924" w:type="dxa"/>
            <w:tcBorders>
              <w:top w:val="single" w:sz="12" w:space="0" w:color="auto"/>
            </w:tcBorders>
            <w:shd w:val="clear" w:color="auto" w:fill="auto"/>
            <w:vAlign w:val="bottom"/>
            <w:hideMark/>
          </w:tcPr>
          <w:p w14:paraId="0295F0D2" w14:textId="0F580746" w:rsidR="002227E6" w:rsidRPr="00117237" w:rsidRDefault="002227E6" w:rsidP="00117237">
            <w:pPr>
              <w:spacing w:before="40" w:after="40" w:line="220" w:lineRule="exact"/>
              <w:ind w:right="113"/>
              <w:jc w:val="right"/>
              <w:rPr>
                <w:sz w:val="18"/>
                <w:szCs w:val="18"/>
              </w:rPr>
            </w:pPr>
            <w:r w:rsidRPr="00117237">
              <w:rPr>
                <w:sz w:val="18"/>
                <w:szCs w:val="18"/>
              </w:rPr>
              <w:t>390</w:t>
            </w:r>
            <w:r w:rsidR="008825A1">
              <w:rPr>
                <w:sz w:val="18"/>
                <w:szCs w:val="18"/>
              </w:rPr>
              <w:t xml:space="preserve"> </w:t>
            </w:r>
            <w:r w:rsidRPr="00117237">
              <w:rPr>
                <w:sz w:val="18"/>
                <w:szCs w:val="18"/>
              </w:rPr>
              <w:t>043</w:t>
            </w:r>
          </w:p>
        </w:tc>
        <w:tc>
          <w:tcPr>
            <w:tcW w:w="620" w:type="dxa"/>
            <w:tcBorders>
              <w:top w:val="single" w:sz="12" w:space="0" w:color="auto"/>
            </w:tcBorders>
            <w:shd w:val="clear" w:color="auto" w:fill="auto"/>
            <w:noWrap/>
            <w:vAlign w:val="bottom"/>
            <w:hideMark/>
          </w:tcPr>
          <w:p w14:paraId="4D445F96" w14:textId="77777777" w:rsidR="002227E6" w:rsidRPr="00117237" w:rsidRDefault="002227E6" w:rsidP="00117237">
            <w:pPr>
              <w:spacing w:before="40" w:after="40" w:line="220" w:lineRule="exact"/>
              <w:ind w:right="113"/>
              <w:jc w:val="right"/>
              <w:rPr>
                <w:sz w:val="18"/>
                <w:szCs w:val="18"/>
              </w:rPr>
            </w:pPr>
            <w:r w:rsidRPr="00117237">
              <w:rPr>
                <w:sz w:val="18"/>
                <w:szCs w:val="18"/>
              </w:rPr>
              <w:t>53.54</w:t>
            </w:r>
          </w:p>
        </w:tc>
        <w:tc>
          <w:tcPr>
            <w:tcW w:w="1073" w:type="dxa"/>
            <w:tcBorders>
              <w:top w:val="single" w:sz="12" w:space="0" w:color="auto"/>
            </w:tcBorders>
            <w:shd w:val="clear" w:color="auto" w:fill="auto"/>
            <w:vAlign w:val="bottom"/>
            <w:hideMark/>
          </w:tcPr>
          <w:p w14:paraId="5313D948" w14:textId="2785B3A0" w:rsidR="002227E6" w:rsidRPr="00117237" w:rsidRDefault="002227E6" w:rsidP="00117237">
            <w:pPr>
              <w:spacing w:before="40" w:after="40" w:line="220" w:lineRule="exact"/>
              <w:ind w:right="113"/>
              <w:jc w:val="right"/>
              <w:rPr>
                <w:sz w:val="18"/>
                <w:szCs w:val="18"/>
              </w:rPr>
            </w:pPr>
            <w:r w:rsidRPr="00117237">
              <w:rPr>
                <w:sz w:val="18"/>
                <w:szCs w:val="18"/>
              </w:rPr>
              <w:t>881</w:t>
            </w:r>
            <w:r w:rsidR="008825A1">
              <w:rPr>
                <w:sz w:val="18"/>
                <w:szCs w:val="18"/>
              </w:rPr>
              <w:t xml:space="preserve"> </w:t>
            </w:r>
            <w:r w:rsidRPr="00117237">
              <w:rPr>
                <w:sz w:val="18"/>
                <w:szCs w:val="18"/>
              </w:rPr>
              <w:t>341</w:t>
            </w:r>
          </w:p>
        </w:tc>
        <w:tc>
          <w:tcPr>
            <w:tcW w:w="924" w:type="dxa"/>
            <w:tcBorders>
              <w:top w:val="single" w:sz="12" w:space="0" w:color="auto"/>
            </w:tcBorders>
            <w:shd w:val="clear" w:color="auto" w:fill="auto"/>
            <w:vAlign w:val="bottom"/>
            <w:hideMark/>
          </w:tcPr>
          <w:p w14:paraId="3B837D31" w14:textId="36AF224E" w:rsidR="002227E6" w:rsidRPr="00117237" w:rsidRDefault="002227E6" w:rsidP="00117237">
            <w:pPr>
              <w:spacing w:before="40" w:after="40" w:line="220" w:lineRule="exact"/>
              <w:ind w:right="113"/>
              <w:jc w:val="right"/>
              <w:rPr>
                <w:sz w:val="18"/>
                <w:szCs w:val="18"/>
              </w:rPr>
            </w:pPr>
            <w:r w:rsidRPr="00117237">
              <w:rPr>
                <w:sz w:val="18"/>
                <w:szCs w:val="18"/>
              </w:rPr>
              <w:t>741</w:t>
            </w:r>
            <w:r w:rsidR="008825A1">
              <w:rPr>
                <w:sz w:val="18"/>
                <w:szCs w:val="18"/>
              </w:rPr>
              <w:t xml:space="preserve"> </w:t>
            </w:r>
            <w:r w:rsidRPr="00117237">
              <w:rPr>
                <w:sz w:val="18"/>
                <w:szCs w:val="18"/>
              </w:rPr>
              <w:t>151</w:t>
            </w:r>
          </w:p>
        </w:tc>
        <w:tc>
          <w:tcPr>
            <w:tcW w:w="518" w:type="dxa"/>
            <w:tcBorders>
              <w:top w:val="single" w:sz="12" w:space="0" w:color="auto"/>
            </w:tcBorders>
            <w:shd w:val="clear" w:color="auto" w:fill="auto"/>
            <w:noWrap/>
            <w:vAlign w:val="bottom"/>
            <w:hideMark/>
          </w:tcPr>
          <w:p w14:paraId="3E669911" w14:textId="77777777" w:rsidR="002227E6" w:rsidRPr="00117237" w:rsidRDefault="002227E6" w:rsidP="00117237">
            <w:pPr>
              <w:spacing w:before="40" w:after="40" w:line="220" w:lineRule="exact"/>
              <w:ind w:right="113"/>
              <w:jc w:val="right"/>
              <w:rPr>
                <w:sz w:val="18"/>
                <w:szCs w:val="18"/>
              </w:rPr>
            </w:pPr>
            <w:r w:rsidRPr="00117237">
              <w:rPr>
                <w:sz w:val="18"/>
                <w:szCs w:val="18"/>
              </w:rPr>
              <w:t>84.09</w:t>
            </w:r>
          </w:p>
        </w:tc>
        <w:tc>
          <w:tcPr>
            <w:tcW w:w="945" w:type="dxa"/>
            <w:tcBorders>
              <w:top w:val="single" w:sz="12" w:space="0" w:color="auto"/>
            </w:tcBorders>
            <w:shd w:val="clear" w:color="auto" w:fill="auto"/>
            <w:vAlign w:val="bottom"/>
            <w:hideMark/>
          </w:tcPr>
          <w:p w14:paraId="010AF9F8" w14:textId="2D3E5040" w:rsidR="002227E6" w:rsidRPr="00117237" w:rsidRDefault="002227E6" w:rsidP="00117237">
            <w:pPr>
              <w:spacing w:before="40" w:after="40" w:line="220" w:lineRule="exact"/>
              <w:ind w:right="113"/>
              <w:jc w:val="right"/>
              <w:rPr>
                <w:sz w:val="18"/>
                <w:szCs w:val="18"/>
              </w:rPr>
            </w:pPr>
            <w:r w:rsidRPr="00117237">
              <w:rPr>
                <w:sz w:val="18"/>
                <w:szCs w:val="18"/>
              </w:rPr>
              <w:t>440</w:t>
            </w:r>
            <w:r w:rsidR="008825A1">
              <w:rPr>
                <w:sz w:val="18"/>
                <w:szCs w:val="18"/>
              </w:rPr>
              <w:t xml:space="preserve"> </w:t>
            </w:r>
            <w:r w:rsidRPr="00117237">
              <w:rPr>
                <w:sz w:val="18"/>
                <w:szCs w:val="18"/>
              </w:rPr>
              <w:t>799</w:t>
            </w:r>
          </w:p>
        </w:tc>
      </w:tr>
      <w:tr w:rsidR="00117237" w:rsidRPr="00117237" w14:paraId="46CC0E83" w14:textId="77777777" w:rsidTr="005462C9">
        <w:trPr>
          <w:trHeight w:val="240"/>
        </w:trPr>
        <w:tc>
          <w:tcPr>
            <w:tcW w:w="1134" w:type="dxa"/>
            <w:shd w:val="clear" w:color="auto" w:fill="auto"/>
            <w:hideMark/>
          </w:tcPr>
          <w:p w14:paraId="16E7CC8D" w14:textId="77777777" w:rsidR="002227E6" w:rsidRPr="00117237" w:rsidRDefault="002227E6" w:rsidP="00117237">
            <w:pPr>
              <w:spacing w:before="40" w:after="40" w:line="220" w:lineRule="exact"/>
              <w:ind w:right="113"/>
              <w:rPr>
                <w:sz w:val="18"/>
                <w:szCs w:val="18"/>
              </w:rPr>
            </w:pPr>
            <w:r w:rsidRPr="00117237">
              <w:rPr>
                <w:sz w:val="18"/>
                <w:szCs w:val="18"/>
              </w:rPr>
              <w:t>La Paz</w:t>
            </w:r>
          </w:p>
        </w:tc>
        <w:tc>
          <w:tcPr>
            <w:tcW w:w="939" w:type="dxa"/>
            <w:shd w:val="clear" w:color="auto" w:fill="auto"/>
            <w:vAlign w:val="bottom"/>
            <w:hideMark/>
          </w:tcPr>
          <w:p w14:paraId="559EEB57" w14:textId="7C67B321" w:rsidR="002227E6" w:rsidRPr="00117237" w:rsidRDefault="002227E6" w:rsidP="00117237">
            <w:pPr>
              <w:spacing w:before="40" w:after="40" w:line="220" w:lineRule="exact"/>
              <w:ind w:right="113"/>
              <w:jc w:val="right"/>
              <w:rPr>
                <w:sz w:val="18"/>
                <w:szCs w:val="18"/>
              </w:rPr>
            </w:pPr>
            <w:r w:rsidRPr="00117237">
              <w:rPr>
                <w:sz w:val="18"/>
                <w:szCs w:val="18"/>
              </w:rPr>
              <w:t>717</w:t>
            </w:r>
            <w:r w:rsidR="008825A1">
              <w:rPr>
                <w:sz w:val="18"/>
                <w:szCs w:val="18"/>
              </w:rPr>
              <w:t xml:space="preserve"> </w:t>
            </w:r>
            <w:r w:rsidRPr="00117237">
              <w:rPr>
                <w:sz w:val="18"/>
                <w:szCs w:val="18"/>
              </w:rPr>
              <w:t>020</w:t>
            </w:r>
          </w:p>
        </w:tc>
        <w:tc>
          <w:tcPr>
            <w:tcW w:w="938" w:type="dxa"/>
            <w:shd w:val="clear" w:color="auto" w:fill="auto"/>
            <w:vAlign w:val="bottom"/>
            <w:hideMark/>
          </w:tcPr>
          <w:p w14:paraId="4CB74DF2" w14:textId="643FDCBC" w:rsidR="002227E6" w:rsidRPr="00117237" w:rsidRDefault="002227E6" w:rsidP="00117237">
            <w:pPr>
              <w:spacing w:before="40" w:after="40" w:line="220" w:lineRule="exact"/>
              <w:ind w:right="113"/>
              <w:jc w:val="right"/>
              <w:rPr>
                <w:sz w:val="18"/>
                <w:szCs w:val="18"/>
              </w:rPr>
            </w:pPr>
            <w:r w:rsidRPr="00117237">
              <w:rPr>
                <w:sz w:val="18"/>
                <w:szCs w:val="18"/>
              </w:rPr>
              <w:t>615</w:t>
            </w:r>
            <w:r w:rsidR="008825A1">
              <w:rPr>
                <w:sz w:val="18"/>
                <w:szCs w:val="18"/>
              </w:rPr>
              <w:t xml:space="preserve"> </w:t>
            </w:r>
            <w:r w:rsidRPr="00117237">
              <w:rPr>
                <w:sz w:val="18"/>
                <w:szCs w:val="18"/>
              </w:rPr>
              <w:t>690</w:t>
            </w:r>
          </w:p>
        </w:tc>
        <w:tc>
          <w:tcPr>
            <w:tcW w:w="557" w:type="dxa"/>
            <w:shd w:val="clear" w:color="auto" w:fill="auto"/>
            <w:noWrap/>
            <w:vAlign w:val="bottom"/>
            <w:hideMark/>
          </w:tcPr>
          <w:p w14:paraId="2F361D46" w14:textId="77777777" w:rsidR="002227E6" w:rsidRPr="00117237" w:rsidRDefault="002227E6" w:rsidP="00117237">
            <w:pPr>
              <w:spacing w:before="40" w:after="40" w:line="220" w:lineRule="exact"/>
              <w:ind w:right="113"/>
              <w:jc w:val="right"/>
              <w:rPr>
                <w:sz w:val="18"/>
                <w:szCs w:val="18"/>
              </w:rPr>
            </w:pPr>
            <w:r w:rsidRPr="00117237">
              <w:rPr>
                <w:sz w:val="18"/>
                <w:szCs w:val="18"/>
              </w:rPr>
              <w:t>85.87</w:t>
            </w:r>
          </w:p>
        </w:tc>
        <w:tc>
          <w:tcPr>
            <w:tcW w:w="1067" w:type="dxa"/>
            <w:shd w:val="clear" w:color="auto" w:fill="auto"/>
            <w:vAlign w:val="bottom"/>
            <w:hideMark/>
          </w:tcPr>
          <w:p w14:paraId="4A0DD089" w14:textId="13412E4A" w:rsidR="002227E6" w:rsidRPr="00117237" w:rsidRDefault="002227E6" w:rsidP="00117237">
            <w:pPr>
              <w:spacing w:before="40" w:after="40" w:line="220" w:lineRule="exact"/>
              <w:ind w:right="113"/>
              <w:jc w:val="right"/>
              <w:rPr>
                <w:sz w:val="18"/>
                <w:szCs w:val="18"/>
              </w:rPr>
            </w:pPr>
            <w:r w:rsidRPr="00117237">
              <w:rPr>
                <w:sz w:val="18"/>
                <w:szCs w:val="18"/>
              </w:rPr>
              <w:t>728</w:t>
            </w:r>
            <w:r w:rsidR="008825A1">
              <w:rPr>
                <w:sz w:val="18"/>
                <w:szCs w:val="18"/>
              </w:rPr>
              <w:t xml:space="preserve"> </w:t>
            </w:r>
            <w:r w:rsidRPr="00117237">
              <w:rPr>
                <w:sz w:val="18"/>
                <w:szCs w:val="18"/>
              </w:rPr>
              <w:t>488</w:t>
            </w:r>
          </w:p>
        </w:tc>
        <w:tc>
          <w:tcPr>
            <w:tcW w:w="924" w:type="dxa"/>
            <w:shd w:val="clear" w:color="auto" w:fill="auto"/>
            <w:vAlign w:val="bottom"/>
            <w:hideMark/>
          </w:tcPr>
          <w:p w14:paraId="0F05E3E6" w14:textId="0BEC2EEF" w:rsidR="002227E6" w:rsidRPr="00117237" w:rsidRDefault="002227E6" w:rsidP="00117237">
            <w:pPr>
              <w:spacing w:before="40" w:after="40" w:line="220" w:lineRule="exact"/>
              <w:ind w:right="113"/>
              <w:jc w:val="right"/>
              <w:rPr>
                <w:sz w:val="18"/>
                <w:szCs w:val="18"/>
              </w:rPr>
            </w:pPr>
            <w:r w:rsidRPr="00117237">
              <w:rPr>
                <w:sz w:val="18"/>
                <w:szCs w:val="18"/>
              </w:rPr>
              <w:t>706</w:t>
            </w:r>
            <w:r w:rsidR="008825A1">
              <w:rPr>
                <w:sz w:val="18"/>
                <w:szCs w:val="18"/>
              </w:rPr>
              <w:t xml:space="preserve"> </w:t>
            </w:r>
            <w:r w:rsidRPr="00117237">
              <w:rPr>
                <w:sz w:val="18"/>
                <w:szCs w:val="18"/>
              </w:rPr>
              <w:t>023</w:t>
            </w:r>
          </w:p>
        </w:tc>
        <w:tc>
          <w:tcPr>
            <w:tcW w:w="620" w:type="dxa"/>
            <w:shd w:val="clear" w:color="auto" w:fill="auto"/>
            <w:noWrap/>
            <w:vAlign w:val="bottom"/>
            <w:hideMark/>
          </w:tcPr>
          <w:p w14:paraId="7004B702" w14:textId="77777777" w:rsidR="002227E6" w:rsidRPr="00117237" w:rsidRDefault="002227E6" w:rsidP="00117237">
            <w:pPr>
              <w:spacing w:before="40" w:after="40" w:line="220" w:lineRule="exact"/>
              <w:ind w:right="113"/>
              <w:jc w:val="right"/>
              <w:rPr>
                <w:sz w:val="18"/>
                <w:szCs w:val="18"/>
              </w:rPr>
            </w:pPr>
            <w:r w:rsidRPr="00117237">
              <w:rPr>
                <w:sz w:val="18"/>
                <w:szCs w:val="18"/>
              </w:rPr>
              <w:t>96.92</w:t>
            </w:r>
          </w:p>
        </w:tc>
        <w:tc>
          <w:tcPr>
            <w:tcW w:w="1073" w:type="dxa"/>
            <w:shd w:val="clear" w:color="auto" w:fill="auto"/>
            <w:vAlign w:val="bottom"/>
            <w:hideMark/>
          </w:tcPr>
          <w:p w14:paraId="7FEDBA5D" w14:textId="3A0FE0A8" w:rsidR="002227E6" w:rsidRPr="00117237" w:rsidRDefault="002227E6" w:rsidP="00117237">
            <w:pPr>
              <w:spacing w:before="40" w:after="40" w:line="220" w:lineRule="exact"/>
              <w:ind w:right="113"/>
              <w:jc w:val="right"/>
              <w:rPr>
                <w:sz w:val="18"/>
                <w:szCs w:val="18"/>
              </w:rPr>
            </w:pPr>
            <w:r w:rsidRPr="00117237">
              <w:rPr>
                <w:sz w:val="18"/>
                <w:szCs w:val="18"/>
              </w:rPr>
              <w:t>881</w:t>
            </w:r>
            <w:r w:rsidR="008825A1">
              <w:rPr>
                <w:sz w:val="18"/>
                <w:szCs w:val="18"/>
              </w:rPr>
              <w:t xml:space="preserve"> </w:t>
            </w:r>
            <w:r w:rsidRPr="00117237">
              <w:rPr>
                <w:sz w:val="18"/>
                <w:szCs w:val="18"/>
              </w:rPr>
              <w:t>341</w:t>
            </w:r>
          </w:p>
        </w:tc>
        <w:tc>
          <w:tcPr>
            <w:tcW w:w="924" w:type="dxa"/>
            <w:shd w:val="clear" w:color="auto" w:fill="auto"/>
            <w:vAlign w:val="bottom"/>
            <w:hideMark/>
          </w:tcPr>
          <w:p w14:paraId="5E137EB0" w14:textId="0A77592C" w:rsidR="002227E6" w:rsidRPr="00117237" w:rsidRDefault="002227E6" w:rsidP="00117237">
            <w:pPr>
              <w:spacing w:before="40" w:after="40" w:line="220" w:lineRule="exact"/>
              <w:ind w:right="113"/>
              <w:jc w:val="right"/>
              <w:rPr>
                <w:sz w:val="18"/>
                <w:szCs w:val="18"/>
              </w:rPr>
            </w:pPr>
            <w:r w:rsidRPr="00117237">
              <w:rPr>
                <w:sz w:val="18"/>
                <w:szCs w:val="18"/>
              </w:rPr>
              <w:t>836</w:t>
            </w:r>
            <w:r w:rsidR="008825A1">
              <w:rPr>
                <w:sz w:val="18"/>
                <w:szCs w:val="18"/>
              </w:rPr>
              <w:t xml:space="preserve"> </w:t>
            </w:r>
            <w:r w:rsidRPr="00117237">
              <w:rPr>
                <w:sz w:val="18"/>
                <w:szCs w:val="18"/>
              </w:rPr>
              <w:t>912</w:t>
            </w:r>
          </w:p>
        </w:tc>
        <w:tc>
          <w:tcPr>
            <w:tcW w:w="518" w:type="dxa"/>
            <w:shd w:val="clear" w:color="auto" w:fill="auto"/>
            <w:noWrap/>
            <w:vAlign w:val="bottom"/>
            <w:hideMark/>
          </w:tcPr>
          <w:p w14:paraId="2CF01E59" w14:textId="77777777" w:rsidR="002227E6" w:rsidRPr="00117237" w:rsidRDefault="002227E6" w:rsidP="00117237">
            <w:pPr>
              <w:spacing w:before="40" w:after="40" w:line="220" w:lineRule="exact"/>
              <w:ind w:right="113"/>
              <w:jc w:val="right"/>
              <w:rPr>
                <w:sz w:val="18"/>
                <w:szCs w:val="18"/>
              </w:rPr>
            </w:pPr>
            <w:r w:rsidRPr="00117237">
              <w:rPr>
                <w:sz w:val="18"/>
                <w:szCs w:val="18"/>
              </w:rPr>
              <w:t>94.96</w:t>
            </w:r>
          </w:p>
        </w:tc>
        <w:tc>
          <w:tcPr>
            <w:tcW w:w="945" w:type="dxa"/>
            <w:shd w:val="clear" w:color="auto" w:fill="auto"/>
            <w:vAlign w:val="bottom"/>
            <w:hideMark/>
          </w:tcPr>
          <w:p w14:paraId="12C91234" w14:textId="09C95F40" w:rsidR="002227E6" w:rsidRPr="00117237" w:rsidRDefault="002227E6" w:rsidP="00117237">
            <w:pPr>
              <w:spacing w:before="40" w:after="40" w:line="220" w:lineRule="exact"/>
              <w:ind w:right="113"/>
              <w:jc w:val="right"/>
              <w:rPr>
                <w:sz w:val="18"/>
                <w:szCs w:val="18"/>
              </w:rPr>
            </w:pPr>
            <w:r w:rsidRPr="00117237">
              <w:rPr>
                <w:sz w:val="18"/>
                <w:szCs w:val="18"/>
              </w:rPr>
              <w:t>719</w:t>
            </w:r>
            <w:r w:rsidR="008825A1">
              <w:rPr>
                <w:sz w:val="18"/>
                <w:szCs w:val="18"/>
              </w:rPr>
              <w:t xml:space="preserve"> </w:t>
            </w:r>
            <w:r w:rsidRPr="00117237">
              <w:rPr>
                <w:sz w:val="18"/>
                <w:szCs w:val="18"/>
              </w:rPr>
              <w:t>542</w:t>
            </w:r>
          </w:p>
        </w:tc>
      </w:tr>
      <w:tr w:rsidR="00117237" w:rsidRPr="00117237" w14:paraId="1B8B99DE" w14:textId="77777777" w:rsidTr="005462C9">
        <w:trPr>
          <w:trHeight w:val="240"/>
        </w:trPr>
        <w:tc>
          <w:tcPr>
            <w:tcW w:w="1134" w:type="dxa"/>
            <w:shd w:val="clear" w:color="auto" w:fill="auto"/>
            <w:hideMark/>
          </w:tcPr>
          <w:p w14:paraId="1D558538" w14:textId="77777777" w:rsidR="002227E6" w:rsidRPr="00117237" w:rsidRDefault="002227E6" w:rsidP="00117237">
            <w:pPr>
              <w:spacing w:before="40" w:after="40" w:line="220" w:lineRule="exact"/>
              <w:ind w:right="113"/>
              <w:rPr>
                <w:sz w:val="18"/>
                <w:szCs w:val="18"/>
              </w:rPr>
            </w:pPr>
            <w:r w:rsidRPr="00117237">
              <w:rPr>
                <w:sz w:val="18"/>
                <w:szCs w:val="18"/>
              </w:rPr>
              <w:t>Cochabamba</w:t>
            </w:r>
          </w:p>
        </w:tc>
        <w:tc>
          <w:tcPr>
            <w:tcW w:w="939" w:type="dxa"/>
            <w:shd w:val="clear" w:color="auto" w:fill="auto"/>
            <w:vAlign w:val="bottom"/>
            <w:hideMark/>
          </w:tcPr>
          <w:p w14:paraId="74E46FB6" w14:textId="7BFDAFEE" w:rsidR="002227E6" w:rsidRPr="00117237" w:rsidRDefault="002227E6" w:rsidP="00117237">
            <w:pPr>
              <w:spacing w:before="40" w:after="40" w:line="220" w:lineRule="exact"/>
              <w:ind w:right="113"/>
              <w:jc w:val="right"/>
              <w:rPr>
                <w:sz w:val="18"/>
                <w:szCs w:val="18"/>
              </w:rPr>
            </w:pPr>
            <w:r w:rsidRPr="00117237">
              <w:rPr>
                <w:sz w:val="18"/>
                <w:szCs w:val="18"/>
              </w:rPr>
              <w:t>717</w:t>
            </w:r>
            <w:r w:rsidR="008825A1">
              <w:rPr>
                <w:sz w:val="18"/>
                <w:szCs w:val="18"/>
              </w:rPr>
              <w:t xml:space="preserve"> </w:t>
            </w:r>
            <w:r w:rsidRPr="00117237">
              <w:rPr>
                <w:sz w:val="18"/>
                <w:szCs w:val="18"/>
              </w:rPr>
              <w:t>020</w:t>
            </w:r>
          </w:p>
        </w:tc>
        <w:tc>
          <w:tcPr>
            <w:tcW w:w="938" w:type="dxa"/>
            <w:shd w:val="clear" w:color="auto" w:fill="auto"/>
            <w:vAlign w:val="bottom"/>
            <w:hideMark/>
          </w:tcPr>
          <w:p w14:paraId="7A9E860F" w14:textId="68CDC762" w:rsidR="002227E6" w:rsidRPr="00117237" w:rsidRDefault="002227E6" w:rsidP="00117237">
            <w:pPr>
              <w:spacing w:before="40" w:after="40" w:line="220" w:lineRule="exact"/>
              <w:ind w:right="113"/>
              <w:jc w:val="right"/>
              <w:rPr>
                <w:sz w:val="18"/>
                <w:szCs w:val="18"/>
              </w:rPr>
            </w:pPr>
            <w:r w:rsidRPr="00117237">
              <w:rPr>
                <w:sz w:val="18"/>
                <w:szCs w:val="18"/>
              </w:rPr>
              <w:t>668</w:t>
            </w:r>
            <w:r w:rsidR="008825A1">
              <w:rPr>
                <w:sz w:val="18"/>
                <w:szCs w:val="18"/>
              </w:rPr>
              <w:t xml:space="preserve"> </w:t>
            </w:r>
            <w:r w:rsidRPr="00117237">
              <w:rPr>
                <w:sz w:val="18"/>
                <w:szCs w:val="18"/>
              </w:rPr>
              <w:t>430</w:t>
            </w:r>
          </w:p>
        </w:tc>
        <w:tc>
          <w:tcPr>
            <w:tcW w:w="557" w:type="dxa"/>
            <w:shd w:val="clear" w:color="auto" w:fill="auto"/>
            <w:noWrap/>
            <w:vAlign w:val="bottom"/>
            <w:hideMark/>
          </w:tcPr>
          <w:p w14:paraId="2E89F1D9" w14:textId="77777777" w:rsidR="002227E6" w:rsidRPr="00117237" w:rsidRDefault="002227E6" w:rsidP="00117237">
            <w:pPr>
              <w:spacing w:before="40" w:after="40" w:line="220" w:lineRule="exact"/>
              <w:ind w:right="113"/>
              <w:jc w:val="right"/>
              <w:rPr>
                <w:sz w:val="18"/>
                <w:szCs w:val="18"/>
              </w:rPr>
            </w:pPr>
            <w:r w:rsidRPr="00117237">
              <w:rPr>
                <w:sz w:val="18"/>
                <w:szCs w:val="18"/>
              </w:rPr>
              <w:t>93.22</w:t>
            </w:r>
          </w:p>
        </w:tc>
        <w:tc>
          <w:tcPr>
            <w:tcW w:w="1067" w:type="dxa"/>
            <w:shd w:val="clear" w:color="auto" w:fill="auto"/>
            <w:vAlign w:val="bottom"/>
            <w:hideMark/>
          </w:tcPr>
          <w:p w14:paraId="7D0FEA2B" w14:textId="3DD8EC35" w:rsidR="002227E6" w:rsidRPr="00117237" w:rsidRDefault="002227E6" w:rsidP="00117237">
            <w:pPr>
              <w:spacing w:before="40" w:after="40" w:line="220" w:lineRule="exact"/>
              <w:ind w:right="113"/>
              <w:jc w:val="right"/>
              <w:rPr>
                <w:sz w:val="18"/>
                <w:szCs w:val="18"/>
              </w:rPr>
            </w:pPr>
            <w:r w:rsidRPr="00117237">
              <w:rPr>
                <w:sz w:val="18"/>
                <w:szCs w:val="18"/>
              </w:rPr>
              <w:t>728</w:t>
            </w:r>
            <w:r w:rsidR="008825A1">
              <w:rPr>
                <w:sz w:val="18"/>
                <w:szCs w:val="18"/>
              </w:rPr>
              <w:t xml:space="preserve"> </w:t>
            </w:r>
            <w:r w:rsidRPr="00117237">
              <w:rPr>
                <w:sz w:val="18"/>
                <w:szCs w:val="18"/>
              </w:rPr>
              <w:t>488</w:t>
            </w:r>
          </w:p>
        </w:tc>
        <w:tc>
          <w:tcPr>
            <w:tcW w:w="924" w:type="dxa"/>
            <w:shd w:val="clear" w:color="auto" w:fill="auto"/>
            <w:vAlign w:val="bottom"/>
            <w:hideMark/>
          </w:tcPr>
          <w:p w14:paraId="669779BE" w14:textId="518F926A" w:rsidR="002227E6" w:rsidRPr="00117237" w:rsidRDefault="002227E6" w:rsidP="00117237">
            <w:pPr>
              <w:spacing w:before="40" w:after="40" w:line="220" w:lineRule="exact"/>
              <w:ind w:right="113"/>
              <w:jc w:val="right"/>
              <w:rPr>
                <w:sz w:val="18"/>
                <w:szCs w:val="18"/>
              </w:rPr>
            </w:pPr>
            <w:r w:rsidRPr="00117237">
              <w:rPr>
                <w:sz w:val="18"/>
                <w:szCs w:val="18"/>
              </w:rPr>
              <w:t>700</w:t>
            </w:r>
            <w:r w:rsidR="008825A1">
              <w:rPr>
                <w:sz w:val="18"/>
                <w:szCs w:val="18"/>
              </w:rPr>
              <w:t xml:space="preserve"> </w:t>
            </w:r>
            <w:r w:rsidRPr="00117237">
              <w:rPr>
                <w:sz w:val="18"/>
                <w:szCs w:val="18"/>
              </w:rPr>
              <w:t>207</w:t>
            </w:r>
          </w:p>
        </w:tc>
        <w:tc>
          <w:tcPr>
            <w:tcW w:w="620" w:type="dxa"/>
            <w:shd w:val="clear" w:color="auto" w:fill="auto"/>
            <w:noWrap/>
            <w:vAlign w:val="bottom"/>
            <w:hideMark/>
          </w:tcPr>
          <w:p w14:paraId="5C264D42" w14:textId="77777777" w:rsidR="002227E6" w:rsidRPr="00117237" w:rsidRDefault="002227E6" w:rsidP="00117237">
            <w:pPr>
              <w:spacing w:before="40" w:after="40" w:line="220" w:lineRule="exact"/>
              <w:ind w:right="113"/>
              <w:jc w:val="right"/>
              <w:rPr>
                <w:sz w:val="18"/>
                <w:szCs w:val="18"/>
              </w:rPr>
            </w:pPr>
            <w:r w:rsidRPr="00117237">
              <w:rPr>
                <w:sz w:val="18"/>
                <w:szCs w:val="18"/>
              </w:rPr>
              <w:t>96.12</w:t>
            </w:r>
          </w:p>
        </w:tc>
        <w:tc>
          <w:tcPr>
            <w:tcW w:w="1073" w:type="dxa"/>
            <w:shd w:val="clear" w:color="auto" w:fill="auto"/>
            <w:vAlign w:val="bottom"/>
            <w:hideMark/>
          </w:tcPr>
          <w:p w14:paraId="446EB1A5" w14:textId="31EFD3BC" w:rsidR="002227E6" w:rsidRPr="00117237" w:rsidRDefault="002227E6" w:rsidP="00117237">
            <w:pPr>
              <w:spacing w:before="40" w:after="40" w:line="220" w:lineRule="exact"/>
              <w:ind w:right="113"/>
              <w:jc w:val="right"/>
              <w:rPr>
                <w:sz w:val="18"/>
                <w:szCs w:val="18"/>
              </w:rPr>
            </w:pPr>
            <w:r w:rsidRPr="00117237">
              <w:rPr>
                <w:sz w:val="18"/>
                <w:szCs w:val="18"/>
              </w:rPr>
              <w:t>587</w:t>
            </w:r>
            <w:r w:rsidR="008825A1">
              <w:rPr>
                <w:sz w:val="18"/>
                <w:szCs w:val="18"/>
              </w:rPr>
              <w:t xml:space="preserve"> </w:t>
            </w:r>
            <w:r w:rsidRPr="00117237">
              <w:rPr>
                <w:sz w:val="18"/>
                <w:szCs w:val="18"/>
              </w:rPr>
              <w:t>561</w:t>
            </w:r>
          </w:p>
        </w:tc>
        <w:tc>
          <w:tcPr>
            <w:tcW w:w="924" w:type="dxa"/>
            <w:shd w:val="clear" w:color="auto" w:fill="auto"/>
            <w:vAlign w:val="bottom"/>
            <w:hideMark/>
          </w:tcPr>
          <w:p w14:paraId="65A1EA85" w14:textId="3E30A912" w:rsidR="002227E6" w:rsidRPr="00117237" w:rsidRDefault="002227E6" w:rsidP="00117237">
            <w:pPr>
              <w:spacing w:before="40" w:after="40" w:line="220" w:lineRule="exact"/>
              <w:ind w:right="113"/>
              <w:jc w:val="right"/>
              <w:rPr>
                <w:sz w:val="18"/>
                <w:szCs w:val="18"/>
              </w:rPr>
            </w:pPr>
            <w:r w:rsidRPr="00117237">
              <w:rPr>
                <w:sz w:val="18"/>
                <w:szCs w:val="18"/>
              </w:rPr>
              <w:t>547</w:t>
            </w:r>
            <w:r w:rsidR="008825A1">
              <w:rPr>
                <w:sz w:val="18"/>
                <w:szCs w:val="18"/>
              </w:rPr>
              <w:t xml:space="preserve"> </w:t>
            </w:r>
            <w:r w:rsidRPr="00117237">
              <w:rPr>
                <w:sz w:val="18"/>
                <w:szCs w:val="18"/>
              </w:rPr>
              <w:t>238</w:t>
            </w:r>
          </w:p>
        </w:tc>
        <w:tc>
          <w:tcPr>
            <w:tcW w:w="518" w:type="dxa"/>
            <w:shd w:val="clear" w:color="auto" w:fill="auto"/>
            <w:noWrap/>
            <w:vAlign w:val="bottom"/>
            <w:hideMark/>
          </w:tcPr>
          <w:p w14:paraId="0FAED985" w14:textId="77777777" w:rsidR="002227E6" w:rsidRPr="00117237" w:rsidRDefault="002227E6" w:rsidP="00117237">
            <w:pPr>
              <w:spacing w:before="40" w:after="40" w:line="220" w:lineRule="exact"/>
              <w:ind w:right="113"/>
              <w:jc w:val="right"/>
              <w:rPr>
                <w:sz w:val="18"/>
                <w:szCs w:val="18"/>
              </w:rPr>
            </w:pPr>
            <w:r w:rsidRPr="00117237">
              <w:rPr>
                <w:sz w:val="18"/>
                <w:szCs w:val="18"/>
              </w:rPr>
              <w:t>93.14</w:t>
            </w:r>
          </w:p>
        </w:tc>
        <w:tc>
          <w:tcPr>
            <w:tcW w:w="945" w:type="dxa"/>
            <w:shd w:val="clear" w:color="auto" w:fill="auto"/>
            <w:vAlign w:val="bottom"/>
            <w:hideMark/>
          </w:tcPr>
          <w:p w14:paraId="41DB77B1" w14:textId="1846339C" w:rsidR="002227E6" w:rsidRPr="00117237" w:rsidRDefault="002227E6" w:rsidP="00117237">
            <w:pPr>
              <w:spacing w:before="40" w:after="40" w:line="220" w:lineRule="exact"/>
              <w:ind w:right="113"/>
              <w:jc w:val="right"/>
              <w:rPr>
                <w:sz w:val="18"/>
                <w:szCs w:val="18"/>
              </w:rPr>
            </w:pPr>
            <w:r w:rsidRPr="00117237">
              <w:rPr>
                <w:sz w:val="18"/>
                <w:szCs w:val="18"/>
              </w:rPr>
              <w:t>638</w:t>
            </w:r>
            <w:r w:rsidR="008825A1">
              <w:rPr>
                <w:sz w:val="18"/>
                <w:szCs w:val="18"/>
              </w:rPr>
              <w:t xml:space="preserve"> </w:t>
            </w:r>
            <w:r w:rsidRPr="00117237">
              <w:rPr>
                <w:sz w:val="18"/>
                <w:szCs w:val="18"/>
              </w:rPr>
              <w:t>625</w:t>
            </w:r>
          </w:p>
        </w:tc>
      </w:tr>
      <w:tr w:rsidR="00117237" w:rsidRPr="00117237" w14:paraId="6C91D0A1" w14:textId="77777777" w:rsidTr="005462C9">
        <w:trPr>
          <w:trHeight w:val="240"/>
        </w:trPr>
        <w:tc>
          <w:tcPr>
            <w:tcW w:w="1134" w:type="dxa"/>
            <w:shd w:val="clear" w:color="auto" w:fill="auto"/>
            <w:hideMark/>
          </w:tcPr>
          <w:p w14:paraId="559AA7F3" w14:textId="77777777" w:rsidR="002227E6" w:rsidRPr="00117237" w:rsidRDefault="002227E6" w:rsidP="00117237">
            <w:pPr>
              <w:spacing w:before="40" w:after="40" w:line="220" w:lineRule="exact"/>
              <w:ind w:right="113"/>
              <w:rPr>
                <w:sz w:val="18"/>
                <w:szCs w:val="18"/>
              </w:rPr>
            </w:pPr>
            <w:r w:rsidRPr="00117237">
              <w:rPr>
                <w:sz w:val="18"/>
                <w:szCs w:val="18"/>
              </w:rPr>
              <w:t>Oruro</w:t>
            </w:r>
          </w:p>
        </w:tc>
        <w:tc>
          <w:tcPr>
            <w:tcW w:w="939" w:type="dxa"/>
            <w:shd w:val="clear" w:color="auto" w:fill="auto"/>
            <w:vAlign w:val="bottom"/>
            <w:hideMark/>
          </w:tcPr>
          <w:p w14:paraId="2929E800" w14:textId="42A2CA33" w:rsidR="002227E6" w:rsidRPr="00117237" w:rsidRDefault="002227E6" w:rsidP="00117237">
            <w:pPr>
              <w:spacing w:before="40" w:after="40" w:line="220" w:lineRule="exact"/>
              <w:ind w:right="113"/>
              <w:jc w:val="right"/>
              <w:rPr>
                <w:sz w:val="18"/>
                <w:szCs w:val="18"/>
              </w:rPr>
            </w:pPr>
            <w:r w:rsidRPr="00117237">
              <w:rPr>
                <w:sz w:val="18"/>
                <w:szCs w:val="18"/>
              </w:rPr>
              <w:t>684</w:t>
            </w:r>
            <w:r w:rsidR="008825A1">
              <w:rPr>
                <w:sz w:val="18"/>
                <w:szCs w:val="18"/>
              </w:rPr>
              <w:t xml:space="preserve"> </w:t>
            </w:r>
            <w:r w:rsidRPr="00117237">
              <w:rPr>
                <w:sz w:val="18"/>
                <w:szCs w:val="18"/>
              </w:rPr>
              <w:t>478</w:t>
            </w:r>
          </w:p>
        </w:tc>
        <w:tc>
          <w:tcPr>
            <w:tcW w:w="938" w:type="dxa"/>
            <w:shd w:val="clear" w:color="auto" w:fill="auto"/>
            <w:vAlign w:val="bottom"/>
            <w:hideMark/>
          </w:tcPr>
          <w:p w14:paraId="47B60FDB" w14:textId="77777777" w:rsidR="002227E6" w:rsidRPr="00117237" w:rsidRDefault="002227E6" w:rsidP="00117237">
            <w:pPr>
              <w:spacing w:before="40" w:after="40" w:line="220" w:lineRule="exact"/>
              <w:ind w:right="113"/>
              <w:jc w:val="right"/>
              <w:rPr>
                <w:sz w:val="18"/>
                <w:szCs w:val="18"/>
              </w:rPr>
            </w:pPr>
            <w:r w:rsidRPr="00117237">
              <w:rPr>
                <w:sz w:val="18"/>
                <w:szCs w:val="18"/>
              </w:rPr>
              <w:t>0</w:t>
            </w:r>
          </w:p>
        </w:tc>
        <w:tc>
          <w:tcPr>
            <w:tcW w:w="557" w:type="dxa"/>
            <w:shd w:val="clear" w:color="auto" w:fill="auto"/>
            <w:noWrap/>
            <w:vAlign w:val="bottom"/>
            <w:hideMark/>
          </w:tcPr>
          <w:p w14:paraId="2E8B25D1" w14:textId="77777777" w:rsidR="002227E6" w:rsidRPr="00117237" w:rsidRDefault="002227E6" w:rsidP="00117237">
            <w:pPr>
              <w:spacing w:before="40" w:after="40" w:line="220" w:lineRule="exact"/>
              <w:ind w:right="113"/>
              <w:jc w:val="right"/>
              <w:rPr>
                <w:sz w:val="18"/>
                <w:szCs w:val="18"/>
              </w:rPr>
            </w:pPr>
            <w:r w:rsidRPr="00117237">
              <w:rPr>
                <w:sz w:val="18"/>
                <w:szCs w:val="18"/>
              </w:rPr>
              <w:t>0.00</w:t>
            </w:r>
          </w:p>
        </w:tc>
        <w:tc>
          <w:tcPr>
            <w:tcW w:w="1067" w:type="dxa"/>
            <w:shd w:val="clear" w:color="auto" w:fill="auto"/>
            <w:vAlign w:val="bottom"/>
            <w:hideMark/>
          </w:tcPr>
          <w:p w14:paraId="2B3693ED" w14:textId="77777777" w:rsidR="002227E6" w:rsidRPr="00117237" w:rsidRDefault="002227E6" w:rsidP="00117237">
            <w:pPr>
              <w:spacing w:before="40" w:after="40" w:line="220" w:lineRule="exact"/>
              <w:ind w:right="113"/>
              <w:jc w:val="right"/>
              <w:rPr>
                <w:sz w:val="18"/>
                <w:szCs w:val="18"/>
              </w:rPr>
            </w:pPr>
            <w:r w:rsidRPr="00117237">
              <w:rPr>
                <w:sz w:val="18"/>
                <w:szCs w:val="18"/>
              </w:rPr>
              <w:t>2.847 100</w:t>
            </w:r>
          </w:p>
        </w:tc>
        <w:tc>
          <w:tcPr>
            <w:tcW w:w="924" w:type="dxa"/>
            <w:shd w:val="clear" w:color="auto" w:fill="auto"/>
            <w:vAlign w:val="bottom"/>
            <w:hideMark/>
          </w:tcPr>
          <w:p w14:paraId="67D5AC22" w14:textId="77777777" w:rsidR="002227E6" w:rsidRPr="00117237" w:rsidRDefault="002227E6" w:rsidP="00117237">
            <w:pPr>
              <w:spacing w:before="40" w:after="40" w:line="220" w:lineRule="exact"/>
              <w:ind w:right="113"/>
              <w:jc w:val="right"/>
              <w:rPr>
                <w:sz w:val="18"/>
                <w:szCs w:val="18"/>
              </w:rPr>
            </w:pPr>
            <w:r w:rsidRPr="00117237">
              <w:rPr>
                <w:sz w:val="18"/>
                <w:szCs w:val="18"/>
              </w:rPr>
              <w:t>0</w:t>
            </w:r>
          </w:p>
        </w:tc>
        <w:tc>
          <w:tcPr>
            <w:tcW w:w="620" w:type="dxa"/>
            <w:shd w:val="clear" w:color="auto" w:fill="auto"/>
            <w:noWrap/>
            <w:vAlign w:val="bottom"/>
            <w:hideMark/>
          </w:tcPr>
          <w:p w14:paraId="0B3987AB" w14:textId="77777777" w:rsidR="002227E6" w:rsidRPr="00117237" w:rsidRDefault="002227E6" w:rsidP="00117237">
            <w:pPr>
              <w:spacing w:before="40" w:after="40" w:line="220" w:lineRule="exact"/>
              <w:ind w:right="113"/>
              <w:jc w:val="right"/>
              <w:rPr>
                <w:sz w:val="18"/>
                <w:szCs w:val="18"/>
              </w:rPr>
            </w:pPr>
            <w:r w:rsidRPr="00117237">
              <w:rPr>
                <w:sz w:val="18"/>
                <w:szCs w:val="18"/>
              </w:rPr>
              <w:t>0.00</w:t>
            </w:r>
          </w:p>
        </w:tc>
        <w:tc>
          <w:tcPr>
            <w:tcW w:w="1073" w:type="dxa"/>
            <w:shd w:val="clear" w:color="auto" w:fill="auto"/>
            <w:vAlign w:val="bottom"/>
            <w:hideMark/>
          </w:tcPr>
          <w:p w14:paraId="39167381" w14:textId="553E3932" w:rsidR="002227E6" w:rsidRPr="00117237" w:rsidRDefault="002227E6" w:rsidP="00117237">
            <w:pPr>
              <w:spacing w:before="40" w:after="40" w:line="220" w:lineRule="exact"/>
              <w:ind w:right="113"/>
              <w:jc w:val="right"/>
              <w:rPr>
                <w:sz w:val="18"/>
                <w:szCs w:val="18"/>
              </w:rPr>
            </w:pPr>
            <w:r w:rsidRPr="00117237">
              <w:rPr>
                <w:sz w:val="18"/>
                <w:szCs w:val="18"/>
              </w:rPr>
              <w:t>2</w:t>
            </w:r>
            <w:r w:rsidR="008825A1">
              <w:rPr>
                <w:sz w:val="18"/>
                <w:szCs w:val="18"/>
              </w:rPr>
              <w:t xml:space="preserve"> </w:t>
            </w:r>
            <w:r w:rsidRPr="00117237">
              <w:rPr>
                <w:sz w:val="18"/>
                <w:szCs w:val="18"/>
              </w:rPr>
              <w:t>544</w:t>
            </w:r>
            <w:r w:rsidR="008825A1">
              <w:rPr>
                <w:sz w:val="18"/>
                <w:szCs w:val="18"/>
              </w:rPr>
              <w:t xml:space="preserve"> </w:t>
            </w:r>
            <w:r w:rsidRPr="00117237">
              <w:rPr>
                <w:sz w:val="18"/>
                <w:szCs w:val="18"/>
              </w:rPr>
              <w:t>000</w:t>
            </w:r>
          </w:p>
        </w:tc>
        <w:tc>
          <w:tcPr>
            <w:tcW w:w="924" w:type="dxa"/>
            <w:shd w:val="clear" w:color="auto" w:fill="auto"/>
            <w:vAlign w:val="bottom"/>
            <w:hideMark/>
          </w:tcPr>
          <w:p w14:paraId="2D59E12C" w14:textId="77777777" w:rsidR="002227E6" w:rsidRPr="00117237" w:rsidRDefault="002227E6" w:rsidP="00117237">
            <w:pPr>
              <w:spacing w:before="40" w:after="40" w:line="220" w:lineRule="exact"/>
              <w:ind w:right="113"/>
              <w:jc w:val="right"/>
              <w:rPr>
                <w:sz w:val="18"/>
                <w:szCs w:val="18"/>
              </w:rPr>
            </w:pPr>
            <w:r w:rsidRPr="00117237">
              <w:rPr>
                <w:sz w:val="18"/>
                <w:szCs w:val="18"/>
              </w:rPr>
              <w:t>0</w:t>
            </w:r>
          </w:p>
        </w:tc>
        <w:tc>
          <w:tcPr>
            <w:tcW w:w="518" w:type="dxa"/>
            <w:shd w:val="clear" w:color="auto" w:fill="auto"/>
            <w:noWrap/>
            <w:vAlign w:val="bottom"/>
            <w:hideMark/>
          </w:tcPr>
          <w:p w14:paraId="6C202F7F" w14:textId="77777777" w:rsidR="002227E6" w:rsidRPr="00117237" w:rsidRDefault="002227E6" w:rsidP="00117237">
            <w:pPr>
              <w:spacing w:before="40" w:after="40" w:line="220" w:lineRule="exact"/>
              <w:ind w:right="113"/>
              <w:jc w:val="right"/>
              <w:rPr>
                <w:sz w:val="18"/>
                <w:szCs w:val="18"/>
              </w:rPr>
            </w:pPr>
            <w:r w:rsidRPr="00117237">
              <w:rPr>
                <w:sz w:val="18"/>
                <w:szCs w:val="18"/>
              </w:rPr>
              <w:t>0.00</w:t>
            </w:r>
          </w:p>
        </w:tc>
        <w:tc>
          <w:tcPr>
            <w:tcW w:w="945" w:type="dxa"/>
            <w:shd w:val="clear" w:color="auto" w:fill="auto"/>
            <w:vAlign w:val="bottom"/>
            <w:hideMark/>
          </w:tcPr>
          <w:p w14:paraId="29CB0529" w14:textId="77777777" w:rsidR="002227E6" w:rsidRPr="00117237" w:rsidRDefault="002227E6" w:rsidP="00117237">
            <w:pPr>
              <w:spacing w:before="40" w:after="40" w:line="220" w:lineRule="exact"/>
              <w:ind w:right="113"/>
              <w:jc w:val="right"/>
              <w:rPr>
                <w:sz w:val="18"/>
                <w:szCs w:val="18"/>
              </w:rPr>
            </w:pPr>
            <w:r w:rsidRPr="00117237">
              <w:rPr>
                <w:sz w:val="18"/>
                <w:szCs w:val="18"/>
              </w:rPr>
              <w:t>0</w:t>
            </w:r>
          </w:p>
        </w:tc>
      </w:tr>
      <w:tr w:rsidR="00117237" w:rsidRPr="00117237" w14:paraId="11F97B8E" w14:textId="77777777" w:rsidTr="005462C9">
        <w:trPr>
          <w:trHeight w:val="240"/>
        </w:trPr>
        <w:tc>
          <w:tcPr>
            <w:tcW w:w="1134" w:type="dxa"/>
            <w:shd w:val="clear" w:color="auto" w:fill="auto"/>
            <w:hideMark/>
          </w:tcPr>
          <w:p w14:paraId="30FDAF6B" w14:textId="77777777" w:rsidR="002227E6" w:rsidRPr="00117237" w:rsidRDefault="002227E6" w:rsidP="00117237">
            <w:pPr>
              <w:spacing w:before="40" w:after="40" w:line="220" w:lineRule="exact"/>
              <w:ind w:right="113"/>
              <w:rPr>
                <w:sz w:val="18"/>
                <w:szCs w:val="18"/>
              </w:rPr>
            </w:pPr>
            <w:r w:rsidRPr="00117237">
              <w:rPr>
                <w:sz w:val="18"/>
                <w:szCs w:val="18"/>
              </w:rPr>
              <w:t>Potosí</w:t>
            </w:r>
          </w:p>
        </w:tc>
        <w:tc>
          <w:tcPr>
            <w:tcW w:w="939" w:type="dxa"/>
            <w:shd w:val="clear" w:color="auto" w:fill="auto"/>
            <w:vAlign w:val="bottom"/>
            <w:hideMark/>
          </w:tcPr>
          <w:p w14:paraId="0F3F6A53" w14:textId="20FBC4A9" w:rsidR="002227E6" w:rsidRPr="00117237" w:rsidRDefault="002227E6" w:rsidP="00117237">
            <w:pPr>
              <w:spacing w:before="40" w:after="40" w:line="220" w:lineRule="exact"/>
              <w:ind w:right="113"/>
              <w:jc w:val="right"/>
              <w:rPr>
                <w:sz w:val="18"/>
                <w:szCs w:val="18"/>
              </w:rPr>
            </w:pPr>
            <w:r w:rsidRPr="00117237">
              <w:rPr>
                <w:sz w:val="18"/>
                <w:szCs w:val="18"/>
              </w:rPr>
              <w:t>1</w:t>
            </w:r>
            <w:r w:rsidR="008825A1">
              <w:rPr>
                <w:sz w:val="18"/>
                <w:szCs w:val="18"/>
              </w:rPr>
              <w:t xml:space="preserve"> </w:t>
            </w:r>
            <w:r w:rsidRPr="00117237">
              <w:rPr>
                <w:sz w:val="18"/>
                <w:szCs w:val="18"/>
              </w:rPr>
              <w:t>185</w:t>
            </w:r>
            <w:r w:rsidR="008825A1">
              <w:rPr>
                <w:sz w:val="18"/>
                <w:szCs w:val="18"/>
              </w:rPr>
              <w:t xml:space="preserve"> </w:t>
            </w:r>
            <w:r w:rsidRPr="00117237">
              <w:rPr>
                <w:sz w:val="18"/>
                <w:szCs w:val="18"/>
              </w:rPr>
              <w:t>919</w:t>
            </w:r>
          </w:p>
        </w:tc>
        <w:tc>
          <w:tcPr>
            <w:tcW w:w="938" w:type="dxa"/>
            <w:shd w:val="clear" w:color="auto" w:fill="auto"/>
            <w:vAlign w:val="bottom"/>
            <w:hideMark/>
          </w:tcPr>
          <w:p w14:paraId="0EDEAC73" w14:textId="1F010626" w:rsidR="002227E6" w:rsidRPr="00117237" w:rsidRDefault="002227E6" w:rsidP="00117237">
            <w:pPr>
              <w:spacing w:before="40" w:after="40" w:line="220" w:lineRule="exact"/>
              <w:ind w:right="113"/>
              <w:jc w:val="right"/>
              <w:rPr>
                <w:sz w:val="18"/>
                <w:szCs w:val="18"/>
              </w:rPr>
            </w:pPr>
            <w:r w:rsidRPr="00117237">
              <w:rPr>
                <w:sz w:val="18"/>
                <w:szCs w:val="18"/>
              </w:rPr>
              <w:t>240</w:t>
            </w:r>
            <w:r w:rsidR="008825A1">
              <w:rPr>
                <w:sz w:val="18"/>
                <w:szCs w:val="18"/>
              </w:rPr>
              <w:t xml:space="preserve"> </w:t>
            </w:r>
            <w:r w:rsidRPr="00117237">
              <w:rPr>
                <w:sz w:val="18"/>
                <w:szCs w:val="18"/>
              </w:rPr>
              <w:t>410</w:t>
            </w:r>
          </w:p>
        </w:tc>
        <w:tc>
          <w:tcPr>
            <w:tcW w:w="557" w:type="dxa"/>
            <w:shd w:val="clear" w:color="auto" w:fill="auto"/>
            <w:noWrap/>
            <w:vAlign w:val="bottom"/>
            <w:hideMark/>
          </w:tcPr>
          <w:p w14:paraId="0F8A7765" w14:textId="77777777" w:rsidR="002227E6" w:rsidRPr="00117237" w:rsidRDefault="002227E6" w:rsidP="00117237">
            <w:pPr>
              <w:spacing w:before="40" w:after="40" w:line="220" w:lineRule="exact"/>
              <w:ind w:right="113"/>
              <w:jc w:val="right"/>
              <w:rPr>
                <w:sz w:val="18"/>
                <w:szCs w:val="18"/>
              </w:rPr>
            </w:pPr>
            <w:r w:rsidRPr="00117237">
              <w:rPr>
                <w:sz w:val="18"/>
                <w:szCs w:val="18"/>
              </w:rPr>
              <w:t>20.27</w:t>
            </w:r>
          </w:p>
        </w:tc>
        <w:tc>
          <w:tcPr>
            <w:tcW w:w="1067" w:type="dxa"/>
            <w:shd w:val="clear" w:color="auto" w:fill="auto"/>
            <w:vAlign w:val="bottom"/>
            <w:hideMark/>
          </w:tcPr>
          <w:p w14:paraId="4E131955" w14:textId="442A4757" w:rsidR="002227E6" w:rsidRPr="00117237" w:rsidRDefault="002227E6" w:rsidP="00117237">
            <w:pPr>
              <w:spacing w:before="40" w:after="40" w:line="220" w:lineRule="exact"/>
              <w:ind w:right="113"/>
              <w:jc w:val="right"/>
              <w:rPr>
                <w:sz w:val="18"/>
                <w:szCs w:val="18"/>
              </w:rPr>
            </w:pPr>
            <w:r w:rsidRPr="00117237">
              <w:rPr>
                <w:sz w:val="18"/>
                <w:szCs w:val="18"/>
              </w:rPr>
              <w:t>864</w:t>
            </w:r>
            <w:r w:rsidR="008825A1">
              <w:rPr>
                <w:sz w:val="18"/>
                <w:szCs w:val="18"/>
              </w:rPr>
              <w:t xml:space="preserve"> </w:t>
            </w:r>
            <w:r w:rsidRPr="00117237">
              <w:rPr>
                <w:sz w:val="18"/>
                <w:szCs w:val="18"/>
              </w:rPr>
              <w:t>744</w:t>
            </w:r>
          </w:p>
        </w:tc>
        <w:tc>
          <w:tcPr>
            <w:tcW w:w="924" w:type="dxa"/>
            <w:shd w:val="clear" w:color="auto" w:fill="auto"/>
            <w:vAlign w:val="bottom"/>
            <w:hideMark/>
          </w:tcPr>
          <w:p w14:paraId="4DBFC232" w14:textId="7D617947" w:rsidR="002227E6" w:rsidRPr="00117237" w:rsidRDefault="002227E6" w:rsidP="00117237">
            <w:pPr>
              <w:spacing w:before="40" w:after="40" w:line="220" w:lineRule="exact"/>
              <w:ind w:right="113"/>
              <w:jc w:val="right"/>
              <w:rPr>
                <w:sz w:val="18"/>
                <w:szCs w:val="18"/>
              </w:rPr>
            </w:pPr>
            <w:r w:rsidRPr="00117237">
              <w:rPr>
                <w:sz w:val="18"/>
                <w:szCs w:val="18"/>
              </w:rPr>
              <w:t>159</w:t>
            </w:r>
            <w:r w:rsidR="008825A1">
              <w:rPr>
                <w:sz w:val="18"/>
                <w:szCs w:val="18"/>
              </w:rPr>
              <w:t xml:space="preserve"> </w:t>
            </w:r>
            <w:r w:rsidRPr="00117237">
              <w:rPr>
                <w:sz w:val="18"/>
                <w:szCs w:val="18"/>
              </w:rPr>
              <w:t>443</w:t>
            </w:r>
          </w:p>
        </w:tc>
        <w:tc>
          <w:tcPr>
            <w:tcW w:w="620" w:type="dxa"/>
            <w:shd w:val="clear" w:color="auto" w:fill="auto"/>
            <w:noWrap/>
            <w:vAlign w:val="bottom"/>
            <w:hideMark/>
          </w:tcPr>
          <w:p w14:paraId="5089DCB8" w14:textId="77777777" w:rsidR="002227E6" w:rsidRPr="00117237" w:rsidRDefault="002227E6" w:rsidP="00117237">
            <w:pPr>
              <w:spacing w:before="40" w:after="40" w:line="220" w:lineRule="exact"/>
              <w:ind w:right="113"/>
              <w:jc w:val="right"/>
              <w:rPr>
                <w:sz w:val="18"/>
                <w:szCs w:val="18"/>
              </w:rPr>
            </w:pPr>
            <w:r w:rsidRPr="00117237">
              <w:rPr>
                <w:sz w:val="18"/>
                <w:szCs w:val="18"/>
              </w:rPr>
              <w:t>18.44</w:t>
            </w:r>
          </w:p>
        </w:tc>
        <w:tc>
          <w:tcPr>
            <w:tcW w:w="1073" w:type="dxa"/>
            <w:shd w:val="clear" w:color="auto" w:fill="auto"/>
            <w:vAlign w:val="bottom"/>
            <w:hideMark/>
          </w:tcPr>
          <w:p w14:paraId="53E54F8A" w14:textId="206E67B3" w:rsidR="002227E6" w:rsidRPr="00117237" w:rsidRDefault="002227E6" w:rsidP="00117237">
            <w:pPr>
              <w:spacing w:before="40" w:after="40" w:line="220" w:lineRule="exact"/>
              <w:ind w:right="113"/>
              <w:jc w:val="right"/>
              <w:rPr>
                <w:sz w:val="18"/>
                <w:szCs w:val="18"/>
              </w:rPr>
            </w:pPr>
            <w:r w:rsidRPr="00117237">
              <w:rPr>
                <w:sz w:val="18"/>
                <w:szCs w:val="18"/>
              </w:rPr>
              <w:t>787</w:t>
            </w:r>
            <w:r w:rsidR="008825A1">
              <w:rPr>
                <w:sz w:val="18"/>
                <w:szCs w:val="18"/>
              </w:rPr>
              <w:t xml:space="preserve"> </w:t>
            </w:r>
            <w:r w:rsidRPr="00117237">
              <w:rPr>
                <w:sz w:val="18"/>
                <w:szCs w:val="18"/>
              </w:rPr>
              <w:t>561</w:t>
            </w:r>
          </w:p>
        </w:tc>
        <w:tc>
          <w:tcPr>
            <w:tcW w:w="924" w:type="dxa"/>
            <w:shd w:val="clear" w:color="auto" w:fill="auto"/>
            <w:vAlign w:val="bottom"/>
            <w:hideMark/>
          </w:tcPr>
          <w:p w14:paraId="1F295307" w14:textId="2CD99CD5" w:rsidR="002227E6" w:rsidRPr="00117237" w:rsidRDefault="002227E6" w:rsidP="00117237">
            <w:pPr>
              <w:spacing w:before="40" w:after="40" w:line="220" w:lineRule="exact"/>
              <w:ind w:right="113"/>
              <w:jc w:val="right"/>
              <w:rPr>
                <w:sz w:val="18"/>
                <w:szCs w:val="18"/>
              </w:rPr>
            </w:pPr>
            <w:r w:rsidRPr="00117237">
              <w:rPr>
                <w:sz w:val="18"/>
                <w:szCs w:val="18"/>
              </w:rPr>
              <w:t>391</w:t>
            </w:r>
            <w:r w:rsidR="008825A1">
              <w:rPr>
                <w:sz w:val="18"/>
                <w:szCs w:val="18"/>
              </w:rPr>
              <w:t xml:space="preserve"> </w:t>
            </w:r>
            <w:r w:rsidRPr="00117237">
              <w:rPr>
                <w:sz w:val="18"/>
                <w:szCs w:val="18"/>
              </w:rPr>
              <w:t>754</w:t>
            </w:r>
          </w:p>
        </w:tc>
        <w:tc>
          <w:tcPr>
            <w:tcW w:w="518" w:type="dxa"/>
            <w:shd w:val="clear" w:color="auto" w:fill="auto"/>
            <w:noWrap/>
            <w:vAlign w:val="bottom"/>
            <w:hideMark/>
          </w:tcPr>
          <w:p w14:paraId="0F62EA9E" w14:textId="77777777" w:rsidR="002227E6" w:rsidRPr="00117237" w:rsidRDefault="002227E6" w:rsidP="00117237">
            <w:pPr>
              <w:spacing w:before="40" w:after="40" w:line="220" w:lineRule="exact"/>
              <w:ind w:right="113"/>
              <w:jc w:val="right"/>
              <w:rPr>
                <w:sz w:val="18"/>
                <w:szCs w:val="18"/>
              </w:rPr>
            </w:pPr>
            <w:r w:rsidRPr="00117237">
              <w:rPr>
                <w:sz w:val="18"/>
                <w:szCs w:val="18"/>
              </w:rPr>
              <w:t>49.74</w:t>
            </w:r>
          </w:p>
        </w:tc>
        <w:tc>
          <w:tcPr>
            <w:tcW w:w="945" w:type="dxa"/>
            <w:shd w:val="clear" w:color="auto" w:fill="auto"/>
            <w:vAlign w:val="bottom"/>
            <w:hideMark/>
          </w:tcPr>
          <w:p w14:paraId="60CF7647" w14:textId="600640E3" w:rsidR="002227E6" w:rsidRPr="00117237" w:rsidRDefault="002227E6" w:rsidP="00117237">
            <w:pPr>
              <w:spacing w:before="40" w:after="40" w:line="220" w:lineRule="exact"/>
              <w:ind w:right="113"/>
              <w:jc w:val="right"/>
              <w:rPr>
                <w:sz w:val="18"/>
                <w:szCs w:val="18"/>
              </w:rPr>
            </w:pPr>
            <w:r w:rsidRPr="00117237">
              <w:rPr>
                <w:sz w:val="18"/>
                <w:szCs w:val="18"/>
              </w:rPr>
              <w:t>263</w:t>
            </w:r>
            <w:r w:rsidR="008825A1">
              <w:rPr>
                <w:sz w:val="18"/>
                <w:szCs w:val="18"/>
              </w:rPr>
              <w:t xml:space="preserve"> </w:t>
            </w:r>
            <w:r w:rsidRPr="00117237">
              <w:rPr>
                <w:sz w:val="18"/>
                <w:szCs w:val="18"/>
              </w:rPr>
              <w:t>869</w:t>
            </w:r>
          </w:p>
        </w:tc>
      </w:tr>
      <w:tr w:rsidR="00117237" w:rsidRPr="00117237" w14:paraId="404827D6" w14:textId="77777777" w:rsidTr="005462C9">
        <w:trPr>
          <w:trHeight w:val="240"/>
        </w:trPr>
        <w:tc>
          <w:tcPr>
            <w:tcW w:w="1134" w:type="dxa"/>
            <w:shd w:val="clear" w:color="auto" w:fill="auto"/>
            <w:hideMark/>
          </w:tcPr>
          <w:p w14:paraId="2B05B06F" w14:textId="77777777" w:rsidR="002227E6" w:rsidRPr="00117237" w:rsidRDefault="002227E6" w:rsidP="00117237">
            <w:pPr>
              <w:spacing w:before="40" w:after="40" w:line="220" w:lineRule="exact"/>
              <w:ind w:right="113"/>
              <w:rPr>
                <w:sz w:val="18"/>
                <w:szCs w:val="18"/>
              </w:rPr>
            </w:pPr>
            <w:r w:rsidRPr="00117237">
              <w:rPr>
                <w:sz w:val="18"/>
                <w:szCs w:val="18"/>
              </w:rPr>
              <w:t>Tarija</w:t>
            </w:r>
          </w:p>
        </w:tc>
        <w:tc>
          <w:tcPr>
            <w:tcW w:w="939" w:type="dxa"/>
            <w:shd w:val="clear" w:color="auto" w:fill="auto"/>
            <w:vAlign w:val="bottom"/>
            <w:hideMark/>
          </w:tcPr>
          <w:p w14:paraId="144E4E7F" w14:textId="12706656" w:rsidR="002227E6" w:rsidRPr="00117237" w:rsidRDefault="002227E6" w:rsidP="00117237">
            <w:pPr>
              <w:spacing w:before="40" w:after="40" w:line="220" w:lineRule="exact"/>
              <w:ind w:right="113"/>
              <w:jc w:val="right"/>
              <w:rPr>
                <w:sz w:val="18"/>
                <w:szCs w:val="18"/>
              </w:rPr>
            </w:pPr>
            <w:r w:rsidRPr="00117237">
              <w:rPr>
                <w:sz w:val="18"/>
                <w:szCs w:val="18"/>
              </w:rPr>
              <w:t>6</w:t>
            </w:r>
            <w:r w:rsidR="008825A1">
              <w:rPr>
                <w:sz w:val="18"/>
                <w:szCs w:val="18"/>
              </w:rPr>
              <w:t xml:space="preserve"> </w:t>
            </w:r>
            <w:r w:rsidRPr="00117237">
              <w:rPr>
                <w:sz w:val="18"/>
                <w:szCs w:val="18"/>
              </w:rPr>
              <w:t>695</w:t>
            </w:r>
            <w:r w:rsidR="008825A1">
              <w:rPr>
                <w:sz w:val="18"/>
                <w:szCs w:val="18"/>
              </w:rPr>
              <w:t xml:space="preserve"> </w:t>
            </w:r>
            <w:r w:rsidRPr="00117237">
              <w:rPr>
                <w:sz w:val="18"/>
                <w:szCs w:val="18"/>
              </w:rPr>
              <w:t>669</w:t>
            </w:r>
          </w:p>
        </w:tc>
        <w:tc>
          <w:tcPr>
            <w:tcW w:w="938" w:type="dxa"/>
            <w:shd w:val="clear" w:color="auto" w:fill="auto"/>
            <w:vAlign w:val="bottom"/>
            <w:hideMark/>
          </w:tcPr>
          <w:p w14:paraId="1B260C25" w14:textId="64E75DD8" w:rsidR="002227E6" w:rsidRPr="00117237" w:rsidRDefault="002227E6" w:rsidP="00117237">
            <w:pPr>
              <w:spacing w:before="40" w:after="40" w:line="220" w:lineRule="exact"/>
              <w:ind w:right="113"/>
              <w:jc w:val="right"/>
              <w:rPr>
                <w:sz w:val="18"/>
                <w:szCs w:val="18"/>
              </w:rPr>
            </w:pPr>
            <w:r w:rsidRPr="00117237">
              <w:rPr>
                <w:sz w:val="18"/>
                <w:szCs w:val="18"/>
              </w:rPr>
              <w:t>5</w:t>
            </w:r>
            <w:r w:rsidR="008825A1">
              <w:rPr>
                <w:sz w:val="18"/>
                <w:szCs w:val="18"/>
              </w:rPr>
              <w:t xml:space="preserve"> </w:t>
            </w:r>
            <w:r w:rsidRPr="00117237">
              <w:rPr>
                <w:sz w:val="18"/>
                <w:szCs w:val="18"/>
              </w:rPr>
              <w:t>116</w:t>
            </w:r>
            <w:r w:rsidR="008825A1">
              <w:rPr>
                <w:sz w:val="18"/>
                <w:szCs w:val="18"/>
              </w:rPr>
              <w:t xml:space="preserve"> </w:t>
            </w:r>
            <w:r w:rsidRPr="00117237">
              <w:rPr>
                <w:sz w:val="18"/>
                <w:szCs w:val="18"/>
              </w:rPr>
              <w:t>621</w:t>
            </w:r>
          </w:p>
        </w:tc>
        <w:tc>
          <w:tcPr>
            <w:tcW w:w="557" w:type="dxa"/>
            <w:shd w:val="clear" w:color="auto" w:fill="auto"/>
            <w:noWrap/>
            <w:vAlign w:val="bottom"/>
            <w:hideMark/>
          </w:tcPr>
          <w:p w14:paraId="1DACAF26" w14:textId="77777777" w:rsidR="002227E6" w:rsidRPr="00117237" w:rsidRDefault="002227E6" w:rsidP="00117237">
            <w:pPr>
              <w:spacing w:before="40" w:after="40" w:line="220" w:lineRule="exact"/>
              <w:ind w:right="113"/>
              <w:jc w:val="right"/>
              <w:rPr>
                <w:sz w:val="18"/>
                <w:szCs w:val="18"/>
              </w:rPr>
            </w:pPr>
            <w:r w:rsidRPr="00117237">
              <w:rPr>
                <w:sz w:val="18"/>
                <w:szCs w:val="18"/>
              </w:rPr>
              <w:t>76.42</w:t>
            </w:r>
          </w:p>
        </w:tc>
        <w:tc>
          <w:tcPr>
            <w:tcW w:w="1067" w:type="dxa"/>
            <w:shd w:val="clear" w:color="auto" w:fill="auto"/>
            <w:vAlign w:val="bottom"/>
            <w:hideMark/>
          </w:tcPr>
          <w:p w14:paraId="04C81821" w14:textId="4A535EB7" w:rsidR="002227E6" w:rsidRPr="00117237" w:rsidRDefault="002227E6" w:rsidP="00117237">
            <w:pPr>
              <w:spacing w:before="40" w:after="40" w:line="220" w:lineRule="exact"/>
              <w:ind w:right="113"/>
              <w:jc w:val="right"/>
              <w:rPr>
                <w:sz w:val="18"/>
                <w:szCs w:val="18"/>
              </w:rPr>
            </w:pPr>
            <w:r w:rsidRPr="00117237">
              <w:rPr>
                <w:sz w:val="18"/>
                <w:szCs w:val="18"/>
              </w:rPr>
              <w:t>7</w:t>
            </w:r>
            <w:r w:rsidR="008825A1">
              <w:rPr>
                <w:sz w:val="18"/>
                <w:szCs w:val="18"/>
              </w:rPr>
              <w:t xml:space="preserve"> </w:t>
            </w:r>
            <w:r w:rsidRPr="00117237">
              <w:rPr>
                <w:sz w:val="18"/>
                <w:szCs w:val="18"/>
              </w:rPr>
              <w:t>551</w:t>
            </w:r>
            <w:r w:rsidR="008825A1">
              <w:rPr>
                <w:sz w:val="18"/>
                <w:szCs w:val="18"/>
              </w:rPr>
              <w:t xml:space="preserve"> </w:t>
            </w:r>
            <w:r w:rsidRPr="00117237">
              <w:rPr>
                <w:sz w:val="18"/>
                <w:szCs w:val="18"/>
              </w:rPr>
              <w:t>829</w:t>
            </w:r>
          </w:p>
        </w:tc>
        <w:tc>
          <w:tcPr>
            <w:tcW w:w="924" w:type="dxa"/>
            <w:shd w:val="clear" w:color="auto" w:fill="auto"/>
            <w:vAlign w:val="bottom"/>
            <w:hideMark/>
          </w:tcPr>
          <w:p w14:paraId="0B525CDE" w14:textId="46E47390" w:rsidR="002227E6" w:rsidRPr="00117237" w:rsidRDefault="002227E6" w:rsidP="00117237">
            <w:pPr>
              <w:spacing w:before="40" w:after="40" w:line="220" w:lineRule="exact"/>
              <w:ind w:right="113"/>
              <w:jc w:val="right"/>
              <w:rPr>
                <w:sz w:val="18"/>
                <w:szCs w:val="18"/>
              </w:rPr>
            </w:pPr>
            <w:r w:rsidRPr="00117237">
              <w:rPr>
                <w:sz w:val="18"/>
                <w:szCs w:val="18"/>
              </w:rPr>
              <w:t>4</w:t>
            </w:r>
            <w:r w:rsidR="008825A1">
              <w:rPr>
                <w:sz w:val="18"/>
                <w:szCs w:val="18"/>
              </w:rPr>
              <w:t xml:space="preserve"> </w:t>
            </w:r>
            <w:r w:rsidRPr="00117237">
              <w:rPr>
                <w:sz w:val="18"/>
                <w:szCs w:val="18"/>
              </w:rPr>
              <w:t>773</w:t>
            </w:r>
            <w:r w:rsidR="008825A1">
              <w:rPr>
                <w:sz w:val="18"/>
                <w:szCs w:val="18"/>
              </w:rPr>
              <w:t xml:space="preserve"> </w:t>
            </w:r>
            <w:r w:rsidRPr="00117237">
              <w:rPr>
                <w:sz w:val="18"/>
                <w:szCs w:val="18"/>
              </w:rPr>
              <w:t>863</w:t>
            </w:r>
          </w:p>
        </w:tc>
        <w:tc>
          <w:tcPr>
            <w:tcW w:w="620" w:type="dxa"/>
            <w:shd w:val="clear" w:color="auto" w:fill="auto"/>
            <w:noWrap/>
            <w:vAlign w:val="bottom"/>
            <w:hideMark/>
          </w:tcPr>
          <w:p w14:paraId="71C170EF" w14:textId="77777777" w:rsidR="002227E6" w:rsidRPr="00117237" w:rsidRDefault="002227E6" w:rsidP="00117237">
            <w:pPr>
              <w:spacing w:before="40" w:after="40" w:line="220" w:lineRule="exact"/>
              <w:ind w:right="113"/>
              <w:jc w:val="right"/>
              <w:rPr>
                <w:sz w:val="18"/>
                <w:szCs w:val="18"/>
              </w:rPr>
            </w:pPr>
            <w:r w:rsidRPr="00117237">
              <w:rPr>
                <w:sz w:val="18"/>
                <w:szCs w:val="18"/>
              </w:rPr>
              <w:t>63.21</w:t>
            </w:r>
          </w:p>
        </w:tc>
        <w:tc>
          <w:tcPr>
            <w:tcW w:w="1073" w:type="dxa"/>
            <w:shd w:val="clear" w:color="auto" w:fill="auto"/>
            <w:vAlign w:val="bottom"/>
            <w:hideMark/>
          </w:tcPr>
          <w:p w14:paraId="25167B2F" w14:textId="6A982B84" w:rsidR="002227E6" w:rsidRPr="00117237" w:rsidRDefault="002227E6" w:rsidP="00117237">
            <w:pPr>
              <w:spacing w:before="40" w:after="40" w:line="220" w:lineRule="exact"/>
              <w:ind w:right="113"/>
              <w:jc w:val="right"/>
              <w:rPr>
                <w:sz w:val="18"/>
                <w:szCs w:val="18"/>
              </w:rPr>
            </w:pPr>
            <w:r w:rsidRPr="00117237">
              <w:rPr>
                <w:sz w:val="18"/>
                <w:szCs w:val="18"/>
              </w:rPr>
              <w:t>10</w:t>
            </w:r>
            <w:r w:rsidR="008825A1">
              <w:rPr>
                <w:sz w:val="18"/>
                <w:szCs w:val="18"/>
              </w:rPr>
              <w:t xml:space="preserve"> </w:t>
            </w:r>
            <w:r w:rsidRPr="00117237">
              <w:rPr>
                <w:sz w:val="18"/>
                <w:szCs w:val="18"/>
              </w:rPr>
              <w:t>814</w:t>
            </w:r>
            <w:r w:rsidR="008825A1">
              <w:rPr>
                <w:sz w:val="18"/>
                <w:szCs w:val="18"/>
              </w:rPr>
              <w:t xml:space="preserve"> </w:t>
            </w:r>
            <w:r w:rsidRPr="00117237">
              <w:rPr>
                <w:sz w:val="18"/>
                <w:szCs w:val="18"/>
              </w:rPr>
              <w:t>962</w:t>
            </w:r>
          </w:p>
        </w:tc>
        <w:tc>
          <w:tcPr>
            <w:tcW w:w="924" w:type="dxa"/>
            <w:shd w:val="clear" w:color="auto" w:fill="auto"/>
            <w:vAlign w:val="bottom"/>
            <w:hideMark/>
          </w:tcPr>
          <w:p w14:paraId="6A808560" w14:textId="0A97E131" w:rsidR="002227E6" w:rsidRPr="00117237" w:rsidRDefault="002227E6" w:rsidP="00117237">
            <w:pPr>
              <w:spacing w:before="40" w:after="40" w:line="220" w:lineRule="exact"/>
              <w:ind w:right="113"/>
              <w:jc w:val="right"/>
              <w:rPr>
                <w:sz w:val="18"/>
                <w:szCs w:val="18"/>
              </w:rPr>
            </w:pPr>
            <w:r w:rsidRPr="00117237">
              <w:rPr>
                <w:sz w:val="18"/>
                <w:szCs w:val="18"/>
              </w:rPr>
              <w:t>9</w:t>
            </w:r>
            <w:r w:rsidR="008825A1">
              <w:rPr>
                <w:sz w:val="18"/>
                <w:szCs w:val="18"/>
              </w:rPr>
              <w:t xml:space="preserve"> </w:t>
            </w:r>
            <w:r w:rsidRPr="00117237">
              <w:rPr>
                <w:sz w:val="18"/>
                <w:szCs w:val="18"/>
              </w:rPr>
              <w:t>194</w:t>
            </w:r>
            <w:r w:rsidR="008825A1">
              <w:rPr>
                <w:sz w:val="18"/>
                <w:szCs w:val="18"/>
              </w:rPr>
              <w:t xml:space="preserve"> </w:t>
            </w:r>
            <w:r w:rsidRPr="00117237">
              <w:rPr>
                <w:sz w:val="18"/>
                <w:szCs w:val="18"/>
              </w:rPr>
              <w:t>299</w:t>
            </w:r>
          </w:p>
        </w:tc>
        <w:tc>
          <w:tcPr>
            <w:tcW w:w="518" w:type="dxa"/>
            <w:shd w:val="clear" w:color="auto" w:fill="auto"/>
            <w:noWrap/>
            <w:vAlign w:val="bottom"/>
            <w:hideMark/>
          </w:tcPr>
          <w:p w14:paraId="5F89A2C4" w14:textId="77777777" w:rsidR="002227E6" w:rsidRPr="00117237" w:rsidRDefault="002227E6" w:rsidP="00117237">
            <w:pPr>
              <w:spacing w:before="40" w:after="40" w:line="220" w:lineRule="exact"/>
              <w:ind w:right="113"/>
              <w:jc w:val="right"/>
              <w:rPr>
                <w:sz w:val="18"/>
                <w:szCs w:val="18"/>
              </w:rPr>
            </w:pPr>
            <w:r w:rsidRPr="00117237">
              <w:rPr>
                <w:sz w:val="18"/>
                <w:szCs w:val="18"/>
              </w:rPr>
              <w:t>85.01</w:t>
            </w:r>
          </w:p>
        </w:tc>
        <w:tc>
          <w:tcPr>
            <w:tcW w:w="945" w:type="dxa"/>
            <w:shd w:val="clear" w:color="auto" w:fill="auto"/>
            <w:vAlign w:val="bottom"/>
            <w:hideMark/>
          </w:tcPr>
          <w:p w14:paraId="3E3632D0" w14:textId="40C0401F" w:rsidR="002227E6" w:rsidRPr="00117237" w:rsidRDefault="002227E6" w:rsidP="00117237">
            <w:pPr>
              <w:spacing w:before="40" w:after="40" w:line="220" w:lineRule="exact"/>
              <w:ind w:right="113"/>
              <w:jc w:val="right"/>
              <w:rPr>
                <w:sz w:val="18"/>
                <w:szCs w:val="18"/>
              </w:rPr>
            </w:pPr>
            <w:r w:rsidRPr="00117237">
              <w:rPr>
                <w:sz w:val="18"/>
                <w:szCs w:val="18"/>
              </w:rPr>
              <w:t>6</w:t>
            </w:r>
            <w:r w:rsidR="008825A1">
              <w:rPr>
                <w:sz w:val="18"/>
                <w:szCs w:val="18"/>
              </w:rPr>
              <w:t xml:space="preserve"> </w:t>
            </w:r>
            <w:r w:rsidRPr="00117237">
              <w:rPr>
                <w:sz w:val="18"/>
                <w:szCs w:val="18"/>
              </w:rPr>
              <w:t>361</w:t>
            </w:r>
            <w:r w:rsidR="008825A1">
              <w:rPr>
                <w:sz w:val="18"/>
                <w:szCs w:val="18"/>
              </w:rPr>
              <w:t xml:space="preserve"> </w:t>
            </w:r>
            <w:r w:rsidRPr="00117237">
              <w:rPr>
                <w:sz w:val="18"/>
                <w:szCs w:val="18"/>
              </w:rPr>
              <w:t>594</w:t>
            </w:r>
          </w:p>
        </w:tc>
      </w:tr>
      <w:tr w:rsidR="00117237" w:rsidRPr="00117237" w14:paraId="31FDB326" w14:textId="77777777" w:rsidTr="005462C9">
        <w:trPr>
          <w:trHeight w:val="240"/>
        </w:trPr>
        <w:tc>
          <w:tcPr>
            <w:tcW w:w="1134" w:type="dxa"/>
            <w:shd w:val="clear" w:color="auto" w:fill="auto"/>
            <w:hideMark/>
          </w:tcPr>
          <w:p w14:paraId="2B2D0127" w14:textId="77777777" w:rsidR="002227E6" w:rsidRPr="00117237" w:rsidRDefault="002227E6" w:rsidP="00117237">
            <w:pPr>
              <w:spacing w:before="40" w:after="40" w:line="220" w:lineRule="exact"/>
              <w:ind w:right="113"/>
              <w:rPr>
                <w:sz w:val="18"/>
                <w:szCs w:val="18"/>
              </w:rPr>
            </w:pPr>
            <w:r w:rsidRPr="00117237">
              <w:rPr>
                <w:sz w:val="18"/>
                <w:szCs w:val="18"/>
              </w:rPr>
              <w:t>Santa Cruz</w:t>
            </w:r>
          </w:p>
        </w:tc>
        <w:tc>
          <w:tcPr>
            <w:tcW w:w="939" w:type="dxa"/>
            <w:shd w:val="clear" w:color="auto" w:fill="auto"/>
            <w:vAlign w:val="bottom"/>
            <w:hideMark/>
          </w:tcPr>
          <w:p w14:paraId="789208C9" w14:textId="7023F2D4" w:rsidR="002227E6" w:rsidRPr="00117237" w:rsidRDefault="002227E6" w:rsidP="00117237">
            <w:pPr>
              <w:spacing w:before="40" w:after="40" w:line="220" w:lineRule="exact"/>
              <w:ind w:right="113"/>
              <w:jc w:val="right"/>
              <w:rPr>
                <w:sz w:val="18"/>
                <w:szCs w:val="18"/>
              </w:rPr>
            </w:pPr>
            <w:r w:rsidRPr="00117237">
              <w:rPr>
                <w:sz w:val="18"/>
                <w:szCs w:val="18"/>
              </w:rPr>
              <w:t>8</w:t>
            </w:r>
            <w:r w:rsidR="008825A1">
              <w:rPr>
                <w:sz w:val="18"/>
                <w:szCs w:val="18"/>
              </w:rPr>
              <w:t xml:space="preserve"> </w:t>
            </w:r>
            <w:r w:rsidRPr="00117237">
              <w:rPr>
                <w:sz w:val="18"/>
                <w:szCs w:val="18"/>
              </w:rPr>
              <w:t>523</w:t>
            </w:r>
            <w:r w:rsidR="008825A1">
              <w:rPr>
                <w:sz w:val="18"/>
                <w:szCs w:val="18"/>
              </w:rPr>
              <w:t xml:space="preserve"> </w:t>
            </w:r>
            <w:r w:rsidRPr="00117237">
              <w:rPr>
                <w:sz w:val="18"/>
                <w:szCs w:val="18"/>
              </w:rPr>
              <w:t>650</w:t>
            </w:r>
          </w:p>
        </w:tc>
        <w:tc>
          <w:tcPr>
            <w:tcW w:w="938" w:type="dxa"/>
            <w:shd w:val="clear" w:color="auto" w:fill="auto"/>
            <w:vAlign w:val="bottom"/>
            <w:hideMark/>
          </w:tcPr>
          <w:p w14:paraId="1567FC23" w14:textId="7AA7BE1E" w:rsidR="002227E6" w:rsidRPr="00117237" w:rsidRDefault="002227E6" w:rsidP="00117237">
            <w:pPr>
              <w:spacing w:before="40" w:after="40" w:line="220" w:lineRule="exact"/>
              <w:ind w:right="113"/>
              <w:jc w:val="right"/>
              <w:rPr>
                <w:sz w:val="18"/>
                <w:szCs w:val="18"/>
              </w:rPr>
            </w:pPr>
            <w:r w:rsidRPr="00117237">
              <w:rPr>
                <w:sz w:val="18"/>
                <w:szCs w:val="18"/>
              </w:rPr>
              <w:t>1</w:t>
            </w:r>
            <w:r w:rsidR="008825A1">
              <w:rPr>
                <w:sz w:val="18"/>
                <w:szCs w:val="18"/>
              </w:rPr>
              <w:t xml:space="preserve"> </w:t>
            </w:r>
            <w:r w:rsidRPr="00117237">
              <w:rPr>
                <w:sz w:val="18"/>
                <w:szCs w:val="18"/>
              </w:rPr>
              <w:t>984</w:t>
            </w:r>
            <w:r w:rsidR="008825A1">
              <w:rPr>
                <w:sz w:val="18"/>
                <w:szCs w:val="18"/>
              </w:rPr>
              <w:t xml:space="preserve"> </w:t>
            </w:r>
            <w:r w:rsidRPr="00117237">
              <w:rPr>
                <w:sz w:val="18"/>
                <w:szCs w:val="18"/>
              </w:rPr>
              <w:t>771</w:t>
            </w:r>
          </w:p>
        </w:tc>
        <w:tc>
          <w:tcPr>
            <w:tcW w:w="557" w:type="dxa"/>
            <w:shd w:val="clear" w:color="auto" w:fill="auto"/>
            <w:noWrap/>
            <w:vAlign w:val="bottom"/>
            <w:hideMark/>
          </w:tcPr>
          <w:p w14:paraId="51407A98" w14:textId="77777777" w:rsidR="002227E6" w:rsidRPr="00117237" w:rsidRDefault="002227E6" w:rsidP="00117237">
            <w:pPr>
              <w:spacing w:before="40" w:after="40" w:line="220" w:lineRule="exact"/>
              <w:ind w:right="113"/>
              <w:jc w:val="right"/>
              <w:rPr>
                <w:sz w:val="18"/>
                <w:szCs w:val="18"/>
              </w:rPr>
            </w:pPr>
            <w:r w:rsidRPr="00117237">
              <w:rPr>
                <w:sz w:val="18"/>
                <w:szCs w:val="18"/>
              </w:rPr>
              <w:t>23.29</w:t>
            </w:r>
          </w:p>
        </w:tc>
        <w:tc>
          <w:tcPr>
            <w:tcW w:w="1067" w:type="dxa"/>
            <w:shd w:val="clear" w:color="auto" w:fill="auto"/>
            <w:vAlign w:val="bottom"/>
            <w:hideMark/>
          </w:tcPr>
          <w:p w14:paraId="31ABF5AE" w14:textId="4B77BCB0" w:rsidR="002227E6" w:rsidRPr="00117237" w:rsidRDefault="002227E6" w:rsidP="00117237">
            <w:pPr>
              <w:spacing w:before="40" w:after="40" w:line="220" w:lineRule="exact"/>
              <w:ind w:right="113"/>
              <w:jc w:val="right"/>
              <w:rPr>
                <w:sz w:val="18"/>
                <w:szCs w:val="18"/>
              </w:rPr>
            </w:pPr>
            <w:r w:rsidRPr="00117237">
              <w:rPr>
                <w:sz w:val="18"/>
                <w:szCs w:val="18"/>
              </w:rPr>
              <w:t>10</w:t>
            </w:r>
            <w:r w:rsidR="008825A1">
              <w:rPr>
                <w:sz w:val="18"/>
                <w:szCs w:val="18"/>
              </w:rPr>
              <w:t xml:space="preserve"> </w:t>
            </w:r>
            <w:r w:rsidRPr="00117237">
              <w:rPr>
                <w:sz w:val="18"/>
                <w:szCs w:val="18"/>
              </w:rPr>
              <w:t>688</w:t>
            </w:r>
            <w:r w:rsidR="008825A1">
              <w:rPr>
                <w:sz w:val="18"/>
                <w:szCs w:val="18"/>
              </w:rPr>
              <w:t xml:space="preserve"> </w:t>
            </w:r>
            <w:r w:rsidRPr="00117237">
              <w:rPr>
                <w:sz w:val="18"/>
                <w:szCs w:val="18"/>
              </w:rPr>
              <w:t>969</w:t>
            </w:r>
          </w:p>
        </w:tc>
        <w:tc>
          <w:tcPr>
            <w:tcW w:w="924" w:type="dxa"/>
            <w:shd w:val="clear" w:color="auto" w:fill="auto"/>
            <w:vAlign w:val="bottom"/>
            <w:hideMark/>
          </w:tcPr>
          <w:p w14:paraId="2CFCF399" w14:textId="289357BC" w:rsidR="002227E6" w:rsidRPr="00117237" w:rsidRDefault="002227E6" w:rsidP="00117237">
            <w:pPr>
              <w:spacing w:before="40" w:after="40" w:line="220" w:lineRule="exact"/>
              <w:ind w:right="113"/>
              <w:jc w:val="right"/>
              <w:rPr>
                <w:sz w:val="18"/>
                <w:szCs w:val="18"/>
              </w:rPr>
            </w:pPr>
            <w:r w:rsidRPr="00117237">
              <w:rPr>
                <w:sz w:val="18"/>
                <w:szCs w:val="18"/>
              </w:rPr>
              <w:t>2</w:t>
            </w:r>
            <w:r w:rsidR="008825A1">
              <w:rPr>
                <w:sz w:val="18"/>
                <w:szCs w:val="18"/>
              </w:rPr>
              <w:t xml:space="preserve"> </w:t>
            </w:r>
            <w:r w:rsidRPr="00117237">
              <w:rPr>
                <w:sz w:val="18"/>
                <w:szCs w:val="18"/>
              </w:rPr>
              <w:t>834</w:t>
            </w:r>
            <w:r w:rsidR="008825A1">
              <w:rPr>
                <w:sz w:val="18"/>
                <w:szCs w:val="18"/>
              </w:rPr>
              <w:t xml:space="preserve"> </w:t>
            </w:r>
            <w:r w:rsidRPr="00117237">
              <w:rPr>
                <w:sz w:val="18"/>
                <w:szCs w:val="18"/>
              </w:rPr>
              <w:t>349</w:t>
            </w:r>
          </w:p>
        </w:tc>
        <w:tc>
          <w:tcPr>
            <w:tcW w:w="620" w:type="dxa"/>
            <w:shd w:val="clear" w:color="auto" w:fill="auto"/>
            <w:noWrap/>
            <w:vAlign w:val="bottom"/>
            <w:hideMark/>
          </w:tcPr>
          <w:p w14:paraId="7F19F0D2" w14:textId="77777777" w:rsidR="002227E6" w:rsidRPr="00117237" w:rsidRDefault="002227E6" w:rsidP="00117237">
            <w:pPr>
              <w:spacing w:before="40" w:after="40" w:line="220" w:lineRule="exact"/>
              <w:ind w:right="113"/>
              <w:jc w:val="right"/>
              <w:rPr>
                <w:sz w:val="18"/>
                <w:szCs w:val="18"/>
              </w:rPr>
            </w:pPr>
            <w:r w:rsidRPr="00117237">
              <w:rPr>
                <w:sz w:val="18"/>
                <w:szCs w:val="18"/>
              </w:rPr>
              <w:t>26.52</w:t>
            </w:r>
          </w:p>
        </w:tc>
        <w:tc>
          <w:tcPr>
            <w:tcW w:w="1073" w:type="dxa"/>
            <w:shd w:val="clear" w:color="auto" w:fill="auto"/>
            <w:vAlign w:val="bottom"/>
            <w:hideMark/>
          </w:tcPr>
          <w:p w14:paraId="2138A9FE" w14:textId="5E671A63" w:rsidR="002227E6" w:rsidRPr="00117237" w:rsidRDefault="002227E6" w:rsidP="00117237">
            <w:pPr>
              <w:spacing w:before="40" w:after="40" w:line="220" w:lineRule="exact"/>
              <w:ind w:right="113"/>
              <w:jc w:val="right"/>
              <w:rPr>
                <w:sz w:val="18"/>
                <w:szCs w:val="18"/>
              </w:rPr>
            </w:pPr>
            <w:r w:rsidRPr="00117237">
              <w:rPr>
                <w:sz w:val="18"/>
                <w:szCs w:val="18"/>
              </w:rPr>
              <w:t>10</w:t>
            </w:r>
            <w:r w:rsidR="008825A1">
              <w:rPr>
                <w:sz w:val="18"/>
                <w:szCs w:val="18"/>
              </w:rPr>
              <w:t xml:space="preserve"> </w:t>
            </w:r>
            <w:r w:rsidRPr="00117237">
              <w:rPr>
                <w:sz w:val="18"/>
                <w:szCs w:val="18"/>
              </w:rPr>
              <w:t>242</w:t>
            </w:r>
            <w:r w:rsidR="008825A1">
              <w:rPr>
                <w:sz w:val="18"/>
                <w:szCs w:val="18"/>
              </w:rPr>
              <w:t xml:space="preserve"> </w:t>
            </w:r>
            <w:r w:rsidRPr="00117237">
              <w:rPr>
                <w:sz w:val="18"/>
                <w:szCs w:val="18"/>
              </w:rPr>
              <w:t>071</w:t>
            </w:r>
          </w:p>
        </w:tc>
        <w:tc>
          <w:tcPr>
            <w:tcW w:w="924" w:type="dxa"/>
            <w:shd w:val="clear" w:color="auto" w:fill="auto"/>
            <w:vAlign w:val="bottom"/>
            <w:hideMark/>
          </w:tcPr>
          <w:p w14:paraId="15DE38F0" w14:textId="461C1244" w:rsidR="002227E6" w:rsidRPr="00117237" w:rsidRDefault="002227E6" w:rsidP="00117237">
            <w:pPr>
              <w:spacing w:before="40" w:after="40" w:line="220" w:lineRule="exact"/>
              <w:ind w:right="113"/>
              <w:jc w:val="right"/>
              <w:rPr>
                <w:sz w:val="18"/>
                <w:szCs w:val="18"/>
              </w:rPr>
            </w:pPr>
            <w:r w:rsidRPr="00117237">
              <w:rPr>
                <w:sz w:val="18"/>
                <w:szCs w:val="18"/>
              </w:rPr>
              <w:t>2</w:t>
            </w:r>
            <w:r w:rsidR="008825A1">
              <w:rPr>
                <w:sz w:val="18"/>
                <w:szCs w:val="18"/>
              </w:rPr>
              <w:t xml:space="preserve"> </w:t>
            </w:r>
            <w:r w:rsidRPr="00117237">
              <w:rPr>
                <w:sz w:val="18"/>
                <w:szCs w:val="18"/>
              </w:rPr>
              <w:t>239</w:t>
            </w:r>
            <w:r w:rsidR="008825A1">
              <w:rPr>
                <w:sz w:val="18"/>
                <w:szCs w:val="18"/>
              </w:rPr>
              <w:t xml:space="preserve"> </w:t>
            </w:r>
            <w:r w:rsidRPr="00117237">
              <w:rPr>
                <w:sz w:val="18"/>
                <w:szCs w:val="18"/>
              </w:rPr>
              <w:t>549</w:t>
            </w:r>
          </w:p>
        </w:tc>
        <w:tc>
          <w:tcPr>
            <w:tcW w:w="518" w:type="dxa"/>
            <w:shd w:val="clear" w:color="auto" w:fill="auto"/>
            <w:noWrap/>
            <w:vAlign w:val="bottom"/>
            <w:hideMark/>
          </w:tcPr>
          <w:p w14:paraId="093B037E" w14:textId="77777777" w:rsidR="002227E6" w:rsidRPr="00117237" w:rsidRDefault="002227E6" w:rsidP="00117237">
            <w:pPr>
              <w:spacing w:before="40" w:after="40" w:line="220" w:lineRule="exact"/>
              <w:ind w:right="113"/>
              <w:jc w:val="right"/>
              <w:rPr>
                <w:sz w:val="18"/>
                <w:szCs w:val="18"/>
              </w:rPr>
            </w:pPr>
            <w:r w:rsidRPr="00117237">
              <w:rPr>
                <w:sz w:val="18"/>
                <w:szCs w:val="18"/>
              </w:rPr>
              <w:t>21.87</w:t>
            </w:r>
          </w:p>
        </w:tc>
        <w:tc>
          <w:tcPr>
            <w:tcW w:w="945" w:type="dxa"/>
            <w:shd w:val="clear" w:color="auto" w:fill="auto"/>
            <w:vAlign w:val="bottom"/>
            <w:hideMark/>
          </w:tcPr>
          <w:p w14:paraId="3801A402" w14:textId="0CDADDEE" w:rsidR="002227E6" w:rsidRPr="00117237" w:rsidRDefault="002227E6" w:rsidP="00117237">
            <w:pPr>
              <w:spacing w:before="40" w:after="40" w:line="220" w:lineRule="exact"/>
              <w:ind w:right="113"/>
              <w:jc w:val="right"/>
              <w:rPr>
                <w:sz w:val="18"/>
                <w:szCs w:val="18"/>
              </w:rPr>
            </w:pPr>
            <w:r w:rsidRPr="00117237">
              <w:rPr>
                <w:sz w:val="18"/>
                <w:szCs w:val="18"/>
              </w:rPr>
              <w:t>2</w:t>
            </w:r>
            <w:r w:rsidR="008825A1">
              <w:rPr>
                <w:sz w:val="18"/>
                <w:szCs w:val="18"/>
              </w:rPr>
              <w:t xml:space="preserve"> </w:t>
            </w:r>
            <w:r w:rsidRPr="00117237">
              <w:rPr>
                <w:sz w:val="18"/>
                <w:szCs w:val="18"/>
              </w:rPr>
              <w:t>352</w:t>
            </w:r>
            <w:r w:rsidR="008825A1">
              <w:rPr>
                <w:sz w:val="18"/>
                <w:szCs w:val="18"/>
              </w:rPr>
              <w:t xml:space="preserve"> </w:t>
            </w:r>
            <w:r w:rsidRPr="00117237">
              <w:rPr>
                <w:sz w:val="18"/>
                <w:szCs w:val="18"/>
              </w:rPr>
              <w:t>890</w:t>
            </w:r>
          </w:p>
        </w:tc>
      </w:tr>
      <w:tr w:rsidR="00117237" w:rsidRPr="00117237" w14:paraId="5AF2C96C" w14:textId="77777777" w:rsidTr="005462C9">
        <w:trPr>
          <w:trHeight w:val="240"/>
        </w:trPr>
        <w:tc>
          <w:tcPr>
            <w:tcW w:w="1134" w:type="dxa"/>
            <w:shd w:val="clear" w:color="auto" w:fill="auto"/>
            <w:hideMark/>
          </w:tcPr>
          <w:p w14:paraId="6CCE8B26" w14:textId="77777777" w:rsidR="002227E6" w:rsidRPr="00117237" w:rsidRDefault="002227E6" w:rsidP="00117237">
            <w:pPr>
              <w:spacing w:before="40" w:after="40" w:line="220" w:lineRule="exact"/>
              <w:ind w:right="113"/>
              <w:rPr>
                <w:sz w:val="18"/>
                <w:szCs w:val="18"/>
              </w:rPr>
            </w:pPr>
            <w:r w:rsidRPr="00117237">
              <w:rPr>
                <w:sz w:val="18"/>
                <w:szCs w:val="18"/>
              </w:rPr>
              <w:t>Beni</w:t>
            </w:r>
          </w:p>
        </w:tc>
        <w:tc>
          <w:tcPr>
            <w:tcW w:w="939" w:type="dxa"/>
            <w:shd w:val="clear" w:color="auto" w:fill="auto"/>
            <w:vAlign w:val="bottom"/>
            <w:hideMark/>
          </w:tcPr>
          <w:p w14:paraId="4ABD228C" w14:textId="33D9B093" w:rsidR="002227E6" w:rsidRPr="00117237" w:rsidRDefault="002227E6" w:rsidP="00117237">
            <w:pPr>
              <w:spacing w:before="40" w:after="40" w:line="220" w:lineRule="exact"/>
              <w:ind w:right="113"/>
              <w:jc w:val="right"/>
              <w:rPr>
                <w:sz w:val="18"/>
                <w:szCs w:val="18"/>
              </w:rPr>
            </w:pPr>
            <w:r w:rsidRPr="00117237">
              <w:rPr>
                <w:sz w:val="18"/>
                <w:szCs w:val="18"/>
              </w:rPr>
              <w:t>3</w:t>
            </w:r>
            <w:r w:rsidR="008825A1">
              <w:rPr>
                <w:sz w:val="18"/>
                <w:szCs w:val="18"/>
              </w:rPr>
              <w:t xml:space="preserve"> </w:t>
            </w:r>
            <w:r w:rsidRPr="00117237">
              <w:rPr>
                <w:sz w:val="18"/>
                <w:szCs w:val="18"/>
              </w:rPr>
              <w:t>500</w:t>
            </w:r>
            <w:r w:rsidR="008825A1">
              <w:rPr>
                <w:sz w:val="18"/>
                <w:szCs w:val="18"/>
              </w:rPr>
              <w:t xml:space="preserve"> </w:t>
            </w:r>
            <w:r w:rsidRPr="00117237">
              <w:rPr>
                <w:sz w:val="18"/>
                <w:szCs w:val="18"/>
              </w:rPr>
              <w:t>760</w:t>
            </w:r>
          </w:p>
        </w:tc>
        <w:tc>
          <w:tcPr>
            <w:tcW w:w="938" w:type="dxa"/>
            <w:shd w:val="clear" w:color="auto" w:fill="auto"/>
            <w:vAlign w:val="bottom"/>
            <w:hideMark/>
          </w:tcPr>
          <w:p w14:paraId="54E32482" w14:textId="36317406" w:rsidR="002227E6" w:rsidRPr="00117237" w:rsidRDefault="002227E6" w:rsidP="00117237">
            <w:pPr>
              <w:spacing w:before="40" w:after="40" w:line="220" w:lineRule="exact"/>
              <w:ind w:right="113"/>
              <w:jc w:val="right"/>
              <w:rPr>
                <w:sz w:val="18"/>
                <w:szCs w:val="18"/>
              </w:rPr>
            </w:pPr>
            <w:r w:rsidRPr="00117237">
              <w:rPr>
                <w:sz w:val="18"/>
                <w:szCs w:val="18"/>
              </w:rPr>
              <w:t>3</w:t>
            </w:r>
            <w:r w:rsidR="008825A1">
              <w:rPr>
                <w:sz w:val="18"/>
                <w:szCs w:val="18"/>
              </w:rPr>
              <w:t xml:space="preserve"> </w:t>
            </w:r>
            <w:r w:rsidRPr="00117237">
              <w:rPr>
                <w:sz w:val="18"/>
                <w:szCs w:val="18"/>
              </w:rPr>
              <w:t>327</w:t>
            </w:r>
            <w:r w:rsidR="008825A1">
              <w:rPr>
                <w:sz w:val="18"/>
                <w:szCs w:val="18"/>
              </w:rPr>
              <w:t xml:space="preserve"> </w:t>
            </w:r>
            <w:r w:rsidRPr="00117237">
              <w:rPr>
                <w:sz w:val="18"/>
                <w:szCs w:val="18"/>
              </w:rPr>
              <w:t>566</w:t>
            </w:r>
          </w:p>
        </w:tc>
        <w:tc>
          <w:tcPr>
            <w:tcW w:w="557" w:type="dxa"/>
            <w:shd w:val="clear" w:color="auto" w:fill="auto"/>
            <w:noWrap/>
            <w:vAlign w:val="bottom"/>
            <w:hideMark/>
          </w:tcPr>
          <w:p w14:paraId="28FC6C4A" w14:textId="77777777" w:rsidR="002227E6" w:rsidRPr="00117237" w:rsidRDefault="002227E6" w:rsidP="00117237">
            <w:pPr>
              <w:spacing w:before="40" w:after="40" w:line="220" w:lineRule="exact"/>
              <w:ind w:right="113"/>
              <w:jc w:val="right"/>
              <w:rPr>
                <w:sz w:val="18"/>
                <w:szCs w:val="18"/>
              </w:rPr>
            </w:pPr>
            <w:r w:rsidRPr="00117237">
              <w:rPr>
                <w:sz w:val="18"/>
                <w:szCs w:val="18"/>
              </w:rPr>
              <w:t>95.05</w:t>
            </w:r>
          </w:p>
        </w:tc>
        <w:tc>
          <w:tcPr>
            <w:tcW w:w="1067" w:type="dxa"/>
            <w:shd w:val="clear" w:color="auto" w:fill="auto"/>
            <w:vAlign w:val="bottom"/>
            <w:hideMark/>
          </w:tcPr>
          <w:p w14:paraId="76D31D49" w14:textId="2AFD8728" w:rsidR="002227E6" w:rsidRPr="00117237" w:rsidRDefault="002227E6" w:rsidP="00117237">
            <w:pPr>
              <w:spacing w:before="40" w:after="40" w:line="220" w:lineRule="exact"/>
              <w:ind w:right="113"/>
              <w:jc w:val="right"/>
              <w:rPr>
                <w:sz w:val="18"/>
                <w:szCs w:val="18"/>
              </w:rPr>
            </w:pPr>
            <w:r w:rsidRPr="00117237">
              <w:rPr>
                <w:sz w:val="18"/>
                <w:szCs w:val="18"/>
              </w:rPr>
              <w:t>2</w:t>
            </w:r>
            <w:r w:rsidR="008825A1">
              <w:rPr>
                <w:sz w:val="18"/>
                <w:szCs w:val="18"/>
              </w:rPr>
              <w:t xml:space="preserve"> </w:t>
            </w:r>
            <w:r w:rsidRPr="00117237">
              <w:rPr>
                <w:sz w:val="18"/>
                <w:szCs w:val="18"/>
              </w:rPr>
              <w:t>416</w:t>
            </w:r>
            <w:r w:rsidR="008825A1">
              <w:rPr>
                <w:sz w:val="18"/>
                <w:szCs w:val="18"/>
              </w:rPr>
              <w:t xml:space="preserve"> </w:t>
            </w:r>
            <w:r w:rsidRPr="00117237">
              <w:rPr>
                <w:sz w:val="18"/>
                <w:szCs w:val="18"/>
              </w:rPr>
              <w:t>883</w:t>
            </w:r>
          </w:p>
        </w:tc>
        <w:tc>
          <w:tcPr>
            <w:tcW w:w="924" w:type="dxa"/>
            <w:shd w:val="clear" w:color="auto" w:fill="auto"/>
            <w:vAlign w:val="bottom"/>
            <w:hideMark/>
          </w:tcPr>
          <w:p w14:paraId="1C176186" w14:textId="18C3A129" w:rsidR="002227E6" w:rsidRPr="00117237" w:rsidRDefault="002227E6" w:rsidP="00117237">
            <w:pPr>
              <w:spacing w:before="40" w:after="40" w:line="220" w:lineRule="exact"/>
              <w:ind w:right="113"/>
              <w:jc w:val="right"/>
              <w:rPr>
                <w:sz w:val="18"/>
                <w:szCs w:val="18"/>
              </w:rPr>
            </w:pPr>
            <w:r w:rsidRPr="00117237">
              <w:rPr>
                <w:sz w:val="18"/>
                <w:szCs w:val="18"/>
              </w:rPr>
              <w:t>2</w:t>
            </w:r>
            <w:r w:rsidR="008825A1">
              <w:rPr>
                <w:sz w:val="18"/>
                <w:szCs w:val="18"/>
              </w:rPr>
              <w:t xml:space="preserve"> </w:t>
            </w:r>
            <w:r w:rsidRPr="00117237">
              <w:rPr>
                <w:sz w:val="18"/>
                <w:szCs w:val="18"/>
              </w:rPr>
              <w:t>085</w:t>
            </w:r>
            <w:r w:rsidR="008825A1">
              <w:rPr>
                <w:sz w:val="18"/>
                <w:szCs w:val="18"/>
              </w:rPr>
              <w:t xml:space="preserve"> </w:t>
            </w:r>
            <w:r w:rsidRPr="00117237">
              <w:rPr>
                <w:sz w:val="18"/>
                <w:szCs w:val="18"/>
              </w:rPr>
              <w:t>161</w:t>
            </w:r>
          </w:p>
        </w:tc>
        <w:tc>
          <w:tcPr>
            <w:tcW w:w="620" w:type="dxa"/>
            <w:shd w:val="clear" w:color="auto" w:fill="auto"/>
            <w:noWrap/>
            <w:vAlign w:val="bottom"/>
            <w:hideMark/>
          </w:tcPr>
          <w:p w14:paraId="480509A7" w14:textId="77777777" w:rsidR="002227E6" w:rsidRPr="00117237" w:rsidRDefault="002227E6" w:rsidP="00117237">
            <w:pPr>
              <w:spacing w:before="40" w:after="40" w:line="220" w:lineRule="exact"/>
              <w:ind w:right="113"/>
              <w:jc w:val="right"/>
              <w:rPr>
                <w:sz w:val="18"/>
                <w:szCs w:val="18"/>
              </w:rPr>
            </w:pPr>
            <w:r w:rsidRPr="00117237">
              <w:rPr>
                <w:sz w:val="18"/>
                <w:szCs w:val="18"/>
              </w:rPr>
              <w:t>86.27</w:t>
            </w:r>
          </w:p>
        </w:tc>
        <w:tc>
          <w:tcPr>
            <w:tcW w:w="1073" w:type="dxa"/>
            <w:shd w:val="clear" w:color="auto" w:fill="auto"/>
            <w:vAlign w:val="bottom"/>
            <w:hideMark/>
          </w:tcPr>
          <w:p w14:paraId="04501973" w14:textId="00E98FDC" w:rsidR="002227E6" w:rsidRPr="00117237" w:rsidRDefault="002227E6" w:rsidP="00117237">
            <w:pPr>
              <w:spacing w:before="40" w:after="40" w:line="220" w:lineRule="exact"/>
              <w:ind w:right="113"/>
              <w:jc w:val="right"/>
              <w:rPr>
                <w:sz w:val="18"/>
                <w:szCs w:val="18"/>
              </w:rPr>
            </w:pPr>
            <w:r w:rsidRPr="00117237">
              <w:rPr>
                <w:sz w:val="18"/>
                <w:szCs w:val="18"/>
              </w:rPr>
              <w:t>1</w:t>
            </w:r>
            <w:r w:rsidR="008825A1">
              <w:rPr>
                <w:sz w:val="18"/>
                <w:szCs w:val="18"/>
              </w:rPr>
              <w:t xml:space="preserve"> </w:t>
            </w:r>
            <w:r w:rsidRPr="00117237">
              <w:rPr>
                <w:sz w:val="18"/>
                <w:szCs w:val="18"/>
              </w:rPr>
              <w:t>387</w:t>
            </w:r>
            <w:r w:rsidR="008825A1">
              <w:rPr>
                <w:sz w:val="18"/>
                <w:szCs w:val="18"/>
              </w:rPr>
              <w:t xml:space="preserve"> </w:t>
            </w:r>
            <w:r w:rsidRPr="00117237">
              <w:rPr>
                <w:sz w:val="18"/>
                <w:szCs w:val="18"/>
              </w:rPr>
              <w:t>560</w:t>
            </w:r>
          </w:p>
        </w:tc>
        <w:tc>
          <w:tcPr>
            <w:tcW w:w="924" w:type="dxa"/>
            <w:shd w:val="clear" w:color="auto" w:fill="auto"/>
            <w:vAlign w:val="bottom"/>
            <w:hideMark/>
          </w:tcPr>
          <w:p w14:paraId="0FECF2B9" w14:textId="1A6DF0B2" w:rsidR="002227E6" w:rsidRPr="00117237" w:rsidRDefault="002227E6" w:rsidP="00117237">
            <w:pPr>
              <w:spacing w:before="40" w:after="40" w:line="220" w:lineRule="exact"/>
              <w:ind w:right="113"/>
              <w:jc w:val="right"/>
              <w:rPr>
                <w:sz w:val="18"/>
                <w:szCs w:val="18"/>
              </w:rPr>
            </w:pPr>
            <w:r w:rsidRPr="00117237">
              <w:rPr>
                <w:sz w:val="18"/>
                <w:szCs w:val="18"/>
              </w:rPr>
              <w:t>891</w:t>
            </w:r>
            <w:r w:rsidR="008825A1">
              <w:rPr>
                <w:sz w:val="18"/>
                <w:szCs w:val="18"/>
              </w:rPr>
              <w:t xml:space="preserve"> </w:t>
            </w:r>
            <w:r w:rsidRPr="00117237">
              <w:rPr>
                <w:sz w:val="18"/>
                <w:szCs w:val="18"/>
              </w:rPr>
              <w:t>330</w:t>
            </w:r>
          </w:p>
        </w:tc>
        <w:tc>
          <w:tcPr>
            <w:tcW w:w="518" w:type="dxa"/>
            <w:shd w:val="clear" w:color="auto" w:fill="auto"/>
            <w:noWrap/>
            <w:vAlign w:val="bottom"/>
            <w:hideMark/>
          </w:tcPr>
          <w:p w14:paraId="1028618D" w14:textId="77777777" w:rsidR="002227E6" w:rsidRPr="00117237" w:rsidRDefault="002227E6" w:rsidP="00117237">
            <w:pPr>
              <w:spacing w:before="40" w:after="40" w:line="220" w:lineRule="exact"/>
              <w:ind w:right="113"/>
              <w:jc w:val="right"/>
              <w:rPr>
                <w:sz w:val="18"/>
                <w:szCs w:val="18"/>
              </w:rPr>
            </w:pPr>
            <w:r w:rsidRPr="00117237">
              <w:rPr>
                <w:sz w:val="18"/>
                <w:szCs w:val="18"/>
              </w:rPr>
              <w:t>64.24</w:t>
            </w:r>
          </w:p>
        </w:tc>
        <w:tc>
          <w:tcPr>
            <w:tcW w:w="945" w:type="dxa"/>
            <w:shd w:val="clear" w:color="auto" w:fill="auto"/>
            <w:vAlign w:val="bottom"/>
            <w:hideMark/>
          </w:tcPr>
          <w:p w14:paraId="7833167E" w14:textId="67A000FE" w:rsidR="002227E6" w:rsidRPr="00117237" w:rsidRDefault="002227E6" w:rsidP="00117237">
            <w:pPr>
              <w:spacing w:before="40" w:after="40" w:line="220" w:lineRule="exact"/>
              <w:ind w:right="113"/>
              <w:jc w:val="right"/>
              <w:rPr>
                <w:sz w:val="18"/>
                <w:szCs w:val="18"/>
              </w:rPr>
            </w:pPr>
            <w:r w:rsidRPr="00117237">
              <w:rPr>
                <w:sz w:val="18"/>
                <w:szCs w:val="18"/>
              </w:rPr>
              <w:t>2</w:t>
            </w:r>
            <w:r w:rsidR="008825A1">
              <w:rPr>
                <w:sz w:val="18"/>
                <w:szCs w:val="18"/>
              </w:rPr>
              <w:t xml:space="preserve"> </w:t>
            </w:r>
            <w:r w:rsidRPr="00117237">
              <w:rPr>
                <w:sz w:val="18"/>
                <w:szCs w:val="18"/>
              </w:rPr>
              <w:t>101</w:t>
            </w:r>
            <w:r w:rsidR="008825A1">
              <w:rPr>
                <w:sz w:val="18"/>
                <w:szCs w:val="18"/>
              </w:rPr>
              <w:t xml:space="preserve"> </w:t>
            </w:r>
            <w:r w:rsidRPr="00117237">
              <w:rPr>
                <w:sz w:val="18"/>
                <w:szCs w:val="18"/>
              </w:rPr>
              <w:t>353</w:t>
            </w:r>
          </w:p>
        </w:tc>
      </w:tr>
      <w:tr w:rsidR="00117237" w:rsidRPr="00117237" w14:paraId="61492422" w14:textId="77777777" w:rsidTr="005462C9">
        <w:trPr>
          <w:trHeight w:val="240"/>
        </w:trPr>
        <w:tc>
          <w:tcPr>
            <w:tcW w:w="1134" w:type="dxa"/>
            <w:tcBorders>
              <w:bottom w:val="single" w:sz="4" w:space="0" w:color="auto"/>
            </w:tcBorders>
            <w:shd w:val="clear" w:color="auto" w:fill="auto"/>
            <w:hideMark/>
          </w:tcPr>
          <w:p w14:paraId="2F261292" w14:textId="77777777" w:rsidR="002227E6" w:rsidRPr="00117237" w:rsidRDefault="002227E6" w:rsidP="00117237">
            <w:pPr>
              <w:spacing w:before="40" w:after="40" w:line="220" w:lineRule="exact"/>
              <w:ind w:right="113"/>
              <w:rPr>
                <w:sz w:val="18"/>
                <w:szCs w:val="18"/>
              </w:rPr>
            </w:pPr>
            <w:r w:rsidRPr="00117237">
              <w:rPr>
                <w:sz w:val="18"/>
                <w:szCs w:val="18"/>
              </w:rPr>
              <w:t>Pando</w:t>
            </w:r>
          </w:p>
        </w:tc>
        <w:tc>
          <w:tcPr>
            <w:tcW w:w="939" w:type="dxa"/>
            <w:tcBorders>
              <w:bottom w:val="single" w:sz="4" w:space="0" w:color="auto"/>
            </w:tcBorders>
            <w:shd w:val="clear" w:color="auto" w:fill="auto"/>
            <w:vAlign w:val="bottom"/>
            <w:hideMark/>
          </w:tcPr>
          <w:p w14:paraId="62A338D0" w14:textId="0C2ABB53" w:rsidR="002227E6" w:rsidRPr="00117237" w:rsidRDefault="002227E6" w:rsidP="00117237">
            <w:pPr>
              <w:spacing w:before="40" w:after="40" w:line="220" w:lineRule="exact"/>
              <w:ind w:right="113"/>
              <w:jc w:val="right"/>
              <w:rPr>
                <w:sz w:val="18"/>
                <w:szCs w:val="18"/>
              </w:rPr>
            </w:pPr>
            <w:r w:rsidRPr="00117237">
              <w:rPr>
                <w:sz w:val="18"/>
                <w:szCs w:val="18"/>
              </w:rPr>
              <w:t>896</w:t>
            </w:r>
            <w:r w:rsidR="008825A1">
              <w:rPr>
                <w:sz w:val="18"/>
                <w:szCs w:val="18"/>
              </w:rPr>
              <w:t xml:space="preserve"> </w:t>
            </w:r>
            <w:r w:rsidRPr="00117237">
              <w:rPr>
                <w:sz w:val="18"/>
                <w:szCs w:val="18"/>
              </w:rPr>
              <w:t>955</w:t>
            </w:r>
          </w:p>
        </w:tc>
        <w:tc>
          <w:tcPr>
            <w:tcW w:w="938" w:type="dxa"/>
            <w:tcBorders>
              <w:bottom w:val="single" w:sz="4" w:space="0" w:color="auto"/>
            </w:tcBorders>
            <w:shd w:val="clear" w:color="auto" w:fill="auto"/>
            <w:vAlign w:val="bottom"/>
            <w:hideMark/>
          </w:tcPr>
          <w:p w14:paraId="2AC7723C" w14:textId="4F47F130" w:rsidR="002227E6" w:rsidRPr="00117237" w:rsidRDefault="002227E6" w:rsidP="00117237">
            <w:pPr>
              <w:spacing w:before="40" w:after="40" w:line="220" w:lineRule="exact"/>
              <w:ind w:right="113"/>
              <w:jc w:val="right"/>
              <w:rPr>
                <w:sz w:val="18"/>
                <w:szCs w:val="18"/>
              </w:rPr>
            </w:pPr>
            <w:r w:rsidRPr="00117237">
              <w:rPr>
                <w:sz w:val="18"/>
                <w:szCs w:val="18"/>
              </w:rPr>
              <w:t>692</w:t>
            </w:r>
            <w:r w:rsidR="008825A1">
              <w:rPr>
                <w:sz w:val="18"/>
                <w:szCs w:val="18"/>
              </w:rPr>
              <w:t xml:space="preserve"> </w:t>
            </w:r>
            <w:r w:rsidRPr="00117237">
              <w:rPr>
                <w:sz w:val="18"/>
                <w:szCs w:val="18"/>
              </w:rPr>
              <w:t>067</w:t>
            </w:r>
          </w:p>
        </w:tc>
        <w:tc>
          <w:tcPr>
            <w:tcW w:w="557" w:type="dxa"/>
            <w:tcBorders>
              <w:bottom w:val="single" w:sz="4" w:space="0" w:color="auto"/>
            </w:tcBorders>
            <w:shd w:val="clear" w:color="auto" w:fill="auto"/>
            <w:noWrap/>
            <w:vAlign w:val="bottom"/>
            <w:hideMark/>
          </w:tcPr>
          <w:p w14:paraId="40762623" w14:textId="77777777" w:rsidR="002227E6" w:rsidRPr="00117237" w:rsidRDefault="002227E6" w:rsidP="00117237">
            <w:pPr>
              <w:spacing w:before="40" w:after="40" w:line="220" w:lineRule="exact"/>
              <w:ind w:right="113"/>
              <w:jc w:val="right"/>
              <w:rPr>
                <w:sz w:val="18"/>
                <w:szCs w:val="18"/>
              </w:rPr>
            </w:pPr>
            <w:r w:rsidRPr="00117237">
              <w:rPr>
                <w:sz w:val="18"/>
                <w:szCs w:val="18"/>
              </w:rPr>
              <w:t>77.16</w:t>
            </w:r>
          </w:p>
        </w:tc>
        <w:tc>
          <w:tcPr>
            <w:tcW w:w="1067" w:type="dxa"/>
            <w:tcBorders>
              <w:bottom w:val="single" w:sz="4" w:space="0" w:color="auto"/>
            </w:tcBorders>
            <w:shd w:val="clear" w:color="auto" w:fill="auto"/>
            <w:vAlign w:val="bottom"/>
            <w:hideMark/>
          </w:tcPr>
          <w:p w14:paraId="0FA1EB5A" w14:textId="18C6524F" w:rsidR="002227E6" w:rsidRPr="00117237" w:rsidRDefault="002227E6" w:rsidP="00117237">
            <w:pPr>
              <w:spacing w:before="40" w:after="40" w:line="220" w:lineRule="exact"/>
              <w:ind w:right="113"/>
              <w:jc w:val="right"/>
              <w:rPr>
                <w:sz w:val="18"/>
                <w:szCs w:val="18"/>
              </w:rPr>
            </w:pPr>
            <w:r w:rsidRPr="00117237">
              <w:rPr>
                <w:sz w:val="18"/>
                <w:szCs w:val="18"/>
              </w:rPr>
              <w:t>728</w:t>
            </w:r>
            <w:r w:rsidR="008825A1">
              <w:rPr>
                <w:sz w:val="18"/>
                <w:szCs w:val="18"/>
              </w:rPr>
              <w:t xml:space="preserve"> </w:t>
            </w:r>
            <w:r w:rsidRPr="00117237">
              <w:rPr>
                <w:sz w:val="18"/>
                <w:szCs w:val="18"/>
              </w:rPr>
              <w:t>488</w:t>
            </w:r>
          </w:p>
        </w:tc>
        <w:tc>
          <w:tcPr>
            <w:tcW w:w="924" w:type="dxa"/>
            <w:tcBorders>
              <w:bottom w:val="single" w:sz="4" w:space="0" w:color="auto"/>
            </w:tcBorders>
            <w:shd w:val="clear" w:color="auto" w:fill="auto"/>
            <w:vAlign w:val="bottom"/>
            <w:hideMark/>
          </w:tcPr>
          <w:p w14:paraId="51CE9EFB" w14:textId="26327792" w:rsidR="002227E6" w:rsidRPr="00117237" w:rsidRDefault="002227E6" w:rsidP="00117237">
            <w:pPr>
              <w:spacing w:before="40" w:after="40" w:line="220" w:lineRule="exact"/>
              <w:ind w:right="113"/>
              <w:jc w:val="right"/>
              <w:rPr>
                <w:sz w:val="18"/>
                <w:szCs w:val="18"/>
              </w:rPr>
            </w:pPr>
            <w:r w:rsidRPr="00117237">
              <w:rPr>
                <w:sz w:val="18"/>
                <w:szCs w:val="18"/>
              </w:rPr>
              <w:t>620</w:t>
            </w:r>
            <w:r w:rsidR="008825A1">
              <w:rPr>
                <w:sz w:val="18"/>
                <w:szCs w:val="18"/>
              </w:rPr>
              <w:t xml:space="preserve"> </w:t>
            </w:r>
            <w:r w:rsidRPr="00117237">
              <w:rPr>
                <w:sz w:val="18"/>
                <w:szCs w:val="18"/>
              </w:rPr>
              <w:t>664</w:t>
            </w:r>
          </w:p>
        </w:tc>
        <w:tc>
          <w:tcPr>
            <w:tcW w:w="620" w:type="dxa"/>
            <w:tcBorders>
              <w:bottom w:val="single" w:sz="4" w:space="0" w:color="auto"/>
            </w:tcBorders>
            <w:shd w:val="clear" w:color="auto" w:fill="auto"/>
            <w:noWrap/>
            <w:vAlign w:val="bottom"/>
            <w:hideMark/>
          </w:tcPr>
          <w:p w14:paraId="7EB5E15D" w14:textId="77777777" w:rsidR="002227E6" w:rsidRPr="00117237" w:rsidRDefault="002227E6" w:rsidP="00117237">
            <w:pPr>
              <w:spacing w:before="40" w:after="40" w:line="220" w:lineRule="exact"/>
              <w:ind w:right="113"/>
              <w:jc w:val="right"/>
              <w:rPr>
                <w:sz w:val="18"/>
                <w:szCs w:val="18"/>
              </w:rPr>
            </w:pPr>
            <w:r w:rsidRPr="00117237">
              <w:rPr>
                <w:sz w:val="18"/>
                <w:szCs w:val="18"/>
              </w:rPr>
              <w:t>85.20</w:t>
            </w:r>
          </w:p>
        </w:tc>
        <w:tc>
          <w:tcPr>
            <w:tcW w:w="1073" w:type="dxa"/>
            <w:tcBorders>
              <w:bottom w:val="single" w:sz="4" w:space="0" w:color="auto"/>
            </w:tcBorders>
            <w:shd w:val="clear" w:color="auto" w:fill="auto"/>
            <w:vAlign w:val="bottom"/>
            <w:hideMark/>
          </w:tcPr>
          <w:p w14:paraId="2293B95A" w14:textId="232DF517" w:rsidR="002227E6" w:rsidRPr="00117237" w:rsidRDefault="002227E6" w:rsidP="00117237">
            <w:pPr>
              <w:spacing w:before="40" w:after="40" w:line="220" w:lineRule="exact"/>
              <w:ind w:right="113"/>
              <w:jc w:val="right"/>
              <w:rPr>
                <w:sz w:val="18"/>
                <w:szCs w:val="18"/>
              </w:rPr>
            </w:pPr>
            <w:r w:rsidRPr="00117237">
              <w:rPr>
                <w:sz w:val="18"/>
                <w:szCs w:val="18"/>
              </w:rPr>
              <w:t>881</w:t>
            </w:r>
            <w:r w:rsidR="008825A1">
              <w:rPr>
                <w:sz w:val="18"/>
                <w:szCs w:val="18"/>
              </w:rPr>
              <w:t xml:space="preserve"> </w:t>
            </w:r>
            <w:r w:rsidRPr="00117237">
              <w:rPr>
                <w:sz w:val="18"/>
                <w:szCs w:val="18"/>
              </w:rPr>
              <w:t>341</w:t>
            </w:r>
          </w:p>
        </w:tc>
        <w:tc>
          <w:tcPr>
            <w:tcW w:w="924" w:type="dxa"/>
            <w:tcBorders>
              <w:bottom w:val="single" w:sz="4" w:space="0" w:color="auto"/>
            </w:tcBorders>
            <w:shd w:val="clear" w:color="auto" w:fill="auto"/>
            <w:vAlign w:val="bottom"/>
            <w:hideMark/>
          </w:tcPr>
          <w:p w14:paraId="183A823F" w14:textId="30026E15" w:rsidR="002227E6" w:rsidRPr="00117237" w:rsidRDefault="002227E6" w:rsidP="00117237">
            <w:pPr>
              <w:spacing w:before="40" w:after="40" w:line="220" w:lineRule="exact"/>
              <w:ind w:right="113"/>
              <w:jc w:val="right"/>
              <w:rPr>
                <w:sz w:val="18"/>
                <w:szCs w:val="18"/>
              </w:rPr>
            </w:pPr>
            <w:r w:rsidRPr="00117237">
              <w:rPr>
                <w:sz w:val="18"/>
                <w:szCs w:val="18"/>
              </w:rPr>
              <w:t>422</w:t>
            </w:r>
            <w:r w:rsidR="008825A1">
              <w:rPr>
                <w:sz w:val="18"/>
                <w:szCs w:val="18"/>
              </w:rPr>
              <w:t xml:space="preserve"> </w:t>
            </w:r>
            <w:r w:rsidRPr="00117237">
              <w:rPr>
                <w:sz w:val="18"/>
                <w:szCs w:val="18"/>
              </w:rPr>
              <w:t>542</w:t>
            </w:r>
          </w:p>
        </w:tc>
        <w:tc>
          <w:tcPr>
            <w:tcW w:w="518" w:type="dxa"/>
            <w:tcBorders>
              <w:bottom w:val="single" w:sz="4" w:space="0" w:color="auto"/>
            </w:tcBorders>
            <w:shd w:val="clear" w:color="auto" w:fill="auto"/>
            <w:noWrap/>
            <w:vAlign w:val="bottom"/>
            <w:hideMark/>
          </w:tcPr>
          <w:p w14:paraId="17A3687B" w14:textId="77777777" w:rsidR="002227E6" w:rsidRPr="00117237" w:rsidRDefault="002227E6" w:rsidP="00117237">
            <w:pPr>
              <w:spacing w:before="40" w:after="40" w:line="220" w:lineRule="exact"/>
              <w:ind w:right="113"/>
              <w:jc w:val="right"/>
              <w:rPr>
                <w:sz w:val="18"/>
                <w:szCs w:val="18"/>
              </w:rPr>
            </w:pPr>
            <w:r w:rsidRPr="00117237">
              <w:rPr>
                <w:sz w:val="18"/>
                <w:szCs w:val="18"/>
              </w:rPr>
              <w:t>47.94</w:t>
            </w:r>
          </w:p>
        </w:tc>
        <w:tc>
          <w:tcPr>
            <w:tcW w:w="945" w:type="dxa"/>
            <w:tcBorders>
              <w:bottom w:val="single" w:sz="4" w:space="0" w:color="auto"/>
            </w:tcBorders>
            <w:shd w:val="clear" w:color="auto" w:fill="auto"/>
            <w:vAlign w:val="bottom"/>
            <w:hideMark/>
          </w:tcPr>
          <w:p w14:paraId="72EBF5FF" w14:textId="5E79932E" w:rsidR="002227E6" w:rsidRPr="00117237" w:rsidRDefault="002227E6" w:rsidP="00117237">
            <w:pPr>
              <w:spacing w:before="40" w:after="40" w:line="220" w:lineRule="exact"/>
              <w:ind w:right="113"/>
              <w:jc w:val="right"/>
              <w:rPr>
                <w:sz w:val="18"/>
                <w:szCs w:val="18"/>
              </w:rPr>
            </w:pPr>
            <w:r w:rsidRPr="00117237">
              <w:rPr>
                <w:sz w:val="18"/>
                <w:szCs w:val="18"/>
              </w:rPr>
              <w:t>578</w:t>
            </w:r>
            <w:r w:rsidR="008825A1">
              <w:rPr>
                <w:sz w:val="18"/>
                <w:szCs w:val="18"/>
              </w:rPr>
              <w:t xml:space="preserve"> </w:t>
            </w:r>
            <w:r w:rsidRPr="00117237">
              <w:rPr>
                <w:sz w:val="18"/>
                <w:szCs w:val="18"/>
              </w:rPr>
              <w:t>424</w:t>
            </w:r>
          </w:p>
        </w:tc>
      </w:tr>
      <w:tr w:rsidR="00117237" w:rsidRPr="005462C9" w14:paraId="73FE95B6" w14:textId="77777777" w:rsidTr="005462C9">
        <w:trPr>
          <w:trHeight w:val="240"/>
        </w:trPr>
        <w:tc>
          <w:tcPr>
            <w:tcW w:w="1134" w:type="dxa"/>
            <w:tcBorders>
              <w:top w:val="single" w:sz="4" w:space="0" w:color="auto"/>
              <w:bottom w:val="single" w:sz="12" w:space="0" w:color="auto"/>
            </w:tcBorders>
            <w:shd w:val="clear" w:color="auto" w:fill="auto"/>
            <w:hideMark/>
          </w:tcPr>
          <w:p w14:paraId="4DFC06CA" w14:textId="77777777" w:rsidR="002227E6" w:rsidRPr="005462C9" w:rsidRDefault="002227E6" w:rsidP="005462C9">
            <w:pPr>
              <w:spacing w:before="80" w:after="80" w:line="220" w:lineRule="exact"/>
              <w:ind w:left="142" w:right="113"/>
              <w:rPr>
                <w:b/>
                <w:sz w:val="18"/>
                <w:szCs w:val="18"/>
              </w:rPr>
            </w:pPr>
            <w:r w:rsidRPr="005462C9">
              <w:rPr>
                <w:b/>
                <w:sz w:val="18"/>
                <w:szCs w:val="18"/>
              </w:rPr>
              <w:t>Total</w:t>
            </w:r>
          </w:p>
        </w:tc>
        <w:tc>
          <w:tcPr>
            <w:tcW w:w="939" w:type="dxa"/>
            <w:tcBorders>
              <w:top w:val="single" w:sz="4" w:space="0" w:color="auto"/>
              <w:bottom w:val="single" w:sz="12" w:space="0" w:color="auto"/>
            </w:tcBorders>
            <w:shd w:val="clear" w:color="auto" w:fill="auto"/>
            <w:vAlign w:val="bottom"/>
            <w:hideMark/>
          </w:tcPr>
          <w:p w14:paraId="589D5670" w14:textId="56CC2678" w:rsidR="002227E6" w:rsidRPr="005462C9" w:rsidRDefault="002227E6" w:rsidP="005462C9">
            <w:pPr>
              <w:spacing w:before="80" w:after="80" w:line="220" w:lineRule="exact"/>
              <w:ind w:right="113"/>
              <w:jc w:val="right"/>
              <w:rPr>
                <w:b/>
                <w:sz w:val="18"/>
                <w:szCs w:val="18"/>
              </w:rPr>
            </w:pPr>
            <w:r w:rsidRPr="005462C9">
              <w:rPr>
                <w:b/>
                <w:sz w:val="18"/>
                <w:szCs w:val="18"/>
              </w:rPr>
              <w:t>22</w:t>
            </w:r>
            <w:r w:rsidR="008825A1" w:rsidRPr="005462C9">
              <w:rPr>
                <w:b/>
                <w:sz w:val="18"/>
                <w:szCs w:val="18"/>
              </w:rPr>
              <w:t xml:space="preserve"> </w:t>
            </w:r>
            <w:r w:rsidRPr="005462C9">
              <w:rPr>
                <w:b/>
                <w:sz w:val="18"/>
                <w:szCs w:val="18"/>
              </w:rPr>
              <w:t>888</w:t>
            </w:r>
            <w:r w:rsidR="008825A1" w:rsidRPr="005462C9">
              <w:rPr>
                <w:b/>
                <w:sz w:val="18"/>
                <w:szCs w:val="18"/>
              </w:rPr>
              <w:t xml:space="preserve"> </w:t>
            </w:r>
            <w:r w:rsidRPr="005462C9">
              <w:rPr>
                <w:b/>
                <w:sz w:val="18"/>
                <w:szCs w:val="18"/>
              </w:rPr>
              <w:t>491</w:t>
            </w:r>
          </w:p>
        </w:tc>
        <w:tc>
          <w:tcPr>
            <w:tcW w:w="938" w:type="dxa"/>
            <w:tcBorders>
              <w:top w:val="single" w:sz="4" w:space="0" w:color="auto"/>
              <w:bottom w:val="single" w:sz="12" w:space="0" w:color="auto"/>
            </w:tcBorders>
            <w:shd w:val="clear" w:color="auto" w:fill="auto"/>
            <w:vAlign w:val="bottom"/>
            <w:hideMark/>
          </w:tcPr>
          <w:p w14:paraId="2709E579" w14:textId="44FE5342" w:rsidR="002227E6" w:rsidRPr="005462C9" w:rsidRDefault="002227E6" w:rsidP="005462C9">
            <w:pPr>
              <w:spacing w:before="80" w:after="80" w:line="220" w:lineRule="exact"/>
              <w:ind w:right="113"/>
              <w:jc w:val="right"/>
              <w:rPr>
                <w:b/>
                <w:sz w:val="18"/>
                <w:szCs w:val="18"/>
              </w:rPr>
            </w:pPr>
            <w:r w:rsidRPr="005462C9">
              <w:rPr>
                <w:b/>
                <w:sz w:val="18"/>
                <w:szCs w:val="18"/>
              </w:rPr>
              <w:t>12</w:t>
            </w:r>
            <w:r w:rsidR="008825A1" w:rsidRPr="005462C9">
              <w:rPr>
                <w:b/>
                <w:sz w:val="18"/>
                <w:szCs w:val="18"/>
              </w:rPr>
              <w:t xml:space="preserve"> </w:t>
            </w:r>
            <w:r w:rsidRPr="005462C9">
              <w:rPr>
                <w:b/>
                <w:sz w:val="18"/>
                <w:szCs w:val="18"/>
              </w:rPr>
              <w:t>836</w:t>
            </w:r>
            <w:r w:rsidR="008825A1" w:rsidRPr="005462C9">
              <w:rPr>
                <w:b/>
                <w:sz w:val="18"/>
                <w:szCs w:val="18"/>
              </w:rPr>
              <w:t xml:space="preserve"> </w:t>
            </w:r>
            <w:r w:rsidRPr="005462C9">
              <w:rPr>
                <w:b/>
                <w:sz w:val="18"/>
                <w:szCs w:val="18"/>
              </w:rPr>
              <w:t>760</w:t>
            </w:r>
          </w:p>
        </w:tc>
        <w:tc>
          <w:tcPr>
            <w:tcW w:w="557" w:type="dxa"/>
            <w:tcBorders>
              <w:top w:val="single" w:sz="4" w:space="0" w:color="auto"/>
              <w:bottom w:val="single" w:sz="12" w:space="0" w:color="auto"/>
            </w:tcBorders>
            <w:shd w:val="clear" w:color="auto" w:fill="auto"/>
            <w:noWrap/>
            <w:vAlign w:val="bottom"/>
            <w:hideMark/>
          </w:tcPr>
          <w:p w14:paraId="41B5242E" w14:textId="77777777" w:rsidR="002227E6" w:rsidRPr="005462C9" w:rsidRDefault="002227E6" w:rsidP="005462C9">
            <w:pPr>
              <w:spacing w:before="80" w:after="80" w:line="220" w:lineRule="exact"/>
              <w:ind w:right="113"/>
              <w:jc w:val="right"/>
              <w:rPr>
                <w:b/>
                <w:sz w:val="18"/>
                <w:szCs w:val="18"/>
              </w:rPr>
            </w:pPr>
            <w:r w:rsidRPr="005462C9">
              <w:rPr>
                <w:b/>
                <w:sz w:val="18"/>
                <w:szCs w:val="18"/>
              </w:rPr>
              <w:t>56.08</w:t>
            </w:r>
          </w:p>
        </w:tc>
        <w:tc>
          <w:tcPr>
            <w:tcW w:w="1067" w:type="dxa"/>
            <w:tcBorders>
              <w:top w:val="single" w:sz="4" w:space="0" w:color="auto"/>
              <w:bottom w:val="single" w:sz="12" w:space="0" w:color="auto"/>
            </w:tcBorders>
            <w:shd w:val="clear" w:color="auto" w:fill="auto"/>
            <w:vAlign w:val="bottom"/>
            <w:hideMark/>
          </w:tcPr>
          <w:p w14:paraId="5D39CEA7" w14:textId="30F3D88D" w:rsidR="002227E6" w:rsidRPr="005462C9" w:rsidRDefault="002227E6" w:rsidP="005462C9">
            <w:pPr>
              <w:spacing w:before="80" w:after="80" w:line="220" w:lineRule="exact"/>
              <w:ind w:right="113"/>
              <w:jc w:val="right"/>
              <w:rPr>
                <w:b/>
                <w:sz w:val="18"/>
                <w:szCs w:val="18"/>
              </w:rPr>
            </w:pPr>
            <w:r w:rsidRPr="005462C9">
              <w:rPr>
                <w:b/>
                <w:sz w:val="18"/>
                <w:szCs w:val="18"/>
              </w:rPr>
              <w:t>27</w:t>
            </w:r>
            <w:r w:rsidR="008825A1" w:rsidRPr="005462C9">
              <w:rPr>
                <w:b/>
                <w:sz w:val="18"/>
                <w:szCs w:val="18"/>
              </w:rPr>
              <w:t xml:space="preserve"> </w:t>
            </w:r>
            <w:r w:rsidRPr="005462C9">
              <w:rPr>
                <w:b/>
                <w:sz w:val="18"/>
                <w:szCs w:val="18"/>
              </w:rPr>
              <w:t>283</w:t>
            </w:r>
            <w:r w:rsidR="008825A1" w:rsidRPr="005462C9">
              <w:rPr>
                <w:b/>
                <w:sz w:val="18"/>
                <w:szCs w:val="18"/>
              </w:rPr>
              <w:t xml:space="preserve"> </w:t>
            </w:r>
            <w:r w:rsidRPr="005462C9">
              <w:rPr>
                <w:b/>
                <w:sz w:val="18"/>
                <w:szCs w:val="18"/>
              </w:rPr>
              <w:t>477</w:t>
            </w:r>
          </w:p>
        </w:tc>
        <w:tc>
          <w:tcPr>
            <w:tcW w:w="924" w:type="dxa"/>
            <w:tcBorders>
              <w:top w:val="single" w:sz="4" w:space="0" w:color="auto"/>
              <w:bottom w:val="single" w:sz="12" w:space="0" w:color="auto"/>
            </w:tcBorders>
            <w:shd w:val="clear" w:color="auto" w:fill="auto"/>
            <w:vAlign w:val="bottom"/>
            <w:hideMark/>
          </w:tcPr>
          <w:p w14:paraId="0DB9C39F" w14:textId="76B868FE" w:rsidR="002227E6" w:rsidRPr="005462C9" w:rsidRDefault="002227E6" w:rsidP="005462C9">
            <w:pPr>
              <w:spacing w:before="80" w:after="80" w:line="220" w:lineRule="exact"/>
              <w:ind w:right="113"/>
              <w:jc w:val="right"/>
              <w:rPr>
                <w:b/>
                <w:sz w:val="18"/>
                <w:szCs w:val="18"/>
              </w:rPr>
            </w:pPr>
            <w:r w:rsidRPr="005462C9">
              <w:rPr>
                <w:b/>
                <w:sz w:val="18"/>
                <w:szCs w:val="18"/>
              </w:rPr>
              <w:t>12</w:t>
            </w:r>
            <w:r w:rsidR="008825A1" w:rsidRPr="005462C9">
              <w:rPr>
                <w:b/>
                <w:sz w:val="18"/>
                <w:szCs w:val="18"/>
              </w:rPr>
              <w:t xml:space="preserve"> </w:t>
            </w:r>
            <w:r w:rsidRPr="005462C9">
              <w:rPr>
                <w:b/>
                <w:sz w:val="18"/>
                <w:szCs w:val="18"/>
              </w:rPr>
              <w:t>269</w:t>
            </w:r>
            <w:r w:rsidR="008825A1" w:rsidRPr="005462C9">
              <w:rPr>
                <w:b/>
                <w:sz w:val="18"/>
                <w:szCs w:val="18"/>
              </w:rPr>
              <w:t xml:space="preserve"> </w:t>
            </w:r>
            <w:r w:rsidRPr="005462C9">
              <w:rPr>
                <w:b/>
                <w:sz w:val="18"/>
                <w:szCs w:val="18"/>
              </w:rPr>
              <w:t>753</w:t>
            </w:r>
          </w:p>
        </w:tc>
        <w:tc>
          <w:tcPr>
            <w:tcW w:w="620" w:type="dxa"/>
            <w:tcBorders>
              <w:top w:val="single" w:sz="4" w:space="0" w:color="auto"/>
              <w:bottom w:val="single" w:sz="12" w:space="0" w:color="auto"/>
            </w:tcBorders>
            <w:shd w:val="clear" w:color="auto" w:fill="auto"/>
            <w:noWrap/>
            <w:vAlign w:val="bottom"/>
            <w:hideMark/>
          </w:tcPr>
          <w:p w14:paraId="2A927445" w14:textId="77777777" w:rsidR="002227E6" w:rsidRPr="005462C9" w:rsidRDefault="002227E6" w:rsidP="005462C9">
            <w:pPr>
              <w:spacing w:before="80" w:after="80" w:line="220" w:lineRule="exact"/>
              <w:ind w:right="113"/>
              <w:jc w:val="right"/>
              <w:rPr>
                <w:b/>
                <w:sz w:val="18"/>
                <w:szCs w:val="18"/>
              </w:rPr>
            </w:pPr>
            <w:r w:rsidRPr="005462C9">
              <w:rPr>
                <w:b/>
                <w:sz w:val="18"/>
                <w:szCs w:val="18"/>
              </w:rPr>
              <w:t>44.97</w:t>
            </w:r>
          </w:p>
        </w:tc>
        <w:tc>
          <w:tcPr>
            <w:tcW w:w="1073" w:type="dxa"/>
            <w:tcBorders>
              <w:top w:val="single" w:sz="4" w:space="0" w:color="auto"/>
              <w:bottom w:val="single" w:sz="12" w:space="0" w:color="auto"/>
            </w:tcBorders>
            <w:shd w:val="clear" w:color="auto" w:fill="auto"/>
            <w:vAlign w:val="bottom"/>
            <w:hideMark/>
          </w:tcPr>
          <w:p w14:paraId="4F8335CF" w14:textId="415812AE" w:rsidR="002227E6" w:rsidRPr="005462C9" w:rsidRDefault="002227E6" w:rsidP="005462C9">
            <w:pPr>
              <w:spacing w:before="80" w:after="80" w:line="220" w:lineRule="exact"/>
              <w:ind w:right="113"/>
              <w:jc w:val="right"/>
              <w:rPr>
                <w:b/>
                <w:sz w:val="18"/>
                <w:szCs w:val="18"/>
              </w:rPr>
            </w:pPr>
            <w:r w:rsidRPr="005462C9">
              <w:rPr>
                <w:b/>
                <w:sz w:val="18"/>
                <w:szCs w:val="18"/>
              </w:rPr>
              <w:t>29</w:t>
            </w:r>
            <w:r w:rsidR="008825A1" w:rsidRPr="005462C9">
              <w:rPr>
                <w:b/>
                <w:sz w:val="18"/>
                <w:szCs w:val="18"/>
              </w:rPr>
              <w:t xml:space="preserve"> </w:t>
            </w:r>
            <w:r w:rsidRPr="005462C9">
              <w:rPr>
                <w:b/>
                <w:sz w:val="18"/>
                <w:szCs w:val="18"/>
              </w:rPr>
              <w:t>007</w:t>
            </w:r>
            <w:r w:rsidR="008825A1" w:rsidRPr="005462C9">
              <w:rPr>
                <w:b/>
                <w:sz w:val="18"/>
                <w:szCs w:val="18"/>
              </w:rPr>
              <w:t xml:space="preserve"> </w:t>
            </w:r>
            <w:r w:rsidRPr="005462C9">
              <w:rPr>
                <w:b/>
                <w:sz w:val="18"/>
                <w:szCs w:val="18"/>
              </w:rPr>
              <w:t>738</w:t>
            </w:r>
          </w:p>
        </w:tc>
        <w:tc>
          <w:tcPr>
            <w:tcW w:w="924" w:type="dxa"/>
            <w:tcBorders>
              <w:top w:val="single" w:sz="4" w:space="0" w:color="auto"/>
              <w:bottom w:val="single" w:sz="12" w:space="0" w:color="auto"/>
            </w:tcBorders>
            <w:shd w:val="clear" w:color="auto" w:fill="auto"/>
            <w:vAlign w:val="bottom"/>
            <w:hideMark/>
          </w:tcPr>
          <w:p w14:paraId="77B42F9F" w14:textId="3EBCFEB5" w:rsidR="002227E6" w:rsidRPr="005462C9" w:rsidRDefault="002227E6" w:rsidP="005462C9">
            <w:pPr>
              <w:spacing w:before="80" w:after="80" w:line="220" w:lineRule="exact"/>
              <w:ind w:right="113"/>
              <w:jc w:val="right"/>
              <w:rPr>
                <w:b/>
                <w:sz w:val="18"/>
                <w:szCs w:val="18"/>
              </w:rPr>
            </w:pPr>
            <w:r w:rsidRPr="005462C9">
              <w:rPr>
                <w:b/>
                <w:sz w:val="18"/>
                <w:szCs w:val="18"/>
              </w:rPr>
              <w:t>15</w:t>
            </w:r>
            <w:r w:rsidR="008825A1" w:rsidRPr="005462C9">
              <w:rPr>
                <w:b/>
                <w:sz w:val="18"/>
                <w:szCs w:val="18"/>
              </w:rPr>
              <w:t xml:space="preserve"> </w:t>
            </w:r>
            <w:r w:rsidRPr="005462C9">
              <w:rPr>
                <w:b/>
                <w:sz w:val="18"/>
                <w:szCs w:val="18"/>
              </w:rPr>
              <w:t>264</w:t>
            </w:r>
            <w:r w:rsidR="008825A1" w:rsidRPr="005462C9">
              <w:rPr>
                <w:b/>
                <w:sz w:val="18"/>
                <w:szCs w:val="18"/>
              </w:rPr>
              <w:t xml:space="preserve"> </w:t>
            </w:r>
            <w:r w:rsidRPr="005462C9">
              <w:rPr>
                <w:b/>
                <w:sz w:val="18"/>
                <w:szCs w:val="18"/>
              </w:rPr>
              <w:t>775</w:t>
            </w:r>
          </w:p>
        </w:tc>
        <w:tc>
          <w:tcPr>
            <w:tcW w:w="518" w:type="dxa"/>
            <w:tcBorders>
              <w:top w:val="single" w:sz="4" w:space="0" w:color="auto"/>
              <w:bottom w:val="single" w:sz="12" w:space="0" w:color="auto"/>
            </w:tcBorders>
            <w:shd w:val="clear" w:color="auto" w:fill="auto"/>
            <w:noWrap/>
            <w:vAlign w:val="bottom"/>
            <w:hideMark/>
          </w:tcPr>
          <w:p w14:paraId="5693D667" w14:textId="77777777" w:rsidR="002227E6" w:rsidRPr="005462C9" w:rsidRDefault="002227E6" w:rsidP="005462C9">
            <w:pPr>
              <w:spacing w:before="80" w:after="80" w:line="220" w:lineRule="exact"/>
              <w:ind w:right="113"/>
              <w:jc w:val="right"/>
              <w:rPr>
                <w:b/>
                <w:sz w:val="18"/>
                <w:szCs w:val="18"/>
              </w:rPr>
            </w:pPr>
            <w:r w:rsidRPr="005462C9">
              <w:rPr>
                <w:b/>
                <w:sz w:val="18"/>
                <w:szCs w:val="18"/>
              </w:rPr>
              <w:t>52.62</w:t>
            </w:r>
          </w:p>
        </w:tc>
        <w:tc>
          <w:tcPr>
            <w:tcW w:w="945" w:type="dxa"/>
            <w:tcBorders>
              <w:top w:val="single" w:sz="4" w:space="0" w:color="auto"/>
              <w:bottom w:val="single" w:sz="12" w:space="0" w:color="auto"/>
            </w:tcBorders>
            <w:shd w:val="clear" w:color="auto" w:fill="auto"/>
            <w:vAlign w:val="bottom"/>
            <w:hideMark/>
          </w:tcPr>
          <w:p w14:paraId="00952023" w14:textId="06E5C2C1" w:rsidR="002227E6" w:rsidRPr="005462C9" w:rsidRDefault="002227E6" w:rsidP="005462C9">
            <w:pPr>
              <w:spacing w:before="80" w:after="80" w:line="220" w:lineRule="exact"/>
              <w:ind w:right="113"/>
              <w:jc w:val="right"/>
              <w:rPr>
                <w:b/>
                <w:sz w:val="18"/>
                <w:szCs w:val="18"/>
              </w:rPr>
            </w:pPr>
            <w:r w:rsidRPr="005462C9">
              <w:rPr>
                <w:b/>
                <w:sz w:val="18"/>
                <w:szCs w:val="18"/>
              </w:rPr>
              <w:t>13</w:t>
            </w:r>
            <w:r w:rsidR="008825A1" w:rsidRPr="005462C9">
              <w:rPr>
                <w:b/>
                <w:sz w:val="18"/>
                <w:szCs w:val="18"/>
              </w:rPr>
              <w:t xml:space="preserve"> </w:t>
            </w:r>
            <w:r w:rsidRPr="005462C9">
              <w:rPr>
                <w:b/>
                <w:sz w:val="18"/>
                <w:szCs w:val="18"/>
              </w:rPr>
              <w:t>457</w:t>
            </w:r>
            <w:r w:rsidR="008825A1" w:rsidRPr="005462C9">
              <w:rPr>
                <w:b/>
                <w:sz w:val="18"/>
                <w:szCs w:val="18"/>
              </w:rPr>
              <w:t xml:space="preserve"> </w:t>
            </w:r>
            <w:r w:rsidRPr="005462C9">
              <w:rPr>
                <w:b/>
                <w:sz w:val="18"/>
                <w:szCs w:val="18"/>
              </w:rPr>
              <w:t>096</w:t>
            </w:r>
          </w:p>
        </w:tc>
      </w:tr>
    </w:tbl>
    <w:p w14:paraId="08C24D66" w14:textId="77777777" w:rsidR="002227E6" w:rsidRPr="00914368" w:rsidRDefault="002227E6" w:rsidP="002227E6">
      <w:pPr>
        <w:tabs>
          <w:tab w:val="left" w:pos="1701"/>
          <w:tab w:val="left" w:pos="2268"/>
          <w:tab w:val="left" w:pos="2835"/>
        </w:tabs>
        <w:spacing w:before="120" w:after="120"/>
        <w:ind w:firstLine="170"/>
        <w:jc w:val="both"/>
        <w:rPr>
          <w:rFonts w:eastAsia="Calibri"/>
          <w:sz w:val="18"/>
          <w:szCs w:val="18"/>
        </w:rPr>
      </w:pPr>
      <w:r w:rsidRPr="00914368">
        <w:rPr>
          <w:i/>
          <w:iCs/>
          <w:sz w:val="18"/>
          <w:szCs w:val="18"/>
        </w:rPr>
        <w:t>Source</w:t>
      </w:r>
      <w:r w:rsidRPr="00914368">
        <w:rPr>
          <w:sz w:val="18"/>
          <w:szCs w:val="18"/>
        </w:rPr>
        <w:t>: Own compilation based on data from the Ministry of Economy and Public Finance.</w:t>
      </w:r>
    </w:p>
    <w:p w14:paraId="637FA40A" w14:textId="043980D1" w:rsidR="002227E6" w:rsidRPr="00914368" w:rsidRDefault="00D43678" w:rsidP="00D43678">
      <w:pPr>
        <w:pStyle w:val="H23G"/>
        <w:rPr>
          <w:b w:val="0"/>
          <w:noProof/>
          <w:sz w:val="22"/>
        </w:rPr>
      </w:pPr>
      <w:bookmarkStart w:id="0" w:name="_Toc68097276"/>
      <w:r>
        <w:lastRenderedPageBreak/>
        <w:tab/>
      </w:r>
      <w:r>
        <w:tab/>
      </w:r>
      <w:r w:rsidR="002227E6" w:rsidRPr="00D43678">
        <w:rPr>
          <w:b w:val="0"/>
          <w:bCs/>
        </w:rPr>
        <w:t>Figure 1</w:t>
      </w:r>
      <w:r w:rsidRPr="00D43678">
        <w:rPr>
          <w:b w:val="0"/>
          <w:bCs/>
        </w:rPr>
        <w:br/>
      </w:r>
      <w:r w:rsidR="002227E6" w:rsidRPr="00914368">
        <w:tab/>
      </w:r>
      <w:r w:rsidR="002227E6" w:rsidRPr="00914368">
        <w:rPr>
          <w:bCs/>
        </w:rPr>
        <w:t>Average amounts and percentages of budget expenditure by departmental autonomous governments for item 25 (2018–2020)</w:t>
      </w:r>
      <w:bookmarkEnd w:id="0"/>
    </w:p>
    <w:p w14:paraId="62761040" w14:textId="067C2F22" w:rsidR="002227E6" w:rsidRPr="0064043A" w:rsidRDefault="002227E6" w:rsidP="0064043A">
      <w:pPr>
        <w:spacing w:before="3960" w:line="240" w:lineRule="atLeast"/>
        <w:ind w:left="1134" w:right="1134" w:firstLine="170"/>
        <w:rPr>
          <w:sz w:val="18"/>
        </w:rPr>
      </w:pPr>
      <w:r w:rsidRPr="0064043A">
        <w:rPr>
          <w:i/>
          <w:iCs/>
          <w:noProof/>
          <w:sz w:val="18"/>
        </w:rPr>
        <w:drawing>
          <wp:anchor distT="0" distB="0" distL="114300" distR="114300" simplePos="0" relativeHeight="251658240" behindDoc="1" locked="0" layoutInCell="1" allowOverlap="1" wp14:anchorId="52F52BFF" wp14:editId="22A5BFE3">
            <wp:simplePos x="0" y="0"/>
            <wp:positionH relativeFrom="column">
              <wp:posOffset>1426255</wp:posOffset>
            </wp:positionH>
            <wp:positionV relativeFrom="paragraph">
              <wp:posOffset>43180</wp:posOffset>
            </wp:positionV>
            <wp:extent cx="3593930" cy="2188564"/>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593930" cy="2188564"/>
                    </a:xfrm>
                    <a:prstGeom prst="rect">
                      <a:avLst/>
                    </a:prstGeom>
                  </pic:spPr>
                </pic:pic>
              </a:graphicData>
            </a:graphic>
            <wp14:sizeRelH relativeFrom="page">
              <wp14:pctWidth>0</wp14:pctWidth>
            </wp14:sizeRelH>
            <wp14:sizeRelV relativeFrom="page">
              <wp14:pctHeight>0</wp14:pctHeight>
            </wp14:sizeRelV>
          </wp:anchor>
        </w:drawing>
      </w:r>
      <w:r w:rsidRPr="0064043A">
        <w:rPr>
          <w:i/>
          <w:iCs/>
          <w:sz w:val="18"/>
        </w:rPr>
        <w:t>Source</w:t>
      </w:r>
      <w:r w:rsidRPr="0064043A">
        <w:rPr>
          <w:sz w:val="18"/>
        </w:rPr>
        <w:t>: Own compilation based on data from the Ministry of Economy and Public Finance.</w:t>
      </w:r>
    </w:p>
    <w:p w14:paraId="323781BB" w14:textId="35C6C75C" w:rsidR="002227E6" w:rsidRPr="00914368" w:rsidRDefault="0064043A" w:rsidP="0064043A">
      <w:pPr>
        <w:pStyle w:val="H23G"/>
        <w:rPr>
          <w:rFonts w:eastAsia="Calibri"/>
          <w:b w:val="0"/>
        </w:rPr>
      </w:pPr>
      <w:bookmarkStart w:id="1" w:name="_Toc68097269"/>
      <w:r>
        <w:tab/>
      </w:r>
      <w:r>
        <w:tab/>
      </w:r>
      <w:r w:rsidR="002227E6" w:rsidRPr="0020300F">
        <w:rPr>
          <w:b w:val="0"/>
          <w:bCs/>
        </w:rPr>
        <w:t>Table 2</w:t>
      </w:r>
      <w:r w:rsidRPr="0020300F">
        <w:rPr>
          <w:b w:val="0"/>
          <w:bCs/>
        </w:rPr>
        <w:br/>
      </w:r>
      <w:r w:rsidR="002227E6" w:rsidRPr="00914368">
        <w:tab/>
      </w:r>
      <w:r w:rsidR="002227E6" w:rsidRPr="00914368">
        <w:rPr>
          <w:bCs/>
        </w:rPr>
        <w:t>Budget of category D autonomous municipal governments (locations with more than 50,000 inhabitants) for item 25, promotion and policies for vulnerable groups and women, 2018–2020</w:t>
      </w:r>
      <w:bookmarkEnd w:id="1"/>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04"/>
        <w:gridCol w:w="901"/>
        <w:gridCol w:w="917"/>
        <w:gridCol w:w="452"/>
        <w:gridCol w:w="934"/>
        <w:gridCol w:w="917"/>
        <w:gridCol w:w="458"/>
        <w:gridCol w:w="917"/>
        <w:gridCol w:w="1003"/>
        <w:gridCol w:w="430"/>
        <w:gridCol w:w="975"/>
        <w:gridCol w:w="631"/>
      </w:tblGrid>
      <w:tr w:rsidR="005705F1" w:rsidRPr="00BD5446" w14:paraId="72FC9DBF" w14:textId="77777777" w:rsidTr="005705F1">
        <w:trPr>
          <w:trHeight w:val="240"/>
          <w:tblHeader/>
        </w:trPr>
        <w:tc>
          <w:tcPr>
            <w:tcW w:w="1093" w:type="dxa"/>
            <w:tcBorders>
              <w:top w:val="single" w:sz="4" w:space="0" w:color="auto"/>
              <w:bottom w:val="single" w:sz="12" w:space="0" w:color="auto"/>
            </w:tcBorders>
            <w:shd w:val="clear" w:color="auto" w:fill="auto"/>
            <w:noWrap/>
            <w:vAlign w:val="bottom"/>
            <w:hideMark/>
          </w:tcPr>
          <w:p w14:paraId="1678BC7A" w14:textId="77777777" w:rsidR="002227E6" w:rsidRPr="00BD5446" w:rsidRDefault="002227E6" w:rsidP="00356632">
            <w:pPr>
              <w:spacing w:before="80" w:after="80" w:line="200" w:lineRule="exact"/>
              <w:ind w:right="113"/>
              <w:rPr>
                <w:i/>
                <w:sz w:val="15"/>
                <w:szCs w:val="15"/>
              </w:rPr>
            </w:pPr>
            <w:r w:rsidRPr="00BD5446">
              <w:rPr>
                <w:i/>
                <w:iCs/>
                <w:sz w:val="15"/>
                <w:szCs w:val="15"/>
              </w:rPr>
              <w:t>Municipality</w:t>
            </w:r>
          </w:p>
        </w:tc>
        <w:tc>
          <w:tcPr>
            <w:tcW w:w="892" w:type="dxa"/>
            <w:tcBorders>
              <w:top w:val="single" w:sz="4" w:space="0" w:color="auto"/>
              <w:bottom w:val="single" w:sz="12" w:space="0" w:color="auto"/>
            </w:tcBorders>
            <w:shd w:val="clear" w:color="auto" w:fill="auto"/>
            <w:vAlign w:val="bottom"/>
            <w:hideMark/>
          </w:tcPr>
          <w:p w14:paraId="30E34A1F" w14:textId="77777777" w:rsidR="002227E6" w:rsidRPr="00BD5446" w:rsidRDefault="002227E6" w:rsidP="00356632">
            <w:pPr>
              <w:spacing w:before="80" w:after="80" w:line="200" w:lineRule="exact"/>
              <w:ind w:right="113"/>
              <w:jc w:val="right"/>
              <w:rPr>
                <w:i/>
                <w:sz w:val="15"/>
                <w:szCs w:val="15"/>
              </w:rPr>
            </w:pPr>
            <w:r w:rsidRPr="00BD5446">
              <w:rPr>
                <w:i/>
                <w:iCs/>
                <w:sz w:val="15"/>
                <w:szCs w:val="15"/>
              </w:rPr>
              <w:t>2018 budget (bolivianos)</w:t>
            </w:r>
          </w:p>
        </w:tc>
        <w:tc>
          <w:tcPr>
            <w:tcW w:w="907" w:type="dxa"/>
            <w:tcBorders>
              <w:top w:val="single" w:sz="4" w:space="0" w:color="auto"/>
              <w:bottom w:val="single" w:sz="12" w:space="0" w:color="auto"/>
            </w:tcBorders>
            <w:shd w:val="clear" w:color="auto" w:fill="auto"/>
            <w:vAlign w:val="bottom"/>
            <w:hideMark/>
          </w:tcPr>
          <w:p w14:paraId="1A9F4AC6" w14:textId="77777777" w:rsidR="002227E6" w:rsidRPr="00BD5446" w:rsidRDefault="002227E6" w:rsidP="00356632">
            <w:pPr>
              <w:spacing w:before="80" w:after="80" w:line="200" w:lineRule="exact"/>
              <w:ind w:right="113"/>
              <w:jc w:val="right"/>
              <w:rPr>
                <w:i/>
                <w:sz w:val="15"/>
                <w:szCs w:val="15"/>
              </w:rPr>
            </w:pPr>
            <w:r w:rsidRPr="00BD5446">
              <w:rPr>
                <w:i/>
                <w:iCs/>
                <w:sz w:val="15"/>
                <w:szCs w:val="15"/>
              </w:rPr>
              <w:t>2018 expenditure (bolivianos)</w:t>
            </w:r>
          </w:p>
        </w:tc>
        <w:tc>
          <w:tcPr>
            <w:tcW w:w="447" w:type="dxa"/>
            <w:tcBorders>
              <w:top w:val="single" w:sz="4" w:space="0" w:color="auto"/>
              <w:bottom w:val="single" w:sz="12" w:space="0" w:color="auto"/>
            </w:tcBorders>
            <w:shd w:val="clear" w:color="auto" w:fill="auto"/>
            <w:vAlign w:val="bottom"/>
            <w:hideMark/>
          </w:tcPr>
          <w:p w14:paraId="6C045AA7" w14:textId="77777777" w:rsidR="002227E6" w:rsidRPr="00BD5446" w:rsidRDefault="002227E6" w:rsidP="00356632">
            <w:pPr>
              <w:spacing w:before="80" w:after="80" w:line="200" w:lineRule="exact"/>
              <w:ind w:right="113"/>
              <w:jc w:val="right"/>
              <w:rPr>
                <w:i/>
                <w:sz w:val="15"/>
                <w:szCs w:val="15"/>
              </w:rPr>
            </w:pPr>
            <w:r w:rsidRPr="00BD5446">
              <w:rPr>
                <w:i/>
                <w:iCs/>
                <w:sz w:val="15"/>
                <w:szCs w:val="15"/>
              </w:rPr>
              <w:t>%</w:t>
            </w:r>
          </w:p>
        </w:tc>
        <w:tc>
          <w:tcPr>
            <w:tcW w:w="924" w:type="dxa"/>
            <w:tcBorders>
              <w:top w:val="single" w:sz="4" w:space="0" w:color="auto"/>
              <w:bottom w:val="single" w:sz="12" w:space="0" w:color="auto"/>
            </w:tcBorders>
            <w:shd w:val="clear" w:color="auto" w:fill="auto"/>
            <w:vAlign w:val="bottom"/>
            <w:hideMark/>
          </w:tcPr>
          <w:p w14:paraId="7E16B8DE" w14:textId="77777777" w:rsidR="002227E6" w:rsidRPr="00BD5446" w:rsidRDefault="002227E6" w:rsidP="00356632">
            <w:pPr>
              <w:spacing w:before="80" w:after="80" w:line="200" w:lineRule="exact"/>
              <w:ind w:right="113"/>
              <w:jc w:val="right"/>
              <w:rPr>
                <w:i/>
                <w:sz w:val="15"/>
                <w:szCs w:val="15"/>
              </w:rPr>
            </w:pPr>
            <w:r w:rsidRPr="00BD5446">
              <w:rPr>
                <w:i/>
                <w:iCs/>
                <w:sz w:val="15"/>
                <w:szCs w:val="15"/>
              </w:rPr>
              <w:t>2019 budget (bolivianos)</w:t>
            </w:r>
          </w:p>
        </w:tc>
        <w:tc>
          <w:tcPr>
            <w:tcW w:w="907" w:type="dxa"/>
            <w:tcBorders>
              <w:top w:val="single" w:sz="4" w:space="0" w:color="auto"/>
              <w:bottom w:val="single" w:sz="12" w:space="0" w:color="auto"/>
            </w:tcBorders>
            <w:shd w:val="clear" w:color="auto" w:fill="auto"/>
            <w:vAlign w:val="bottom"/>
            <w:hideMark/>
          </w:tcPr>
          <w:p w14:paraId="48BF14C2" w14:textId="77777777" w:rsidR="002227E6" w:rsidRPr="00BD5446" w:rsidRDefault="002227E6" w:rsidP="00356632">
            <w:pPr>
              <w:spacing w:before="80" w:after="80" w:line="200" w:lineRule="exact"/>
              <w:ind w:right="113"/>
              <w:jc w:val="right"/>
              <w:rPr>
                <w:i/>
                <w:sz w:val="15"/>
                <w:szCs w:val="15"/>
              </w:rPr>
            </w:pPr>
            <w:r w:rsidRPr="00BD5446">
              <w:rPr>
                <w:i/>
                <w:iCs/>
                <w:sz w:val="15"/>
                <w:szCs w:val="15"/>
              </w:rPr>
              <w:t>2019 expenditure (bolivianos)</w:t>
            </w:r>
          </w:p>
        </w:tc>
        <w:tc>
          <w:tcPr>
            <w:tcW w:w="453" w:type="dxa"/>
            <w:tcBorders>
              <w:top w:val="single" w:sz="4" w:space="0" w:color="auto"/>
              <w:bottom w:val="single" w:sz="12" w:space="0" w:color="auto"/>
            </w:tcBorders>
            <w:shd w:val="clear" w:color="auto" w:fill="auto"/>
            <w:vAlign w:val="bottom"/>
            <w:hideMark/>
          </w:tcPr>
          <w:p w14:paraId="658C36E8" w14:textId="77777777" w:rsidR="002227E6" w:rsidRPr="00BD5446" w:rsidRDefault="002227E6" w:rsidP="00356632">
            <w:pPr>
              <w:spacing w:before="80" w:after="80" w:line="200" w:lineRule="exact"/>
              <w:ind w:right="113"/>
              <w:jc w:val="right"/>
              <w:rPr>
                <w:i/>
                <w:sz w:val="15"/>
                <w:szCs w:val="15"/>
              </w:rPr>
            </w:pPr>
            <w:r w:rsidRPr="00BD5446">
              <w:rPr>
                <w:i/>
                <w:iCs/>
                <w:sz w:val="15"/>
                <w:szCs w:val="15"/>
              </w:rPr>
              <w:t>%</w:t>
            </w:r>
          </w:p>
        </w:tc>
        <w:tc>
          <w:tcPr>
            <w:tcW w:w="907" w:type="dxa"/>
            <w:tcBorders>
              <w:top w:val="single" w:sz="4" w:space="0" w:color="auto"/>
              <w:bottom w:val="single" w:sz="12" w:space="0" w:color="auto"/>
            </w:tcBorders>
            <w:shd w:val="clear" w:color="auto" w:fill="auto"/>
            <w:vAlign w:val="bottom"/>
            <w:hideMark/>
          </w:tcPr>
          <w:p w14:paraId="4F2359B7" w14:textId="77777777" w:rsidR="002227E6" w:rsidRPr="00BD5446" w:rsidRDefault="002227E6" w:rsidP="00356632">
            <w:pPr>
              <w:spacing w:before="80" w:after="80" w:line="200" w:lineRule="exact"/>
              <w:ind w:right="113"/>
              <w:jc w:val="right"/>
              <w:rPr>
                <w:i/>
                <w:sz w:val="15"/>
                <w:szCs w:val="15"/>
              </w:rPr>
            </w:pPr>
            <w:r w:rsidRPr="00BD5446">
              <w:rPr>
                <w:i/>
                <w:iCs/>
                <w:sz w:val="15"/>
                <w:szCs w:val="15"/>
              </w:rPr>
              <w:t>2020 budget (bolivianos)</w:t>
            </w:r>
          </w:p>
        </w:tc>
        <w:tc>
          <w:tcPr>
            <w:tcW w:w="992" w:type="dxa"/>
            <w:tcBorders>
              <w:top w:val="single" w:sz="4" w:space="0" w:color="auto"/>
              <w:bottom w:val="single" w:sz="12" w:space="0" w:color="auto"/>
            </w:tcBorders>
            <w:shd w:val="clear" w:color="auto" w:fill="auto"/>
            <w:vAlign w:val="bottom"/>
            <w:hideMark/>
          </w:tcPr>
          <w:p w14:paraId="1A35AFDA" w14:textId="77777777" w:rsidR="002227E6" w:rsidRPr="00BD5446" w:rsidRDefault="002227E6" w:rsidP="00356632">
            <w:pPr>
              <w:spacing w:before="80" w:after="80" w:line="200" w:lineRule="exact"/>
              <w:ind w:right="113"/>
              <w:jc w:val="right"/>
              <w:rPr>
                <w:i/>
                <w:sz w:val="15"/>
                <w:szCs w:val="15"/>
              </w:rPr>
            </w:pPr>
            <w:r w:rsidRPr="00BD5446">
              <w:rPr>
                <w:i/>
                <w:iCs/>
                <w:sz w:val="15"/>
                <w:szCs w:val="15"/>
              </w:rPr>
              <w:t>2020 expenditure (bolivianos)</w:t>
            </w:r>
          </w:p>
        </w:tc>
        <w:tc>
          <w:tcPr>
            <w:tcW w:w="425" w:type="dxa"/>
            <w:tcBorders>
              <w:top w:val="single" w:sz="4" w:space="0" w:color="auto"/>
              <w:bottom w:val="single" w:sz="12" w:space="0" w:color="auto"/>
            </w:tcBorders>
            <w:shd w:val="clear" w:color="auto" w:fill="auto"/>
            <w:vAlign w:val="bottom"/>
            <w:hideMark/>
          </w:tcPr>
          <w:p w14:paraId="18A80707" w14:textId="77777777" w:rsidR="002227E6" w:rsidRPr="00BD5446" w:rsidRDefault="002227E6" w:rsidP="00356632">
            <w:pPr>
              <w:spacing w:before="80" w:after="80" w:line="200" w:lineRule="exact"/>
              <w:ind w:right="113"/>
              <w:jc w:val="right"/>
              <w:rPr>
                <w:i/>
                <w:sz w:val="15"/>
                <w:szCs w:val="15"/>
              </w:rPr>
            </w:pPr>
            <w:r w:rsidRPr="00BD5446">
              <w:rPr>
                <w:i/>
                <w:iCs/>
                <w:sz w:val="15"/>
                <w:szCs w:val="15"/>
              </w:rPr>
              <w:t>%</w:t>
            </w:r>
          </w:p>
        </w:tc>
        <w:tc>
          <w:tcPr>
            <w:tcW w:w="964" w:type="dxa"/>
            <w:tcBorders>
              <w:top w:val="single" w:sz="4" w:space="0" w:color="auto"/>
              <w:bottom w:val="single" w:sz="12" w:space="0" w:color="auto"/>
            </w:tcBorders>
            <w:shd w:val="clear" w:color="auto" w:fill="auto"/>
            <w:vAlign w:val="bottom"/>
            <w:hideMark/>
          </w:tcPr>
          <w:p w14:paraId="0122604D" w14:textId="77777777" w:rsidR="002227E6" w:rsidRPr="00BD5446" w:rsidRDefault="002227E6" w:rsidP="00356632">
            <w:pPr>
              <w:spacing w:before="80" w:after="80" w:line="200" w:lineRule="exact"/>
              <w:ind w:right="113"/>
              <w:jc w:val="right"/>
              <w:rPr>
                <w:i/>
                <w:sz w:val="15"/>
                <w:szCs w:val="15"/>
              </w:rPr>
            </w:pPr>
            <w:r w:rsidRPr="00BD5446">
              <w:rPr>
                <w:i/>
                <w:iCs/>
                <w:sz w:val="15"/>
                <w:szCs w:val="15"/>
              </w:rPr>
              <w:t>Average expenditure (bolivianos)</w:t>
            </w:r>
          </w:p>
        </w:tc>
        <w:tc>
          <w:tcPr>
            <w:tcW w:w="624" w:type="dxa"/>
            <w:tcBorders>
              <w:top w:val="single" w:sz="4" w:space="0" w:color="auto"/>
              <w:bottom w:val="single" w:sz="12" w:space="0" w:color="auto"/>
            </w:tcBorders>
            <w:shd w:val="clear" w:color="auto" w:fill="auto"/>
            <w:vAlign w:val="bottom"/>
            <w:hideMark/>
          </w:tcPr>
          <w:p w14:paraId="1ED52BC3" w14:textId="77777777" w:rsidR="002227E6" w:rsidRPr="00BD5446" w:rsidRDefault="002227E6" w:rsidP="00356632">
            <w:pPr>
              <w:spacing w:before="80" w:after="80" w:line="200" w:lineRule="exact"/>
              <w:ind w:right="113"/>
              <w:jc w:val="right"/>
              <w:rPr>
                <w:i/>
                <w:sz w:val="15"/>
                <w:szCs w:val="15"/>
              </w:rPr>
            </w:pPr>
            <w:r w:rsidRPr="00BD5446">
              <w:rPr>
                <w:i/>
                <w:iCs/>
                <w:sz w:val="15"/>
                <w:szCs w:val="15"/>
              </w:rPr>
              <w:t>Average %</w:t>
            </w:r>
          </w:p>
        </w:tc>
      </w:tr>
      <w:tr w:rsidR="005705F1" w:rsidRPr="00356632" w14:paraId="75A4D0D5" w14:textId="77777777" w:rsidTr="005705F1">
        <w:trPr>
          <w:trHeight w:val="240"/>
        </w:trPr>
        <w:tc>
          <w:tcPr>
            <w:tcW w:w="1093" w:type="dxa"/>
            <w:tcBorders>
              <w:top w:val="single" w:sz="12" w:space="0" w:color="auto"/>
            </w:tcBorders>
            <w:shd w:val="clear" w:color="auto" w:fill="auto"/>
            <w:noWrap/>
            <w:hideMark/>
          </w:tcPr>
          <w:p w14:paraId="603C9FC9" w14:textId="77777777" w:rsidR="002227E6" w:rsidRPr="008761E0" w:rsidRDefault="002227E6" w:rsidP="00356632">
            <w:pPr>
              <w:spacing w:before="40" w:after="40" w:line="220" w:lineRule="exact"/>
              <w:ind w:right="113"/>
              <w:rPr>
                <w:sz w:val="17"/>
                <w:szCs w:val="17"/>
                <w:lang w:val="es-ES"/>
              </w:rPr>
            </w:pPr>
            <w:r w:rsidRPr="008761E0">
              <w:rPr>
                <w:sz w:val="17"/>
                <w:szCs w:val="17"/>
                <w:lang w:val="es-ES"/>
              </w:rPr>
              <w:t>Santa Cruz de la Sierra</w:t>
            </w:r>
          </w:p>
        </w:tc>
        <w:tc>
          <w:tcPr>
            <w:tcW w:w="892" w:type="dxa"/>
            <w:tcBorders>
              <w:top w:val="single" w:sz="12" w:space="0" w:color="auto"/>
            </w:tcBorders>
            <w:shd w:val="clear" w:color="auto" w:fill="auto"/>
            <w:noWrap/>
            <w:vAlign w:val="bottom"/>
            <w:hideMark/>
          </w:tcPr>
          <w:p w14:paraId="10CAB9C4" w14:textId="354609A7" w:rsidR="002227E6" w:rsidRPr="008761E0" w:rsidRDefault="002227E6" w:rsidP="00356632">
            <w:pPr>
              <w:spacing w:before="40" w:after="40" w:line="220" w:lineRule="exact"/>
              <w:ind w:right="113"/>
              <w:jc w:val="right"/>
              <w:rPr>
                <w:sz w:val="17"/>
                <w:szCs w:val="17"/>
              </w:rPr>
            </w:pPr>
            <w:r w:rsidRPr="008761E0">
              <w:rPr>
                <w:sz w:val="17"/>
                <w:szCs w:val="17"/>
              </w:rPr>
              <w:t>10</w:t>
            </w:r>
            <w:r w:rsidR="00D41420" w:rsidRPr="008761E0">
              <w:rPr>
                <w:sz w:val="17"/>
                <w:szCs w:val="17"/>
              </w:rPr>
              <w:t xml:space="preserve"> </w:t>
            </w:r>
            <w:r w:rsidRPr="008761E0">
              <w:rPr>
                <w:sz w:val="17"/>
                <w:szCs w:val="17"/>
              </w:rPr>
              <w:t>315</w:t>
            </w:r>
            <w:r w:rsidR="00D41420" w:rsidRPr="008761E0">
              <w:rPr>
                <w:sz w:val="17"/>
                <w:szCs w:val="17"/>
              </w:rPr>
              <w:t xml:space="preserve"> </w:t>
            </w:r>
            <w:r w:rsidRPr="008761E0">
              <w:rPr>
                <w:sz w:val="17"/>
                <w:szCs w:val="17"/>
              </w:rPr>
              <w:t>028</w:t>
            </w:r>
          </w:p>
        </w:tc>
        <w:tc>
          <w:tcPr>
            <w:tcW w:w="907" w:type="dxa"/>
            <w:tcBorders>
              <w:top w:val="single" w:sz="12" w:space="0" w:color="auto"/>
            </w:tcBorders>
            <w:shd w:val="clear" w:color="auto" w:fill="auto"/>
            <w:noWrap/>
            <w:vAlign w:val="bottom"/>
            <w:hideMark/>
          </w:tcPr>
          <w:p w14:paraId="4C453C37" w14:textId="00DC21D1" w:rsidR="002227E6" w:rsidRPr="008761E0" w:rsidRDefault="002227E6" w:rsidP="00356632">
            <w:pPr>
              <w:spacing w:before="40" w:after="40" w:line="220" w:lineRule="exact"/>
              <w:ind w:right="113"/>
              <w:jc w:val="right"/>
              <w:rPr>
                <w:sz w:val="17"/>
                <w:szCs w:val="17"/>
              </w:rPr>
            </w:pPr>
            <w:r w:rsidRPr="008761E0">
              <w:rPr>
                <w:sz w:val="17"/>
                <w:szCs w:val="17"/>
              </w:rPr>
              <w:t>6</w:t>
            </w:r>
            <w:r w:rsidR="00D41420" w:rsidRPr="008761E0">
              <w:rPr>
                <w:sz w:val="17"/>
                <w:szCs w:val="17"/>
              </w:rPr>
              <w:t xml:space="preserve"> </w:t>
            </w:r>
            <w:r w:rsidRPr="008761E0">
              <w:rPr>
                <w:sz w:val="17"/>
                <w:szCs w:val="17"/>
              </w:rPr>
              <w:t>966</w:t>
            </w:r>
            <w:r w:rsidR="00D41420" w:rsidRPr="008761E0">
              <w:rPr>
                <w:sz w:val="17"/>
                <w:szCs w:val="17"/>
              </w:rPr>
              <w:t xml:space="preserve"> </w:t>
            </w:r>
            <w:r w:rsidRPr="008761E0">
              <w:rPr>
                <w:sz w:val="17"/>
                <w:szCs w:val="17"/>
              </w:rPr>
              <w:t>576</w:t>
            </w:r>
          </w:p>
        </w:tc>
        <w:tc>
          <w:tcPr>
            <w:tcW w:w="447" w:type="dxa"/>
            <w:tcBorders>
              <w:top w:val="single" w:sz="12" w:space="0" w:color="auto"/>
            </w:tcBorders>
            <w:shd w:val="clear" w:color="auto" w:fill="auto"/>
            <w:noWrap/>
            <w:vAlign w:val="bottom"/>
            <w:hideMark/>
          </w:tcPr>
          <w:p w14:paraId="1723E3AC" w14:textId="77777777" w:rsidR="002227E6" w:rsidRPr="008761E0" w:rsidRDefault="002227E6" w:rsidP="00356632">
            <w:pPr>
              <w:spacing w:before="40" w:after="40" w:line="220" w:lineRule="exact"/>
              <w:ind w:right="113"/>
              <w:jc w:val="right"/>
              <w:rPr>
                <w:sz w:val="17"/>
                <w:szCs w:val="17"/>
              </w:rPr>
            </w:pPr>
            <w:r w:rsidRPr="008761E0">
              <w:rPr>
                <w:sz w:val="17"/>
                <w:szCs w:val="17"/>
              </w:rPr>
              <w:t>67.5</w:t>
            </w:r>
          </w:p>
        </w:tc>
        <w:tc>
          <w:tcPr>
            <w:tcW w:w="924" w:type="dxa"/>
            <w:tcBorders>
              <w:top w:val="single" w:sz="12" w:space="0" w:color="auto"/>
            </w:tcBorders>
            <w:shd w:val="clear" w:color="auto" w:fill="auto"/>
            <w:noWrap/>
            <w:vAlign w:val="bottom"/>
            <w:hideMark/>
          </w:tcPr>
          <w:p w14:paraId="56E20138" w14:textId="7595F467" w:rsidR="002227E6" w:rsidRPr="008761E0" w:rsidRDefault="002227E6" w:rsidP="00356632">
            <w:pPr>
              <w:spacing w:before="40" w:after="40" w:line="220" w:lineRule="exact"/>
              <w:ind w:right="113"/>
              <w:jc w:val="right"/>
              <w:rPr>
                <w:sz w:val="17"/>
                <w:szCs w:val="17"/>
              </w:rPr>
            </w:pPr>
            <w:r w:rsidRPr="008761E0">
              <w:rPr>
                <w:sz w:val="17"/>
                <w:szCs w:val="17"/>
              </w:rPr>
              <w:t>13</w:t>
            </w:r>
            <w:r w:rsidR="00D41420" w:rsidRPr="008761E0">
              <w:rPr>
                <w:sz w:val="17"/>
                <w:szCs w:val="17"/>
              </w:rPr>
              <w:t xml:space="preserve"> </w:t>
            </w:r>
            <w:r w:rsidRPr="008761E0">
              <w:rPr>
                <w:sz w:val="17"/>
                <w:szCs w:val="17"/>
              </w:rPr>
              <w:t>016</w:t>
            </w:r>
            <w:r w:rsidR="00D41420" w:rsidRPr="008761E0">
              <w:rPr>
                <w:sz w:val="17"/>
                <w:szCs w:val="17"/>
              </w:rPr>
              <w:t xml:space="preserve"> </w:t>
            </w:r>
            <w:r w:rsidRPr="008761E0">
              <w:rPr>
                <w:sz w:val="17"/>
                <w:szCs w:val="17"/>
              </w:rPr>
              <w:t>708</w:t>
            </w:r>
          </w:p>
        </w:tc>
        <w:tc>
          <w:tcPr>
            <w:tcW w:w="907" w:type="dxa"/>
            <w:tcBorders>
              <w:top w:val="single" w:sz="12" w:space="0" w:color="auto"/>
            </w:tcBorders>
            <w:shd w:val="clear" w:color="auto" w:fill="auto"/>
            <w:noWrap/>
            <w:vAlign w:val="bottom"/>
            <w:hideMark/>
          </w:tcPr>
          <w:p w14:paraId="3755A2FA" w14:textId="383C970B" w:rsidR="002227E6" w:rsidRPr="008761E0" w:rsidRDefault="002227E6" w:rsidP="00356632">
            <w:pPr>
              <w:spacing w:before="40" w:after="40" w:line="220" w:lineRule="exact"/>
              <w:ind w:right="113"/>
              <w:jc w:val="right"/>
              <w:rPr>
                <w:sz w:val="17"/>
                <w:szCs w:val="17"/>
              </w:rPr>
            </w:pPr>
            <w:r w:rsidRPr="008761E0">
              <w:rPr>
                <w:sz w:val="17"/>
                <w:szCs w:val="17"/>
              </w:rPr>
              <w:t>9</w:t>
            </w:r>
            <w:r w:rsidR="00D41420" w:rsidRPr="008761E0">
              <w:rPr>
                <w:sz w:val="17"/>
                <w:szCs w:val="17"/>
              </w:rPr>
              <w:t xml:space="preserve"> </w:t>
            </w:r>
            <w:r w:rsidRPr="008761E0">
              <w:rPr>
                <w:sz w:val="17"/>
                <w:szCs w:val="17"/>
              </w:rPr>
              <w:t>355</w:t>
            </w:r>
            <w:r w:rsidR="00D41420" w:rsidRPr="008761E0">
              <w:rPr>
                <w:sz w:val="17"/>
                <w:szCs w:val="17"/>
              </w:rPr>
              <w:t xml:space="preserve"> </w:t>
            </w:r>
            <w:r w:rsidRPr="008761E0">
              <w:rPr>
                <w:sz w:val="17"/>
                <w:szCs w:val="17"/>
              </w:rPr>
              <w:t>471</w:t>
            </w:r>
          </w:p>
        </w:tc>
        <w:tc>
          <w:tcPr>
            <w:tcW w:w="453" w:type="dxa"/>
            <w:tcBorders>
              <w:top w:val="single" w:sz="12" w:space="0" w:color="auto"/>
            </w:tcBorders>
            <w:shd w:val="clear" w:color="auto" w:fill="auto"/>
            <w:noWrap/>
            <w:vAlign w:val="bottom"/>
            <w:hideMark/>
          </w:tcPr>
          <w:p w14:paraId="6B5A1E4B" w14:textId="77777777" w:rsidR="002227E6" w:rsidRPr="008761E0" w:rsidRDefault="002227E6" w:rsidP="00356632">
            <w:pPr>
              <w:spacing w:before="40" w:after="40" w:line="220" w:lineRule="exact"/>
              <w:ind w:right="113"/>
              <w:jc w:val="right"/>
              <w:rPr>
                <w:sz w:val="17"/>
                <w:szCs w:val="17"/>
              </w:rPr>
            </w:pPr>
            <w:r w:rsidRPr="008761E0">
              <w:rPr>
                <w:sz w:val="17"/>
                <w:szCs w:val="17"/>
              </w:rPr>
              <w:t>71.9</w:t>
            </w:r>
          </w:p>
        </w:tc>
        <w:tc>
          <w:tcPr>
            <w:tcW w:w="907" w:type="dxa"/>
            <w:tcBorders>
              <w:top w:val="single" w:sz="12" w:space="0" w:color="auto"/>
            </w:tcBorders>
            <w:shd w:val="clear" w:color="auto" w:fill="auto"/>
            <w:noWrap/>
            <w:vAlign w:val="bottom"/>
            <w:hideMark/>
          </w:tcPr>
          <w:p w14:paraId="7B491C67" w14:textId="443B81FC" w:rsidR="002227E6" w:rsidRPr="008761E0" w:rsidRDefault="002227E6" w:rsidP="00356632">
            <w:pPr>
              <w:spacing w:before="40" w:after="40" w:line="220" w:lineRule="exact"/>
              <w:ind w:right="113"/>
              <w:jc w:val="right"/>
              <w:rPr>
                <w:sz w:val="17"/>
                <w:szCs w:val="17"/>
              </w:rPr>
            </w:pPr>
            <w:r w:rsidRPr="008761E0">
              <w:rPr>
                <w:sz w:val="17"/>
                <w:szCs w:val="17"/>
              </w:rPr>
              <w:t>11</w:t>
            </w:r>
            <w:r w:rsidR="00D41420" w:rsidRPr="008761E0">
              <w:rPr>
                <w:sz w:val="17"/>
                <w:szCs w:val="17"/>
              </w:rPr>
              <w:t xml:space="preserve"> </w:t>
            </w:r>
            <w:r w:rsidRPr="008761E0">
              <w:rPr>
                <w:sz w:val="17"/>
                <w:szCs w:val="17"/>
              </w:rPr>
              <w:t>999</w:t>
            </w:r>
            <w:r w:rsidR="00D41420" w:rsidRPr="008761E0">
              <w:rPr>
                <w:sz w:val="17"/>
                <w:szCs w:val="17"/>
              </w:rPr>
              <w:t xml:space="preserve"> </w:t>
            </w:r>
            <w:r w:rsidRPr="008761E0">
              <w:rPr>
                <w:sz w:val="17"/>
                <w:szCs w:val="17"/>
              </w:rPr>
              <w:t>190</w:t>
            </w:r>
          </w:p>
        </w:tc>
        <w:tc>
          <w:tcPr>
            <w:tcW w:w="992" w:type="dxa"/>
            <w:tcBorders>
              <w:top w:val="single" w:sz="12" w:space="0" w:color="auto"/>
            </w:tcBorders>
            <w:shd w:val="clear" w:color="auto" w:fill="auto"/>
            <w:noWrap/>
            <w:vAlign w:val="bottom"/>
            <w:hideMark/>
          </w:tcPr>
          <w:p w14:paraId="3ED390AE" w14:textId="042657E3" w:rsidR="002227E6" w:rsidRPr="008761E0" w:rsidRDefault="002227E6" w:rsidP="00356632">
            <w:pPr>
              <w:spacing w:before="40" w:after="40" w:line="220" w:lineRule="exact"/>
              <w:ind w:right="113"/>
              <w:jc w:val="right"/>
              <w:rPr>
                <w:sz w:val="17"/>
                <w:szCs w:val="17"/>
              </w:rPr>
            </w:pPr>
            <w:r w:rsidRPr="008761E0">
              <w:rPr>
                <w:sz w:val="17"/>
                <w:szCs w:val="17"/>
              </w:rPr>
              <w:t>4</w:t>
            </w:r>
            <w:r w:rsidR="00D41420" w:rsidRPr="008761E0">
              <w:rPr>
                <w:sz w:val="17"/>
                <w:szCs w:val="17"/>
              </w:rPr>
              <w:t xml:space="preserve"> </w:t>
            </w:r>
            <w:r w:rsidRPr="008761E0">
              <w:rPr>
                <w:sz w:val="17"/>
                <w:szCs w:val="17"/>
              </w:rPr>
              <w:t>992</w:t>
            </w:r>
            <w:r w:rsidR="00D41420" w:rsidRPr="008761E0">
              <w:rPr>
                <w:sz w:val="17"/>
                <w:szCs w:val="17"/>
              </w:rPr>
              <w:t xml:space="preserve"> </w:t>
            </w:r>
            <w:r w:rsidRPr="008761E0">
              <w:rPr>
                <w:sz w:val="17"/>
                <w:szCs w:val="17"/>
              </w:rPr>
              <w:t>497</w:t>
            </w:r>
          </w:p>
        </w:tc>
        <w:tc>
          <w:tcPr>
            <w:tcW w:w="425" w:type="dxa"/>
            <w:tcBorders>
              <w:top w:val="single" w:sz="12" w:space="0" w:color="auto"/>
            </w:tcBorders>
            <w:shd w:val="clear" w:color="auto" w:fill="auto"/>
            <w:noWrap/>
            <w:vAlign w:val="bottom"/>
            <w:hideMark/>
          </w:tcPr>
          <w:p w14:paraId="55624764" w14:textId="77777777" w:rsidR="002227E6" w:rsidRPr="008761E0" w:rsidRDefault="002227E6" w:rsidP="00356632">
            <w:pPr>
              <w:spacing w:before="40" w:after="40" w:line="220" w:lineRule="exact"/>
              <w:ind w:right="113"/>
              <w:jc w:val="right"/>
              <w:rPr>
                <w:sz w:val="17"/>
                <w:szCs w:val="17"/>
              </w:rPr>
            </w:pPr>
            <w:r w:rsidRPr="008761E0">
              <w:rPr>
                <w:sz w:val="17"/>
                <w:szCs w:val="17"/>
              </w:rPr>
              <w:t>41.6</w:t>
            </w:r>
          </w:p>
        </w:tc>
        <w:tc>
          <w:tcPr>
            <w:tcW w:w="964" w:type="dxa"/>
            <w:tcBorders>
              <w:top w:val="single" w:sz="12" w:space="0" w:color="auto"/>
            </w:tcBorders>
            <w:shd w:val="clear" w:color="auto" w:fill="auto"/>
            <w:noWrap/>
            <w:vAlign w:val="bottom"/>
            <w:hideMark/>
          </w:tcPr>
          <w:p w14:paraId="36599B8C" w14:textId="50090799" w:rsidR="002227E6" w:rsidRPr="008761E0" w:rsidRDefault="002227E6" w:rsidP="00356632">
            <w:pPr>
              <w:spacing w:before="40" w:after="40" w:line="220" w:lineRule="exact"/>
              <w:ind w:right="113"/>
              <w:jc w:val="right"/>
              <w:rPr>
                <w:sz w:val="17"/>
                <w:szCs w:val="17"/>
              </w:rPr>
            </w:pPr>
            <w:r w:rsidRPr="008761E0">
              <w:rPr>
                <w:sz w:val="17"/>
                <w:szCs w:val="17"/>
              </w:rPr>
              <w:t>7</w:t>
            </w:r>
            <w:r w:rsidR="00D41420" w:rsidRPr="008761E0">
              <w:rPr>
                <w:sz w:val="17"/>
                <w:szCs w:val="17"/>
              </w:rPr>
              <w:t xml:space="preserve"> </w:t>
            </w:r>
            <w:r w:rsidRPr="008761E0">
              <w:rPr>
                <w:sz w:val="17"/>
                <w:szCs w:val="17"/>
              </w:rPr>
              <w:t>104</w:t>
            </w:r>
            <w:r w:rsidR="00D41420" w:rsidRPr="008761E0">
              <w:rPr>
                <w:sz w:val="17"/>
                <w:szCs w:val="17"/>
              </w:rPr>
              <w:t xml:space="preserve"> </w:t>
            </w:r>
            <w:r w:rsidRPr="008761E0">
              <w:rPr>
                <w:sz w:val="17"/>
                <w:szCs w:val="17"/>
              </w:rPr>
              <w:t>848</w:t>
            </w:r>
          </w:p>
        </w:tc>
        <w:tc>
          <w:tcPr>
            <w:tcW w:w="624" w:type="dxa"/>
            <w:tcBorders>
              <w:top w:val="single" w:sz="12" w:space="0" w:color="auto"/>
            </w:tcBorders>
            <w:shd w:val="clear" w:color="auto" w:fill="auto"/>
            <w:noWrap/>
            <w:vAlign w:val="bottom"/>
            <w:hideMark/>
          </w:tcPr>
          <w:p w14:paraId="26B129FF" w14:textId="77777777" w:rsidR="002227E6" w:rsidRPr="008761E0" w:rsidRDefault="002227E6" w:rsidP="00356632">
            <w:pPr>
              <w:spacing w:before="40" w:after="40" w:line="220" w:lineRule="exact"/>
              <w:ind w:right="113"/>
              <w:jc w:val="right"/>
              <w:rPr>
                <w:sz w:val="17"/>
                <w:szCs w:val="17"/>
              </w:rPr>
            </w:pPr>
            <w:r w:rsidRPr="008761E0">
              <w:rPr>
                <w:sz w:val="17"/>
                <w:szCs w:val="17"/>
              </w:rPr>
              <w:t>60.3</w:t>
            </w:r>
          </w:p>
        </w:tc>
      </w:tr>
      <w:tr w:rsidR="005705F1" w:rsidRPr="00356632" w14:paraId="7A40DD03" w14:textId="77777777" w:rsidTr="005705F1">
        <w:trPr>
          <w:trHeight w:val="240"/>
        </w:trPr>
        <w:tc>
          <w:tcPr>
            <w:tcW w:w="1093" w:type="dxa"/>
            <w:shd w:val="clear" w:color="auto" w:fill="auto"/>
            <w:noWrap/>
            <w:hideMark/>
          </w:tcPr>
          <w:p w14:paraId="4EEC7A3B" w14:textId="77777777" w:rsidR="002227E6" w:rsidRPr="008761E0" w:rsidRDefault="002227E6" w:rsidP="00356632">
            <w:pPr>
              <w:spacing w:before="40" w:after="40" w:line="220" w:lineRule="exact"/>
              <w:ind w:right="113"/>
              <w:rPr>
                <w:sz w:val="17"/>
                <w:szCs w:val="17"/>
              </w:rPr>
            </w:pPr>
            <w:r w:rsidRPr="008761E0">
              <w:rPr>
                <w:sz w:val="17"/>
                <w:szCs w:val="17"/>
              </w:rPr>
              <w:t>El Alto</w:t>
            </w:r>
          </w:p>
        </w:tc>
        <w:tc>
          <w:tcPr>
            <w:tcW w:w="892" w:type="dxa"/>
            <w:shd w:val="clear" w:color="auto" w:fill="auto"/>
            <w:noWrap/>
            <w:vAlign w:val="bottom"/>
            <w:hideMark/>
          </w:tcPr>
          <w:p w14:paraId="611A1734" w14:textId="0EFB471B" w:rsidR="002227E6" w:rsidRPr="008761E0" w:rsidRDefault="002227E6" w:rsidP="00356632">
            <w:pPr>
              <w:spacing w:before="40" w:after="40" w:line="220" w:lineRule="exact"/>
              <w:ind w:right="113"/>
              <w:jc w:val="right"/>
              <w:rPr>
                <w:sz w:val="17"/>
                <w:szCs w:val="17"/>
              </w:rPr>
            </w:pPr>
            <w:r w:rsidRPr="008761E0">
              <w:rPr>
                <w:sz w:val="17"/>
                <w:szCs w:val="17"/>
              </w:rPr>
              <w:t>3</w:t>
            </w:r>
            <w:r w:rsidR="00D41420" w:rsidRPr="008761E0">
              <w:rPr>
                <w:sz w:val="17"/>
                <w:szCs w:val="17"/>
              </w:rPr>
              <w:t xml:space="preserve"> </w:t>
            </w:r>
            <w:r w:rsidRPr="008761E0">
              <w:rPr>
                <w:sz w:val="17"/>
                <w:szCs w:val="17"/>
              </w:rPr>
              <w:t>283</w:t>
            </w:r>
            <w:r w:rsidR="00D41420" w:rsidRPr="008761E0">
              <w:rPr>
                <w:sz w:val="17"/>
                <w:szCs w:val="17"/>
              </w:rPr>
              <w:t xml:space="preserve"> </w:t>
            </w:r>
            <w:r w:rsidRPr="008761E0">
              <w:rPr>
                <w:sz w:val="17"/>
                <w:szCs w:val="17"/>
              </w:rPr>
              <w:t>387</w:t>
            </w:r>
          </w:p>
        </w:tc>
        <w:tc>
          <w:tcPr>
            <w:tcW w:w="907" w:type="dxa"/>
            <w:shd w:val="clear" w:color="auto" w:fill="auto"/>
            <w:noWrap/>
            <w:vAlign w:val="bottom"/>
            <w:hideMark/>
          </w:tcPr>
          <w:p w14:paraId="40F903B3" w14:textId="5C13C48E" w:rsidR="002227E6" w:rsidRPr="008761E0" w:rsidRDefault="002227E6" w:rsidP="00356632">
            <w:pPr>
              <w:spacing w:before="40" w:after="40" w:line="220" w:lineRule="exact"/>
              <w:ind w:right="113"/>
              <w:jc w:val="right"/>
              <w:rPr>
                <w:sz w:val="17"/>
                <w:szCs w:val="17"/>
              </w:rPr>
            </w:pPr>
            <w:r w:rsidRPr="008761E0">
              <w:rPr>
                <w:sz w:val="17"/>
                <w:szCs w:val="17"/>
              </w:rPr>
              <w:t>2</w:t>
            </w:r>
            <w:r w:rsidR="00D41420" w:rsidRPr="008761E0">
              <w:rPr>
                <w:sz w:val="17"/>
                <w:szCs w:val="17"/>
              </w:rPr>
              <w:t xml:space="preserve"> </w:t>
            </w:r>
            <w:r w:rsidRPr="008761E0">
              <w:rPr>
                <w:sz w:val="17"/>
                <w:szCs w:val="17"/>
              </w:rPr>
              <w:t>771</w:t>
            </w:r>
            <w:r w:rsidR="00D41420" w:rsidRPr="008761E0">
              <w:rPr>
                <w:sz w:val="17"/>
                <w:szCs w:val="17"/>
              </w:rPr>
              <w:t xml:space="preserve"> </w:t>
            </w:r>
            <w:r w:rsidRPr="008761E0">
              <w:rPr>
                <w:sz w:val="17"/>
                <w:szCs w:val="17"/>
              </w:rPr>
              <w:t>413</w:t>
            </w:r>
          </w:p>
        </w:tc>
        <w:tc>
          <w:tcPr>
            <w:tcW w:w="447" w:type="dxa"/>
            <w:shd w:val="clear" w:color="auto" w:fill="auto"/>
            <w:noWrap/>
            <w:vAlign w:val="bottom"/>
            <w:hideMark/>
          </w:tcPr>
          <w:p w14:paraId="2C0FD3C1" w14:textId="77777777" w:rsidR="002227E6" w:rsidRPr="008761E0" w:rsidRDefault="002227E6" w:rsidP="00356632">
            <w:pPr>
              <w:spacing w:before="40" w:after="40" w:line="220" w:lineRule="exact"/>
              <w:ind w:right="113"/>
              <w:jc w:val="right"/>
              <w:rPr>
                <w:sz w:val="17"/>
                <w:szCs w:val="17"/>
              </w:rPr>
            </w:pPr>
            <w:r w:rsidRPr="008761E0">
              <w:rPr>
                <w:sz w:val="17"/>
                <w:szCs w:val="17"/>
              </w:rPr>
              <w:t>84.4</w:t>
            </w:r>
          </w:p>
        </w:tc>
        <w:tc>
          <w:tcPr>
            <w:tcW w:w="924" w:type="dxa"/>
            <w:shd w:val="clear" w:color="auto" w:fill="auto"/>
            <w:noWrap/>
            <w:vAlign w:val="bottom"/>
            <w:hideMark/>
          </w:tcPr>
          <w:p w14:paraId="763B51E6" w14:textId="50027E07" w:rsidR="002227E6" w:rsidRPr="008761E0" w:rsidRDefault="002227E6" w:rsidP="00356632">
            <w:pPr>
              <w:spacing w:before="40" w:after="40" w:line="220" w:lineRule="exact"/>
              <w:ind w:right="113"/>
              <w:jc w:val="right"/>
              <w:rPr>
                <w:sz w:val="17"/>
                <w:szCs w:val="17"/>
              </w:rPr>
            </w:pPr>
            <w:r w:rsidRPr="008761E0">
              <w:rPr>
                <w:sz w:val="17"/>
                <w:szCs w:val="17"/>
              </w:rPr>
              <w:t>9</w:t>
            </w:r>
            <w:r w:rsidR="00D41420" w:rsidRPr="008761E0">
              <w:rPr>
                <w:sz w:val="17"/>
                <w:szCs w:val="17"/>
              </w:rPr>
              <w:t xml:space="preserve"> </w:t>
            </w:r>
            <w:r w:rsidRPr="008761E0">
              <w:rPr>
                <w:sz w:val="17"/>
                <w:szCs w:val="17"/>
              </w:rPr>
              <w:t>977</w:t>
            </w:r>
            <w:r w:rsidR="00D41420" w:rsidRPr="008761E0">
              <w:rPr>
                <w:sz w:val="17"/>
                <w:szCs w:val="17"/>
              </w:rPr>
              <w:t xml:space="preserve"> </w:t>
            </w:r>
            <w:r w:rsidRPr="008761E0">
              <w:rPr>
                <w:sz w:val="17"/>
                <w:szCs w:val="17"/>
              </w:rPr>
              <w:t>150</w:t>
            </w:r>
          </w:p>
        </w:tc>
        <w:tc>
          <w:tcPr>
            <w:tcW w:w="907" w:type="dxa"/>
            <w:shd w:val="clear" w:color="auto" w:fill="auto"/>
            <w:noWrap/>
            <w:vAlign w:val="bottom"/>
            <w:hideMark/>
          </w:tcPr>
          <w:p w14:paraId="5CC1ECFF" w14:textId="3C3FC856" w:rsidR="002227E6" w:rsidRPr="008761E0" w:rsidRDefault="002227E6" w:rsidP="00356632">
            <w:pPr>
              <w:spacing w:before="40" w:after="40" w:line="220" w:lineRule="exact"/>
              <w:ind w:right="113"/>
              <w:jc w:val="right"/>
              <w:rPr>
                <w:sz w:val="17"/>
                <w:szCs w:val="17"/>
              </w:rPr>
            </w:pPr>
            <w:r w:rsidRPr="008761E0">
              <w:rPr>
                <w:sz w:val="17"/>
                <w:szCs w:val="17"/>
              </w:rPr>
              <w:t>5</w:t>
            </w:r>
            <w:r w:rsidR="00D41420" w:rsidRPr="008761E0">
              <w:rPr>
                <w:sz w:val="17"/>
                <w:szCs w:val="17"/>
              </w:rPr>
              <w:t xml:space="preserve"> </w:t>
            </w:r>
            <w:r w:rsidRPr="008761E0">
              <w:rPr>
                <w:sz w:val="17"/>
                <w:szCs w:val="17"/>
              </w:rPr>
              <w:t>691</w:t>
            </w:r>
            <w:r w:rsidR="00D41420" w:rsidRPr="008761E0">
              <w:rPr>
                <w:sz w:val="17"/>
                <w:szCs w:val="17"/>
              </w:rPr>
              <w:t xml:space="preserve"> </w:t>
            </w:r>
            <w:r w:rsidRPr="008761E0">
              <w:rPr>
                <w:sz w:val="17"/>
                <w:szCs w:val="17"/>
              </w:rPr>
              <w:t>148</w:t>
            </w:r>
          </w:p>
        </w:tc>
        <w:tc>
          <w:tcPr>
            <w:tcW w:w="453" w:type="dxa"/>
            <w:shd w:val="clear" w:color="auto" w:fill="auto"/>
            <w:noWrap/>
            <w:vAlign w:val="bottom"/>
            <w:hideMark/>
          </w:tcPr>
          <w:p w14:paraId="16ADEA00" w14:textId="77777777" w:rsidR="002227E6" w:rsidRPr="008761E0" w:rsidRDefault="002227E6" w:rsidP="00356632">
            <w:pPr>
              <w:spacing w:before="40" w:after="40" w:line="220" w:lineRule="exact"/>
              <w:ind w:right="113"/>
              <w:jc w:val="right"/>
              <w:rPr>
                <w:sz w:val="17"/>
                <w:szCs w:val="17"/>
              </w:rPr>
            </w:pPr>
            <w:r w:rsidRPr="008761E0">
              <w:rPr>
                <w:sz w:val="17"/>
                <w:szCs w:val="17"/>
              </w:rPr>
              <w:t>57.0</w:t>
            </w:r>
          </w:p>
        </w:tc>
        <w:tc>
          <w:tcPr>
            <w:tcW w:w="907" w:type="dxa"/>
            <w:shd w:val="clear" w:color="auto" w:fill="auto"/>
            <w:noWrap/>
            <w:vAlign w:val="bottom"/>
            <w:hideMark/>
          </w:tcPr>
          <w:p w14:paraId="28F6C30A" w14:textId="0A61FB80" w:rsidR="002227E6" w:rsidRPr="008761E0" w:rsidRDefault="002227E6" w:rsidP="00356632">
            <w:pPr>
              <w:spacing w:before="40" w:after="40" w:line="220" w:lineRule="exact"/>
              <w:ind w:right="113"/>
              <w:jc w:val="right"/>
              <w:rPr>
                <w:sz w:val="17"/>
                <w:szCs w:val="17"/>
              </w:rPr>
            </w:pPr>
            <w:r w:rsidRPr="008761E0">
              <w:rPr>
                <w:sz w:val="17"/>
                <w:szCs w:val="17"/>
              </w:rPr>
              <w:t>8</w:t>
            </w:r>
            <w:r w:rsidR="00D41420" w:rsidRPr="008761E0">
              <w:rPr>
                <w:sz w:val="17"/>
                <w:szCs w:val="17"/>
              </w:rPr>
              <w:t xml:space="preserve"> </w:t>
            </w:r>
            <w:r w:rsidRPr="008761E0">
              <w:rPr>
                <w:sz w:val="17"/>
                <w:szCs w:val="17"/>
              </w:rPr>
              <w:t>736</w:t>
            </w:r>
            <w:r w:rsidR="00D41420" w:rsidRPr="008761E0">
              <w:rPr>
                <w:sz w:val="17"/>
                <w:szCs w:val="17"/>
              </w:rPr>
              <w:t xml:space="preserve"> </w:t>
            </w:r>
            <w:r w:rsidRPr="008761E0">
              <w:rPr>
                <w:sz w:val="17"/>
                <w:szCs w:val="17"/>
              </w:rPr>
              <w:t>820</w:t>
            </w:r>
          </w:p>
        </w:tc>
        <w:tc>
          <w:tcPr>
            <w:tcW w:w="992" w:type="dxa"/>
            <w:shd w:val="clear" w:color="auto" w:fill="auto"/>
            <w:noWrap/>
            <w:vAlign w:val="bottom"/>
            <w:hideMark/>
          </w:tcPr>
          <w:p w14:paraId="1DA52396" w14:textId="2384B1A1" w:rsidR="002227E6" w:rsidRPr="008761E0" w:rsidRDefault="002227E6" w:rsidP="00356632">
            <w:pPr>
              <w:spacing w:before="40" w:after="40" w:line="220" w:lineRule="exact"/>
              <w:ind w:right="113"/>
              <w:jc w:val="right"/>
              <w:rPr>
                <w:sz w:val="17"/>
                <w:szCs w:val="17"/>
              </w:rPr>
            </w:pPr>
            <w:r w:rsidRPr="008761E0">
              <w:rPr>
                <w:sz w:val="17"/>
                <w:szCs w:val="17"/>
              </w:rPr>
              <w:t>6</w:t>
            </w:r>
            <w:r w:rsidR="00D41420" w:rsidRPr="008761E0">
              <w:rPr>
                <w:sz w:val="17"/>
                <w:szCs w:val="17"/>
              </w:rPr>
              <w:t xml:space="preserve"> </w:t>
            </w:r>
            <w:r w:rsidRPr="008761E0">
              <w:rPr>
                <w:sz w:val="17"/>
                <w:szCs w:val="17"/>
              </w:rPr>
              <w:t>820</w:t>
            </w:r>
            <w:r w:rsidR="00D41420" w:rsidRPr="008761E0">
              <w:rPr>
                <w:sz w:val="17"/>
                <w:szCs w:val="17"/>
              </w:rPr>
              <w:t xml:space="preserve"> </w:t>
            </w:r>
            <w:r w:rsidRPr="008761E0">
              <w:rPr>
                <w:sz w:val="17"/>
                <w:szCs w:val="17"/>
              </w:rPr>
              <w:t>607</w:t>
            </w:r>
          </w:p>
        </w:tc>
        <w:tc>
          <w:tcPr>
            <w:tcW w:w="425" w:type="dxa"/>
            <w:shd w:val="clear" w:color="auto" w:fill="auto"/>
            <w:noWrap/>
            <w:vAlign w:val="bottom"/>
            <w:hideMark/>
          </w:tcPr>
          <w:p w14:paraId="6352F9DF" w14:textId="77777777" w:rsidR="002227E6" w:rsidRPr="008761E0" w:rsidRDefault="002227E6" w:rsidP="00356632">
            <w:pPr>
              <w:spacing w:before="40" w:after="40" w:line="220" w:lineRule="exact"/>
              <w:ind w:right="113"/>
              <w:jc w:val="right"/>
              <w:rPr>
                <w:sz w:val="17"/>
                <w:szCs w:val="17"/>
              </w:rPr>
            </w:pPr>
            <w:r w:rsidRPr="008761E0">
              <w:rPr>
                <w:sz w:val="17"/>
                <w:szCs w:val="17"/>
              </w:rPr>
              <w:t>78.1</w:t>
            </w:r>
          </w:p>
        </w:tc>
        <w:tc>
          <w:tcPr>
            <w:tcW w:w="964" w:type="dxa"/>
            <w:shd w:val="clear" w:color="auto" w:fill="auto"/>
            <w:noWrap/>
            <w:vAlign w:val="bottom"/>
            <w:hideMark/>
          </w:tcPr>
          <w:p w14:paraId="0148CBB0" w14:textId="632306AC" w:rsidR="002227E6" w:rsidRPr="008761E0" w:rsidRDefault="002227E6" w:rsidP="00356632">
            <w:pPr>
              <w:spacing w:before="40" w:after="40" w:line="220" w:lineRule="exact"/>
              <w:ind w:right="113"/>
              <w:jc w:val="right"/>
              <w:rPr>
                <w:sz w:val="17"/>
                <w:szCs w:val="17"/>
              </w:rPr>
            </w:pPr>
            <w:r w:rsidRPr="008761E0">
              <w:rPr>
                <w:sz w:val="17"/>
                <w:szCs w:val="17"/>
              </w:rPr>
              <w:t>5</w:t>
            </w:r>
            <w:r w:rsidR="00D41420" w:rsidRPr="008761E0">
              <w:rPr>
                <w:sz w:val="17"/>
                <w:szCs w:val="17"/>
              </w:rPr>
              <w:t xml:space="preserve"> </w:t>
            </w:r>
            <w:r w:rsidRPr="008761E0">
              <w:rPr>
                <w:sz w:val="17"/>
                <w:szCs w:val="17"/>
              </w:rPr>
              <w:t>094</w:t>
            </w:r>
            <w:r w:rsidR="00D41420" w:rsidRPr="008761E0">
              <w:rPr>
                <w:sz w:val="17"/>
                <w:szCs w:val="17"/>
              </w:rPr>
              <w:t xml:space="preserve"> </w:t>
            </w:r>
            <w:r w:rsidRPr="008761E0">
              <w:rPr>
                <w:sz w:val="17"/>
                <w:szCs w:val="17"/>
              </w:rPr>
              <w:t>390</w:t>
            </w:r>
          </w:p>
        </w:tc>
        <w:tc>
          <w:tcPr>
            <w:tcW w:w="624" w:type="dxa"/>
            <w:shd w:val="clear" w:color="auto" w:fill="auto"/>
            <w:noWrap/>
            <w:vAlign w:val="bottom"/>
            <w:hideMark/>
          </w:tcPr>
          <w:p w14:paraId="60BAD316" w14:textId="77777777" w:rsidR="002227E6" w:rsidRPr="008761E0" w:rsidRDefault="002227E6" w:rsidP="00356632">
            <w:pPr>
              <w:spacing w:before="40" w:after="40" w:line="220" w:lineRule="exact"/>
              <w:ind w:right="113"/>
              <w:jc w:val="right"/>
              <w:rPr>
                <w:sz w:val="17"/>
                <w:szCs w:val="17"/>
              </w:rPr>
            </w:pPr>
            <w:r w:rsidRPr="008761E0">
              <w:rPr>
                <w:sz w:val="17"/>
                <w:szCs w:val="17"/>
              </w:rPr>
              <w:t>73.2</w:t>
            </w:r>
          </w:p>
        </w:tc>
      </w:tr>
      <w:tr w:rsidR="005705F1" w:rsidRPr="00356632" w14:paraId="04CFE2D3" w14:textId="77777777" w:rsidTr="005705F1">
        <w:trPr>
          <w:trHeight w:val="240"/>
        </w:trPr>
        <w:tc>
          <w:tcPr>
            <w:tcW w:w="1093" w:type="dxa"/>
            <w:shd w:val="clear" w:color="auto" w:fill="auto"/>
            <w:noWrap/>
            <w:hideMark/>
          </w:tcPr>
          <w:p w14:paraId="256BC895" w14:textId="77777777" w:rsidR="002227E6" w:rsidRPr="008761E0" w:rsidRDefault="002227E6" w:rsidP="00356632">
            <w:pPr>
              <w:spacing w:before="40" w:after="40" w:line="220" w:lineRule="exact"/>
              <w:ind w:right="113"/>
              <w:rPr>
                <w:sz w:val="17"/>
                <w:szCs w:val="17"/>
                <w:lang w:val="es-ES"/>
              </w:rPr>
            </w:pPr>
            <w:r w:rsidRPr="008761E0">
              <w:rPr>
                <w:sz w:val="17"/>
                <w:szCs w:val="17"/>
                <w:lang w:val="es-ES"/>
              </w:rPr>
              <w:t>Nuestra Señora de La Paz</w:t>
            </w:r>
          </w:p>
        </w:tc>
        <w:tc>
          <w:tcPr>
            <w:tcW w:w="892" w:type="dxa"/>
            <w:shd w:val="clear" w:color="auto" w:fill="auto"/>
            <w:noWrap/>
            <w:vAlign w:val="bottom"/>
            <w:hideMark/>
          </w:tcPr>
          <w:p w14:paraId="32FAC5C9" w14:textId="54767A0F" w:rsidR="002227E6" w:rsidRPr="008761E0" w:rsidRDefault="002227E6" w:rsidP="00356632">
            <w:pPr>
              <w:spacing w:before="40" w:after="40" w:line="220" w:lineRule="exact"/>
              <w:ind w:right="113"/>
              <w:jc w:val="right"/>
              <w:rPr>
                <w:sz w:val="17"/>
                <w:szCs w:val="17"/>
              </w:rPr>
            </w:pPr>
            <w:r w:rsidRPr="008761E0">
              <w:rPr>
                <w:sz w:val="17"/>
                <w:szCs w:val="17"/>
              </w:rPr>
              <w:t>2</w:t>
            </w:r>
            <w:r w:rsidR="00D41420" w:rsidRPr="008761E0">
              <w:rPr>
                <w:sz w:val="17"/>
                <w:szCs w:val="17"/>
              </w:rPr>
              <w:t xml:space="preserve"> </w:t>
            </w:r>
            <w:r w:rsidRPr="008761E0">
              <w:rPr>
                <w:sz w:val="17"/>
                <w:szCs w:val="17"/>
              </w:rPr>
              <w:t>597</w:t>
            </w:r>
            <w:r w:rsidR="00D41420" w:rsidRPr="008761E0">
              <w:rPr>
                <w:sz w:val="17"/>
                <w:szCs w:val="17"/>
              </w:rPr>
              <w:t xml:space="preserve"> </w:t>
            </w:r>
            <w:r w:rsidRPr="008761E0">
              <w:rPr>
                <w:sz w:val="17"/>
                <w:szCs w:val="17"/>
              </w:rPr>
              <w:t>968</w:t>
            </w:r>
          </w:p>
        </w:tc>
        <w:tc>
          <w:tcPr>
            <w:tcW w:w="907" w:type="dxa"/>
            <w:shd w:val="clear" w:color="auto" w:fill="auto"/>
            <w:noWrap/>
            <w:vAlign w:val="bottom"/>
            <w:hideMark/>
          </w:tcPr>
          <w:p w14:paraId="598278B3" w14:textId="2B50C074" w:rsidR="002227E6" w:rsidRPr="008761E0" w:rsidRDefault="002227E6" w:rsidP="00356632">
            <w:pPr>
              <w:spacing w:before="40" w:after="40" w:line="220" w:lineRule="exact"/>
              <w:ind w:right="113"/>
              <w:jc w:val="right"/>
              <w:rPr>
                <w:sz w:val="17"/>
                <w:szCs w:val="17"/>
              </w:rPr>
            </w:pPr>
            <w:r w:rsidRPr="008761E0">
              <w:rPr>
                <w:sz w:val="17"/>
                <w:szCs w:val="17"/>
              </w:rPr>
              <w:t>2</w:t>
            </w:r>
            <w:r w:rsidR="00D41420" w:rsidRPr="008761E0">
              <w:rPr>
                <w:sz w:val="17"/>
                <w:szCs w:val="17"/>
              </w:rPr>
              <w:t xml:space="preserve"> </w:t>
            </w:r>
            <w:r w:rsidRPr="008761E0">
              <w:rPr>
                <w:sz w:val="17"/>
                <w:szCs w:val="17"/>
              </w:rPr>
              <w:t>042</w:t>
            </w:r>
            <w:r w:rsidR="00D41420" w:rsidRPr="008761E0">
              <w:rPr>
                <w:sz w:val="17"/>
                <w:szCs w:val="17"/>
              </w:rPr>
              <w:t xml:space="preserve"> </w:t>
            </w:r>
            <w:r w:rsidRPr="008761E0">
              <w:rPr>
                <w:sz w:val="17"/>
                <w:szCs w:val="17"/>
              </w:rPr>
              <w:t>737</w:t>
            </w:r>
          </w:p>
        </w:tc>
        <w:tc>
          <w:tcPr>
            <w:tcW w:w="447" w:type="dxa"/>
            <w:shd w:val="clear" w:color="auto" w:fill="auto"/>
            <w:noWrap/>
            <w:vAlign w:val="bottom"/>
            <w:hideMark/>
          </w:tcPr>
          <w:p w14:paraId="7D5D4C35" w14:textId="77777777" w:rsidR="002227E6" w:rsidRPr="008761E0" w:rsidRDefault="002227E6" w:rsidP="00356632">
            <w:pPr>
              <w:spacing w:before="40" w:after="40" w:line="220" w:lineRule="exact"/>
              <w:ind w:right="113"/>
              <w:jc w:val="right"/>
              <w:rPr>
                <w:sz w:val="17"/>
                <w:szCs w:val="17"/>
              </w:rPr>
            </w:pPr>
            <w:r w:rsidRPr="008761E0">
              <w:rPr>
                <w:sz w:val="17"/>
                <w:szCs w:val="17"/>
              </w:rPr>
              <w:t>78.6</w:t>
            </w:r>
          </w:p>
        </w:tc>
        <w:tc>
          <w:tcPr>
            <w:tcW w:w="924" w:type="dxa"/>
            <w:shd w:val="clear" w:color="auto" w:fill="auto"/>
            <w:noWrap/>
            <w:vAlign w:val="bottom"/>
            <w:hideMark/>
          </w:tcPr>
          <w:p w14:paraId="7F417DA5" w14:textId="6FD6BEA2" w:rsidR="002227E6" w:rsidRPr="008761E0" w:rsidRDefault="002227E6" w:rsidP="00356632">
            <w:pPr>
              <w:spacing w:before="40" w:after="40" w:line="220" w:lineRule="exact"/>
              <w:ind w:right="113"/>
              <w:jc w:val="right"/>
              <w:rPr>
                <w:sz w:val="17"/>
                <w:szCs w:val="17"/>
              </w:rPr>
            </w:pPr>
            <w:r w:rsidRPr="008761E0">
              <w:rPr>
                <w:sz w:val="17"/>
                <w:szCs w:val="17"/>
              </w:rPr>
              <w:t>6</w:t>
            </w:r>
            <w:r w:rsidR="00D41420" w:rsidRPr="008761E0">
              <w:rPr>
                <w:sz w:val="17"/>
                <w:szCs w:val="17"/>
              </w:rPr>
              <w:t xml:space="preserve"> </w:t>
            </w:r>
            <w:r w:rsidRPr="008761E0">
              <w:rPr>
                <w:sz w:val="17"/>
                <w:szCs w:val="17"/>
              </w:rPr>
              <w:t>332</w:t>
            </w:r>
            <w:r w:rsidR="00D41420" w:rsidRPr="008761E0">
              <w:rPr>
                <w:sz w:val="17"/>
                <w:szCs w:val="17"/>
              </w:rPr>
              <w:t xml:space="preserve"> </w:t>
            </w:r>
            <w:r w:rsidRPr="008761E0">
              <w:rPr>
                <w:sz w:val="17"/>
                <w:szCs w:val="17"/>
              </w:rPr>
              <w:t>152</w:t>
            </w:r>
          </w:p>
        </w:tc>
        <w:tc>
          <w:tcPr>
            <w:tcW w:w="907" w:type="dxa"/>
            <w:shd w:val="clear" w:color="auto" w:fill="auto"/>
            <w:noWrap/>
            <w:vAlign w:val="bottom"/>
            <w:hideMark/>
          </w:tcPr>
          <w:p w14:paraId="0E7E0E78" w14:textId="00073DA0" w:rsidR="002227E6" w:rsidRPr="008761E0" w:rsidRDefault="002227E6" w:rsidP="00356632">
            <w:pPr>
              <w:spacing w:before="40" w:after="40" w:line="220" w:lineRule="exact"/>
              <w:ind w:right="113"/>
              <w:jc w:val="right"/>
              <w:rPr>
                <w:sz w:val="17"/>
                <w:szCs w:val="17"/>
              </w:rPr>
            </w:pPr>
            <w:r w:rsidRPr="008761E0">
              <w:rPr>
                <w:sz w:val="17"/>
                <w:szCs w:val="17"/>
              </w:rPr>
              <w:t>5</w:t>
            </w:r>
            <w:r w:rsidR="00D41420" w:rsidRPr="008761E0">
              <w:rPr>
                <w:sz w:val="17"/>
                <w:szCs w:val="17"/>
              </w:rPr>
              <w:t xml:space="preserve"> </w:t>
            </w:r>
            <w:r w:rsidRPr="008761E0">
              <w:rPr>
                <w:sz w:val="17"/>
                <w:szCs w:val="17"/>
              </w:rPr>
              <w:t>964</w:t>
            </w:r>
            <w:r w:rsidR="00D41420" w:rsidRPr="008761E0">
              <w:rPr>
                <w:sz w:val="17"/>
                <w:szCs w:val="17"/>
              </w:rPr>
              <w:t xml:space="preserve"> </w:t>
            </w:r>
            <w:r w:rsidRPr="008761E0">
              <w:rPr>
                <w:sz w:val="17"/>
                <w:szCs w:val="17"/>
              </w:rPr>
              <w:t>185</w:t>
            </w:r>
          </w:p>
        </w:tc>
        <w:tc>
          <w:tcPr>
            <w:tcW w:w="453" w:type="dxa"/>
            <w:shd w:val="clear" w:color="auto" w:fill="auto"/>
            <w:noWrap/>
            <w:vAlign w:val="bottom"/>
            <w:hideMark/>
          </w:tcPr>
          <w:p w14:paraId="14FDB7E3" w14:textId="77777777" w:rsidR="002227E6" w:rsidRPr="008761E0" w:rsidRDefault="002227E6" w:rsidP="00356632">
            <w:pPr>
              <w:spacing w:before="40" w:after="40" w:line="220" w:lineRule="exact"/>
              <w:ind w:right="113"/>
              <w:jc w:val="right"/>
              <w:rPr>
                <w:sz w:val="17"/>
                <w:szCs w:val="17"/>
              </w:rPr>
            </w:pPr>
            <w:r w:rsidRPr="008761E0">
              <w:rPr>
                <w:sz w:val="17"/>
                <w:szCs w:val="17"/>
              </w:rPr>
              <w:t>94.2</w:t>
            </w:r>
          </w:p>
        </w:tc>
        <w:tc>
          <w:tcPr>
            <w:tcW w:w="907" w:type="dxa"/>
            <w:shd w:val="clear" w:color="auto" w:fill="auto"/>
            <w:noWrap/>
            <w:vAlign w:val="bottom"/>
            <w:hideMark/>
          </w:tcPr>
          <w:p w14:paraId="64842BF8" w14:textId="0FD1F7B6" w:rsidR="002227E6" w:rsidRPr="008761E0" w:rsidRDefault="002227E6" w:rsidP="00356632">
            <w:pPr>
              <w:spacing w:before="40" w:after="40" w:line="220" w:lineRule="exact"/>
              <w:ind w:right="113"/>
              <w:jc w:val="right"/>
              <w:rPr>
                <w:sz w:val="17"/>
                <w:szCs w:val="17"/>
              </w:rPr>
            </w:pPr>
            <w:r w:rsidRPr="008761E0">
              <w:rPr>
                <w:sz w:val="17"/>
                <w:szCs w:val="17"/>
              </w:rPr>
              <w:t>5</w:t>
            </w:r>
            <w:r w:rsidR="00D41420" w:rsidRPr="008761E0">
              <w:rPr>
                <w:sz w:val="17"/>
                <w:szCs w:val="17"/>
              </w:rPr>
              <w:t xml:space="preserve"> </w:t>
            </w:r>
            <w:r w:rsidRPr="008761E0">
              <w:rPr>
                <w:sz w:val="17"/>
                <w:szCs w:val="17"/>
              </w:rPr>
              <w:t>628</w:t>
            </w:r>
            <w:r w:rsidR="00D41420" w:rsidRPr="008761E0">
              <w:rPr>
                <w:sz w:val="17"/>
                <w:szCs w:val="17"/>
              </w:rPr>
              <w:t xml:space="preserve"> </w:t>
            </w:r>
            <w:r w:rsidRPr="008761E0">
              <w:rPr>
                <w:sz w:val="17"/>
                <w:szCs w:val="17"/>
              </w:rPr>
              <w:t>163</w:t>
            </w:r>
          </w:p>
        </w:tc>
        <w:tc>
          <w:tcPr>
            <w:tcW w:w="992" w:type="dxa"/>
            <w:shd w:val="clear" w:color="auto" w:fill="auto"/>
            <w:noWrap/>
            <w:vAlign w:val="bottom"/>
            <w:hideMark/>
          </w:tcPr>
          <w:p w14:paraId="3D97C540" w14:textId="7A09A702" w:rsidR="002227E6" w:rsidRPr="008761E0" w:rsidRDefault="002227E6" w:rsidP="00356632">
            <w:pPr>
              <w:spacing w:before="40" w:after="40" w:line="220" w:lineRule="exact"/>
              <w:ind w:right="113"/>
              <w:jc w:val="right"/>
              <w:rPr>
                <w:sz w:val="17"/>
                <w:szCs w:val="17"/>
              </w:rPr>
            </w:pPr>
            <w:r w:rsidRPr="008761E0">
              <w:rPr>
                <w:sz w:val="17"/>
                <w:szCs w:val="17"/>
              </w:rPr>
              <w:t>4</w:t>
            </w:r>
            <w:r w:rsidR="00D41420" w:rsidRPr="008761E0">
              <w:rPr>
                <w:sz w:val="17"/>
                <w:szCs w:val="17"/>
              </w:rPr>
              <w:t xml:space="preserve"> </w:t>
            </w:r>
            <w:r w:rsidRPr="008761E0">
              <w:rPr>
                <w:sz w:val="17"/>
                <w:szCs w:val="17"/>
              </w:rPr>
              <w:t>599</w:t>
            </w:r>
            <w:r w:rsidR="00D41420" w:rsidRPr="008761E0">
              <w:rPr>
                <w:sz w:val="17"/>
                <w:szCs w:val="17"/>
              </w:rPr>
              <w:t xml:space="preserve"> </w:t>
            </w:r>
            <w:r w:rsidRPr="008761E0">
              <w:rPr>
                <w:sz w:val="17"/>
                <w:szCs w:val="17"/>
              </w:rPr>
              <w:t>642</w:t>
            </w:r>
          </w:p>
        </w:tc>
        <w:tc>
          <w:tcPr>
            <w:tcW w:w="425" w:type="dxa"/>
            <w:shd w:val="clear" w:color="auto" w:fill="auto"/>
            <w:noWrap/>
            <w:vAlign w:val="bottom"/>
            <w:hideMark/>
          </w:tcPr>
          <w:p w14:paraId="02770145" w14:textId="77777777" w:rsidR="002227E6" w:rsidRPr="008761E0" w:rsidRDefault="002227E6" w:rsidP="00356632">
            <w:pPr>
              <w:spacing w:before="40" w:after="40" w:line="220" w:lineRule="exact"/>
              <w:ind w:right="113"/>
              <w:jc w:val="right"/>
              <w:rPr>
                <w:sz w:val="17"/>
                <w:szCs w:val="17"/>
              </w:rPr>
            </w:pPr>
            <w:r w:rsidRPr="008761E0">
              <w:rPr>
                <w:sz w:val="17"/>
                <w:szCs w:val="17"/>
              </w:rPr>
              <w:t>81.7</w:t>
            </w:r>
          </w:p>
        </w:tc>
        <w:tc>
          <w:tcPr>
            <w:tcW w:w="964" w:type="dxa"/>
            <w:shd w:val="clear" w:color="auto" w:fill="auto"/>
            <w:noWrap/>
            <w:vAlign w:val="bottom"/>
            <w:hideMark/>
          </w:tcPr>
          <w:p w14:paraId="2A785F74" w14:textId="2EC13931" w:rsidR="002227E6" w:rsidRPr="008761E0" w:rsidRDefault="002227E6" w:rsidP="00356632">
            <w:pPr>
              <w:spacing w:before="40" w:after="40" w:line="220" w:lineRule="exact"/>
              <w:ind w:right="113"/>
              <w:jc w:val="right"/>
              <w:rPr>
                <w:sz w:val="17"/>
                <w:szCs w:val="17"/>
              </w:rPr>
            </w:pPr>
            <w:r w:rsidRPr="008761E0">
              <w:rPr>
                <w:sz w:val="17"/>
                <w:szCs w:val="17"/>
              </w:rPr>
              <w:t>4</w:t>
            </w:r>
            <w:r w:rsidR="00D41420" w:rsidRPr="008761E0">
              <w:rPr>
                <w:sz w:val="17"/>
                <w:szCs w:val="17"/>
              </w:rPr>
              <w:t xml:space="preserve"> </w:t>
            </w:r>
            <w:r w:rsidRPr="008761E0">
              <w:rPr>
                <w:sz w:val="17"/>
                <w:szCs w:val="17"/>
              </w:rPr>
              <w:t>202</w:t>
            </w:r>
            <w:r w:rsidR="00D41420" w:rsidRPr="008761E0">
              <w:rPr>
                <w:sz w:val="17"/>
                <w:szCs w:val="17"/>
              </w:rPr>
              <w:t xml:space="preserve"> </w:t>
            </w:r>
            <w:r w:rsidRPr="008761E0">
              <w:rPr>
                <w:sz w:val="17"/>
                <w:szCs w:val="17"/>
              </w:rPr>
              <w:t>188</w:t>
            </w:r>
          </w:p>
        </w:tc>
        <w:tc>
          <w:tcPr>
            <w:tcW w:w="624" w:type="dxa"/>
            <w:shd w:val="clear" w:color="auto" w:fill="auto"/>
            <w:noWrap/>
            <w:vAlign w:val="bottom"/>
            <w:hideMark/>
          </w:tcPr>
          <w:p w14:paraId="66F29F23" w14:textId="77777777" w:rsidR="002227E6" w:rsidRPr="008761E0" w:rsidRDefault="002227E6" w:rsidP="00356632">
            <w:pPr>
              <w:spacing w:before="40" w:after="40" w:line="220" w:lineRule="exact"/>
              <w:ind w:right="113"/>
              <w:jc w:val="right"/>
              <w:rPr>
                <w:sz w:val="17"/>
                <w:szCs w:val="17"/>
              </w:rPr>
            </w:pPr>
            <w:r w:rsidRPr="008761E0">
              <w:rPr>
                <w:sz w:val="17"/>
                <w:szCs w:val="17"/>
              </w:rPr>
              <w:t>84.8</w:t>
            </w:r>
          </w:p>
        </w:tc>
      </w:tr>
      <w:tr w:rsidR="005705F1" w:rsidRPr="00356632" w14:paraId="1DB29790" w14:textId="77777777" w:rsidTr="005705F1">
        <w:trPr>
          <w:trHeight w:val="240"/>
        </w:trPr>
        <w:tc>
          <w:tcPr>
            <w:tcW w:w="1093" w:type="dxa"/>
            <w:shd w:val="clear" w:color="auto" w:fill="auto"/>
            <w:noWrap/>
            <w:hideMark/>
          </w:tcPr>
          <w:p w14:paraId="363D7BB7" w14:textId="77777777" w:rsidR="002227E6" w:rsidRPr="008761E0" w:rsidRDefault="002227E6" w:rsidP="00356632">
            <w:pPr>
              <w:spacing w:before="40" w:after="40" w:line="220" w:lineRule="exact"/>
              <w:ind w:right="113"/>
              <w:rPr>
                <w:sz w:val="17"/>
                <w:szCs w:val="17"/>
              </w:rPr>
            </w:pPr>
            <w:r w:rsidRPr="008761E0">
              <w:rPr>
                <w:sz w:val="17"/>
                <w:szCs w:val="17"/>
              </w:rPr>
              <w:t>Cochabamba</w:t>
            </w:r>
          </w:p>
        </w:tc>
        <w:tc>
          <w:tcPr>
            <w:tcW w:w="892" w:type="dxa"/>
            <w:shd w:val="clear" w:color="auto" w:fill="auto"/>
            <w:noWrap/>
            <w:vAlign w:val="bottom"/>
            <w:hideMark/>
          </w:tcPr>
          <w:p w14:paraId="6FBFE4C2" w14:textId="7DF08947" w:rsidR="002227E6" w:rsidRPr="008761E0" w:rsidRDefault="002227E6" w:rsidP="00356632">
            <w:pPr>
              <w:spacing w:before="40" w:after="40" w:line="220" w:lineRule="exact"/>
              <w:ind w:right="113"/>
              <w:jc w:val="right"/>
              <w:rPr>
                <w:sz w:val="17"/>
                <w:szCs w:val="17"/>
              </w:rPr>
            </w:pPr>
            <w:r w:rsidRPr="008761E0">
              <w:rPr>
                <w:sz w:val="17"/>
                <w:szCs w:val="17"/>
              </w:rPr>
              <w:t>8</w:t>
            </w:r>
            <w:r w:rsidR="00D41420" w:rsidRPr="008761E0">
              <w:rPr>
                <w:sz w:val="17"/>
                <w:szCs w:val="17"/>
              </w:rPr>
              <w:t xml:space="preserve"> </w:t>
            </w:r>
            <w:r w:rsidRPr="008761E0">
              <w:rPr>
                <w:sz w:val="17"/>
                <w:szCs w:val="17"/>
              </w:rPr>
              <w:t>230</w:t>
            </w:r>
            <w:r w:rsidR="00D41420" w:rsidRPr="008761E0">
              <w:rPr>
                <w:sz w:val="17"/>
                <w:szCs w:val="17"/>
              </w:rPr>
              <w:t xml:space="preserve"> </w:t>
            </w:r>
            <w:r w:rsidRPr="008761E0">
              <w:rPr>
                <w:sz w:val="17"/>
                <w:szCs w:val="17"/>
              </w:rPr>
              <w:t>451</w:t>
            </w:r>
          </w:p>
        </w:tc>
        <w:tc>
          <w:tcPr>
            <w:tcW w:w="907" w:type="dxa"/>
            <w:shd w:val="clear" w:color="auto" w:fill="auto"/>
            <w:noWrap/>
            <w:vAlign w:val="bottom"/>
            <w:hideMark/>
          </w:tcPr>
          <w:p w14:paraId="2FB7D90B" w14:textId="5DAF993F" w:rsidR="002227E6" w:rsidRPr="008761E0" w:rsidRDefault="002227E6" w:rsidP="00356632">
            <w:pPr>
              <w:spacing w:before="40" w:after="40" w:line="220" w:lineRule="exact"/>
              <w:ind w:right="113"/>
              <w:jc w:val="right"/>
              <w:rPr>
                <w:sz w:val="17"/>
                <w:szCs w:val="17"/>
              </w:rPr>
            </w:pPr>
            <w:r w:rsidRPr="008761E0">
              <w:rPr>
                <w:sz w:val="17"/>
                <w:szCs w:val="17"/>
              </w:rPr>
              <w:t>6</w:t>
            </w:r>
            <w:r w:rsidR="00D41420" w:rsidRPr="008761E0">
              <w:rPr>
                <w:sz w:val="17"/>
                <w:szCs w:val="17"/>
              </w:rPr>
              <w:t xml:space="preserve"> </w:t>
            </w:r>
            <w:r w:rsidRPr="008761E0">
              <w:rPr>
                <w:sz w:val="17"/>
                <w:szCs w:val="17"/>
              </w:rPr>
              <w:t>098</w:t>
            </w:r>
            <w:r w:rsidR="00D41420" w:rsidRPr="008761E0">
              <w:rPr>
                <w:sz w:val="17"/>
                <w:szCs w:val="17"/>
              </w:rPr>
              <w:t xml:space="preserve"> </w:t>
            </w:r>
            <w:r w:rsidRPr="008761E0">
              <w:rPr>
                <w:sz w:val="17"/>
                <w:szCs w:val="17"/>
              </w:rPr>
              <w:t>358</w:t>
            </w:r>
          </w:p>
        </w:tc>
        <w:tc>
          <w:tcPr>
            <w:tcW w:w="447" w:type="dxa"/>
            <w:shd w:val="clear" w:color="auto" w:fill="auto"/>
            <w:noWrap/>
            <w:vAlign w:val="bottom"/>
            <w:hideMark/>
          </w:tcPr>
          <w:p w14:paraId="3B0E4A7F" w14:textId="77777777" w:rsidR="002227E6" w:rsidRPr="008761E0" w:rsidRDefault="002227E6" w:rsidP="00356632">
            <w:pPr>
              <w:spacing w:before="40" w:after="40" w:line="220" w:lineRule="exact"/>
              <w:ind w:right="113"/>
              <w:jc w:val="right"/>
              <w:rPr>
                <w:sz w:val="17"/>
                <w:szCs w:val="17"/>
              </w:rPr>
            </w:pPr>
            <w:r w:rsidRPr="008761E0">
              <w:rPr>
                <w:sz w:val="17"/>
                <w:szCs w:val="17"/>
              </w:rPr>
              <w:t>74.1</w:t>
            </w:r>
          </w:p>
        </w:tc>
        <w:tc>
          <w:tcPr>
            <w:tcW w:w="924" w:type="dxa"/>
            <w:shd w:val="clear" w:color="auto" w:fill="auto"/>
            <w:noWrap/>
            <w:vAlign w:val="bottom"/>
            <w:hideMark/>
          </w:tcPr>
          <w:p w14:paraId="2E4CB943" w14:textId="27528EB7" w:rsidR="002227E6" w:rsidRPr="008761E0" w:rsidRDefault="002227E6" w:rsidP="00356632">
            <w:pPr>
              <w:spacing w:before="40" w:after="40" w:line="220" w:lineRule="exact"/>
              <w:ind w:right="113"/>
              <w:jc w:val="right"/>
              <w:rPr>
                <w:sz w:val="17"/>
                <w:szCs w:val="17"/>
              </w:rPr>
            </w:pPr>
            <w:r w:rsidRPr="008761E0">
              <w:rPr>
                <w:sz w:val="17"/>
                <w:szCs w:val="17"/>
              </w:rPr>
              <w:t>13</w:t>
            </w:r>
            <w:r w:rsidR="00D41420" w:rsidRPr="008761E0">
              <w:rPr>
                <w:sz w:val="17"/>
                <w:szCs w:val="17"/>
              </w:rPr>
              <w:t xml:space="preserve"> </w:t>
            </w:r>
            <w:r w:rsidRPr="008761E0">
              <w:rPr>
                <w:sz w:val="17"/>
                <w:szCs w:val="17"/>
              </w:rPr>
              <w:t>815</w:t>
            </w:r>
            <w:r w:rsidR="00D41420" w:rsidRPr="008761E0">
              <w:rPr>
                <w:sz w:val="17"/>
                <w:szCs w:val="17"/>
              </w:rPr>
              <w:t xml:space="preserve"> </w:t>
            </w:r>
            <w:r w:rsidRPr="008761E0">
              <w:rPr>
                <w:sz w:val="17"/>
                <w:szCs w:val="17"/>
              </w:rPr>
              <w:t>650</w:t>
            </w:r>
          </w:p>
        </w:tc>
        <w:tc>
          <w:tcPr>
            <w:tcW w:w="907" w:type="dxa"/>
            <w:shd w:val="clear" w:color="auto" w:fill="auto"/>
            <w:noWrap/>
            <w:vAlign w:val="bottom"/>
            <w:hideMark/>
          </w:tcPr>
          <w:p w14:paraId="506C11FC" w14:textId="7D8A26E5" w:rsidR="002227E6" w:rsidRPr="008761E0" w:rsidRDefault="002227E6" w:rsidP="00356632">
            <w:pPr>
              <w:spacing w:before="40" w:after="40" w:line="220" w:lineRule="exact"/>
              <w:ind w:right="113"/>
              <w:jc w:val="right"/>
              <w:rPr>
                <w:sz w:val="17"/>
                <w:szCs w:val="17"/>
              </w:rPr>
            </w:pPr>
            <w:r w:rsidRPr="008761E0">
              <w:rPr>
                <w:sz w:val="17"/>
                <w:szCs w:val="17"/>
              </w:rPr>
              <w:t>10</w:t>
            </w:r>
            <w:r w:rsidR="00D41420" w:rsidRPr="008761E0">
              <w:rPr>
                <w:sz w:val="17"/>
                <w:szCs w:val="17"/>
              </w:rPr>
              <w:t xml:space="preserve"> </w:t>
            </w:r>
            <w:r w:rsidRPr="008761E0">
              <w:rPr>
                <w:sz w:val="17"/>
                <w:szCs w:val="17"/>
              </w:rPr>
              <w:t>688</w:t>
            </w:r>
            <w:r w:rsidR="00D41420" w:rsidRPr="008761E0">
              <w:rPr>
                <w:sz w:val="17"/>
                <w:szCs w:val="17"/>
              </w:rPr>
              <w:t xml:space="preserve"> </w:t>
            </w:r>
            <w:r w:rsidRPr="008761E0">
              <w:rPr>
                <w:sz w:val="17"/>
                <w:szCs w:val="17"/>
              </w:rPr>
              <w:t>940</w:t>
            </w:r>
          </w:p>
        </w:tc>
        <w:tc>
          <w:tcPr>
            <w:tcW w:w="453" w:type="dxa"/>
            <w:shd w:val="clear" w:color="auto" w:fill="auto"/>
            <w:noWrap/>
            <w:vAlign w:val="bottom"/>
            <w:hideMark/>
          </w:tcPr>
          <w:p w14:paraId="5CFAD7CC" w14:textId="77777777" w:rsidR="002227E6" w:rsidRPr="008761E0" w:rsidRDefault="002227E6" w:rsidP="00356632">
            <w:pPr>
              <w:spacing w:before="40" w:after="40" w:line="220" w:lineRule="exact"/>
              <w:ind w:right="113"/>
              <w:jc w:val="right"/>
              <w:rPr>
                <w:sz w:val="17"/>
                <w:szCs w:val="17"/>
              </w:rPr>
            </w:pPr>
            <w:r w:rsidRPr="008761E0">
              <w:rPr>
                <w:sz w:val="17"/>
                <w:szCs w:val="17"/>
              </w:rPr>
              <w:t>77.4</w:t>
            </w:r>
          </w:p>
        </w:tc>
        <w:tc>
          <w:tcPr>
            <w:tcW w:w="907" w:type="dxa"/>
            <w:shd w:val="clear" w:color="auto" w:fill="auto"/>
            <w:noWrap/>
            <w:vAlign w:val="bottom"/>
            <w:hideMark/>
          </w:tcPr>
          <w:p w14:paraId="1E35927D" w14:textId="2CA6AC47" w:rsidR="002227E6" w:rsidRPr="008761E0" w:rsidRDefault="002227E6" w:rsidP="00356632">
            <w:pPr>
              <w:spacing w:before="40" w:after="40" w:line="220" w:lineRule="exact"/>
              <w:ind w:right="113"/>
              <w:jc w:val="right"/>
              <w:rPr>
                <w:sz w:val="17"/>
                <w:szCs w:val="17"/>
              </w:rPr>
            </w:pPr>
            <w:r w:rsidRPr="008761E0">
              <w:rPr>
                <w:sz w:val="17"/>
                <w:szCs w:val="17"/>
              </w:rPr>
              <w:t>13</w:t>
            </w:r>
            <w:r w:rsidR="00D41420" w:rsidRPr="008761E0">
              <w:rPr>
                <w:sz w:val="17"/>
                <w:szCs w:val="17"/>
              </w:rPr>
              <w:t xml:space="preserve"> </w:t>
            </w:r>
            <w:r w:rsidRPr="008761E0">
              <w:rPr>
                <w:sz w:val="17"/>
                <w:szCs w:val="17"/>
              </w:rPr>
              <w:t>725</w:t>
            </w:r>
            <w:r w:rsidR="00D41420" w:rsidRPr="008761E0">
              <w:rPr>
                <w:sz w:val="17"/>
                <w:szCs w:val="17"/>
              </w:rPr>
              <w:t xml:space="preserve"> </w:t>
            </w:r>
            <w:r w:rsidRPr="008761E0">
              <w:rPr>
                <w:sz w:val="17"/>
                <w:szCs w:val="17"/>
              </w:rPr>
              <w:t>724</w:t>
            </w:r>
          </w:p>
        </w:tc>
        <w:tc>
          <w:tcPr>
            <w:tcW w:w="992" w:type="dxa"/>
            <w:shd w:val="clear" w:color="auto" w:fill="auto"/>
            <w:noWrap/>
            <w:vAlign w:val="bottom"/>
            <w:hideMark/>
          </w:tcPr>
          <w:p w14:paraId="08419609" w14:textId="4C6C0274" w:rsidR="002227E6" w:rsidRPr="008761E0" w:rsidRDefault="002227E6" w:rsidP="00356632">
            <w:pPr>
              <w:spacing w:before="40" w:after="40" w:line="220" w:lineRule="exact"/>
              <w:ind w:right="113"/>
              <w:jc w:val="right"/>
              <w:rPr>
                <w:sz w:val="17"/>
                <w:szCs w:val="17"/>
              </w:rPr>
            </w:pPr>
            <w:r w:rsidRPr="008761E0">
              <w:rPr>
                <w:sz w:val="17"/>
                <w:szCs w:val="17"/>
              </w:rPr>
              <w:t>9</w:t>
            </w:r>
            <w:r w:rsidR="00D41420" w:rsidRPr="008761E0">
              <w:rPr>
                <w:sz w:val="17"/>
                <w:szCs w:val="17"/>
              </w:rPr>
              <w:t xml:space="preserve"> </w:t>
            </w:r>
            <w:r w:rsidRPr="008761E0">
              <w:rPr>
                <w:sz w:val="17"/>
                <w:szCs w:val="17"/>
              </w:rPr>
              <w:t>116</w:t>
            </w:r>
            <w:r w:rsidR="00D41420" w:rsidRPr="008761E0">
              <w:rPr>
                <w:sz w:val="17"/>
                <w:szCs w:val="17"/>
              </w:rPr>
              <w:t xml:space="preserve"> </w:t>
            </w:r>
            <w:r w:rsidRPr="008761E0">
              <w:rPr>
                <w:sz w:val="17"/>
                <w:szCs w:val="17"/>
              </w:rPr>
              <w:t>387</w:t>
            </w:r>
          </w:p>
        </w:tc>
        <w:tc>
          <w:tcPr>
            <w:tcW w:w="425" w:type="dxa"/>
            <w:shd w:val="clear" w:color="auto" w:fill="auto"/>
            <w:noWrap/>
            <w:vAlign w:val="bottom"/>
            <w:hideMark/>
          </w:tcPr>
          <w:p w14:paraId="57259BD4" w14:textId="77777777" w:rsidR="002227E6" w:rsidRPr="008761E0" w:rsidRDefault="002227E6" w:rsidP="00356632">
            <w:pPr>
              <w:spacing w:before="40" w:after="40" w:line="220" w:lineRule="exact"/>
              <w:ind w:right="113"/>
              <w:jc w:val="right"/>
              <w:rPr>
                <w:sz w:val="17"/>
                <w:szCs w:val="17"/>
              </w:rPr>
            </w:pPr>
            <w:r w:rsidRPr="008761E0">
              <w:rPr>
                <w:sz w:val="17"/>
                <w:szCs w:val="17"/>
              </w:rPr>
              <w:t>66.4</w:t>
            </w:r>
          </w:p>
        </w:tc>
        <w:tc>
          <w:tcPr>
            <w:tcW w:w="964" w:type="dxa"/>
            <w:shd w:val="clear" w:color="auto" w:fill="auto"/>
            <w:noWrap/>
            <w:vAlign w:val="bottom"/>
            <w:hideMark/>
          </w:tcPr>
          <w:p w14:paraId="58D7F592" w14:textId="4499F028" w:rsidR="002227E6" w:rsidRPr="008761E0" w:rsidRDefault="002227E6" w:rsidP="00356632">
            <w:pPr>
              <w:spacing w:before="40" w:after="40" w:line="220" w:lineRule="exact"/>
              <w:ind w:right="113"/>
              <w:jc w:val="right"/>
              <w:rPr>
                <w:sz w:val="17"/>
                <w:szCs w:val="17"/>
              </w:rPr>
            </w:pPr>
            <w:r w:rsidRPr="008761E0">
              <w:rPr>
                <w:sz w:val="17"/>
                <w:szCs w:val="17"/>
              </w:rPr>
              <w:t>8</w:t>
            </w:r>
            <w:r w:rsidR="00D41420" w:rsidRPr="008761E0">
              <w:rPr>
                <w:sz w:val="17"/>
                <w:szCs w:val="17"/>
              </w:rPr>
              <w:t xml:space="preserve"> </w:t>
            </w:r>
            <w:r w:rsidRPr="008761E0">
              <w:rPr>
                <w:sz w:val="17"/>
                <w:szCs w:val="17"/>
              </w:rPr>
              <w:t>634</w:t>
            </w:r>
            <w:r w:rsidR="00D41420" w:rsidRPr="008761E0">
              <w:rPr>
                <w:sz w:val="17"/>
                <w:szCs w:val="17"/>
              </w:rPr>
              <w:t xml:space="preserve"> </w:t>
            </w:r>
            <w:r w:rsidRPr="008761E0">
              <w:rPr>
                <w:sz w:val="17"/>
                <w:szCs w:val="17"/>
              </w:rPr>
              <w:t>561</w:t>
            </w:r>
          </w:p>
        </w:tc>
        <w:tc>
          <w:tcPr>
            <w:tcW w:w="624" w:type="dxa"/>
            <w:shd w:val="clear" w:color="auto" w:fill="auto"/>
            <w:noWrap/>
            <w:vAlign w:val="bottom"/>
            <w:hideMark/>
          </w:tcPr>
          <w:p w14:paraId="6FF4CEE8" w14:textId="77777777" w:rsidR="002227E6" w:rsidRPr="008761E0" w:rsidRDefault="002227E6" w:rsidP="00356632">
            <w:pPr>
              <w:spacing w:before="40" w:after="40" w:line="220" w:lineRule="exact"/>
              <w:ind w:right="113"/>
              <w:jc w:val="right"/>
              <w:rPr>
                <w:sz w:val="17"/>
                <w:szCs w:val="17"/>
              </w:rPr>
            </w:pPr>
            <w:r w:rsidRPr="008761E0">
              <w:rPr>
                <w:sz w:val="17"/>
                <w:szCs w:val="17"/>
              </w:rPr>
              <w:t>72.6</w:t>
            </w:r>
          </w:p>
        </w:tc>
      </w:tr>
      <w:tr w:rsidR="005705F1" w:rsidRPr="00356632" w14:paraId="096402F8" w14:textId="77777777" w:rsidTr="005705F1">
        <w:trPr>
          <w:trHeight w:val="240"/>
        </w:trPr>
        <w:tc>
          <w:tcPr>
            <w:tcW w:w="1093" w:type="dxa"/>
            <w:shd w:val="clear" w:color="auto" w:fill="auto"/>
            <w:noWrap/>
            <w:hideMark/>
          </w:tcPr>
          <w:p w14:paraId="676D3DC3" w14:textId="77777777" w:rsidR="002227E6" w:rsidRPr="008761E0" w:rsidRDefault="002227E6" w:rsidP="00356632">
            <w:pPr>
              <w:spacing w:before="40" w:after="40" w:line="220" w:lineRule="exact"/>
              <w:ind w:right="113"/>
              <w:rPr>
                <w:sz w:val="17"/>
                <w:szCs w:val="17"/>
              </w:rPr>
            </w:pPr>
            <w:r w:rsidRPr="008761E0">
              <w:rPr>
                <w:sz w:val="17"/>
                <w:szCs w:val="17"/>
              </w:rPr>
              <w:t>Oruro</w:t>
            </w:r>
          </w:p>
        </w:tc>
        <w:tc>
          <w:tcPr>
            <w:tcW w:w="892" w:type="dxa"/>
            <w:shd w:val="clear" w:color="auto" w:fill="auto"/>
            <w:noWrap/>
            <w:vAlign w:val="bottom"/>
            <w:hideMark/>
          </w:tcPr>
          <w:p w14:paraId="64E7427F" w14:textId="15F6893D"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948</w:t>
            </w:r>
            <w:r w:rsidR="00D41420" w:rsidRPr="008761E0">
              <w:rPr>
                <w:sz w:val="17"/>
                <w:szCs w:val="17"/>
              </w:rPr>
              <w:t xml:space="preserve"> </w:t>
            </w:r>
            <w:r w:rsidRPr="008761E0">
              <w:rPr>
                <w:sz w:val="17"/>
                <w:szCs w:val="17"/>
              </w:rPr>
              <w:t>107</w:t>
            </w:r>
          </w:p>
        </w:tc>
        <w:tc>
          <w:tcPr>
            <w:tcW w:w="907" w:type="dxa"/>
            <w:shd w:val="clear" w:color="auto" w:fill="auto"/>
            <w:noWrap/>
            <w:vAlign w:val="bottom"/>
            <w:hideMark/>
          </w:tcPr>
          <w:p w14:paraId="16EEE81E" w14:textId="29084723" w:rsidR="002227E6" w:rsidRPr="008761E0" w:rsidRDefault="002227E6" w:rsidP="00356632">
            <w:pPr>
              <w:spacing w:before="40" w:after="40" w:line="220" w:lineRule="exact"/>
              <w:ind w:right="113"/>
              <w:jc w:val="right"/>
              <w:rPr>
                <w:sz w:val="17"/>
                <w:szCs w:val="17"/>
              </w:rPr>
            </w:pPr>
            <w:r w:rsidRPr="008761E0">
              <w:rPr>
                <w:sz w:val="17"/>
                <w:szCs w:val="17"/>
              </w:rPr>
              <w:t>780</w:t>
            </w:r>
            <w:r w:rsidR="00D41420" w:rsidRPr="008761E0">
              <w:rPr>
                <w:sz w:val="17"/>
                <w:szCs w:val="17"/>
              </w:rPr>
              <w:t xml:space="preserve"> </w:t>
            </w:r>
            <w:r w:rsidRPr="008761E0">
              <w:rPr>
                <w:sz w:val="17"/>
                <w:szCs w:val="17"/>
              </w:rPr>
              <w:t>122</w:t>
            </w:r>
          </w:p>
        </w:tc>
        <w:tc>
          <w:tcPr>
            <w:tcW w:w="447" w:type="dxa"/>
            <w:shd w:val="clear" w:color="auto" w:fill="auto"/>
            <w:noWrap/>
            <w:vAlign w:val="bottom"/>
            <w:hideMark/>
          </w:tcPr>
          <w:p w14:paraId="664B828A" w14:textId="77777777" w:rsidR="002227E6" w:rsidRPr="008761E0" w:rsidRDefault="002227E6" w:rsidP="00356632">
            <w:pPr>
              <w:spacing w:before="40" w:after="40" w:line="220" w:lineRule="exact"/>
              <w:ind w:right="113"/>
              <w:jc w:val="right"/>
              <w:rPr>
                <w:sz w:val="17"/>
                <w:szCs w:val="17"/>
              </w:rPr>
            </w:pPr>
            <w:r w:rsidRPr="008761E0">
              <w:rPr>
                <w:sz w:val="17"/>
                <w:szCs w:val="17"/>
              </w:rPr>
              <w:t>40.0</w:t>
            </w:r>
          </w:p>
        </w:tc>
        <w:tc>
          <w:tcPr>
            <w:tcW w:w="924" w:type="dxa"/>
            <w:shd w:val="clear" w:color="auto" w:fill="auto"/>
            <w:noWrap/>
            <w:vAlign w:val="bottom"/>
            <w:hideMark/>
          </w:tcPr>
          <w:p w14:paraId="79DBD872" w14:textId="43B34032" w:rsidR="002227E6" w:rsidRPr="008761E0" w:rsidRDefault="002227E6" w:rsidP="00356632">
            <w:pPr>
              <w:spacing w:before="40" w:after="40" w:line="220" w:lineRule="exact"/>
              <w:ind w:right="113"/>
              <w:jc w:val="right"/>
              <w:rPr>
                <w:sz w:val="17"/>
                <w:szCs w:val="17"/>
              </w:rPr>
            </w:pPr>
            <w:r w:rsidRPr="008761E0">
              <w:rPr>
                <w:sz w:val="17"/>
                <w:szCs w:val="17"/>
              </w:rPr>
              <w:t>4</w:t>
            </w:r>
            <w:r w:rsidR="00D41420" w:rsidRPr="008761E0">
              <w:rPr>
                <w:sz w:val="17"/>
                <w:szCs w:val="17"/>
              </w:rPr>
              <w:t xml:space="preserve"> </w:t>
            </w:r>
            <w:r w:rsidRPr="008761E0">
              <w:rPr>
                <w:sz w:val="17"/>
                <w:szCs w:val="17"/>
              </w:rPr>
              <w:t>020</w:t>
            </w:r>
            <w:r w:rsidR="00D41420" w:rsidRPr="008761E0">
              <w:rPr>
                <w:sz w:val="17"/>
                <w:szCs w:val="17"/>
              </w:rPr>
              <w:t xml:space="preserve"> </w:t>
            </w:r>
            <w:r w:rsidRPr="008761E0">
              <w:rPr>
                <w:sz w:val="17"/>
                <w:szCs w:val="17"/>
              </w:rPr>
              <w:t>827</w:t>
            </w:r>
          </w:p>
        </w:tc>
        <w:tc>
          <w:tcPr>
            <w:tcW w:w="907" w:type="dxa"/>
            <w:shd w:val="clear" w:color="auto" w:fill="auto"/>
            <w:noWrap/>
            <w:vAlign w:val="bottom"/>
            <w:hideMark/>
          </w:tcPr>
          <w:p w14:paraId="020B9856" w14:textId="1721C20E"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851</w:t>
            </w:r>
            <w:r w:rsidR="00D41420" w:rsidRPr="008761E0">
              <w:rPr>
                <w:sz w:val="17"/>
                <w:szCs w:val="17"/>
              </w:rPr>
              <w:t xml:space="preserve"> </w:t>
            </w:r>
            <w:r w:rsidRPr="008761E0">
              <w:rPr>
                <w:sz w:val="17"/>
                <w:szCs w:val="17"/>
              </w:rPr>
              <w:t>619</w:t>
            </w:r>
          </w:p>
        </w:tc>
        <w:tc>
          <w:tcPr>
            <w:tcW w:w="453" w:type="dxa"/>
            <w:shd w:val="clear" w:color="auto" w:fill="auto"/>
            <w:noWrap/>
            <w:vAlign w:val="bottom"/>
            <w:hideMark/>
          </w:tcPr>
          <w:p w14:paraId="11DFC5BB" w14:textId="77777777" w:rsidR="002227E6" w:rsidRPr="008761E0" w:rsidRDefault="002227E6" w:rsidP="00356632">
            <w:pPr>
              <w:spacing w:before="40" w:after="40" w:line="220" w:lineRule="exact"/>
              <w:ind w:right="113"/>
              <w:jc w:val="right"/>
              <w:rPr>
                <w:sz w:val="17"/>
                <w:szCs w:val="17"/>
              </w:rPr>
            </w:pPr>
            <w:r w:rsidRPr="008761E0">
              <w:rPr>
                <w:sz w:val="17"/>
                <w:szCs w:val="17"/>
              </w:rPr>
              <w:t>46.1</w:t>
            </w:r>
          </w:p>
        </w:tc>
        <w:tc>
          <w:tcPr>
            <w:tcW w:w="907" w:type="dxa"/>
            <w:shd w:val="clear" w:color="auto" w:fill="auto"/>
            <w:noWrap/>
            <w:vAlign w:val="bottom"/>
            <w:hideMark/>
          </w:tcPr>
          <w:p w14:paraId="50B14A09" w14:textId="79717B40" w:rsidR="002227E6" w:rsidRPr="008761E0" w:rsidRDefault="002227E6" w:rsidP="00356632">
            <w:pPr>
              <w:spacing w:before="40" w:after="40" w:line="220" w:lineRule="exact"/>
              <w:ind w:right="113"/>
              <w:jc w:val="right"/>
              <w:rPr>
                <w:sz w:val="17"/>
                <w:szCs w:val="17"/>
              </w:rPr>
            </w:pPr>
            <w:r w:rsidRPr="008761E0">
              <w:rPr>
                <w:sz w:val="17"/>
                <w:szCs w:val="17"/>
              </w:rPr>
              <w:t>3</w:t>
            </w:r>
            <w:r w:rsidR="00D41420" w:rsidRPr="008761E0">
              <w:rPr>
                <w:sz w:val="17"/>
                <w:szCs w:val="17"/>
              </w:rPr>
              <w:t xml:space="preserve"> </w:t>
            </w:r>
            <w:r w:rsidRPr="008761E0">
              <w:rPr>
                <w:sz w:val="17"/>
                <w:szCs w:val="17"/>
              </w:rPr>
              <w:t>950</w:t>
            </w:r>
            <w:r w:rsidR="00D41420" w:rsidRPr="008761E0">
              <w:rPr>
                <w:sz w:val="17"/>
                <w:szCs w:val="17"/>
              </w:rPr>
              <w:t xml:space="preserve"> </w:t>
            </w:r>
            <w:r w:rsidRPr="008761E0">
              <w:rPr>
                <w:sz w:val="17"/>
                <w:szCs w:val="17"/>
              </w:rPr>
              <w:t>249</w:t>
            </w:r>
          </w:p>
        </w:tc>
        <w:tc>
          <w:tcPr>
            <w:tcW w:w="992" w:type="dxa"/>
            <w:shd w:val="clear" w:color="auto" w:fill="auto"/>
            <w:noWrap/>
            <w:vAlign w:val="bottom"/>
            <w:hideMark/>
          </w:tcPr>
          <w:p w14:paraId="3C722777" w14:textId="305B67DB" w:rsidR="002227E6" w:rsidRPr="008761E0" w:rsidRDefault="002227E6" w:rsidP="00356632">
            <w:pPr>
              <w:spacing w:before="40" w:after="40" w:line="220" w:lineRule="exact"/>
              <w:ind w:right="113"/>
              <w:jc w:val="right"/>
              <w:rPr>
                <w:sz w:val="17"/>
                <w:szCs w:val="17"/>
              </w:rPr>
            </w:pPr>
            <w:r w:rsidRPr="008761E0">
              <w:rPr>
                <w:sz w:val="17"/>
                <w:szCs w:val="17"/>
              </w:rPr>
              <w:t>617</w:t>
            </w:r>
            <w:r w:rsidR="00D41420" w:rsidRPr="008761E0">
              <w:rPr>
                <w:sz w:val="17"/>
                <w:szCs w:val="17"/>
              </w:rPr>
              <w:t xml:space="preserve"> </w:t>
            </w:r>
            <w:r w:rsidRPr="008761E0">
              <w:rPr>
                <w:sz w:val="17"/>
                <w:szCs w:val="17"/>
              </w:rPr>
              <w:t>407</w:t>
            </w:r>
          </w:p>
        </w:tc>
        <w:tc>
          <w:tcPr>
            <w:tcW w:w="425" w:type="dxa"/>
            <w:shd w:val="clear" w:color="auto" w:fill="auto"/>
            <w:noWrap/>
            <w:vAlign w:val="bottom"/>
            <w:hideMark/>
          </w:tcPr>
          <w:p w14:paraId="0260E52A" w14:textId="77777777" w:rsidR="002227E6" w:rsidRPr="008761E0" w:rsidRDefault="002227E6" w:rsidP="00356632">
            <w:pPr>
              <w:spacing w:before="40" w:after="40" w:line="220" w:lineRule="exact"/>
              <w:ind w:right="113"/>
              <w:jc w:val="right"/>
              <w:rPr>
                <w:sz w:val="17"/>
                <w:szCs w:val="17"/>
              </w:rPr>
            </w:pPr>
            <w:r w:rsidRPr="008761E0">
              <w:rPr>
                <w:sz w:val="17"/>
                <w:szCs w:val="17"/>
              </w:rPr>
              <w:t>15.6</w:t>
            </w:r>
          </w:p>
        </w:tc>
        <w:tc>
          <w:tcPr>
            <w:tcW w:w="964" w:type="dxa"/>
            <w:shd w:val="clear" w:color="auto" w:fill="auto"/>
            <w:noWrap/>
            <w:vAlign w:val="bottom"/>
            <w:hideMark/>
          </w:tcPr>
          <w:p w14:paraId="5A442312" w14:textId="1493798D"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083</w:t>
            </w:r>
            <w:r w:rsidR="00D41420" w:rsidRPr="008761E0">
              <w:rPr>
                <w:sz w:val="17"/>
                <w:szCs w:val="17"/>
              </w:rPr>
              <w:t xml:space="preserve"> </w:t>
            </w:r>
            <w:r w:rsidRPr="008761E0">
              <w:rPr>
                <w:sz w:val="17"/>
                <w:szCs w:val="17"/>
              </w:rPr>
              <w:t>049</w:t>
            </w:r>
          </w:p>
        </w:tc>
        <w:tc>
          <w:tcPr>
            <w:tcW w:w="624" w:type="dxa"/>
            <w:shd w:val="clear" w:color="auto" w:fill="auto"/>
            <w:noWrap/>
            <w:vAlign w:val="bottom"/>
            <w:hideMark/>
          </w:tcPr>
          <w:p w14:paraId="030246D5" w14:textId="77777777" w:rsidR="002227E6" w:rsidRPr="008761E0" w:rsidRDefault="002227E6" w:rsidP="00356632">
            <w:pPr>
              <w:spacing w:before="40" w:after="40" w:line="220" w:lineRule="exact"/>
              <w:ind w:right="113"/>
              <w:jc w:val="right"/>
              <w:rPr>
                <w:sz w:val="17"/>
                <w:szCs w:val="17"/>
              </w:rPr>
            </w:pPr>
            <w:r w:rsidRPr="008761E0">
              <w:rPr>
                <w:sz w:val="17"/>
                <w:szCs w:val="17"/>
              </w:rPr>
              <w:t>33.9</w:t>
            </w:r>
          </w:p>
        </w:tc>
      </w:tr>
      <w:tr w:rsidR="005705F1" w:rsidRPr="00356632" w14:paraId="5AFFB2D6" w14:textId="77777777" w:rsidTr="005705F1">
        <w:trPr>
          <w:trHeight w:val="240"/>
        </w:trPr>
        <w:tc>
          <w:tcPr>
            <w:tcW w:w="1093" w:type="dxa"/>
            <w:shd w:val="clear" w:color="auto" w:fill="auto"/>
            <w:noWrap/>
            <w:hideMark/>
          </w:tcPr>
          <w:p w14:paraId="5CD2904D" w14:textId="77777777" w:rsidR="002227E6" w:rsidRPr="008761E0" w:rsidRDefault="002227E6" w:rsidP="00356632">
            <w:pPr>
              <w:spacing w:before="40" w:after="40" w:line="220" w:lineRule="exact"/>
              <w:ind w:right="113"/>
              <w:rPr>
                <w:sz w:val="17"/>
                <w:szCs w:val="17"/>
              </w:rPr>
            </w:pPr>
            <w:r w:rsidRPr="008761E0">
              <w:rPr>
                <w:sz w:val="17"/>
                <w:szCs w:val="17"/>
              </w:rPr>
              <w:t>Sucre</w:t>
            </w:r>
          </w:p>
        </w:tc>
        <w:tc>
          <w:tcPr>
            <w:tcW w:w="892" w:type="dxa"/>
            <w:shd w:val="clear" w:color="auto" w:fill="auto"/>
            <w:noWrap/>
            <w:vAlign w:val="bottom"/>
            <w:hideMark/>
          </w:tcPr>
          <w:p w14:paraId="14F6D141" w14:textId="74873F7C"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987</w:t>
            </w:r>
            <w:r w:rsidR="00D41420" w:rsidRPr="008761E0">
              <w:rPr>
                <w:sz w:val="17"/>
                <w:szCs w:val="17"/>
              </w:rPr>
              <w:t xml:space="preserve"> </w:t>
            </w:r>
            <w:r w:rsidRPr="008761E0">
              <w:rPr>
                <w:sz w:val="17"/>
                <w:szCs w:val="17"/>
              </w:rPr>
              <w:t>313</w:t>
            </w:r>
          </w:p>
        </w:tc>
        <w:tc>
          <w:tcPr>
            <w:tcW w:w="907" w:type="dxa"/>
            <w:shd w:val="clear" w:color="auto" w:fill="auto"/>
            <w:noWrap/>
            <w:vAlign w:val="bottom"/>
            <w:hideMark/>
          </w:tcPr>
          <w:p w14:paraId="5BC65565" w14:textId="122E69CE"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720</w:t>
            </w:r>
            <w:r w:rsidR="00D41420" w:rsidRPr="008761E0">
              <w:rPr>
                <w:sz w:val="17"/>
                <w:szCs w:val="17"/>
              </w:rPr>
              <w:t xml:space="preserve"> </w:t>
            </w:r>
            <w:r w:rsidRPr="008761E0">
              <w:rPr>
                <w:sz w:val="17"/>
                <w:szCs w:val="17"/>
              </w:rPr>
              <w:t>099</w:t>
            </w:r>
          </w:p>
        </w:tc>
        <w:tc>
          <w:tcPr>
            <w:tcW w:w="447" w:type="dxa"/>
            <w:shd w:val="clear" w:color="auto" w:fill="auto"/>
            <w:noWrap/>
            <w:vAlign w:val="bottom"/>
            <w:hideMark/>
          </w:tcPr>
          <w:p w14:paraId="62C6F907" w14:textId="77777777" w:rsidR="002227E6" w:rsidRPr="008761E0" w:rsidRDefault="002227E6" w:rsidP="00356632">
            <w:pPr>
              <w:spacing w:before="40" w:after="40" w:line="220" w:lineRule="exact"/>
              <w:ind w:right="113"/>
              <w:jc w:val="right"/>
              <w:rPr>
                <w:sz w:val="17"/>
                <w:szCs w:val="17"/>
              </w:rPr>
            </w:pPr>
            <w:r w:rsidRPr="008761E0">
              <w:rPr>
                <w:sz w:val="17"/>
                <w:szCs w:val="17"/>
              </w:rPr>
              <w:t>86.6</w:t>
            </w:r>
          </w:p>
        </w:tc>
        <w:tc>
          <w:tcPr>
            <w:tcW w:w="924" w:type="dxa"/>
            <w:shd w:val="clear" w:color="auto" w:fill="auto"/>
            <w:noWrap/>
            <w:vAlign w:val="bottom"/>
            <w:hideMark/>
          </w:tcPr>
          <w:p w14:paraId="064C6C9F" w14:textId="09C4F98D" w:rsidR="002227E6" w:rsidRPr="008761E0" w:rsidRDefault="002227E6" w:rsidP="00356632">
            <w:pPr>
              <w:spacing w:before="40" w:after="40" w:line="220" w:lineRule="exact"/>
              <w:ind w:right="113"/>
              <w:jc w:val="right"/>
              <w:rPr>
                <w:sz w:val="17"/>
                <w:szCs w:val="17"/>
              </w:rPr>
            </w:pPr>
            <w:r w:rsidRPr="008761E0">
              <w:rPr>
                <w:sz w:val="17"/>
                <w:szCs w:val="17"/>
              </w:rPr>
              <w:t>9</w:t>
            </w:r>
            <w:r w:rsidR="00D41420" w:rsidRPr="008761E0">
              <w:rPr>
                <w:sz w:val="17"/>
                <w:szCs w:val="17"/>
              </w:rPr>
              <w:t xml:space="preserve"> </w:t>
            </w:r>
            <w:r w:rsidRPr="008761E0">
              <w:rPr>
                <w:sz w:val="17"/>
                <w:szCs w:val="17"/>
              </w:rPr>
              <w:t>283</w:t>
            </w:r>
            <w:r w:rsidR="00D41420" w:rsidRPr="008761E0">
              <w:rPr>
                <w:sz w:val="17"/>
                <w:szCs w:val="17"/>
              </w:rPr>
              <w:t xml:space="preserve"> </w:t>
            </w:r>
            <w:r w:rsidRPr="008761E0">
              <w:rPr>
                <w:sz w:val="17"/>
                <w:szCs w:val="17"/>
              </w:rPr>
              <w:t>131</w:t>
            </w:r>
          </w:p>
        </w:tc>
        <w:tc>
          <w:tcPr>
            <w:tcW w:w="907" w:type="dxa"/>
            <w:shd w:val="clear" w:color="auto" w:fill="auto"/>
            <w:noWrap/>
            <w:vAlign w:val="bottom"/>
            <w:hideMark/>
          </w:tcPr>
          <w:p w14:paraId="3CEFB287" w14:textId="11C61036" w:rsidR="002227E6" w:rsidRPr="008761E0" w:rsidRDefault="002227E6" w:rsidP="00356632">
            <w:pPr>
              <w:spacing w:before="40" w:after="40" w:line="220" w:lineRule="exact"/>
              <w:ind w:right="113"/>
              <w:jc w:val="right"/>
              <w:rPr>
                <w:sz w:val="17"/>
                <w:szCs w:val="17"/>
              </w:rPr>
            </w:pPr>
            <w:r w:rsidRPr="008761E0">
              <w:rPr>
                <w:sz w:val="17"/>
                <w:szCs w:val="17"/>
              </w:rPr>
              <w:t>8</w:t>
            </w:r>
            <w:r w:rsidR="00D41420" w:rsidRPr="008761E0">
              <w:rPr>
                <w:sz w:val="17"/>
                <w:szCs w:val="17"/>
              </w:rPr>
              <w:t xml:space="preserve"> </w:t>
            </w:r>
            <w:r w:rsidRPr="008761E0">
              <w:rPr>
                <w:sz w:val="17"/>
                <w:szCs w:val="17"/>
              </w:rPr>
              <w:t>716</w:t>
            </w:r>
            <w:r w:rsidR="00D41420" w:rsidRPr="008761E0">
              <w:rPr>
                <w:sz w:val="17"/>
                <w:szCs w:val="17"/>
              </w:rPr>
              <w:t xml:space="preserve"> </w:t>
            </w:r>
            <w:r w:rsidRPr="008761E0">
              <w:rPr>
                <w:sz w:val="17"/>
                <w:szCs w:val="17"/>
              </w:rPr>
              <w:t>514</w:t>
            </w:r>
          </w:p>
        </w:tc>
        <w:tc>
          <w:tcPr>
            <w:tcW w:w="453" w:type="dxa"/>
            <w:shd w:val="clear" w:color="auto" w:fill="auto"/>
            <w:noWrap/>
            <w:vAlign w:val="bottom"/>
            <w:hideMark/>
          </w:tcPr>
          <w:p w14:paraId="52A0C9AC" w14:textId="77777777" w:rsidR="002227E6" w:rsidRPr="008761E0" w:rsidRDefault="002227E6" w:rsidP="00356632">
            <w:pPr>
              <w:spacing w:before="40" w:after="40" w:line="220" w:lineRule="exact"/>
              <w:ind w:right="113"/>
              <w:jc w:val="right"/>
              <w:rPr>
                <w:sz w:val="17"/>
                <w:szCs w:val="17"/>
              </w:rPr>
            </w:pPr>
            <w:r w:rsidRPr="008761E0">
              <w:rPr>
                <w:sz w:val="17"/>
                <w:szCs w:val="17"/>
              </w:rPr>
              <w:t>93.9</w:t>
            </w:r>
          </w:p>
        </w:tc>
        <w:tc>
          <w:tcPr>
            <w:tcW w:w="907" w:type="dxa"/>
            <w:shd w:val="clear" w:color="auto" w:fill="auto"/>
            <w:noWrap/>
            <w:vAlign w:val="bottom"/>
            <w:hideMark/>
          </w:tcPr>
          <w:p w14:paraId="7D65A326" w14:textId="0AFEC693" w:rsidR="002227E6" w:rsidRPr="008761E0" w:rsidRDefault="002227E6" w:rsidP="00356632">
            <w:pPr>
              <w:spacing w:before="40" w:after="40" w:line="220" w:lineRule="exact"/>
              <w:ind w:right="113"/>
              <w:jc w:val="right"/>
              <w:rPr>
                <w:sz w:val="17"/>
                <w:szCs w:val="17"/>
              </w:rPr>
            </w:pPr>
            <w:r w:rsidRPr="008761E0">
              <w:rPr>
                <w:sz w:val="17"/>
                <w:szCs w:val="17"/>
              </w:rPr>
              <w:t>19</w:t>
            </w:r>
            <w:r w:rsidR="00D41420" w:rsidRPr="008761E0">
              <w:rPr>
                <w:sz w:val="17"/>
                <w:szCs w:val="17"/>
              </w:rPr>
              <w:t xml:space="preserve"> </w:t>
            </w:r>
            <w:r w:rsidRPr="008761E0">
              <w:rPr>
                <w:sz w:val="17"/>
                <w:szCs w:val="17"/>
              </w:rPr>
              <w:t>943</w:t>
            </w:r>
            <w:r w:rsidR="00D41420" w:rsidRPr="008761E0">
              <w:rPr>
                <w:sz w:val="17"/>
                <w:szCs w:val="17"/>
              </w:rPr>
              <w:t xml:space="preserve"> </w:t>
            </w:r>
            <w:r w:rsidRPr="008761E0">
              <w:rPr>
                <w:sz w:val="17"/>
                <w:szCs w:val="17"/>
              </w:rPr>
              <w:t>464</w:t>
            </w:r>
          </w:p>
        </w:tc>
        <w:tc>
          <w:tcPr>
            <w:tcW w:w="992" w:type="dxa"/>
            <w:shd w:val="clear" w:color="auto" w:fill="auto"/>
            <w:noWrap/>
            <w:vAlign w:val="bottom"/>
            <w:hideMark/>
          </w:tcPr>
          <w:p w14:paraId="3F30D693" w14:textId="22111CB7" w:rsidR="002227E6" w:rsidRPr="008761E0" w:rsidRDefault="002227E6" w:rsidP="00356632">
            <w:pPr>
              <w:spacing w:before="40" w:after="40" w:line="220" w:lineRule="exact"/>
              <w:ind w:right="113"/>
              <w:jc w:val="right"/>
              <w:rPr>
                <w:sz w:val="17"/>
                <w:szCs w:val="17"/>
              </w:rPr>
            </w:pPr>
            <w:r w:rsidRPr="008761E0">
              <w:rPr>
                <w:sz w:val="17"/>
                <w:szCs w:val="17"/>
              </w:rPr>
              <w:t>14</w:t>
            </w:r>
            <w:r w:rsidR="00D41420" w:rsidRPr="008761E0">
              <w:rPr>
                <w:sz w:val="17"/>
                <w:szCs w:val="17"/>
              </w:rPr>
              <w:t xml:space="preserve"> </w:t>
            </w:r>
            <w:r w:rsidRPr="008761E0">
              <w:rPr>
                <w:sz w:val="17"/>
                <w:szCs w:val="17"/>
              </w:rPr>
              <w:t>167</w:t>
            </w:r>
            <w:r w:rsidR="00D41420" w:rsidRPr="008761E0">
              <w:rPr>
                <w:sz w:val="17"/>
                <w:szCs w:val="17"/>
              </w:rPr>
              <w:t xml:space="preserve"> </w:t>
            </w:r>
            <w:r w:rsidRPr="008761E0">
              <w:rPr>
                <w:sz w:val="17"/>
                <w:szCs w:val="17"/>
              </w:rPr>
              <w:t>638</w:t>
            </w:r>
          </w:p>
        </w:tc>
        <w:tc>
          <w:tcPr>
            <w:tcW w:w="425" w:type="dxa"/>
            <w:shd w:val="clear" w:color="auto" w:fill="auto"/>
            <w:noWrap/>
            <w:vAlign w:val="bottom"/>
            <w:hideMark/>
          </w:tcPr>
          <w:p w14:paraId="4FA4A349" w14:textId="77777777" w:rsidR="002227E6" w:rsidRPr="008761E0" w:rsidRDefault="002227E6" w:rsidP="00356632">
            <w:pPr>
              <w:spacing w:before="40" w:after="40" w:line="220" w:lineRule="exact"/>
              <w:ind w:right="113"/>
              <w:jc w:val="right"/>
              <w:rPr>
                <w:sz w:val="17"/>
                <w:szCs w:val="17"/>
              </w:rPr>
            </w:pPr>
            <w:r w:rsidRPr="008761E0">
              <w:rPr>
                <w:sz w:val="17"/>
                <w:szCs w:val="17"/>
              </w:rPr>
              <w:t>71.0</w:t>
            </w:r>
          </w:p>
        </w:tc>
        <w:tc>
          <w:tcPr>
            <w:tcW w:w="964" w:type="dxa"/>
            <w:shd w:val="clear" w:color="auto" w:fill="auto"/>
            <w:noWrap/>
            <w:vAlign w:val="bottom"/>
            <w:hideMark/>
          </w:tcPr>
          <w:p w14:paraId="7A191835" w14:textId="50F737C1" w:rsidR="002227E6" w:rsidRPr="008761E0" w:rsidRDefault="002227E6" w:rsidP="00356632">
            <w:pPr>
              <w:spacing w:before="40" w:after="40" w:line="220" w:lineRule="exact"/>
              <w:ind w:right="113"/>
              <w:jc w:val="right"/>
              <w:rPr>
                <w:sz w:val="17"/>
                <w:szCs w:val="17"/>
              </w:rPr>
            </w:pPr>
            <w:r w:rsidRPr="008761E0">
              <w:rPr>
                <w:sz w:val="17"/>
                <w:szCs w:val="17"/>
              </w:rPr>
              <w:t>8</w:t>
            </w:r>
            <w:r w:rsidR="00D41420" w:rsidRPr="008761E0">
              <w:rPr>
                <w:sz w:val="17"/>
                <w:szCs w:val="17"/>
              </w:rPr>
              <w:t xml:space="preserve"> </w:t>
            </w:r>
            <w:r w:rsidRPr="008761E0">
              <w:rPr>
                <w:sz w:val="17"/>
                <w:szCs w:val="17"/>
              </w:rPr>
              <w:t>201</w:t>
            </w:r>
            <w:r w:rsidR="00D41420" w:rsidRPr="008761E0">
              <w:rPr>
                <w:sz w:val="17"/>
                <w:szCs w:val="17"/>
              </w:rPr>
              <w:t xml:space="preserve"> </w:t>
            </w:r>
            <w:r w:rsidRPr="008761E0">
              <w:rPr>
                <w:sz w:val="17"/>
                <w:szCs w:val="17"/>
              </w:rPr>
              <w:t>417</w:t>
            </w:r>
          </w:p>
        </w:tc>
        <w:tc>
          <w:tcPr>
            <w:tcW w:w="624" w:type="dxa"/>
            <w:shd w:val="clear" w:color="auto" w:fill="auto"/>
            <w:noWrap/>
            <w:vAlign w:val="bottom"/>
            <w:hideMark/>
          </w:tcPr>
          <w:p w14:paraId="2FC2B0A7" w14:textId="77777777" w:rsidR="002227E6" w:rsidRPr="008761E0" w:rsidRDefault="002227E6" w:rsidP="00356632">
            <w:pPr>
              <w:spacing w:before="40" w:after="40" w:line="220" w:lineRule="exact"/>
              <w:ind w:right="113"/>
              <w:jc w:val="right"/>
              <w:rPr>
                <w:sz w:val="17"/>
                <w:szCs w:val="17"/>
              </w:rPr>
            </w:pPr>
            <w:r w:rsidRPr="008761E0">
              <w:rPr>
                <w:sz w:val="17"/>
                <w:szCs w:val="17"/>
              </w:rPr>
              <w:t>83.8</w:t>
            </w:r>
          </w:p>
        </w:tc>
      </w:tr>
      <w:tr w:rsidR="005705F1" w:rsidRPr="00356632" w14:paraId="01F66C73" w14:textId="77777777" w:rsidTr="005705F1">
        <w:trPr>
          <w:trHeight w:val="240"/>
        </w:trPr>
        <w:tc>
          <w:tcPr>
            <w:tcW w:w="1093" w:type="dxa"/>
            <w:shd w:val="clear" w:color="auto" w:fill="auto"/>
            <w:noWrap/>
            <w:hideMark/>
          </w:tcPr>
          <w:p w14:paraId="1E7C901D" w14:textId="77777777" w:rsidR="002227E6" w:rsidRPr="008761E0" w:rsidRDefault="002227E6" w:rsidP="00356632">
            <w:pPr>
              <w:spacing w:before="40" w:after="40" w:line="220" w:lineRule="exact"/>
              <w:ind w:right="113"/>
              <w:rPr>
                <w:sz w:val="17"/>
                <w:szCs w:val="17"/>
              </w:rPr>
            </w:pPr>
            <w:r w:rsidRPr="008761E0">
              <w:rPr>
                <w:sz w:val="17"/>
                <w:szCs w:val="17"/>
              </w:rPr>
              <w:t>Tarija</w:t>
            </w:r>
          </w:p>
        </w:tc>
        <w:tc>
          <w:tcPr>
            <w:tcW w:w="892" w:type="dxa"/>
            <w:shd w:val="clear" w:color="auto" w:fill="auto"/>
            <w:noWrap/>
            <w:vAlign w:val="bottom"/>
            <w:hideMark/>
          </w:tcPr>
          <w:p w14:paraId="2BB1703E" w14:textId="48FFCC20"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982</w:t>
            </w:r>
            <w:r w:rsidR="00D41420" w:rsidRPr="008761E0">
              <w:rPr>
                <w:sz w:val="17"/>
                <w:szCs w:val="17"/>
              </w:rPr>
              <w:t xml:space="preserve"> </w:t>
            </w:r>
            <w:r w:rsidRPr="008761E0">
              <w:rPr>
                <w:sz w:val="17"/>
                <w:szCs w:val="17"/>
              </w:rPr>
              <w:t>397</w:t>
            </w:r>
          </w:p>
        </w:tc>
        <w:tc>
          <w:tcPr>
            <w:tcW w:w="907" w:type="dxa"/>
            <w:shd w:val="clear" w:color="auto" w:fill="auto"/>
            <w:noWrap/>
            <w:vAlign w:val="bottom"/>
            <w:hideMark/>
          </w:tcPr>
          <w:p w14:paraId="512BCDD8" w14:textId="2F7B1B71"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310</w:t>
            </w:r>
            <w:r w:rsidR="00D41420" w:rsidRPr="008761E0">
              <w:rPr>
                <w:sz w:val="17"/>
                <w:szCs w:val="17"/>
              </w:rPr>
              <w:t xml:space="preserve"> </w:t>
            </w:r>
            <w:r w:rsidRPr="008761E0">
              <w:rPr>
                <w:sz w:val="17"/>
                <w:szCs w:val="17"/>
              </w:rPr>
              <w:t>949</w:t>
            </w:r>
          </w:p>
        </w:tc>
        <w:tc>
          <w:tcPr>
            <w:tcW w:w="447" w:type="dxa"/>
            <w:shd w:val="clear" w:color="auto" w:fill="auto"/>
            <w:noWrap/>
            <w:vAlign w:val="bottom"/>
            <w:hideMark/>
          </w:tcPr>
          <w:p w14:paraId="1884B0B6" w14:textId="77777777" w:rsidR="002227E6" w:rsidRPr="008761E0" w:rsidRDefault="002227E6" w:rsidP="00356632">
            <w:pPr>
              <w:spacing w:before="40" w:after="40" w:line="220" w:lineRule="exact"/>
              <w:ind w:right="113"/>
              <w:jc w:val="right"/>
              <w:rPr>
                <w:sz w:val="17"/>
                <w:szCs w:val="17"/>
              </w:rPr>
            </w:pPr>
            <w:r w:rsidRPr="008761E0">
              <w:rPr>
                <w:sz w:val="17"/>
                <w:szCs w:val="17"/>
              </w:rPr>
              <w:t>66.1</w:t>
            </w:r>
          </w:p>
        </w:tc>
        <w:tc>
          <w:tcPr>
            <w:tcW w:w="924" w:type="dxa"/>
            <w:shd w:val="clear" w:color="auto" w:fill="auto"/>
            <w:noWrap/>
            <w:vAlign w:val="bottom"/>
            <w:hideMark/>
          </w:tcPr>
          <w:p w14:paraId="357BF668" w14:textId="685EB03B" w:rsidR="002227E6" w:rsidRPr="008761E0" w:rsidRDefault="002227E6" w:rsidP="00356632">
            <w:pPr>
              <w:spacing w:before="40" w:after="40" w:line="220" w:lineRule="exact"/>
              <w:ind w:right="113"/>
              <w:jc w:val="right"/>
              <w:rPr>
                <w:sz w:val="17"/>
                <w:szCs w:val="17"/>
              </w:rPr>
            </w:pPr>
            <w:r w:rsidRPr="008761E0">
              <w:rPr>
                <w:sz w:val="17"/>
                <w:szCs w:val="17"/>
              </w:rPr>
              <w:t>2</w:t>
            </w:r>
            <w:r w:rsidR="00D41420" w:rsidRPr="008761E0">
              <w:rPr>
                <w:sz w:val="17"/>
                <w:szCs w:val="17"/>
              </w:rPr>
              <w:t xml:space="preserve"> </w:t>
            </w:r>
            <w:r w:rsidRPr="008761E0">
              <w:rPr>
                <w:sz w:val="17"/>
                <w:szCs w:val="17"/>
              </w:rPr>
              <w:t>917</w:t>
            </w:r>
            <w:r w:rsidR="00D41420" w:rsidRPr="008761E0">
              <w:rPr>
                <w:sz w:val="17"/>
                <w:szCs w:val="17"/>
              </w:rPr>
              <w:t xml:space="preserve"> </w:t>
            </w:r>
            <w:r w:rsidRPr="008761E0">
              <w:rPr>
                <w:sz w:val="17"/>
                <w:szCs w:val="17"/>
              </w:rPr>
              <w:t>675</w:t>
            </w:r>
          </w:p>
        </w:tc>
        <w:tc>
          <w:tcPr>
            <w:tcW w:w="907" w:type="dxa"/>
            <w:shd w:val="clear" w:color="auto" w:fill="auto"/>
            <w:noWrap/>
            <w:vAlign w:val="bottom"/>
            <w:hideMark/>
          </w:tcPr>
          <w:p w14:paraId="6FA8C7C6" w14:textId="678EE71C" w:rsidR="002227E6" w:rsidRPr="008761E0" w:rsidRDefault="002227E6" w:rsidP="00356632">
            <w:pPr>
              <w:spacing w:before="40" w:after="40" w:line="220" w:lineRule="exact"/>
              <w:ind w:right="113"/>
              <w:jc w:val="right"/>
              <w:rPr>
                <w:sz w:val="17"/>
                <w:szCs w:val="17"/>
              </w:rPr>
            </w:pPr>
            <w:r w:rsidRPr="008761E0">
              <w:rPr>
                <w:sz w:val="17"/>
                <w:szCs w:val="17"/>
              </w:rPr>
              <w:t>2</w:t>
            </w:r>
            <w:r w:rsidR="00D41420" w:rsidRPr="008761E0">
              <w:rPr>
                <w:sz w:val="17"/>
                <w:szCs w:val="17"/>
              </w:rPr>
              <w:t xml:space="preserve"> </w:t>
            </w:r>
            <w:r w:rsidRPr="008761E0">
              <w:rPr>
                <w:sz w:val="17"/>
                <w:szCs w:val="17"/>
              </w:rPr>
              <w:t>009</w:t>
            </w:r>
            <w:r w:rsidR="00D41420" w:rsidRPr="008761E0">
              <w:rPr>
                <w:sz w:val="17"/>
                <w:szCs w:val="17"/>
              </w:rPr>
              <w:t xml:space="preserve"> </w:t>
            </w:r>
            <w:r w:rsidRPr="008761E0">
              <w:rPr>
                <w:sz w:val="17"/>
                <w:szCs w:val="17"/>
              </w:rPr>
              <w:t>093</w:t>
            </w:r>
          </w:p>
        </w:tc>
        <w:tc>
          <w:tcPr>
            <w:tcW w:w="453" w:type="dxa"/>
            <w:shd w:val="clear" w:color="auto" w:fill="auto"/>
            <w:noWrap/>
            <w:vAlign w:val="bottom"/>
            <w:hideMark/>
          </w:tcPr>
          <w:p w14:paraId="3904E886" w14:textId="77777777" w:rsidR="002227E6" w:rsidRPr="008761E0" w:rsidRDefault="002227E6" w:rsidP="00356632">
            <w:pPr>
              <w:spacing w:before="40" w:after="40" w:line="220" w:lineRule="exact"/>
              <w:ind w:right="113"/>
              <w:jc w:val="right"/>
              <w:rPr>
                <w:sz w:val="17"/>
                <w:szCs w:val="17"/>
              </w:rPr>
            </w:pPr>
            <w:r w:rsidRPr="008761E0">
              <w:rPr>
                <w:sz w:val="17"/>
                <w:szCs w:val="17"/>
              </w:rPr>
              <w:t>68.9</w:t>
            </w:r>
          </w:p>
        </w:tc>
        <w:tc>
          <w:tcPr>
            <w:tcW w:w="907" w:type="dxa"/>
            <w:shd w:val="clear" w:color="auto" w:fill="auto"/>
            <w:noWrap/>
            <w:vAlign w:val="bottom"/>
            <w:hideMark/>
          </w:tcPr>
          <w:p w14:paraId="0C591E3F" w14:textId="515D38CC" w:rsidR="002227E6" w:rsidRPr="008761E0" w:rsidRDefault="002227E6" w:rsidP="00356632">
            <w:pPr>
              <w:spacing w:before="40" w:after="40" w:line="220" w:lineRule="exact"/>
              <w:ind w:right="113"/>
              <w:jc w:val="right"/>
              <w:rPr>
                <w:sz w:val="17"/>
                <w:szCs w:val="17"/>
              </w:rPr>
            </w:pPr>
            <w:r w:rsidRPr="008761E0">
              <w:rPr>
                <w:sz w:val="17"/>
                <w:szCs w:val="17"/>
              </w:rPr>
              <w:t>3</w:t>
            </w:r>
            <w:r w:rsidR="00D41420" w:rsidRPr="008761E0">
              <w:rPr>
                <w:sz w:val="17"/>
                <w:szCs w:val="17"/>
              </w:rPr>
              <w:t xml:space="preserve"> </w:t>
            </w:r>
            <w:r w:rsidRPr="008761E0">
              <w:rPr>
                <w:sz w:val="17"/>
                <w:szCs w:val="17"/>
              </w:rPr>
              <w:t>104</w:t>
            </w:r>
            <w:r w:rsidR="00D41420" w:rsidRPr="008761E0">
              <w:rPr>
                <w:sz w:val="17"/>
                <w:szCs w:val="17"/>
              </w:rPr>
              <w:t xml:space="preserve"> </w:t>
            </w:r>
            <w:r w:rsidRPr="008761E0">
              <w:rPr>
                <w:sz w:val="17"/>
                <w:szCs w:val="17"/>
              </w:rPr>
              <w:t>454</w:t>
            </w:r>
          </w:p>
        </w:tc>
        <w:tc>
          <w:tcPr>
            <w:tcW w:w="992" w:type="dxa"/>
            <w:shd w:val="clear" w:color="auto" w:fill="auto"/>
            <w:noWrap/>
            <w:vAlign w:val="bottom"/>
            <w:hideMark/>
          </w:tcPr>
          <w:p w14:paraId="51EA07E4" w14:textId="2A11D6F3"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266</w:t>
            </w:r>
            <w:r w:rsidR="00D41420" w:rsidRPr="008761E0">
              <w:rPr>
                <w:sz w:val="17"/>
                <w:szCs w:val="17"/>
              </w:rPr>
              <w:t xml:space="preserve"> </w:t>
            </w:r>
            <w:r w:rsidRPr="008761E0">
              <w:rPr>
                <w:sz w:val="17"/>
                <w:szCs w:val="17"/>
              </w:rPr>
              <w:t>792</w:t>
            </w:r>
          </w:p>
        </w:tc>
        <w:tc>
          <w:tcPr>
            <w:tcW w:w="425" w:type="dxa"/>
            <w:shd w:val="clear" w:color="auto" w:fill="auto"/>
            <w:noWrap/>
            <w:vAlign w:val="bottom"/>
            <w:hideMark/>
          </w:tcPr>
          <w:p w14:paraId="1A3D87BA" w14:textId="77777777" w:rsidR="002227E6" w:rsidRPr="008761E0" w:rsidRDefault="002227E6" w:rsidP="00356632">
            <w:pPr>
              <w:spacing w:before="40" w:after="40" w:line="220" w:lineRule="exact"/>
              <w:ind w:right="113"/>
              <w:jc w:val="right"/>
              <w:rPr>
                <w:sz w:val="17"/>
                <w:szCs w:val="17"/>
              </w:rPr>
            </w:pPr>
            <w:r w:rsidRPr="008761E0">
              <w:rPr>
                <w:sz w:val="17"/>
                <w:szCs w:val="17"/>
              </w:rPr>
              <w:t>40.8</w:t>
            </w:r>
          </w:p>
        </w:tc>
        <w:tc>
          <w:tcPr>
            <w:tcW w:w="964" w:type="dxa"/>
            <w:shd w:val="clear" w:color="auto" w:fill="auto"/>
            <w:noWrap/>
            <w:vAlign w:val="bottom"/>
            <w:hideMark/>
          </w:tcPr>
          <w:p w14:paraId="458CB280" w14:textId="652FD1B9"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528</w:t>
            </w:r>
            <w:r w:rsidR="00D41420" w:rsidRPr="008761E0">
              <w:rPr>
                <w:sz w:val="17"/>
                <w:szCs w:val="17"/>
              </w:rPr>
              <w:t xml:space="preserve"> </w:t>
            </w:r>
            <w:r w:rsidRPr="008761E0">
              <w:rPr>
                <w:sz w:val="17"/>
                <w:szCs w:val="17"/>
              </w:rPr>
              <w:t>945</w:t>
            </w:r>
          </w:p>
        </w:tc>
        <w:tc>
          <w:tcPr>
            <w:tcW w:w="624" w:type="dxa"/>
            <w:shd w:val="clear" w:color="auto" w:fill="auto"/>
            <w:noWrap/>
            <w:vAlign w:val="bottom"/>
            <w:hideMark/>
          </w:tcPr>
          <w:p w14:paraId="41A8C0BA" w14:textId="77777777" w:rsidR="002227E6" w:rsidRPr="008761E0" w:rsidRDefault="002227E6" w:rsidP="00356632">
            <w:pPr>
              <w:spacing w:before="40" w:after="40" w:line="220" w:lineRule="exact"/>
              <w:ind w:right="113"/>
              <w:jc w:val="right"/>
              <w:rPr>
                <w:sz w:val="17"/>
                <w:szCs w:val="17"/>
              </w:rPr>
            </w:pPr>
            <w:r w:rsidRPr="008761E0">
              <w:rPr>
                <w:sz w:val="17"/>
                <w:szCs w:val="17"/>
              </w:rPr>
              <w:t>58.6</w:t>
            </w:r>
          </w:p>
        </w:tc>
      </w:tr>
      <w:tr w:rsidR="005705F1" w:rsidRPr="00356632" w14:paraId="1D97B0E5" w14:textId="77777777" w:rsidTr="005705F1">
        <w:trPr>
          <w:trHeight w:val="240"/>
        </w:trPr>
        <w:tc>
          <w:tcPr>
            <w:tcW w:w="1093" w:type="dxa"/>
            <w:shd w:val="clear" w:color="auto" w:fill="auto"/>
            <w:noWrap/>
            <w:hideMark/>
          </w:tcPr>
          <w:p w14:paraId="65AB3930" w14:textId="77777777" w:rsidR="002227E6" w:rsidRPr="008761E0" w:rsidRDefault="002227E6" w:rsidP="00356632">
            <w:pPr>
              <w:spacing w:before="40" w:after="40" w:line="220" w:lineRule="exact"/>
              <w:ind w:right="113"/>
              <w:rPr>
                <w:sz w:val="17"/>
                <w:szCs w:val="17"/>
              </w:rPr>
            </w:pPr>
            <w:r w:rsidRPr="008761E0">
              <w:rPr>
                <w:sz w:val="17"/>
                <w:szCs w:val="17"/>
              </w:rPr>
              <w:t>Potosí</w:t>
            </w:r>
          </w:p>
        </w:tc>
        <w:tc>
          <w:tcPr>
            <w:tcW w:w="892" w:type="dxa"/>
            <w:shd w:val="clear" w:color="auto" w:fill="auto"/>
            <w:noWrap/>
            <w:vAlign w:val="bottom"/>
            <w:hideMark/>
          </w:tcPr>
          <w:p w14:paraId="74BDD63B" w14:textId="313632D6" w:rsidR="002227E6" w:rsidRPr="008761E0" w:rsidRDefault="002227E6" w:rsidP="00356632">
            <w:pPr>
              <w:spacing w:before="40" w:after="40" w:line="220" w:lineRule="exact"/>
              <w:ind w:right="113"/>
              <w:jc w:val="right"/>
              <w:rPr>
                <w:sz w:val="17"/>
                <w:szCs w:val="17"/>
              </w:rPr>
            </w:pPr>
            <w:r w:rsidRPr="008761E0">
              <w:rPr>
                <w:sz w:val="17"/>
                <w:szCs w:val="17"/>
              </w:rPr>
              <w:t>754</w:t>
            </w:r>
            <w:r w:rsidR="00D41420" w:rsidRPr="008761E0">
              <w:rPr>
                <w:sz w:val="17"/>
                <w:szCs w:val="17"/>
              </w:rPr>
              <w:t xml:space="preserve"> </w:t>
            </w:r>
            <w:r w:rsidRPr="008761E0">
              <w:rPr>
                <w:sz w:val="17"/>
                <w:szCs w:val="17"/>
              </w:rPr>
              <w:t>943</w:t>
            </w:r>
          </w:p>
        </w:tc>
        <w:tc>
          <w:tcPr>
            <w:tcW w:w="907" w:type="dxa"/>
            <w:shd w:val="clear" w:color="auto" w:fill="auto"/>
            <w:noWrap/>
            <w:vAlign w:val="bottom"/>
            <w:hideMark/>
          </w:tcPr>
          <w:p w14:paraId="31D08694" w14:textId="1A6EBF90" w:rsidR="002227E6" w:rsidRPr="008761E0" w:rsidRDefault="002227E6" w:rsidP="00356632">
            <w:pPr>
              <w:spacing w:before="40" w:after="40" w:line="220" w:lineRule="exact"/>
              <w:ind w:right="113"/>
              <w:jc w:val="right"/>
              <w:rPr>
                <w:sz w:val="17"/>
                <w:szCs w:val="17"/>
              </w:rPr>
            </w:pPr>
            <w:r w:rsidRPr="008761E0">
              <w:rPr>
                <w:sz w:val="17"/>
                <w:szCs w:val="17"/>
              </w:rPr>
              <w:t>581</w:t>
            </w:r>
            <w:r w:rsidR="00D41420" w:rsidRPr="008761E0">
              <w:rPr>
                <w:sz w:val="17"/>
                <w:szCs w:val="17"/>
              </w:rPr>
              <w:t xml:space="preserve"> </w:t>
            </w:r>
            <w:r w:rsidRPr="008761E0">
              <w:rPr>
                <w:sz w:val="17"/>
                <w:szCs w:val="17"/>
              </w:rPr>
              <w:t>009</w:t>
            </w:r>
          </w:p>
        </w:tc>
        <w:tc>
          <w:tcPr>
            <w:tcW w:w="447" w:type="dxa"/>
            <w:shd w:val="clear" w:color="auto" w:fill="auto"/>
            <w:noWrap/>
            <w:vAlign w:val="bottom"/>
            <w:hideMark/>
          </w:tcPr>
          <w:p w14:paraId="27C79A08" w14:textId="77777777" w:rsidR="002227E6" w:rsidRPr="008761E0" w:rsidRDefault="002227E6" w:rsidP="00356632">
            <w:pPr>
              <w:spacing w:before="40" w:after="40" w:line="220" w:lineRule="exact"/>
              <w:ind w:right="113"/>
              <w:jc w:val="right"/>
              <w:rPr>
                <w:sz w:val="17"/>
                <w:szCs w:val="17"/>
              </w:rPr>
            </w:pPr>
            <w:r w:rsidRPr="008761E0">
              <w:rPr>
                <w:sz w:val="17"/>
                <w:szCs w:val="17"/>
              </w:rPr>
              <w:t>77.0</w:t>
            </w:r>
          </w:p>
        </w:tc>
        <w:tc>
          <w:tcPr>
            <w:tcW w:w="924" w:type="dxa"/>
            <w:shd w:val="clear" w:color="auto" w:fill="auto"/>
            <w:noWrap/>
            <w:vAlign w:val="bottom"/>
            <w:hideMark/>
          </w:tcPr>
          <w:p w14:paraId="2F6CFC93" w14:textId="1E82FEB6" w:rsidR="002227E6" w:rsidRPr="008761E0" w:rsidRDefault="002227E6" w:rsidP="00356632">
            <w:pPr>
              <w:spacing w:before="40" w:after="40" w:line="220" w:lineRule="exact"/>
              <w:ind w:right="113"/>
              <w:jc w:val="right"/>
              <w:rPr>
                <w:sz w:val="17"/>
                <w:szCs w:val="17"/>
              </w:rPr>
            </w:pPr>
            <w:r w:rsidRPr="008761E0">
              <w:rPr>
                <w:sz w:val="17"/>
                <w:szCs w:val="17"/>
              </w:rPr>
              <w:t>2</w:t>
            </w:r>
            <w:r w:rsidR="00D41420" w:rsidRPr="008761E0">
              <w:rPr>
                <w:sz w:val="17"/>
                <w:szCs w:val="17"/>
              </w:rPr>
              <w:t xml:space="preserve"> </w:t>
            </w:r>
            <w:r w:rsidRPr="008761E0">
              <w:rPr>
                <w:sz w:val="17"/>
                <w:szCs w:val="17"/>
              </w:rPr>
              <w:t>391</w:t>
            </w:r>
            <w:r w:rsidR="00D41420" w:rsidRPr="008761E0">
              <w:rPr>
                <w:sz w:val="17"/>
                <w:szCs w:val="17"/>
              </w:rPr>
              <w:t xml:space="preserve"> </w:t>
            </w:r>
            <w:r w:rsidRPr="008761E0">
              <w:rPr>
                <w:sz w:val="17"/>
                <w:szCs w:val="17"/>
              </w:rPr>
              <w:t>796</w:t>
            </w:r>
          </w:p>
        </w:tc>
        <w:tc>
          <w:tcPr>
            <w:tcW w:w="907" w:type="dxa"/>
            <w:shd w:val="clear" w:color="auto" w:fill="auto"/>
            <w:noWrap/>
            <w:vAlign w:val="bottom"/>
            <w:hideMark/>
          </w:tcPr>
          <w:p w14:paraId="03225AD0" w14:textId="43DA110E"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957</w:t>
            </w:r>
            <w:r w:rsidR="00D41420" w:rsidRPr="008761E0">
              <w:rPr>
                <w:sz w:val="17"/>
                <w:szCs w:val="17"/>
              </w:rPr>
              <w:t xml:space="preserve"> </w:t>
            </w:r>
            <w:r w:rsidRPr="008761E0">
              <w:rPr>
                <w:sz w:val="17"/>
                <w:szCs w:val="17"/>
              </w:rPr>
              <w:t>005</w:t>
            </w:r>
          </w:p>
        </w:tc>
        <w:tc>
          <w:tcPr>
            <w:tcW w:w="453" w:type="dxa"/>
            <w:shd w:val="clear" w:color="auto" w:fill="auto"/>
            <w:noWrap/>
            <w:vAlign w:val="bottom"/>
            <w:hideMark/>
          </w:tcPr>
          <w:p w14:paraId="58029502" w14:textId="77777777" w:rsidR="002227E6" w:rsidRPr="008761E0" w:rsidRDefault="002227E6" w:rsidP="00356632">
            <w:pPr>
              <w:spacing w:before="40" w:after="40" w:line="220" w:lineRule="exact"/>
              <w:ind w:right="113"/>
              <w:jc w:val="right"/>
              <w:rPr>
                <w:sz w:val="17"/>
                <w:szCs w:val="17"/>
              </w:rPr>
            </w:pPr>
            <w:r w:rsidRPr="008761E0">
              <w:rPr>
                <w:sz w:val="17"/>
                <w:szCs w:val="17"/>
              </w:rPr>
              <w:t>81.8</w:t>
            </w:r>
          </w:p>
        </w:tc>
        <w:tc>
          <w:tcPr>
            <w:tcW w:w="907" w:type="dxa"/>
            <w:shd w:val="clear" w:color="auto" w:fill="auto"/>
            <w:noWrap/>
            <w:vAlign w:val="bottom"/>
            <w:hideMark/>
          </w:tcPr>
          <w:p w14:paraId="761B5773" w14:textId="425CEE1B" w:rsidR="002227E6" w:rsidRPr="008761E0" w:rsidRDefault="002227E6" w:rsidP="00356632">
            <w:pPr>
              <w:spacing w:before="40" w:after="40" w:line="220" w:lineRule="exact"/>
              <w:ind w:right="113"/>
              <w:jc w:val="right"/>
              <w:rPr>
                <w:sz w:val="17"/>
                <w:szCs w:val="17"/>
              </w:rPr>
            </w:pPr>
            <w:r w:rsidRPr="008761E0">
              <w:rPr>
                <w:sz w:val="17"/>
                <w:szCs w:val="17"/>
              </w:rPr>
              <w:t>3</w:t>
            </w:r>
            <w:r w:rsidR="00D41420" w:rsidRPr="008761E0">
              <w:rPr>
                <w:sz w:val="17"/>
                <w:szCs w:val="17"/>
              </w:rPr>
              <w:t xml:space="preserve"> </w:t>
            </w:r>
            <w:r w:rsidRPr="008761E0">
              <w:rPr>
                <w:sz w:val="17"/>
                <w:szCs w:val="17"/>
              </w:rPr>
              <w:t>728</w:t>
            </w:r>
            <w:r w:rsidR="00D41420" w:rsidRPr="008761E0">
              <w:rPr>
                <w:sz w:val="17"/>
                <w:szCs w:val="17"/>
              </w:rPr>
              <w:t xml:space="preserve"> </w:t>
            </w:r>
            <w:r w:rsidRPr="008761E0">
              <w:rPr>
                <w:sz w:val="17"/>
                <w:szCs w:val="17"/>
              </w:rPr>
              <w:t>827</w:t>
            </w:r>
          </w:p>
        </w:tc>
        <w:tc>
          <w:tcPr>
            <w:tcW w:w="992" w:type="dxa"/>
            <w:shd w:val="clear" w:color="auto" w:fill="auto"/>
            <w:noWrap/>
            <w:vAlign w:val="bottom"/>
            <w:hideMark/>
          </w:tcPr>
          <w:p w14:paraId="11F6D2F0" w14:textId="5C130BFF" w:rsidR="002227E6" w:rsidRPr="008761E0" w:rsidRDefault="002227E6" w:rsidP="00356632">
            <w:pPr>
              <w:spacing w:before="40" w:after="40" w:line="220" w:lineRule="exact"/>
              <w:ind w:right="113"/>
              <w:jc w:val="right"/>
              <w:rPr>
                <w:sz w:val="17"/>
                <w:szCs w:val="17"/>
              </w:rPr>
            </w:pPr>
            <w:r w:rsidRPr="008761E0">
              <w:rPr>
                <w:sz w:val="17"/>
                <w:szCs w:val="17"/>
              </w:rPr>
              <w:t>2</w:t>
            </w:r>
            <w:r w:rsidR="00D41420" w:rsidRPr="008761E0">
              <w:rPr>
                <w:sz w:val="17"/>
                <w:szCs w:val="17"/>
              </w:rPr>
              <w:t xml:space="preserve"> </w:t>
            </w:r>
            <w:r w:rsidRPr="008761E0">
              <w:rPr>
                <w:sz w:val="17"/>
                <w:szCs w:val="17"/>
              </w:rPr>
              <w:t>966</w:t>
            </w:r>
            <w:r w:rsidR="00D41420" w:rsidRPr="008761E0">
              <w:rPr>
                <w:sz w:val="17"/>
                <w:szCs w:val="17"/>
              </w:rPr>
              <w:t xml:space="preserve"> </w:t>
            </w:r>
            <w:r w:rsidRPr="008761E0">
              <w:rPr>
                <w:sz w:val="17"/>
                <w:szCs w:val="17"/>
              </w:rPr>
              <w:t>263</w:t>
            </w:r>
          </w:p>
        </w:tc>
        <w:tc>
          <w:tcPr>
            <w:tcW w:w="425" w:type="dxa"/>
            <w:shd w:val="clear" w:color="auto" w:fill="auto"/>
            <w:noWrap/>
            <w:vAlign w:val="bottom"/>
            <w:hideMark/>
          </w:tcPr>
          <w:p w14:paraId="4506F3EA" w14:textId="77777777" w:rsidR="002227E6" w:rsidRPr="008761E0" w:rsidRDefault="002227E6" w:rsidP="00356632">
            <w:pPr>
              <w:spacing w:before="40" w:after="40" w:line="220" w:lineRule="exact"/>
              <w:ind w:right="113"/>
              <w:jc w:val="right"/>
              <w:rPr>
                <w:sz w:val="17"/>
                <w:szCs w:val="17"/>
              </w:rPr>
            </w:pPr>
            <w:r w:rsidRPr="008761E0">
              <w:rPr>
                <w:sz w:val="17"/>
                <w:szCs w:val="17"/>
              </w:rPr>
              <w:t>79.5</w:t>
            </w:r>
          </w:p>
        </w:tc>
        <w:tc>
          <w:tcPr>
            <w:tcW w:w="964" w:type="dxa"/>
            <w:shd w:val="clear" w:color="auto" w:fill="auto"/>
            <w:noWrap/>
            <w:vAlign w:val="bottom"/>
            <w:hideMark/>
          </w:tcPr>
          <w:p w14:paraId="36C830B9" w14:textId="0BB614F8"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834</w:t>
            </w:r>
            <w:r w:rsidR="00D41420" w:rsidRPr="008761E0">
              <w:rPr>
                <w:sz w:val="17"/>
                <w:szCs w:val="17"/>
              </w:rPr>
              <w:t xml:space="preserve"> </w:t>
            </w:r>
            <w:r w:rsidRPr="008761E0">
              <w:rPr>
                <w:sz w:val="17"/>
                <w:szCs w:val="17"/>
              </w:rPr>
              <w:t>759</w:t>
            </w:r>
          </w:p>
        </w:tc>
        <w:tc>
          <w:tcPr>
            <w:tcW w:w="624" w:type="dxa"/>
            <w:shd w:val="clear" w:color="auto" w:fill="auto"/>
            <w:noWrap/>
            <w:vAlign w:val="bottom"/>
            <w:hideMark/>
          </w:tcPr>
          <w:p w14:paraId="39020572" w14:textId="77777777" w:rsidR="002227E6" w:rsidRPr="008761E0" w:rsidRDefault="002227E6" w:rsidP="00356632">
            <w:pPr>
              <w:spacing w:before="40" w:after="40" w:line="220" w:lineRule="exact"/>
              <w:ind w:right="113"/>
              <w:jc w:val="right"/>
              <w:rPr>
                <w:sz w:val="17"/>
                <w:szCs w:val="17"/>
              </w:rPr>
            </w:pPr>
            <w:r w:rsidRPr="008761E0">
              <w:rPr>
                <w:sz w:val="17"/>
                <w:szCs w:val="17"/>
              </w:rPr>
              <w:t>79.4</w:t>
            </w:r>
          </w:p>
        </w:tc>
      </w:tr>
      <w:tr w:rsidR="005705F1" w:rsidRPr="00356632" w14:paraId="52032FCE" w14:textId="77777777" w:rsidTr="005705F1">
        <w:trPr>
          <w:trHeight w:val="240"/>
        </w:trPr>
        <w:tc>
          <w:tcPr>
            <w:tcW w:w="1093" w:type="dxa"/>
            <w:shd w:val="clear" w:color="auto" w:fill="auto"/>
            <w:noWrap/>
            <w:hideMark/>
          </w:tcPr>
          <w:p w14:paraId="5F6A09CC" w14:textId="77777777" w:rsidR="002227E6" w:rsidRPr="008761E0" w:rsidRDefault="002227E6" w:rsidP="00356632">
            <w:pPr>
              <w:spacing w:before="40" w:after="40" w:line="220" w:lineRule="exact"/>
              <w:ind w:right="113"/>
              <w:rPr>
                <w:sz w:val="17"/>
                <w:szCs w:val="17"/>
              </w:rPr>
            </w:pPr>
            <w:r w:rsidRPr="008761E0">
              <w:rPr>
                <w:sz w:val="17"/>
                <w:szCs w:val="17"/>
              </w:rPr>
              <w:t>Sacaba</w:t>
            </w:r>
          </w:p>
        </w:tc>
        <w:tc>
          <w:tcPr>
            <w:tcW w:w="892" w:type="dxa"/>
            <w:shd w:val="clear" w:color="auto" w:fill="auto"/>
            <w:noWrap/>
            <w:vAlign w:val="bottom"/>
            <w:hideMark/>
          </w:tcPr>
          <w:p w14:paraId="0206B154" w14:textId="6D93F209" w:rsidR="002227E6" w:rsidRPr="008761E0" w:rsidRDefault="002227E6" w:rsidP="00356632">
            <w:pPr>
              <w:spacing w:before="40" w:after="40" w:line="220" w:lineRule="exact"/>
              <w:ind w:right="113"/>
              <w:jc w:val="right"/>
              <w:rPr>
                <w:sz w:val="17"/>
                <w:szCs w:val="17"/>
              </w:rPr>
            </w:pPr>
            <w:r w:rsidRPr="008761E0">
              <w:rPr>
                <w:sz w:val="17"/>
                <w:szCs w:val="17"/>
              </w:rPr>
              <w:t>486</w:t>
            </w:r>
            <w:r w:rsidR="00D41420" w:rsidRPr="008761E0">
              <w:rPr>
                <w:sz w:val="17"/>
                <w:szCs w:val="17"/>
              </w:rPr>
              <w:t xml:space="preserve"> </w:t>
            </w:r>
            <w:r w:rsidRPr="008761E0">
              <w:rPr>
                <w:sz w:val="17"/>
                <w:szCs w:val="17"/>
              </w:rPr>
              <w:t>440</w:t>
            </w:r>
          </w:p>
        </w:tc>
        <w:tc>
          <w:tcPr>
            <w:tcW w:w="907" w:type="dxa"/>
            <w:shd w:val="clear" w:color="auto" w:fill="auto"/>
            <w:noWrap/>
            <w:vAlign w:val="bottom"/>
            <w:hideMark/>
          </w:tcPr>
          <w:p w14:paraId="55CD8B4D" w14:textId="60EB4FE0" w:rsidR="002227E6" w:rsidRPr="008761E0" w:rsidRDefault="002227E6" w:rsidP="00356632">
            <w:pPr>
              <w:spacing w:before="40" w:after="40" w:line="220" w:lineRule="exact"/>
              <w:ind w:right="113"/>
              <w:jc w:val="right"/>
              <w:rPr>
                <w:sz w:val="17"/>
                <w:szCs w:val="17"/>
              </w:rPr>
            </w:pPr>
            <w:r w:rsidRPr="008761E0">
              <w:rPr>
                <w:sz w:val="17"/>
                <w:szCs w:val="17"/>
              </w:rPr>
              <w:t>339</w:t>
            </w:r>
            <w:r w:rsidR="00D41420" w:rsidRPr="008761E0">
              <w:rPr>
                <w:sz w:val="17"/>
                <w:szCs w:val="17"/>
              </w:rPr>
              <w:t xml:space="preserve"> </w:t>
            </w:r>
            <w:r w:rsidRPr="008761E0">
              <w:rPr>
                <w:sz w:val="17"/>
                <w:szCs w:val="17"/>
              </w:rPr>
              <w:t>325</w:t>
            </w:r>
          </w:p>
        </w:tc>
        <w:tc>
          <w:tcPr>
            <w:tcW w:w="447" w:type="dxa"/>
            <w:shd w:val="clear" w:color="auto" w:fill="auto"/>
            <w:noWrap/>
            <w:vAlign w:val="bottom"/>
            <w:hideMark/>
          </w:tcPr>
          <w:p w14:paraId="4965F41F" w14:textId="77777777" w:rsidR="002227E6" w:rsidRPr="008761E0" w:rsidRDefault="002227E6" w:rsidP="00356632">
            <w:pPr>
              <w:spacing w:before="40" w:after="40" w:line="220" w:lineRule="exact"/>
              <w:ind w:right="113"/>
              <w:jc w:val="right"/>
              <w:rPr>
                <w:sz w:val="17"/>
                <w:szCs w:val="17"/>
              </w:rPr>
            </w:pPr>
            <w:r w:rsidRPr="008761E0">
              <w:rPr>
                <w:sz w:val="17"/>
                <w:szCs w:val="17"/>
              </w:rPr>
              <w:t>69.8</w:t>
            </w:r>
          </w:p>
        </w:tc>
        <w:tc>
          <w:tcPr>
            <w:tcW w:w="924" w:type="dxa"/>
            <w:shd w:val="clear" w:color="auto" w:fill="auto"/>
            <w:noWrap/>
            <w:vAlign w:val="bottom"/>
            <w:hideMark/>
          </w:tcPr>
          <w:p w14:paraId="6753305C" w14:textId="5550AB22" w:rsidR="002227E6" w:rsidRPr="008761E0" w:rsidRDefault="002227E6" w:rsidP="00356632">
            <w:pPr>
              <w:spacing w:before="40" w:after="40" w:line="220" w:lineRule="exact"/>
              <w:ind w:right="113"/>
              <w:jc w:val="right"/>
              <w:rPr>
                <w:sz w:val="17"/>
                <w:szCs w:val="17"/>
              </w:rPr>
            </w:pPr>
            <w:r w:rsidRPr="008761E0">
              <w:rPr>
                <w:sz w:val="17"/>
                <w:szCs w:val="17"/>
              </w:rPr>
              <w:t>2</w:t>
            </w:r>
            <w:r w:rsidR="00D41420" w:rsidRPr="008761E0">
              <w:rPr>
                <w:sz w:val="17"/>
                <w:szCs w:val="17"/>
              </w:rPr>
              <w:t xml:space="preserve"> </w:t>
            </w:r>
            <w:r w:rsidRPr="008761E0">
              <w:rPr>
                <w:sz w:val="17"/>
                <w:szCs w:val="17"/>
              </w:rPr>
              <w:t>384</w:t>
            </w:r>
            <w:r w:rsidR="00D41420" w:rsidRPr="008761E0">
              <w:rPr>
                <w:sz w:val="17"/>
                <w:szCs w:val="17"/>
              </w:rPr>
              <w:t xml:space="preserve"> </w:t>
            </w:r>
            <w:r w:rsidRPr="008761E0">
              <w:rPr>
                <w:sz w:val="17"/>
                <w:szCs w:val="17"/>
              </w:rPr>
              <w:t>629</w:t>
            </w:r>
          </w:p>
        </w:tc>
        <w:tc>
          <w:tcPr>
            <w:tcW w:w="907" w:type="dxa"/>
            <w:shd w:val="clear" w:color="auto" w:fill="auto"/>
            <w:noWrap/>
            <w:vAlign w:val="bottom"/>
            <w:hideMark/>
          </w:tcPr>
          <w:p w14:paraId="7D733739" w14:textId="5B9C118A" w:rsidR="002227E6" w:rsidRPr="008761E0" w:rsidRDefault="002227E6" w:rsidP="00356632">
            <w:pPr>
              <w:spacing w:before="40" w:after="40" w:line="220" w:lineRule="exact"/>
              <w:ind w:right="113"/>
              <w:jc w:val="right"/>
              <w:rPr>
                <w:sz w:val="17"/>
                <w:szCs w:val="17"/>
              </w:rPr>
            </w:pPr>
            <w:r w:rsidRPr="008761E0">
              <w:rPr>
                <w:sz w:val="17"/>
                <w:szCs w:val="17"/>
              </w:rPr>
              <w:t>2</w:t>
            </w:r>
            <w:r w:rsidR="00D41420" w:rsidRPr="008761E0">
              <w:rPr>
                <w:sz w:val="17"/>
                <w:szCs w:val="17"/>
              </w:rPr>
              <w:t xml:space="preserve"> </w:t>
            </w:r>
            <w:r w:rsidRPr="008761E0">
              <w:rPr>
                <w:sz w:val="17"/>
                <w:szCs w:val="17"/>
              </w:rPr>
              <w:t>122</w:t>
            </w:r>
            <w:r w:rsidR="00D41420" w:rsidRPr="008761E0">
              <w:rPr>
                <w:sz w:val="17"/>
                <w:szCs w:val="17"/>
              </w:rPr>
              <w:t xml:space="preserve"> </w:t>
            </w:r>
            <w:r w:rsidRPr="008761E0">
              <w:rPr>
                <w:sz w:val="17"/>
                <w:szCs w:val="17"/>
              </w:rPr>
              <w:t>582</w:t>
            </w:r>
          </w:p>
        </w:tc>
        <w:tc>
          <w:tcPr>
            <w:tcW w:w="453" w:type="dxa"/>
            <w:shd w:val="clear" w:color="auto" w:fill="auto"/>
            <w:noWrap/>
            <w:vAlign w:val="bottom"/>
            <w:hideMark/>
          </w:tcPr>
          <w:p w14:paraId="481A84EF" w14:textId="77777777" w:rsidR="002227E6" w:rsidRPr="008761E0" w:rsidRDefault="002227E6" w:rsidP="00356632">
            <w:pPr>
              <w:spacing w:before="40" w:after="40" w:line="220" w:lineRule="exact"/>
              <w:ind w:right="113"/>
              <w:jc w:val="right"/>
              <w:rPr>
                <w:sz w:val="17"/>
                <w:szCs w:val="17"/>
              </w:rPr>
            </w:pPr>
            <w:r w:rsidRPr="008761E0">
              <w:rPr>
                <w:sz w:val="17"/>
                <w:szCs w:val="17"/>
              </w:rPr>
              <w:t>89.0</w:t>
            </w:r>
          </w:p>
        </w:tc>
        <w:tc>
          <w:tcPr>
            <w:tcW w:w="907" w:type="dxa"/>
            <w:shd w:val="clear" w:color="auto" w:fill="auto"/>
            <w:noWrap/>
            <w:vAlign w:val="bottom"/>
            <w:hideMark/>
          </w:tcPr>
          <w:p w14:paraId="3C6AAF26" w14:textId="4F668120" w:rsidR="002227E6" w:rsidRPr="008761E0" w:rsidRDefault="002227E6" w:rsidP="00356632">
            <w:pPr>
              <w:spacing w:before="40" w:after="40" w:line="220" w:lineRule="exact"/>
              <w:ind w:right="113"/>
              <w:jc w:val="right"/>
              <w:rPr>
                <w:sz w:val="17"/>
                <w:szCs w:val="17"/>
              </w:rPr>
            </w:pPr>
            <w:r w:rsidRPr="008761E0">
              <w:rPr>
                <w:sz w:val="17"/>
                <w:szCs w:val="17"/>
              </w:rPr>
              <w:t>3</w:t>
            </w:r>
            <w:r w:rsidR="00D41420" w:rsidRPr="008761E0">
              <w:rPr>
                <w:sz w:val="17"/>
                <w:szCs w:val="17"/>
              </w:rPr>
              <w:t xml:space="preserve"> </w:t>
            </w:r>
            <w:r w:rsidRPr="008761E0">
              <w:rPr>
                <w:sz w:val="17"/>
                <w:szCs w:val="17"/>
              </w:rPr>
              <w:t>170</w:t>
            </w:r>
            <w:r w:rsidR="00D41420" w:rsidRPr="008761E0">
              <w:rPr>
                <w:sz w:val="17"/>
                <w:szCs w:val="17"/>
              </w:rPr>
              <w:t xml:space="preserve"> </w:t>
            </w:r>
            <w:r w:rsidRPr="008761E0">
              <w:rPr>
                <w:sz w:val="17"/>
                <w:szCs w:val="17"/>
              </w:rPr>
              <w:t>063</w:t>
            </w:r>
          </w:p>
        </w:tc>
        <w:tc>
          <w:tcPr>
            <w:tcW w:w="992" w:type="dxa"/>
            <w:shd w:val="clear" w:color="auto" w:fill="auto"/>
            <w:noWrap/>
            <w:vAlign w:val="bottom"/>
            <w:hideMark/>
          </w:tcPr>
          <w:p w14:paraId="63CE14FA" w14:textId="3D0D6610"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700</w:t>
            </w:r>
            <w:r w:rsidR="00D41420" w:rsidRPr="008761E0">
              <w:rPr>
                <w:sz w:val="17"/>
                <w:szCs w:val="17"/>
              </w:rPr>
              <w:t xml:space="preserve"> </w:t>
            </w:r>
            <w:r w:rsidRPr="008761E0">
              <w:rPr>
                <w:sz w:val="17"/>
                <w:szCs w:val="17"/>
              </w:rPr>
              <w:t>141</w:t>
            </w:r>
          </w:p>
        </w:tc>
        <w:tc>
          <w:tcPr>
            <w:tcW w:w="425" w:type="dxa"/>
            <w:shd w:val="clear" w:color="auto" w:fill="auto"/>
            <w:noWrap/>
            <w:vAlign w:val="bottom"/>
            <w:hideMark/>
          </w:tcPr>
          <w:p w14:paraId="7407A24B" w14:textId="77777777" w:rsidR="002227E6" w:rsidRPr="008761E0" w:rsidRDefault="002227E6" w:rsidP="00356632">
            <w:pPr>
              <w:spacing w:before="40" w:after="40" w:line="220" w:lineRule="exact"/>
              <w:ind w:right="113"/>
              <w:jc w:val="right"/>
              <w:rPr>
                <w:sz w:val="17"/>
                <w:szCs w:val="17"/>
              </w:rPr>
            </w:pPr>
            <w:r w:rsidRPr="008761E0">
              <w:rPr>
                <w:sz w:val="17"/>
                <w:szCs w:val="17"/>
              </w:rPr>
              <w:t>53.6</w:t>
            </w:r>
          </w:p>
        </w:tc>
        <w:tc>
          <w:tcPr>
            <w:tcW w:w="964" w:type="dxa"/>
            <w:shd w:val="clear" w:color="auto" w:fill="auto"/>
            <w:noWrap/>
            <w:vAlign w:val="bottom"/>
            <w:hideMark/>
          </w:tcPr>
          <w:p w14:paraId="63EA1187" w14:textId="5D9AF4A2"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387</w:t>
            </w:r>
            <w:r w:rsidR="00D41420" w:rsidRPr="008761E0">
              <w:rPr>
                <w:sz w:val="17"/>
                <w:szCs w:val="17"/>
              </w:rPr>
              <w:t xml:space="preserve"> </w:t>
            </w:r>
            <w:r w:rsidRPr="008761E0">
              <w:rPr>
                <w:sz w:val="17"/>
                <w:szCs w:val="17"/>
              </w:rPr>
              <w:t>350</w:t>
            </w:r>
          </w:p>
        </w:tc>
        <w:tc>
          <w:tcPr>
            <w:tcW w:w="624" w:type="dxa"/>
            <w:shd w:val="clear" w:color="auto" w:fill="auto"/>
            <w:noWrap/>
            <w:vAlign w:val="bottom"/>
            <w:hideMark/>
          </w:tcPr>
          <w:p w14:paraId="25AF52AB" w14:textId="77777777" w:rsidR="002227E6" w:rsidRPr="008761E0" w:rsidRDefault="002227E6" w:rsidP="00356632">
            <w:pPr>
              <w:spacing w:before="40" w:after="40" w:line="220" w:lineRule="exact"/>
              <w:ind w:right="113"/>
              <w:jc w:val="right"/>
              <w:rPr>
                <w:sz w:val="17"/>
                <w:szCs w:val="17"/>
              </w:rPr>
            </w:pPr>
            <w:r w:rsidRPr="008761E0">
              <w:rPr>
                <w:sz w:val="17"/>
                <w:szCs w:val="17"/>
              </w:rPr>
              <w:t>70.8</w:t>
            </w:r>
          </w:p>
        </w:tc>
      </w:tr>
      <w:tr w:rsidR="005705F1" w:rsidRPr="00356632" w14:paraId="2565CDA5" w14:textId="77777777" w:rsidTr="005705F1">
        <w:trPr>
          <w:trHeight w:val="240"/>
        </w:trPr>
        <w:tc>
          <w:tcPr>
            <w:tcW w:w="1093" w:type="dxa"/>
            <w:shd w:val="clear" w:color="auto" w:fill="auto"/>
            <w:noWrap/>
            <w:hideMark/>
          </w:tcPr>
          <w:p w14:paraId="5F4DC8D3" w14:textId="77777777" w:rsidR="002227E6" w:rsidRPr="008761E0" w:rsidRDefault="002227E6" w:rsidP="00356632">
            <w:pPr>
              <w:spacing w:before="40" w:after="40" w:line="220" w:lineRule="exact"/>
              <w:ind w:right="113"/>
              <w:rPr>
                <w:sz w:val="17"/>
                <w:szCs w:val="17"/>
              </w:rPr>
            </w:pPr>
            <w:r w:rsidRPr="008761E0">
              <w:rPr>
                <w:sz w:val="17"/>
                <w:szCs w:val="17"/>
              </w:rPr>
              <w:t>Quillacollo</w:t>
            </w:r>
          </w:p>
        </w:tc>
        <w:tc>
          <w:tcPr>
            <w:tcW w:w="892" w:type="dxa"/>
            <w:shd w:val="clear" w:color="auto" w:fill="auto"/>
            <w:noWrap/>
            <w:vAlign w:val="bottom"/>
            <w:hideMark/>
          </w:tcPr>
          <w:p w14:paraId="461E426F" w14:textId="7EF9F389"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368</w:t>
            </w:r>
            <w:r w:rsidR="00D41420" w:rsidRPr="008761E0">
              <w:rPr>
                <w:sz w:val="17"/>
                <w:szCs w:val="17"/>
              </w:rPr>
              <w:t xml:space="preserve"> </w:t>
            </w:r>
            <w:r w:rsidRPr="008761E0">
              <w:rPr>
                <w:sz w:val="17"/>
                <w:szCs w:val="17"/>
              </w:rPr>
              <w:t>752</w:t>
            </w:r>
          </w:p>
        </w:tc>
        <w:tc>
          <w:tcPr>
            <w:tcW w:w="907" w:type="dxa"/>
            <w:shd w:val="clear" w:color="auto" w:fill="auto"/>
            <w:noWrap/>
            <w:vAlign w:val="bottom"/>
            <w:hideMark/>
          </w:tcPr>
          <w:p w14:paraId="11E778DD" w14:textId="083948EC"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206</w:t>
            </w:r>
            <w:r w:rsidR="00D41420" w:rsidRPr="008761E0">
              <w:rPr>
                <w:sz w:val="17"/>
                <w:szCs w:val="17"/>
              </w:rPr>
              <w:t xml:space="preserve"> </w:t>
            </w:r>
            <w:r w:rsidRPr="008761E0">
              <w:rPr>
                <w:sz w:val="17"/>
                <w:szCs w:val="17"/>
              </w:rPr>
              <w:t>347</w:t>
            </w:r>
          </w:p>
        </w:tc>
        <w:tc>
          <w:tcPr>
            <w:tcW w:w="447" w:type="dxa"/>
            <w:shd w:val="clear" w:color="auto" w:fill="auto"/>
            <w:noWrap/>
            <w:vAlign w:val="bottom"/>
            <w:hideMark/>
          </w:tcPr>
          <w:p w14:paraId="78147645" w14:textId="77777777" w:rsidR="002227E6" w:rsidRPr="008761E0" w:rsidRDefault="002227E6" w:rsidP="00356632">
            <w:pPr>
              <w:spacing w:before="40" w:after="40" w:line="220" w:lineRule="exact"/>
              <w:ind w:right="113"/>
              <w:jc w:val="right"/>
              <w:rPr>
                <w:sz w:val="17"/>
                <w:szCs w:val="17"/>
              </w:rPr>
            </w:pPr>
            <w:r w:rsidRPr="008761E0">
              <w:rPr>
                <w:sz w:val="17"/>
                <w:szCs w:val="17"/>
              </w:rPr>
              <w:t>88.1</w:t>
            </w:r>
          </w:p>
        </w:tc>
        <w:tc>
          <w:tcPr>
            <w:tcW w:w="924" w:type="dxa"/>
            <w:shd w:val="clear" w:color="auto" w:fill="auto"/>
            <w:noWrap/>
            <w:vAlign w:val="bottom"/>
            <w:hideMark/>
          </w:tcPr>
          <w:p w14:paraId="440A39EA" w14:textId="331466CC" w:rsidR="002227E6" w:rsidRPr="008761E0" w:rsidRDefault="002227E6" w:rsidP="00356632">
            <w:pPr>
              <w:spacing w:before="40" w:after="40" w:line="220" w:lineRule="exact"/>
              <w:ind w:right="113"/>
              <w:jc w:val="right"/>
              <w:rPr>
                <w:sz w:val="17"/>
                <w:szCs w:val="17"/>
              </w:rPr>
            </w:pPr>
            <w:r w:rsidRPr="008761E0">
              <w:rPr>
                <w:sz w:val="17"/>
                <w:szCs w:val="17"/>
              </w:rPr>
              <w:t>2</w:t>
            </w:r>
            <w:r w:rsidR="00D41420" w:rsidRPr="008761E0">
              <w:rPr>
                <w:sz w:val="17"/>
                <w:szCs w:val="17"/>
              </w:rPr>
              <w:t xml:space="preserve"> </w:t>
            </w:r>
            <w:r w:rsidRPr="008761E0">
              <w:rPr>
                <w:sz w:val="17"/>
                <w:szCs w:val="17"/>
              </w:rPr>
              <w:t>827</w:t>
            </w:r>
            <w:r w:rsidR="00D41420" w:rsidRPr="008761E0">
              <w:rPr>
                <w:sz w:val="17"/>
                <w:szCs w:val="17"/>
              </w:rPr>
              <w:t xml:space="preserve"> </w:t>
            </w:r>
            <w:r w:rsidRPr="008761E0">
              <w:rPr>
                <w:sz w:val="17"/>
                <w:szCs w:val="17"/>
              </w:rPr>
              <w:t>763</w:t>
            </w:r>
          </w:p>
        </w:tc>
        <w:tc>
          <w:tcPr>
            <w:tcW w:w="907" w:type="dxa"/>
            <w:shd w:val="clear" w:color="auto" w:fill="auto"/>
            <w:noWrap/>
            <w:vAlign w:val="bottom"/>
            <w:hideMark/>
          </w:tcPr>
          <w:p w14:paraId="575CA1CB" w14:textId="6F45B6FC" w:rsidR="002227E6" w:rsidRPr="008761E0" w:rsidRDefault="002227E6" w:rsidP="00356632">
            <w:pPr>
              <w:spacing w:before="40" w:after="40" w:line="220" w:lineRule="exact"/>
              <w:ind w:right="113"/>
              <w:jc w:val="right"/>
              <w:rPr>
                <w:sz w:val="17"/>
                <w:szCs w:val="17"/>
              </w:rPr>
            </w:pPr>
            <w:r w:rsidRPr="008761E0">
              <w:rPr>
                <w:sz w:val="17"/>
                <w:szCs w:val="17"/>
              </w:rPr>
              <w:t>2</w:t>
            </w:r>
            <w:r w:rsidR="00D41420" w:rsidRPr="008761E0">
              <w:rPr>
                <w:sz w:val="17"/>
                <w:szCs w:val="17"/>
              </w:rPr>
              <w:t xml:space="preserve"> </w:t>
            </w:r>
            <w:r w:rsidRPr="008761E0">
              <w:rPr>
                <w:sz w:val="17"/>
                <w:szCs w:val="17"/>
              </w:rPr>
              <w:t>150</w:t>
            </w:r>
            <w:r w:rsidR="00D41420" w:rsidRPr="008761E0">
              <w:rPr>
                <w:sz w:val="17"/>
                <w:szCs w:val="17"/>
              </w:rPr>
              <w:t xml:space="preserve"> </w:t>
            </w:r>
            <w:r w:rsidRPr="008761E0">
              <w:rPr>
                <w:sz w:val="17"/>
                <w:szCs w:val="17"/>
              </w:rPr>
              <w:t>864</w:t>
            </w:r>
          </w:p>
        </w:tc>
        <w:tc>
          <w:tcPr>
            <w:tcW w:w="453" w:type="dxa"/>
            <w:shd w:val="clear" w:color="auto" w:fill="auto"/>
            <w:noWrap/>
            <w:vAlign w:val="bottom"/>
            <w:hideMark/>
          </w:tcPr>
          <w:p w14:paraId="17B7D625" w14:textId="77777777" w:rsidR="002227E6" w:rsidRPr="008761E0" w:rsidRDefault="002227E6" w:rsidP="00356632">
            <w:pPr>
              <w:spacing w:before="40" w:after="40" w:line="220" w:lineRule="exact"/>
              <w:ind w:right="113"/>
              <w:jc w:val="right"/>
              <w:rPr>
                <w:sz w:val="17"/>
                <w:szCs w:val="17"/>
              </w:rPr>
            </w:pPr>
            <w:r w:rsidRPr="008761E0">
              <w:rPr>
                <w:sz w:val="17"/>
                <w:szCs w:val="17"/>
              </w:rPr>
              <w:t>76.1</w:t>
            </w:r>
          </w:p>
        </w:tc>
        <w:tc>
          <w:tcPr>
            <w:tcW w:w="907" w:type="dxa"/>
            <w:shd w:val="clear" w:color="auto" w:fill="auto"/>
            <w:noWrap/>
            <w:vAlign w:val="bottom"/>
            <w:hideMark/>
          </w:tcPr>
          <w:p w14:paraId="029F046A" w14:textId="1F1AA9BF" w:rsidR="002227E6" w:rsidRPr="008761E0" w:rsidRDefault="002227E6" w:rsidP="00356632">
            <w:pPr>
              <w:spacing w:before="40" w:after="40" w:line="220" w:lineRule="exact"/>
              <w:ind w:right="113"/>
              <w:jc w:val="right"/>
              <w:rPr>
                <w:sz w:val="17"/>
                <w:szCs w:val="17"/>
              </w:rPr>
            </w:pPr>
            <w:r w:rsidRPr="008761E0">
              <w:rPr>
                <w:sz w:val="17"/>
                <w:szCs w:val="17"/>
              </w:rPr>
              <w:t>2</w:t>
            </w:r>
            <w:r w:rsidR="00D41420" w:rsidRPr="008761E0">
              <w:rPr>
                <w:sz w:val="17"/>
                <w:szCs w:val="17"/>
              </w:rPr>
              <w:t xml:space="preserve"> </w:t>
            </w:r>
            <w:r w:rsidRPr="008761E0">
              <w:rPr>
                <w:sz w:val="17"/>
                <w:szCs w:val="17"/>
              </w:rPr>
              <w:t>535</w:t>
            </w:r>
            <w:r w:rsidR="00D41420" w:rsidRPr="008761E0">
              <w:rPr>
                <w:sz w:val="17"/>
                <w:szCs w:val="17"/>
              </w:rPr>
              <w:t xml:space="preserve"> </w:t>
            </w:r>
            <w:r w:rsidRPr="008761E0">
              <w:rPr>
                <w:sz w:val="17"/>
                <w:szCs w:val="17"/>
              </w:rPr>
              <w:t>241</w:t>
            </w:r>
          </w:p>
        </w:tc>
        <w:tc>
          <w:tcPr>
            <w:tcW w:w="992" w:type="dxa"/>
            <w:shd w:val="clear" w:color="auto" w:fill="auto"/>
            <w:noWrap/>
            <w:vAlign w:val="bottom"/>
            <w:hideMark/>
          </w:tcPr>
          <w:p w14:paraId="2979081D" w14:textId="25F91C27"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271</w:t>
            </w:r>
            <w:r w:rsidR="00D41420" w:rsidRPr="008761E0">
              <w:rPr>
                <w:sz w:val="17"/>
                <w:szCs w:val="17"/>
              </w:rPr>
              <w:t xml:space="preserve"> </w:t>
            </w:r>
            <w:r w:rsidRPr="008761E0">
              <w:rPr>
                <w:sz w:val="17"/>
                <w:szCs w:val="17"/>
              </w:rPr>
              <w:t>429</w:t>
            </w:r>
          </w:p>
        </w:tc>
        <w:tc>
          <w:tcPr>
            <w:tcW w:w="425" w:type="dxa"/>
            <w:shd w:val="clear" w:color="auto" w:fill="auto"/>
            <w:noWrap/>
            <w:vAlign w:val="bottom"/>
            <w:hideMark/>
          </w:tcPr>
          <w:p w14:paraId="2338FD75" w14:textId="77777777" w:rsidR="002227E6" w:rsidRPr="008761E0" w:rsidRDefault="002227E6" w:rsidP="00356632">
            <w:pPr>
              <w:spacing w:before="40" w:after="40" w:line="220" w:lineRule="exact"/>
              <w:ind w:right="113"/>
              <w:jc w:val="right"/>
              <w:rPr>
                <w:sz w:val="17"/>
                <w:szCs w:val="17"/>
              </w:rPr>
            </w:pPr>
            <w:r w:rsidRPr="008761E0">
              <w:rPr>
                <w:sz w:val="17"/>
                <w:szCs w:val="17"/>
              </w:rPr>
              <w:t>50.2</w:t>
            </w:r>
          </w:p>
        </w:tc>
        <w:tc>
          <w:tcPr>
            <w:tcW w:w="964" w:type="dxa"/>
            <w:shd w:val="clear" w:color="auto" w:fill="auto"/>
            <w:noWrap/>
            <w:vAlign w:val="bottom"/>
            <w:hideMark/>
          </w:tcPr>
          <w:p w14:paraId="5C602F78" w14:textId="63F6DFFF"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542</w:t>
            </w:r>
            <w:r w:rsidR="00D41420" w:rsidRPr="008761E0">
              <w:rPr>
                <w:sz w:val="17"/>
                <w:szCs w:val="17"/>
              </w:rPr>
              <w:t xml:space="preserve"> </w:t>
            </w:r>
            <w:r w:rsidRPr="008761E0">
              <w:rPr>
                <w:sz w:val="17"/>
                <w:szCs w:val="17"/>
              </w:rPr>
              <w:t>880</w:t>
            </w:r>
          </w:p>
        </w:tc>
        <w:tc>
          <w:tcPr>
            <w:tcW w:w="624" w:type="dxa"/>
            <w:shd w:val="clear" w:color="auto" w:fill="auto"/>
            <w:noWrap/>
            <w:vAlign w:val="bottom"/>
            <w:hideMark/>
          </w:tcPr>
          <w:p w14:paraId="7109F0BF" w14:textId="77777777" w:rsidR="002227E6" w:rsidRPr="008761E0" w:rsidRDefault="002227E6" w:rsidP="00356632">
            <w:pPr>
              <w:spacing w:before="40" w:after="40" w:line="220" w:lineRule="exact"/>
              <w:ind w:right="113"/>
              <w:jc w:val="right"/>
              <w:rPr>
                <w:sz w:val="17"/>
                <w:szCs w:val="17"/>
              </w:rPr>
            </w:pPr>
            <w:r w:rsidRPr="008761E0">
              <w:rPr>
                <w:sz w:val="17"/>
                <w:szCs w:val="17"/>
              </w:rPr>
              <w:t>71.4</w:t>
            </w:r>
          </w:p>
        </w:tc>
      </w:tr>
      <w:tr w:rsidR="005705F1" w:rsidRPr="00356632" w14:paraId="791AFAE5" w14:textId="77777777" w:rsidTr="005705F1">
        <w:trPr>
          <w:trHeight w:val="240"/>
        </w:trPr>
        <w:tc>
          <w:tcPr>
            <w:tcW w:w="1093" w:type="dxa"/>
            <w:shd w:val="clear" w:color="auto" w:fill="auto"/>
            <w:noWrap/>
            <w:hideMark/>
          </w:tcPr>
          <w:p w14:paraId="4D8EE8F7" w14:textId="77777777" w:rsidR="002227E6" w:rsidRPr="008761E0" w:rsidRDefault="002227E6" w:rsidP="00356632">
            <w:pPr>
              <w:spacing w:before="40" w:after="40" w:line="220" w:lineRule="exact"/>
              <w:ind w:right="113"/>
              <w:rPr>
                <w:sz w:val="17"/>
                <w:szCs w:val="17"/>
              </w:rPr>
            </w:pPr>
            <w:r w:rsidRPr="008761E0">
              <w:rPr>
                <w:sz w:val="17"/>
                <w:szCs w:val="17"/>
              </w:rPr>
              <w:t>Warnes</w:t>
            </w:r>
          </w:p>
        </w:tc>
        <w:tc>
          <w:tcPr>
            <w:tcW w:w="892" w:type="dxa"/>
            <w:shd w:val="clear" w:color="auto" w:fill="auto"/>
            <w:noWrap/>
            <w:vAlign w:val="bottom"/>
            <w:hideMark/>
          </w:tcPr>
          <w:p w14:paraId="7E8C2424" w14:textId="351337FF" w:rsidR="002227E6" w:rsidRPr="008761E0" w:rsidRDefault="002227E6" w:rsidP="00356632">
            <w:pPr>
              <w:spacing w:before="40" w:after="40" w:line="220" w:lineRule="exact"/>
              <w:ind w:right="113"/>
              <w:jc w:val="right"/>
              <w:rPr>
                <w:sz w:val="17"/>
                <w:szCs w:val="17"/>
              </w:rPr>
            </w:pPr>
            <w:r w:rsidRPr="008761E0">
              <w:rPr>
                <w:sz w:val="17"/>
                <w:szCs w:val="17"/>
              </w:rPr>
              <w:t>216</w:t>
            </w:r>
            <w:r w:rsidR="00D41420" w:rsidRPr="008761E0">
              <w:rPr>
                <w:sz w:val="17"/>
                <w:szCs w:val="17"/>
              </w:rPr>
              <w:t xml:space="preserve"> </w:t>
            </w:r>
            <w:r w:rsidRPr="008761E0">
              <w:rPr>
                <w:sz w:val="17"/>
                <w:szCs w:val="17"/>
              </w:rPr>
              <w:t>436</w:t>
            </w:r>
          </w:p>
        </w:tc>
        <w:tc>
          <w:tcPr>
            <w:tcW w:w="907" w:type="dxa"/>
            <w:shd w:val="clear" w:color="auto" w:fill="auto"/>
            <w:noWrap/>
            <w:vAlign w:val="bottom"/>
            <w:hideMark/>
          </w:tcPr>
          <w:p w14:paraId="6153862B" w14:textId="755E3D42" w:rsidR="002227E6" w:rsidRPr="008761E0" w:rsidRDefault="002227E6" w:rsidP="00356632">
            <w:pPr>
              <w:spacing w:before="40" w:after="40" w:line="220" w:lineRule="exact"/>
              <w:ind w:right="113"/>
              <w:jc w:val="right"/>
              <w:rPr>
                <w:sz w:val="17"/>
                <w:szCs w:val="17"/>
              </w:rPr>
            </w:pPr>
            <w:r w:rsidRPr="008761E0">
              <w:rPr>
                <w:sz w:val="17"/>
                <w:szCs w:val="17"/>
              </w:rPr>
              <w:t>30</w:t>
            </w:r>
            <w:r w:rsidR="00D41420" w:rsidRPr="008761E0">
              <w:rPr>
                <w:sz w:val="17"/>
                <w:szCs w:val="17"/>
              </w:rPr>
              <w:t xml:space="preserve"> </w:t>
            </w:r>
            <w:r w:rsidRPr="008761E0">
              <w:rPr>
                <w:sz w:val="17"/>
                <w:szCs w:val="17"/>
              </w:rPr>
              <w:t>000</w:t>
            </w:r>
          </w:p>
        </w:tc>
        <w:tc>
          <w:tcPr>
            <w:tcW w:w="447" w:type="dxa"/>
            <w:shd w:val="clear" w:color="auto" w:fill="auto"/>
            <w:noWrap/>
            <w:vAlign w:val="bottom"/>
            <w:hideMark/>
          </w:tcPr>
          <w:p w14:paraId="5C4EFAA8" w14:textId="77777777" w:rsidR="002227E6" w:rsidRPr="008761E0" w:rsidRDefault="002227E6" w:rsidP="00356632">
            <w:pPr>
              <w:spacing w:before="40" w:after="40" w:line="220" w:lineRule="exact"/>
              <w:ind w:right="113"/>
              <w:jc w:val="right"/>
              <w:rPr>
                <w:sz w:val="17"/>
                <w:szCs w:val="17"/>
              </w:rPr>
            </w:pPr>
            <w:r w:rsidRPr="008761E0">
              <w:rPr>
                <w:sz w:val="17"/>
                <w:szCs w:val="17"/>
              </w:rPr>
              <w:t>13.9</w:t>
            </w:r>
          </w:p>
        </w:tc>
        <w:tc>
          <w:tcPr>
            <w:tcW w:w="924" w:type="dxa"/>
            <w:shd w:val="clear" w:color="auto" w:fill="auto"/>
            <w:noWrap/>
            <w:vAlign w:val="bottom"/>
            <w:hideMark/>
          </w:tcPr>
          <w:p w14:paraId="5CF2F378" w14:textId="12946E4B" w:rsidR="002227E6" w:rsidRPr="008761E0" w:rsidRDefault="002227E6" w:rsidP="00356632">
            <w:pPr>
              <w:spacing w:before="40" w:after="40" w:line="220" w:lineRule="exact"/>
              <w:ind w:right="113"/>
              <w:jc w:val="right"/>
              <w:rPr>
                <w:sz w:val="17"/>
                <w:szCs w:val="17"/>
              </w:rPr>
            </w:pPr>
            <w:r w:rsidRPr="008761E0">
              <w:rPr>
                <w:sz w:val="17"/>
                <w:szCs w:val="17"/>
              </w:rPr>
              <w:t>413</w:t>
            </w:r>
            <w:r w:rsidR="00D41420" w:rsidRPr="008761E0">
              <w:rPr>
                <w:sz w:val="17"/>
                <w:szCs w:val="17"/>
              </w:rPr>
              <w:t xml:space="preserve"> </w:t>
            </w:r>
            <w:r w:rsidRPr="008761E0">
              <w:rPr>
                <w:sz w:val="17"/>
                <w:szCs w:val="17"/>
              </w:rPr>
              <w:t>579</w:t>
            </w:r>
          </w:p>
        </w:tc>
        <w:tc>
          <w:tcPr>
            <w:tcW w:w="907" w:type="dxa"/>
            <w:shd w:val="clear" w:color="auto" w:fill="auto"/>
            <w:noWrap/>
            <w:vAlign w:val="bottom"/>
            <w:hideMark/>
          </w:tcPr>
          <w:p w14:paraId="6F7326C5" w14:textId="42098D0A" w:rsidR="002227E6" w:rsidRPr="008761E0" w:rsidRDefault="002227E6" w:rsidP="00356632">
            <w:pPr>
              <w:spacing w:before="40" w:after="40" w:line="220" w:lineRule="exact"/>
              <w:ind w:right="113"/>
              <w:jc w:val="right"/>
              <w:rPr>
                <w:sz w:val="17"/>
                <w:szCs w:val="17"/>
              </w:rPr>
            </w:pPr>
            <w:r w:rsidRPr="008761E0">
              <w:rPr>
                <w:sz w:val="17"/>
                <w:szCs w:val="17"/>
              </w:rPr>
              <w:t>65</w:t>
            </w:r>
            <w:r w:rsidR="00D41420" w:rsidRPr="008761E0">
              <w:rPr>
                <w:sz w:val="17"/>
                <w:szCs w:val="17"/>
              </w:rPr>
              <w:t xml:space="preserve"> </w:t>
            </w:r>
            <w:r w:rsidRPr="008761E0">
              <w:rPr>
                <w:sz w:val="17"/>
                <w:szCs w:val="17"/>
              </w:rPr>
              <w:t>300</w:t>
            </w:r>
          </w:p>
        </w:tc>
        <w:tc>
          <w:tcPr>
            <w:tcW w:w="453" w:type="dxa"/>
            <w:shd w:val="clear" w:color="auto" w:fill="auto"/>
            <w:noWrap/>
            <w:vAlign w:val="bottom"/>
            <w:hideMark/>
          </w:tcPr>
          <w:p w14:paraId="2FA34E27" w14:textId="77777777" w:rsidR="002227E6" w:rsidRPr="008761E0" w:rsidRDefault="002227E6" w:rsidP="00356632">
            <w:pPr>
              <w:spacing w:before="40" w:after="40" w:line="220" w:lineRule="exact"/>
              <w:ind w:right="113"/>
              <w:jc w:val="right"/>
              <w:rPr>
                <w:sz w:val="17"/>
                <w:szCs w:val="17"/>
              </w:rPr>
            </w:pPr>
            <w:r w:rsidRPr="008761E0">
              <w:rPr>
                <w:sz w:val="17"/>
                <w:szCs w:val="17"/>
              </w:rPr>
              <w:t>15.8</w:t>
            </w:r>
          </w:p>
        </w:tc>
        <w:tc>
          <w:tcPr>
            <w:tcW w:w="907" w:type="dxa"/>
            <w:shd w:val="clear" w:color="auto" w:fill="auto"/>
            <w:noWrap/>
            <w:vAlign w:val="bottom"/>
            <w:hideMark/>
          </w:tcPr>
          <w:p w14:paraId="26F9E7F1" w14:textId="27AE79F4" w:rsidR="002227E6" w:rsidRPr="008761E0" w:rsidRDefault="002227E6" w:rsidP="00356632">
            <w:pPr>
              <w:spacing w:before="40" w:after="40" w:line="220" w:lineRule="exact"/>
              <w:ind w:right="113"/>
              <w:jc w:val="right"/>
              <w:rPr>
                <w:sz w:val="17"/>
                <w:szCs w:val="17"/>
              </w:rPr>
            </w:pPr>
            <w:r w:rsidRPr="008761E0">
              <w:rPr>
                <w:sz w:val="17"/>
                <w:szCs w:val="17"/>
              </w:rPr>
              <w:t>905</w:t>
            </w:r>
            <w:r w:rsidR="00D41420" w:rsidRPr="008761E0">
              <w:rPr>
                <w:sz w:val="17"/>
                <w:szCs w:val="17"/>
              </w:rPr>
              <w:t xml:space="preserve"> </w:t>
            </w:r>
            <w:r w:rsidRPr="008761E0">
              <w:rPr>
                <w:sz w:val="17"/>
                <w:szCs w:val="17"/>
              </w:rPr>
              <w:t>542</w:t>
            </w:r>
          </w:p>
        </w:tc>
        <w:tc>
          <w:tcPr>
            <w:tcW w:w="992" w:type="dxa"/>
            <w:shd w:val="clear" w:color="auto" w:fill="auto"/>
            <w:noWrap/>
            <w:vAlign w:val="bottom"/>
            <w:hideMark/>
          </w:tcPr>
          <w:p w14:paraId="5C43BDC0" w14:textId="0D550390" w:rsidR="002227E6" w:rsidRPr="008761E0" w:rsidRDefault="002227E6" w:rsidP="00356632">
            <w:pPr>
              <w:spacing w:before="40" w:after="40" w:line="220" w:lineRule="exact"/>
              <w:ind w:right="113"/>
              <w:jc w:val="right"/>
              <w:rPr>
                <w:sz w:val="17"/>
                <w:szCs w:val="17"/>
              </w:rPr>
            </w:pPr>
            <w:r w:rsidRPr="008761E0">
              <w:rPr>
                <w:sz w:val="17"/>
                <w:szCs w:val="17"/>
              </w:rPr>
              <w:t>219</w:t>
            </w:r>
            <w:r w:rsidR="00D41420" w:rsidRPr="008761E0">
              <w:rPr>
                <w:sz w:val="17"/>
                <w:szCs w:val="17"/>
              </w:rPr>
              <w:t xml:space="preserve"> </w:t>
            </w:r>
            <w:r w:rsidRPr="008761E0">
              <w:rPr>
                <w:sz w:val="17"/>
                <w:szCs w:val="17"/>
              </w:rPr>
              <w:t>644</w:t>
            </w:r>
          </w:p>
        </w:tc>
        <w:tc>
          <w:tcPr>
            <w:tcW w:w="425" w:type="dxa"/>
            <w:shd w:val="clear" w:color="auto" w:fill="auto"/>
            <w:noWrap/>
            <w:vAlign w:val="bottom"/>
            <w:hideMark/>
          </w:tcPr>
          <w:p w14:paraId="2DD3473E" w14:textId="77777777" w:rsidR="002227E6" w:rsidRPr="008761E0" w:rsidRDefault="002227E6" w:rsidP="00356632">
            <w:pPr>
              <w:spacing w:before="40" w:after="40" w:line="220" w:lineRule="exact"/>
              <w:ind w:right="113"/>
              <w:jc w:val="right"/>
              <w:rPr>
                <w:sz w:val="17"/>
                <w:szCs w:val="17"/>
              </w:rPr>
            </w:pPr>
            <w:r w:rsidRPr="008761E0">
              <w:rPr>
                <w:sz w:val="17"/>
                <w:szCs w:val="17"/>
              </w:rPr>
              <w:t>24.3</w:t>
            </w:r>
          </w:p>
        </w:tc>
        <w:tc>
          <w:tcPr>
            <w:tcW w:w="964" w:type="dxa"/>
            <w:shd w:val="clear" w:color="auto" w:fill="auto"/>
            <w:noWrap/>
            <w:vAlign w:val="bottom"/>
            <w:hideMark/>
          </w:tcPr>
          <w:p w14:paraId="1D60DCDC" w14:textId="039E0E63" w:rsidR="002227E6" w:rsidRPr="008761E0" w:rsidRDefault="002227E6" w:rsidP="00356632">
            <w:pPr>
              <w:spacing w:before="40" w:after="40" w:line="220" w:lineRule="exact"/>
              <w:ind w:right="113"/>
              <w:jc w:val="right"/>
              <w:rPr>
                <w:sz w:val="17"/>
                <w:szCs w:val="17"/>
              </w:rPr>
            </w:pPr>
            <w:r w:rsidRPr="008761E0">
              <w:rPr>
                <w:sz w:val="17"/>
                <w:szCs w:val="17"/>
              </w:rPr>
              <w:t>104</w:t>
            </w:r>
            <w:r w:rsidR="00D41420" w:rsidRPr="008761E0">
              <w:rPr>
                <w:sz w:val="17"/>
                <w:szCs w:val="17"/>
              </w:rPr>
              <w:t xml:space="preserve"> </w:t>
            </w:r>
            <w:r w:rsidRPr="008761E0">
              <w:rPr>
                <w:sz w:val="17"/>
                <w:szCs w:val="17"/>
              </w:rPr>
              <w:t>981</w:t>
            </w:r>
          </w:p>
        </w:tc>
        <w:tc>
          <w:tcPr>
            <w:tcW w:w="624" w:type="dxa"/>
            <w:shd w:val="clear" w:color="auto" w:fill="auto"/>
            <w:noWrap/>
            <w:vAlign w:val="bottom"/>
            <w:hideMark/>
          </w:tcPr>
          <w:p w14:paraId="28059467" w14:textId="77777777" w:rsidR="002227E6" w:rsidRPr="008761E0" w:rsidRDefault="002227E6" w:rsidP="00356632">
            <w:pPr>
              <w:spacing w:before="40" w:after="40" w:line="220" w:lineRule="exact"/>
              <w:ind w:right="113"/>
              <w:jc w:val="right"/>
              <w:rPr>
                <w:sz w:val="17"/>
                <w:szCs w:val="17"/>
              </w:rPr>
            </w:pPr>
            <w:r w:rsidRPr="008761E0">
              <w:rPr>
                <w:sz w:val="17"/>
                <w:szCs w:val="17"/>
              </w:rPr>
              <w:t>18.0</w:t>
            </w:r>
          </w:p>
        </w:tc>
      </w:tr>
      <w:tr w:rsidR="005705F1" w:rsidRPr="00356632" w14:paraId="18891BEC" w14:textId="77777777" w:rsidTr="005705F1">
        <w:trPr>
          <w:trHeight w:val="240"/>
        </w:trPr>
        <w:tc>
          <w:tcPr>
            <w:tcW w:w="1093" w:type="dxa"/>
            <w:shd w:val="clear" w:color="auto" w:fill="auto"/>
            <w:noWrap/>
            <w:hideMark/>
          </w:tcPr>
          <w:p w14:paraId="1B182E56" w14:textId="77777777" w:rsidR="002227E6" w:rsidRPr="008761E0" w:rsidRDefault="002227E6" w:rsidP="00356632">
            <w:pPr>
              <w:spacing w:before="40" w:after="40" w:line="220" w:lineRule="exact"/>
              <w:ind w:right="113"/>
              <w:rPr>
                <w:sz w:val="17"/>
                <w:szCs w:val="17"/>
              </w:rPr>
            </w:pPr>
            <w:r w:rsidRPr="008761E0">
              <w:rPr>
                <w:sz w:val="17"/>
                <w:szCs w:val="17"/>
              </w:rPr>
              <w:t>La Guardia</w:t>
            </w:r>
          </w:p>
        </w:tc>
        <w:tc>
          <w:tcPr>
            <w:tcW w:w="892" w:type="dxa"/>
            <w:shd w:val="clear" w:color="auto" w:fill="auto"/>
            <w:noWrap/>
            <w:vAlign w:val="bottom"/>
            <w:hideMark/>
          </w:tcPr>
          <w:p w14:paraId="09B6588F" w14:textId="0616EA61" w:rsidR="002227E6" w:rsidRPr="008761E0" w:rsidRDefault="002227E6" w:rsidP="00356632">
            <w:pPr>
              <w:spacing w:before="40" w:after="40" w:line="220" w:lineRule="exact"/>
              <w:ind w:right="113"/>
              <w:jc w:val="right"/>
              <w:rPr>
                <w:sz w:val="17"/>
                <w:szCs w:val="17"/>
              </w:rPr>
            </w:pPr>
            <w:r w:rsidRPr="008761E0">
              <w:rPr>
                <w:sz w:val="17"/>
                <w:szCs w:val="17"/>
              </w:rPr>
              <w:t>343</w:t>
            </w:r>
            <w:r w:rsidR="00D41420" w:rsidRPr="008761E0">
              <w:rPr>
                <w:sz w:val="17"/>
                <w:szCs w:val="17"/>
              </w:rPr>
              <w:t xml:space="preserve"> </w:t>
            </w:r>
            <w:r w:rsidRPr="008761E0">
              <w:rPr>
                <w:sz w:val="17"/>
                <w:szCs w:val="17"/>
              </w:rPr>
              <w:t>636</w:t>
            </w:r>
          </w:p>
        </w:tc>
        <w:tc>
          <w:tcPr>
            <w:tcW w:w="907" w:type="dxa"/>
            <w:shd w:val="clear" w:color="auto" w:fill="auto"/>
            <w:noWrap/>
            <w:vAlign w:val="bottom"/>
            <w:hideMark/>
          </w:tcPr>
          <w:p w14:paraId="33702C15" w14:textId="4753088D" w:rsidR="002227E6" w:rsidRPr="008761E0" w:rsidRDefault="002227E6" w:rsidP="00356632">
            <w:pPr>
              <w:spacing w:before="40" w:after="40" w:line="220" w:lineRule="exact"/>
              <w:ind w:right="113"/>
              <w:jc w:val="right"/>
              <w:rPr>
                <w:sz w:val="17"/>
                <w:szCs w:val="17"/>
              </w:rPr>
            </w:pPr>
            <w:r w:rsidRPr="008761E0">
              <w:rPr>
                <w:sz w:val="17"/>
                <w:szCs w:val="17"/>
              </w:rPr>
              <w:t>230</w:t>
            </w:r>
            <w:r w:rsidR="00D41420" w:rsidRPr="008761E0">
              <w:rPr>
                <w:sz w:val="17"/>
                <w:szCs w:val="17"/>
              </w:rPr>
              <w:t xml:space="preserve"> </w:t>
            </w:r>
            <w:r w:rsidRPr="008761E0">
              <w:rPr>
                <w:sz w:val="17"/>
                <w:szCs w:val="17"/>
              </w:rPr>
              <w:t>939</w:t>
            </w:r>
          </w:p>
        </w:tc>
        <w:tc>
          <w:tcPr>
            <w:tcW w:w="447" w:type="dxa"/>
            <w:shd w:val="clear" w:color="auto" w:fill="auto"/>
            <w:noWrap/>
            <w:vAlign w:val="bottom"/>
            <w:hideMark/>
          </w:tcPr>
          <w:p w14:paraId="7157FC11" w14:textId="77777777" w:rsidR="002227E6" w:rsidRPr="008761E0" w:rsidRDefault="002227E6" w:rsidP="00356632">
            <w:pPr>
              <w:spacing w:before="40" w:after="40" w:line="220" w:lineRule="exact"/>
              <w:ind w:right="113"/>
              <w:jc w:val="right"/>
              <w:rPr>
                <w:sz w:val="17"/>
                <w:szCs w:val="17"/>
              </w:rPr>
            </w:pPr>
            <w:r w:rsidRPr="008761E0">
              <w:rPr>
                <w:sz w:val="17"/>
                <w:szCs w:val="17"/>
              </w:rPr>
              <w:t>67.2</w:t>
            </w:r>
          </w:p>
        </w:tc>
        <w:tc>
          <w:tcPr>
            <w:tcW w:w="924" w:type="dxa"/>
            <w:shd w:val="clear" w:color="auto" w:fill="auto"/>
            <w:noWrap/>
            <w:vAlign w:val="bottom"/>
            <w:hideMark/>
          </w:tcPr>
          <w:p w14:paraId="576DFB3B" w14:textId="5C53859A" w:rsidR="002227E6" w:rsidRPr="008761E0" w:rsidRDefault="002227E6" w:rsidP="00356632">
            <w:pPr>
              <w:spacing w:before="40" w:after="40" w:line="220" w:lineRule="exact"/>
              <w:ind w:right="113"/>
              <w:jc w:val="right"/>
              <w:rPr>
                <w:sz w:val="17"/>
                <w:szCs w:val="17"/>
              </w:rPr>
            </w:pPr>
            <w:r w:rsidRPr="008761E0">
              <w:rPr>
                <w:sz w:val="17"/>
                <w:szCs w:val="17"/>
              </w:rPr>
              <w:t>3</w:t>
            </w:r>
            <w:r w:rsidR="00D41420" w:rsidRPr="008761E0">
              <w:rPr>
                <w:sz w:val="17"/>
                <w:szCs w:val="17"/>
              </w:rPr>
              <w:t xml:space="preserve"> </w:t>
            </w:r>
            <w:r w:rsidRPr="008761E0">
              <w:rPr>
                <w:sz w:val="17"/>
                <w:szCs w:val="17"/>
              </w:rPr>
              <w:t>281</w:t>
            </w:r>
            <w:r w:rsidR="00D41420" w:rsidRPr="008761E0">
              <w:rPr>
                <w:sz w:val="17"/>
                <w:szCs w:val="17"/>
              </w:rPr>
              <w:t xml:space="preserve"> </w:t>
            </w:r>
            <w:r w:rsidRPr="008761E0">
              <w:rPr>
                <w:sz w:val="17"/>
                <w:szCs w:val="17"/>
              </w:rPr>
              <w:t>639</w:t>
            </w:r>
          </w:p>
        </w:tc>
        <w:tc>
          <w:tcPr>
            <w:tcW w:w="907" w:type="dxa"/>
            <w:shd w:val="clear" w:color="auto" w:fill="auto"/>
            <w:noWrap/>
            <w:vAlign w:val="bottom"/>
            <w:hideMark/>
          </w:tcPr>
          <w:p w14:paraId="314BE55E" w14:textId="66E773DE"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702</w:t>
            </w:r>
            <w:r w:rsidR="00D41420" w:rsidRPr="008761E0">
              <w:rPr>
                <w:sz w:val="17"/>
                <w:szCs w:val="17"/>
              </w:rPr>
              <w:t xml:space="preserve"> </w:t>
            </w:r>
            <w:r w:rsidRPr="008761E0">
              <w:rPr>
                <w:sz w:val="17"/>
                <w:szCs w:val="17"/>
              </w:rPr>
              <w:t>262</w:t>
            </w:r>
          </w:p>
        </w:tc>
        <w:tc>
          <w:tcPr>
            <w:tcW w:w="453" w:type="dxa"/>
            <w:shd w:val="clear" w:color="auto" w:fill="auto"/>
            <w:noWrap/>
            <w:vAlign w:val="bottom"/>
            <w:hideMark/>
          </w:tcPr>
          <w:p w14:paraId="47AB264F" w14:textId="77777777" w:rsidR="002227E6" w:rsidRPr="008761E0" w:rsidRDefault="002227E6" w:rsidP="00356632">
            <w:pPr>
              <w:spacing w:before="40" w:after="40" w:line="220" w:lineRule="exact"/>
              <w:ind w:right="113"/>
              <w:jc w:val="right"/>
              <w:rPr>
                <w:sz w:val="17"/>
                <w:szCs w:val="17"/>
              </w:rPr>
            </w:pPr>
            <w:r w:rsidRPr="008761E0">
              <w:rPr>
                <w:sz w:val="17"/>
                <w:szCs w:val="17"/>
              </w:rPr>
              <w:t>51.9</w:t>
            </w:r>
          </w:p>
        </w:tc>
        <w:tc>
          <w:tcPr>
            <w:tcW w:w="907" w:type="dxa"/>
            <w:shd w:val="clear" w:color="auto" w:fill="auto"/>
            <w:noWrap/>
            <w:vAlign w:val="bottom"/>
            <w:hideMark/>
          </w:tcPr>
          <w:p w14:paraId="0BE97267" w14:textId="19EB624A" w:rsidR="002227E6" w:rsidRPr="008761E0" w:rsidRDefault="002227E6" w:rsidP="00356632">
            <w:pPr>
              <w:spacing w:before="40" w:after="40" w:line="220" w:lineRule="exact"/>
              <w:ind w:right="113"/>
              <w:jc w:val="right"/>
              <w:rPr>
                <w:sz w:val="17"/>
                <w:szCs w:val="17"/>
              </w:rPr>
            </w:pPr>
            <w:r w:rsidRPr="008761E0">
              <w:rPr>
                <w:sz w:val="17"/>
                <w:szCs w:val="17"/>
              </w:rPr>
              <w:t>3</w:t>
            </w:r>
            <w:r w:rsidR="00D41420" w:rsidRPr="008761E0">
              <w:rPr>
                <w:sz w:val="17"/>
                <w:szCs w:val="17"/>
              </w:rPr>
              <w:t xml:space="preserve"> </w:t>
            </w:r>
            <w:r w:rsidRPr="008761E0">
              <w:rPr>
                <w:sz w:val="17"/>
                <w:szCs w:val="17"/>
              </w:rPr>
              <w:t>535</w:t>
            </w:r>
            <w:r w:rsidR="00D41420" w:rsidRPr="008761E0">
              <w:rPr>
                <w:sz w:val="17"/>
                <w:szCs w:val="17"/>
              </w:rPr>
              <w:t xml:space="preserve"> </w:t>
            </w:r>
            <w:r w:rsidRPr="008761E0">
              <w:rPr>
                <w:sz w:val="17"/>
                <w:szCs w:val="17"/>
              </w:rPr>
              <w:t>843</w:t>
            </w:r>
          </w:p>
        </w:tc>
        <w:tc>
          <w:tcPr>
            <w:tcW w:w="992" w:type="dxa"/>
            <w:shd w:val="clear" w:color="auto" w:fill="auto"/>
            <w:noWrap/>
            <w:vAlign w:val="bottom"/>
            <w:hideMark/>
          </w:tcPr>
          <w:p w14:paraId="15D69AC2" w14:textId="4039222C"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680</w:t>
            </w:r>
            <w:r w:rsidR="00D41420" w:rsidRPr="008761E0">
              <w:rPr>
                <w:sz w:val="17"/>
                <w:szCs w:val="17"/>
              </w:rPr>
              <w:t xml:space="preserve"> </w:t>
            </w:r>
            <w:r w:rsidRPr="008761E0">
              <w:rPr>
                <w:sz w:val="17"/>
                <w:szCs w:val="17"/>
              </w:rPr>
              <w:t>100</w:t>
            </w:r>
          </w:p>
        </w:tc>
        <w:tc>
          <w:tcPr>
            <w:tcW w:w="425" w:type="dxa"/>
            <w:shd w:val="clear" w:color="auto" w:fill="auto"/>
            <w:noWrap/>
            <w:vAlign w:val="bottom"/>
            <w:hideMark/>
          </w:tcPr>
          <w:p w14:paraId="64FBC6F0" w14:textId="77777777" w:rsidR="002227E6" w:rsidRPr="008761E0" w:rsidRDefault="002227E6" w:rsidP="00356632">
            <w:pPr>
              <w:spacing w:before="40" w:after="40" w:line="220" w:lineRule="exact"/>
              <w:ind w:right="113"/>
              <w:jc w:val="right"/>
              <w:rPr>
                <w:sz w:val="17"/>
                <w:szCs w:val="17"/>
              </w:rPr>
            </w:pPr>
            <w:r w:rsidRPr="008761E0">
              <w:rPr>
                <w:sz w:val="17"/>
                <w:szCs w:val="17"/>
              </w:rPr>
              <w:t>47.5</w:t>
            </w:r>
          </w:p>
        </w:tc>
        <w:tc>
          <w:tcPr>
            <w:tcW w:w="964" w:type="dxa"/>
            <w:shd w:val="clear" w:color="auto" w:fill="auto"/>
            <w:noWrap/>
            <w:vAlign w:val="bottom"/>
            <w:hideMark/>
          </w:tcPr>
          <w:p w14:paraId="2A0BC373" w14:textId="0000104F"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204</w:t>
            </w:r>
            <w:r w:rsidR="00D41420" w:rsidRPr="008761E0">
              <w:rPr>
                <w:sz w:val="17"/>
                <w:szCs w:val="17"/>
              </w:rPr>
              <w:t xml:space="preserve"> </w:t>
            </w:r>
            <w:r w:rsidRPr="008761E0">
              <w:rPr>
                <w:sz w:val="17"/>
                <w:szCs w:val="17"/>
              </w:rPr>
              <w:t>434</w:t>
            </w:r>
          </w:p>
        </w:tc>
        <w:tc>
          <w:tcPr>
            <w:tcW w:w="624" w:type="dxa"/>
            <w:shd w:val="clear" w:color="auto" w:fill="auto"/>
            <w:noWrap/>
            <w:vAlign w:val="bottom"/>
            <w:hideMark/>
          </w:tcPr>
          <w:p w14:paraId="2055D996" w14:textId="77777777" w:rsidR="002227E6" w:rsidRPr="008761E0" w:rsidRDefault="002227E6" w:rsidP="00356632">
            <w:pPr>
              <w:spacing w:before="40" w:after="40" w:line="220" w:lineRule="exact"/>
              <w:ind w:right="113"/>
              <w:jc w:val="right"/>
              <w:rPr>
                <w:sz w:val="17"/>
                <w:szCs w:val="17"/>
              </w:rPr>
            </w:pPr>
            <w:r w:rsidRPr="008761E0">
              <w:rPr>
                <w:sz w:val="17"/>
                <w:szCs w:val="17"/>
              </w:rPr>
              <w:t>55.5</w:t>
            </w:r>
          </w:p>
        </w:tc>
      </w:tr>
      <w:tr w:rsidR="005705F1" w:rsidRPr="00356632" w14:paraId="6239B017" w14:textId="77777777" w:rsidTr="005705F1">
        <w:trPr>
          <w:trHeight w:val="240"/>
        </w:trPr>
        <w:tc>
          <w:tcPr>
            <w:tcW w:w="1093" w:type="dxa"/>
            <w:shd w:val="clear" w:color="auto" w:fill="auto"/>
            <w:noWrap/>
            <w:hideMark/>
          </w:tcPr>
          <w:p w14:paraId="5F00EAB3" w14:textId="77777777" w:rsidR="002227E6" w:rsidRPr="008761E0" w:rsidRDefault="002227E6" w:rsidP="00356632">
            <w:pPr>
              <w:spacing w:before="40" w:after="40" w:line="220" w:lineRule="exact"/>
              <w:ind w:right="113"/>
              <w:rPr>
                <w:sz w:val="17"/>
                <w:szCs w:val="17"/>
              </w:rPr>
            </w:pPr>
            <w:r w:rsidRPr="008761E0">
              <w:rPr>
                <w:sz w:val="17"/>
                <w:szCs w:val="17"/>
              </w:rPr>
              <w:t>Montero</w:t>
            </w:r>
          </w:p>
        </w:tc>
        <w:tc>
          <w:tcPr>
            <w:tcW w:w="892" w:type="dxa"/>
            <w:shd w:val="clear" w:color="auto" w:fill="auto"/>
            <w:noWrap/>
            <w:vAlign w:val="bottom"/>
            <w:hideMark/>
          </w:tcPr>
          <w:p w14:paraId="4138B72F" w14:textId="15A66762" w:rsidR="002227E6" w:rsidRPr="008761E0" w:rsidRDefault="002227E6" w:rsidP="00356632">
            <w:pPr>
              <w:spacing w:before="40" w:after="40" w:line="220" w:lineRule="exact"/>
              <w:ind w:right="113"/>
              <w:jc w:val="right"/>
              <w:rPr>
                <w:sz w:val="17"/>
                <w:szCs w:val="17"/>
              </w:rPr>
            </w:pPr>
            <w:r w:rsidRPr="008761E0">
              <w:rPr>
                <w:sz w:val="17"/>
                <w:szCs w:val="17"/>
              </w:rPr>
              <w:t>120</w:t>
            </w:r>
            <w:r w:rsidR="00D41420" w:rsidRPr="008761E0">
              <w:rPr>
                <w:sz w:val="17"/>
                <w:szCs w:val="17"/>
              </w:rPr>
              <w:t xml:space="preserve"> </w:t>
            </w:r>
            <w:r w:rsidRPr="008761E0">
              <w:rPr>
                <w:sz w:val="17"/>
                <w:szCs w:val="17"/>
              </w:rPr>
              <w:t>752</w:t>
            </w:r>
          </w:p>
        </w:tc>
        <w:tc>
          <w:tcPr>
            <w:tcW w:w="907" w:type="dxa"/>
            <w:shd w:val="clear" w:color="auto" w:fill="auto"/>
            <w:noWrap/>
            <w:vAlign w:val="bottom"/>
            <w:hideMark/>
          </w:tcPr>
          <w:p w14:paraId="37D85DF7" w14:textId="38A89874" w:rsidR="002227E6" w:rsidRPr="008761E0" w:rsidRDefault="002227E6" w:rsidP="00356632">
            <w:pPr>
              <w:spacing w:before="40" w:after="40" w:line="220" w:lineRule="exact"/>
              <w:ind w:right="113"/>
              <w:jc w:val="right"/>
              <w:rPr>
                <w:sz w:val="17"/>
                <w:szCs w:val="17"/>
              </w:rPr>
            </w:pPr>
            <w:r w:rsidRPr="008761E0">
              <w:rPr>
                <w:sz w:val="17"/>
                <w:szCs w:val="17"/>
              </w:rPr>
              <w:t>101</w:t>
            </w:r>
            <w:r w:rsidR="00D41420" w:rsidRPr="008761E0">
              <w:rPr>
                <w:sz w:val="17"/>
                <w:szCs w:val="17"/>
              </w:rPr>
              <w:t xml:space="preserve"> </w:t>
            </w:r>
            <w:r w:rsidRPr="008761E0">
              <w:rPr>
                <w:sz w:val="17"/>
                <w:szCs w:val="17"/>
              </w:rPr>
              <w:t>195</w:t>
            </w:r>
          </w:p>
        </w:tc>
        <w:tc>
          <w:tcPr>
            <w:tcW w:w="447" w:type="dxa"/>
            <w:shd w:val="clear" w:color="auto" w:fill="auto"/>
            <w:noWrap/>
            <w:vAlign w:val="bottom"/>
            <w:hideMark/>
          </w:tcPr>
          <w:p w14:paraId="0299A90C" w14:textId="77777777" w:rsidR="002227E6" w:rsidRPr="008761E0" w:rsidRDefault="002227E6" w:rsidP="00356632">
            <w:pPr>
              <w:spacing w:before="40" w:after="40" w:line="220" w:lineRule="exact"/>
              <w:ind w:right="113"/>
              <w:jc w:val="right"/>
              <w:rPr>
                <w:sz w:val="17"/>
                <w:szCs w:val="17"/>
              </w:rPr>
            </w:pPr>
            <w:r w:rsidRPr="008761E0">
              <w:rPr>
                <w:sz w:val="17"/>
                <w:szCs w:val="17"/>
              </w:rPr>
              <w:t>83.8</w:t>
            </w:r>
          </w:p>
        </w:tc>
        <w:tc>
          <w:tcPr>
            <w:tcW w:w="924" w:type="dxa"/>
            <w:shd w:val="clear" w:color="auto" w:fill="auto"/>
            <w:noWrap/>
            <w:vAlign w:val="bottom"/>
            <w:hideMark/>
          </w:tcPr>
          <w:p w14:paraId="5BF6DC71" w14:textId="7EBEB30A" w:rsidR="002227E6" w:rsidRPr="008761E0" w:rsidRDefault="002227E6" w:rsidP="00356632">
            <w:pPr>
              <w:spacing w:before="40" w:after="40" w:line="220" w:lineRule="exact"/>
              <w:ind w:right="113"/>
              <w:jc w:val="right"/>
              <w:rPr>
                <w:sz w:val="17"/>
                <w:szCs w:val="17"/>
              </w:rPr>
            </w:pPr>
            <w:r w:rsidRPr="008761E0">
              <w:rPr>
                <w:sz w:val="17"/>
                <w:szCs w:val="17"/>
              </w:rPr>
              <w:t>3</w:t>
            </w:r>
            <w:r w:rsidR="00D41420" w:rsidRPr="008761E0">
              <w:rPr>
                <w:sz w:val="17"/>
                <w:szCs w:val="17"/>
              </w:rPr>
              <w:t xml:space="preserve"> </w:t>
            </w:r>
            <w:r w:rsidRPr="008761E0">
              <w:rPr>
                <w:sz w:val="17"/>
                <w:szCs w:val="17"/>
              </w:rPr>
              <w:t>531</w:t>
            </w:r>
            <w:r w:rsidR="00D41420" w:rsidRPr="008761E0">
              <w:rPr>
                <w:sz w:val="17"/>
                <w:szCs w:val="17"/>
              </w:rPr>
              <w:t xml:space="preserve"> </w:t>
            </w:r>
            <w:r w:rsidRPr="008761E0">
              <w:rPr>
                <w:sz w:val="17"/>
                <w:szCs w:val="17"/>
              </w:rPr>
              <w:t>469</w:t>
            </w:r>
          </w:p>
        </w:tc>
        <w:tc>
          <w:tcPr>
            <w:tcW w:w="907" w:type="dxa"/>
            <w:shd w:val="clear" w:color="auto" w:fill="auto"/>
            <w:noWrap/>
            <w:vAlign w:val="bottom"/>
            <w:hideMark/>
          </w:tcPr>
          <w:p w14:paraId="2873C5E7" w14:textId="4DA59386" w:rsidR="002227E6" w:rsidRPr="008761E0" w:rsidRDefault="002227E6" w:rsidP="00356632">
            <w:pPr>
              <w:spacing w:before="40" w:after="40" w:line="220" w:lineRule="exact"/>
              <w:ind w:right="113"/>
              <w:jc w:val="right"/>
              <w:rPr>
                <w:sz w:val="17"/>
                <w:szCs w:val="17"/>
              </w:rPr>
            </w:pPr>
            <w:r w:rsidRPr="008761E0">
              <w:rPr>
                <w:sz w:val="17"/>
                <w:szCs w:val="17"/>
              </w:rPr>
              <w:t>3</w:t>
            </w:r>
            <w:r w:rsidR="00D41420" w:rsidRPr="008761E0">
              <w:rPr>
                <w:sz w:val="17"/>
                <w:szCs w:val="17"/>
              </w:rPr>
              <w:t xml:space="preserve"> </w:t>
            </w:r>
            <w:r w:rsidRPr="008761E0">
              <w:rPr>
                <w:sz w:val="17"/>
                <w:szCs w:val="17"/>
              </w:rPr>
              <w:t>181</w:t>
            </w:r>
            <w:r w:rsidR="00D41420" w:rsidRPr="008761E0">
              <w:rPr>
                <w:sz w:val="17"/>
                <w:szCs w:val="17"/>
              </w:rPr>
              <w:t xml:space="preserve"> </w:t>
            </w:r>
            <w:r w:rsidRPr="008761E0">
              <w:rPr>
                <w:sz w:val="17"/>
                <w:szCs w:val="17"/>
              </w:rPr>
              <w:t>056</w:t>
            </w:r>
          </w:p>
        </w:tc>
        <w:tc>
          <w:tcPr>
            <w:tcW w:w="453" w:type="dxa"/>
            <w:shd w:val="clear" w:color="auto" w:fill="auto"/>
            <w:noWrap/>
            <w:vAlign w:val="bottom"/>
            <w:hideMark/>
          </w:tcPr>
          <w:p w14:paraId="7C7BFA25" w14:textId="77777777" w:rsidR="002227E6" w:rsidRPr="008761E0" w:rsidRDefault="002227E6" w:rsidP="00356632">
            <w:pPr>
              <w:spacing w:before="40" w:after="40" w:line="220" w:lineRule="exact"/>
              <w:ind w:right="113"/>
              <w:jc w:val="right"/>
              <w:rPr>
                <w:sz w:val="17"/>
                <w:szCs w:val="17"/>
              </w:rPr>
            </w:pPr>
            <w:r w:rsidRPr="008761E0">
              <w:rPr>
                <w:sz w:val="17"/>
                <w:szCs w:val="17"/>
              </w:rPr>
              <w:t>90.1</w:t>
            </w:r>
          </w:p>
        </w:tc>
        <w:tc>
          <w:tcPr>
            <w:tcW w:w="907" w:type="dxa"/>
            <w:shd w:val="clear" w:color="auto" w:fill="auto"/>
            <w:noWrap/>
            <w:vAlign w:val="bottom"/>
            <w:hideMark/>
          </w:tcPr>
          <w:p w14:paraId="3B38455E" w14:textId="2DBFE514" w:rsidR="002227E6" w:rsidRPr="008761E0" w:rsidRDefault="002227E6" w:rsidP="00356632">
            <w:pPr>
              <w:spacing w:before="40" w:after="40" w:line="220" w:lineRule="exact"/>
              <w:ind w:right="113"/>
              <w:jc w:val="right"/>
              <w:rPr>
                <w:sz w:val="17"/>
                <w:szCs w:val="17"/>
              </w:rPr>
            </w:pPr>
            <w:r w:rsidRPr="008761E0">
              <w:rPr>
                <w:sz w:val="17"/>
                <w:szCs w:val="17"/>
              </w:rPr>
              <w:t>2</w:t>
            </w:r>
            <w:r w:rsidR="00D41420" w:rsidRPr="008761E0">
              <w:rPr>
                <w:sz w:val="17"/>
                <w:szCs w:val="17"/>
              </w:rPr>
              <w:t xml:space="preserve"> </w:t>
            </w:r>
            <w:r w:rsidRPr="008761E0">
              <w:rPr>
                <w:sz w:val="17"/>
                <w:szCs w:val="17"/>
              </w:rPr>
              <w:t>954</w:t>
            </w:r>
            <w:r w:rsidR="00D41420" w:rsidRPr="008761E0">
              <w:rPr>
                <w:sz w:val="17"/>
                <w:szCs w:val="17"/>
              </w:rPr>
              <w:t xml:space="preserve"> </w:t>
            </w:r>
            <w:r w:rsidRPr="008761E0">
              <w:rPr>
                <w:sz w:val="17"/>
                <w:szCs w:val="17"/>
              </w:rPr>
              <w:t>104</w:t>
            </w:r>
          </w:p>
        </w:tc>
        <w:tc>
          <w:tcPr>
            <w:tcW w:w="992" w:type="dxa"/>
            <w:shd w:val="clear" w:color="auto" w:fill="auto"/>
            <w:noWrap/>
            <w:vAlign w:val="bottom"/>
            <w:hideMark/>
          </w:tcPr>
          <w:p w14:paraId="78C9FE96" w14:textId="3C99616C" w:rsidR="002227E6" w:rsidRPr="008761E0" w:rsidRDefault="002227E6" w:rsidP="00356632">
            <w:pPr>
              <w:spacing w:before="40" w:after="40" w:line="220" w:lineRule="exact"/>
              <w:ind w:right="113"/>
              <w:jc w:val="right"/>
              <w:rPr>
                <w:sz w:val="17"/>
                <w:szCs w:val="17"/>
              </w:rPr>
            </w:pPr>
            <w:r w:rsidRPr="008761E0">
              <w:rPr>
                <w:sz w:val="17"/>
                <w:szCs w:val="17"/>
              </w:rPr>
              <w:t>465</w:t>
            </w:r>
            <w:r w:rsidR="00D41420" w:rsidRPr="008761E0">
              <w:rPr>
                <w:sz w:val="17"/>
                <w:szCs w:val="17"/>
              </w:rPr>
              <w:t xml:space="preserve"> </w:t>
            </w:r>
            <w:r w:rsidRPr="008761E0">
              <w:rPr>
                <w:sz w:val="17"/>
                <w:szCs w:val="17"/>
              </w:rPr>
              <w:t>853</w:t>
            </w:r>
          </w:p>
        </w:tc>
        <w:tc>
          <w:tcPr>
            <w:tcW w:w="425" w:type="dxa"/>
            <w:shd w:val="clear" w:color="auto" w:fill="auto"/>
            <w:noWrap/>
            <w:vAlign w:val="bottom"/>
            <w:hideMark/>
          </w:tcPr>
          <w:p w14:paraId="7838BFB8" w14:textId="77777777" w:rsidR="002227E6" w:rsidRPr="008761E0" w:rsidRDefault="002227E6" w:rsidP="00356632">
            <w:pPr>
              <w:spacing w:before="40" w:after="40" w:line="220" w:lineRule="exact"/>
              <w:ind w:right="113"/>
              <w:jc w:val="right"/>
              <w:rPr>
                <w:sz w:val="17"/>
                <w:szCs w:val="17"/>
              </w:rPr>
            </w:pPr>
            <w:r w:rsidRPr="008761E0">
              <w:rPr>
                <w:sz w:val="17"/>
                <w:szCs w:val="17"/>
              </w:rPr>
              <w:t>15.8</w:t>
            </w:r>
          </w:p>
        </w:tc>
        <w:tc>
          <w:tcPr>
            <w:tcW w:w="964" w:type="dxa"/>
            <w:shd w:val="clear" w:color="auto" w:fill="auto"/>
            <w:noWrap/>
            <w:vAlign w:val="bottom"/>
            <w:hideMark/>
          </w:tcPr>
          <w:p w14:paraId="341FE02B" w14:textId="16A13868"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249</w:t>
            </w:r>
            <w:r w:rsidR="00D41420" w:rsidRPr="008761E0">
              <w:rPr>
                <w:sz w:val="17"/>
                <w:szCs w:val="17"/>
              </w:rPr>
              <w:t xml:space="preserve"> </w:t>
            </w:r>
            <w:r w:rsidRPr="008761E0">
              <w:rPr>
                <w:sz w:val="17"/>
                <w:szCs w:val="17"/>
              </w:rPr>
              <w:t>368</w:t>
            </w:r>
          </w:p>
        </w:tc>
        <w:tc>
          <w:tcPr>
            <w:tcW w:w="624" w:type="dxa"/>
            <w:shd w:val="clear" w:color="auto" w:fill="auto"/>
            <w:noWrap/>
            <w:vAlign w:val="bottom"/>
            <w:hideMark/>
          </w:tcPr>
          <w:p w14:paraId="45E7A1DF" w14:textId="77777777" w:rsidR="002227E6" w:rsidRPr="008761E0" w:rsidRDefault="002227E6" w:rsidP="00356632">
            <w:pPr>
              <w:spacing w:before="40" w:after="40" w:line="220" w:lineRule="exact"/>
              <w:ind w:right="113"/>
              <w:jc w:val="right"/>
              <w:rPr>
                <w:sz w:val="17"/>
                <w:szCs w:val="17"/>
              </w:rPr>
            </w:pPr>
            <w:r w:rsidRPr="008761E0">
              <w:rPr>
                <w:sz w:val="17"/>
                <w:szCs w:val="17"/>
              </w:rPr>
              <w:t>63.2</w:t>
            </w:r>
          </w:p>
        </w:tc>
      </w:tr>
      <w:tr w:rsidR="005705F1" w:rsidRPr="00356632" w14:paraId="5C9C6C58" w14:textId="77777777" w:rsidTr="005705F1">
        <w:trPr>
          <w:trHeight w:val="240"/>
        </w:trPr>
        <w:tc>
          <w:tcPr>
            <w:tcW w:w="1093" w:type="dxa"/>
            <w:shd w:val="clear" w:color="auto" w:fill="auto"/>
            <w:noWrap/>
            <w:hideMark/>
          </w:tcPr>
          <w:p w14:paraId="5A255884" w14:textId="77777777" w:rsidR="002227E6" w:rsidRPr="008761E0" w:rsidRDefault="002227E6" w:rsidP="00356632">
            <w:pPr>
              <w:spacing w:before="40" w:after="40" w:line="220" w:lineRule="exact"/>
              <w:ind w:right="113"/>
              <w:rPr>
                <w:sz w:val="17"/>
                <w:szCs w:val="17"/>
              </w:rPr>
            </w:pPr>
            <w:r w:rsidRPr="008761E0">
              <w:rPr>
                <w:sz w:val="17"/>
                <w:szCs w:val="17"/>
              </w:rPr>
              <w:t>Trinidad</w:t>
            </w:r>
          </w:p>
        </w:tc>
        <w:tc>
          <w:tcPr>
            <w:tcW w:w="892" w:type="dxa"/>
            <w:shd w:val="clear" w:color="auto" w:fill="auto"/>
            <w:noWrap/>
            <w:vAlign w:val="bottom"/>
            <w:hideMark/>
          </w:tcPr>
          <w:p w14:paraId="65C1AAF3" w14:textId="415F50BA"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401</w:t>
            </w:r>
            <w:r w:rsidR="00D41420" w:rsidRPr="008761E0">
              <w:rPr>
                <w:sz w:val="17"/>
                <w:szCs w:val="17"/>
              </w:rPr>
              <w:t xml:space="preserve"> </w:t>
            </w:r>
            <w:r w:rsidRPr="008761E0">
              <w:rPr>
                <w:sz w:val="17"/>
                <w:szCs w:val="17"/>
              </w:rPr>
              <w:t>463</w:t>
            </w:r>
          </w:p>
        </w:tc>
        <w:tc>
          <w:tcPr>
            <w:tcW w:w="907" w:type="dxa"/>
            <w:shd w:val="clear" w:color="auto" w:fill="auto"/>
            <w:noWrap/>
            <w:vAlign w:val="bottom"/>
            <w:hideMark/>
          </w:tcPr>
          <w:p w14:paraId="51C814CD" w14:textId="3517D6F5"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269</w:t>
            </w:r>
            <w:r w:rsidR="00D41420" w:rsidRPr="008761E0">
              <w:rPr>
                <w:sz w:val="17"/>
                <w:szCs w:val="17"/>
              </w:rPr>
              <w:t xml:space="preserve"> </w:t>
            </w:r>
            <w:r w:rsidRPr="008761E0">
              <w:rPr>
                <w:sz w:val="17"/>
                <w:szCs w:val="17"/>
              </w:rPr>
              <w:t>049</w:t>
            </w:r>
          </w:p>
        </w:tc>
        <w:tc>
          <w:tcPr>
            <w:tcW w:w="447" w:type="dxa"/>
            <w:shd w:val="clear" w:color="auto" w:fill="auto"/>
            <w:noWrap/>
            <w:vAlign w:val="bottom"/>
            <w:hideMark/>
          </w:tcPr>
          <w:p w14:paraId="03D2E53A" w14:textId="77777777" w:rsidR="002227E6" w:rsidRPr="008761E0" w:rsidRDefault="002227E6" w:rsidP="00356632">
            <w:pPr>
              <w:spacing w:before="40" w:after="40" w:line="220" w:lineRule="exact"/>
              <w:ind w:right="113"/>
              <w:jc w:val="right"/>
              <w:rPr>
                <w:sz w:val="17"/>
                <w:szCs w:val="17"/>
              </w:rPr>
            </w:pPr>
            <w:r w:rsidRPr="008761E0">
              <w:rPr>
                <w:sz w:val="17"/>
                <w:szCs w:val="17"/>
              </w:rPr>
              <w:t>90.6</w:t>
            </w:r>
          </w:p>
        </w:tc>
        <w:tc>
          <w:tcPr>
            <w:tcW w:w="924" w:type="dxa"/>
            <w:shd w:val="clear" w:color="auto" w:fill="auto"/>
            <w:noWrap/>
            <w:vAlign w:val="bottom"/>
            <w:hideMark/>
          </w:tcPr>
          <w:p w14:paraId="4CB092FF" w14:textId="49DF0EEC"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942</w:t>
            </w:r>
            <w:r w:rsidR="00D41420" w:rsidRPr="008761E0">
              <w:rPr>
                <w:sz w:val="17"/>
                <w:szCs w:val="17"/>
              </w:rPr>
              <w:t xml:space="preserve"> </w:t>
            </w:r>
            <w:r w:rsidRPr="008761E0">
              <w:rPr>
                <w:sz w:val="17"/>
                <w:szCs w:val="17"/>
              </w:rPr>
              <w:t>801</w:t>
            </w:r>
          </w:p>
        </w:tc>
        <w:tc>
          <w:tcPr>
            <w:tcW w:w="907" w:type="dxa"/>
            <w:shd w:val="clear" w:color="auto" w:fill="auto"/>
            <w:noWrap/>
            <w:vAlign w:val="bottom"/>
            <w:hideMark/>
          </w:tcPr>
          <w:p w14:paraId="2D0431EE" w14:textId="3F48D1DE"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819</w:t>
            </w:r>
            <w:r w:rsidR="00D41420" w:rsidRPr="008761E0">
              <w:rPr>
                <w:sz w:val="17"/>
                <w:szCs w:val="17"/>
              </w:rPr>
              <w:t xml:space="preserve"> </w:t>
            </w:r>
            <w:r w:rsidRPr="008761E0">
              <w:rPr>
                <w:sz w:val="17"/>
                <w:szCs w:val="17"/>
              </w:rPr>
              <w:t>888</w:t>
            </w:r>
          </w:p>
        </w:tc>
        <w:tc>
          <w:tcPr>
            <w:tcW w:w="453" w:type="dxa"/>
            <w:shd w:val="clear" w:color="auto" w:fill="auto"/>
            <w:noWrap/>
            <w:vAlign w:val="bottom"/>
            <w:hideMark/>
          </w:tcPr>
          <w:p w14:paraId="14FC4384" w14:textId="77777777" w:rsidR="002227E6" w:rsidRPr="008761E0" w:rsidRDefault="002227E6" w:rsidP="00356632">
            <w:pPr>
              <w:spacing w:before="40" w:after="40" w:line="220" w:lineRule="exact"/>
              <w:ind w:right="113"/>
              <w:jc w:val="right"/>
              <w:rPr>
                <w:sz w:val="17"/>
                <w:szCs w:val="17"/>
              </w:rPr>
            </w:pPr>
            <w:r w:rsidRPr="008761E0">
              <w:rPr>
                <w:sz w:val="17"/>
                <w:szCs w:val="17"/>
              </w:rPr>
              <w:t>93.7</w:t>
            </w:r>
          </w:p>
        </w:tc>
        <w:tc>
          <w:tcPr>
            <w:tcW w:w="907" w:type="dxa"/>
            <w:shd w:val="clear" w:color="auto" w:fill="auto"/>
            <w:noWrap/>
            <w:vAlign w:val="bottom"/>
            <w:hideMark/>
          </w:tcPr>
          <w:p w14:paraId="2CB6E071" w14:textId="43457151"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598</w:t>
            </w:r>
            <w:r w:rsidR="00D41420" w:rsidRPr="008761E0">
              <w:rPr>
                <w:sz w:val="17"/>
                <w:szCs w:val="17"/>
              </w:rPr>
              <w:t xml:space="preserve"> </w:t>
            </w:r>
            <w:r w:rsidRPr="008761E0">
              <w:rPr>
                <w:sz w:val="17"/>
                <w:szCs w:val="17"/>
              </w:rPr>
              <w:t>455</w:t>
            </w:r>
          </w:p>
        </w:tc>
        <w:tc>
          <w:tcPr>
            <w:tcW w:w="992" w:type="dxa"/>
            <w:shd w:val="clear" w:color="auto" w:fill="auto"/>
            <w:noWrap/>
            <w:vAlign w:val="bottom"/>
            <w:hideMark/>
          </w:tcPr>
          <w:p w14:paraId="7ECD1F72" w14:textId="4BE43DF8"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300</w:t>
            </w:r>
            <w:r w:rsidR="00D41420" w:rsidRPr="008761E0">
              <w:rPr>
                <w:sz w:val="17"/>
                <w:szCs w:val="17"/>
              </w:rPr>
              <w:t xml:space="preserve"> </w:t>
            </w:r>
            <w:r w:rsidRPr="008761E0">
              <w:rPr>
                <w:sz w:val="17"/>
                <w:szCs w:val="17"/>
              </w:rPr>
              <w:t>639</w:t>
            </w:r>
          </w:p>
        </w:tc>
        <w:tc>
          <w:tcPr>
            <w:tcW w:w="425" w:type="dxa"/>
            <w:shd w:val="clear" w:color="auto" w:fill="auto"/>
            <w:noWrap/>
            <w:vAlign w:val="bottom"/>
            <w:hideMark/>
          </w:tcPr>
          <w:p w14:paraId="1E3C54CC" w14:textId="77777777" w:rsidR="002227E6" w:rsidRPr="008761E0" w:rsidRDefault="002227E6" w:rsidP="00356632">
            <w:pPr>
              <w:spacing w:before="40" w:after="40" w:line="220" w:lineRule="exact"/>
              <w:ind w:right="113"/>
              <w:jc w:val="right"/>
              <w:rPr>
                <w:sz w:val="17"/>
                <w:szCs w:val="17"/>
              </w:rPr>
            </w:pPr>
            <w:r w:rsidRPr="008761E0">
              <w:rPr>
                <w:sz w:val="17"/>
                <w:szCs w:val="17"/>
              </w:rPr>
              <w:t>81.4</w:t>
            </w:r>
          </w:p>
        </w:tc>
        <w:tc>
          <w:tcPr>
            <w:tcW w:w="964" w:type="dxa"/>
            <w:shd w:val="clear" w:color="auto" w:fill="auto"/>
            <w:noWrap/>
            <w:vAlign w:val="bottom"/>
            <w:hideMark/>
          </w:tcPr>
          <w:p w14:paraId="0B8DDDAB" w14:textId="045DB726"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463</w:t>
            </w:r>
            <w:r w:rsidR="00D41420" w:rsidRPr="008761E0">
              <w:rPr>
                <w:sz w:val="17"/>
                <w:szCs w:val="17"/>
              </w:rPr>
              <w:t xml:space="preserve"> </w:t>
            </w:r>
            <w:r w:rsidRPr="008761E0">
              <w:rPr>
                <w:sz w:val="17"/>
                <w:szCs w:val="17"/>
              </w:rPr>
              <w:t>192</w:t>
            </w:r>
          </w:p>
        </w:tc>
        <w:tc>
          <w:tcPr>
            <w:tcW w:w="624" w:type="dxa"/>
            <w:shd w:val="clear" w:color="auto" w:fill="auto"/>
            <w:noWrap/>
            <w:vAlign w:val="bottom"/>
            <w:hideMark/>
          </w:tcPr>
          <w:p w14:paraId="5C7DAE81" w14:textId="77777777" w:rsidR="002227E6" w:rsidRPr="008761E0" w:rsidRDefault="002227E6" w:rsidP="00356632">
            <w:pPr>
              <w:spacing w:before="40" w:after="40" w:line="220" w:lineRule="exact"/>
              <w:ind w:right="113"/>
              <w:jc w:val="right"/>
              <w:rPr>
                <w:sz w:val="17"/>
                <w:szCs w:val="17"/>
              </w:rPr>
            </w:pPr>
            <w:r w:rsidRPr="008761E0">
              <w:rPr>
                <w:sz w:val="17"/>
                <w:szCs w:val="17"/>
              </w:rPr>
              <w:t>88.5</w:t>
            </w:r>
          </w:p>
        </w:tc>
      </w:tr>
      <w:tr w:rsidR="005705F1" w:rsidRPr="00356632" w14:paraId="0CB73E0A" w14:textId="77777777" w:rsidTr="005705F1">
        <w:trPr>
          <w:trHeight w:val="240"/>
        </w:trPr>
        <w:tc>
          <w:tcPr>
            <w:tcW w:w="1093" w:type="dxa"/>
            <w:shd w:val="clear" w:color="auto" w:fill="auto"/>
            <w:noWrap/>
            <w:hideMark/>
          </w:tcPr>
          <w:p w14:paraId="77F551DE" w14:textId="77777777" w:rsidR="002227E6" w:rsidRPr="008761E0" w:rsidRDefault="002227E6" w:rsidP="00356632">
            <w:pPr>
              <w:spacing w:before="40" w:after="40" w:line="220" w:lineRule="exact"/>
              <w:ind w:right="113"/>
              <w:rPr>
                <w:sz w:val="17"/>
                <w:szCs w:val="17"/>
              </w:rPr>
            </w:pPr>
            <w:bookmarkStart w:id="2" w:name="OLE_LINK1"/>
            <w:r w:rsidRPr="008761E0">
              <w:rPr>
                <w:sz w:val="17"/>
                <w:szCs w:val="17"/>
              </w:rPr>
              <w:t>Yacuiba</w:t>
            </w:r>
          </w:p>
        </w:tc>
        <w:tc>
          <w:tcPr>
            <w:tcW w:w="892" w:type="dxa"/>
            <w:shd w:val="clear" w:color="auto" w:fill="auto"/>
            <w:noWrap/>
            <w:vAlign w:val="bottom"/>
            <w:hideMark/>
          </w:tcPr>
          <w:p w14:paraId="1952B30D" w14:textId="77777777" w:rsidR="002227E6" w:rsidRPr="008761E0" w:rsidRDefault="002227E6" w:rsidP="00356632">
            <w:pPr>
              <w:spacing w:before="40" w:after="40" w:line="220" w:lineRule="exact"/>
              <w:ind w:right="113"/>
              <w:jc w:val="right"/>
              <w:rPr>
                <w:sz w:val="17"/>
                <w:szCs w:val="17"/>
              </w:rPr>
            </w:pPr>
            <w:r w:rsidRPr="008761E0">
              <w:rPr>
                <w:sz w:val="17"/>
                <w:szCs w:val="17"/>
              </w:rPr>
              <w:t>-</w:t>
            </w:r>
          </w:p>
        </w:tc>
        <w:tc>
          <w:tcPr>
            <w:tcW w:w="907" w:type="dxa"/>
            <w:shd w:val="clear" w:color="auto" w:fill="auto"/>
            <w:noWrap/>
            <w:vAlign w:val="bottom"/>
            <w:hideMark/>
          </w:tcPr>
          <w:p w14:paraId="14ABC7E0" w14:textId="77777777" w:rsidR="002227E6" w:rsidRPr="008761E0" w:rsidRDefault="002227E6" w:rsidP="00356632">
            <w:pPr>
              <w:spacing w:before="40" w:after="40" w:line="220" w:lineRule="exact"/>
              <w:ind w:right="113"/>
              <w:jc w:val="right"/>
              <w:rPr>
                <w:sz w:val="17"/>
                <w:szCs w:val="17"/>
              </w:rPr>
            </w:pPr>
            <w:r w:rsidRPr="008761E0">
              <w:rPr>
                <w:sz w:val="17"/>
                <w:szCs w:val="17"/>
              </w:rPr>
              <w:t>-</w:t>
            </w:r>
          </w:p>
        </w:tc>
        <w:tc>
          <w:tcPr>
            <w:tcW w:w="447" w:type="dxa"/>
            <w:shd w:val="clear" w:color="auto" w:fill="auto"/>
            <w:noWrap/>
            <w:vAlign w:val="bottom"/>
            <w:hideMark/>
          </w:tcPr>
          <w:p w14:paraId="1D1FA129" w14:textId="77777777" w:rsidR="002227E6" w:rsidRPr="008761E0" w:rsidRDefault="002227E6" w:rsidP="00356632">
            <w:pPr>
              <w:spacing w:before="40" w:after="40" w:line="220" w:lineRule="exact"/>
              <w:ind w:right="113"/>
              <w:jc w:val="right"/>
              <w:rPr>
                <w:sz w:val="17"/>
                <w:szCs w:val="17"/>
              </w:rPr>
            </w:pPr>
            <w:r w:rsidRPr="008761E0">
              <w:rPr>
                <w:sz w:val="17"/>
                <w:szCs w:val="17"/>
              </w:rPr>
              <w:t>-</w:t>
            </w:r>
          </w:p>
        </w:tc>
        <w:tc>
          <w:tcPr>
            <w:tcW w:w="924" w:type="dxa"/>
            <w:shd w:val="clear" w:color="auto" w:fill="auto"/>
            <w:noWrap/>
            <w:vAlign w:val="bottom"/>
            <w:hideMark/>
          </w:tcPr>
          <w:p w14:paraId="617671FE" w14:textId="344BCCC9" w:rsidR="002227E6" w:rsidRPr="008761E0" w:rsidRDefault="002227E6" w:rsidP="00356632">
            <w:pPr>
              <w:spacing w:before="40" w:after="40" w:line="220" w:lineRule="exact"/>
              <w:ind w:right="113"/>
              <w:jc w:val="right"/>
              <w:rPr>
                <w:sz w:val="17"/>
                <w:szCs w:val="17"/>
              </w:rPr>
            </w:pPr>
            <w:r w:rsidRPr="008761E0">
              <w:rPr>
                <w:sz w:val="17"/>
                <w:szCs w:val="17"/>
              </w:rPr>
              <w:t>8</w:t>
            </w:r>
            <w:r w:rsidR="00D41420" w:rsidRPr="008761E0">
              <w:rPr>
                <w:sz w:val="17"/>
                <w:szCs w:val="17"/>
              </w:rPr>
              <w:t xml:space="preserve"> </w:t>
            </w:r>
            <w:r w:rsidRPr="008761E0">
              <w:rPr>
                <w:sz w:val="17"/>
                <w:szCs w:val="17"/>
              </w:rPr>
              <w:t>061</w:t>
            </w:r>
            <w:r w:rsidR="00D41420" w:rsidRPr="008761E0">
              <w:rPr>
                <w:sz w:val="17"/>
                <w:szCs w:val="17"/>
              </w:rPr>
              <w:t xml:space="preserve"> </w:t>
            </w:r>
            <w:r w:rsidRPr="008761E0">
              <w:rPr>
                <w:sz w:val="17"/>
                <w:szCs w:val="17"/>
              </w:rPr>
              <w:t>672</w:t>
            </w:r>
          </w:p>
        </w:tc>
        <w:tc>
          <w:tcPr>
            <w:tcW w:w="907" w:type="dxa"/>
            <w:shd w:val="clear" w:color="auto" w:fill="auto"/>
            <w:noWrap/>
            <w:vAlign w:val="bottom"/>
            <w:hideMark/>
          </w:tcPr>
          <w:p w14:paraId="17FFFDC9" w14:textId="6725C176" w:rsidR="002227E6" w:rsidRPr="008761E0" w:rsidRDefault="002227E6" w:rsidP="00356632">
            <w:pPr>
              <w:spacing w:before="40" w:after="40" w:line="220" w:lineRule="exact"/>
              <w:ind w:right="113"/>
              <w:jc w:val="right"/>
              <w:rPr>
                <w:sz w:val="17"/>
                <w:szCs w:val="17"/>
              </w:rPr>
            </w:pPr>
            <w:r w:rsidRPr="008761E0">
              <w:rPr>
                <w:sz w:val="17"/>
                <w:szCs w:val="17"/>
              </w:rPr>
              <w:t>7</w:t>
            </w:r>
            <w:r w:rsidR="00D41420" w:rsidRPr="008761E0">
              <w:rPr>
                <w:sz w:val="17"/>
                <w:szCs w:val="17"/>
              </w:rPr>
              <w:t xml:space="preserve"> </w:t>
            </w:r>
            <w:r w:rsidRPr="008761E0">
              <w:rPr>
                <w:sz w:val="17"/>
                <w:szCs w:val="17"/>
              </w:rPr>
              <w:t>416</w:t>
            </w:r>
            <w:r w:rsidR="00D41420" w:rsidRPr="008761E0">
              <w:rPr>
                <w:sz w:val="17"/>
                <w:szCs w:val="17"/>
              </w:rPr>
              <w:t xml:space="preserve"> </w:t>
            </w:r>
            <w:r w:rsidRPr="008761E0">
              <w:rPr>
                <w:sz w:val="17"/>
                <w:szCs w:val="17"/>
              </w:rPr>
              <w:t>846</w:t>
            </w:r>
          </w:p>
        </w:tc>
        <w:tc>
          <w:tcPr>
            <w:tcW w:w="453" w:type="dxa"/>
            <w:shd w:val="clear" w:color="auto" w:fill="auto"/>
            <w:noWrap/>
            <w:vAlign w:val="bottom"/>
            <w:hideMark/>
          </w:tcPr>
          <w:p w14:paraId="52B7B9B2" w14:textId="77777777" w:rsidR="002227E6" w:rsidRPr="008761E0" w:rsidRDefault="002227E6" w:rsidP="00356632">
            <w:pPr>
              <w:spacing w:before="40" w:after="40" w:line="220" w:lineRule="exact"/>
              <w:ind w:right="113"/>
              <w:jc w:val="right"/>
              <w:rPr>
                <w:sz w:val="17"/>
                <w:szCs w:val="17"/>
              </w:rPr>
            </w:pPr>
            <w:r w:rsidRPr="008761E0">
              <w:rPr>
                <w:sz w:val="17"/>
                <w:szCs w:val="17"/>
              </w:rPr>
              <w:t>92.0</w:t>
            </w:r>
          </w:p>
        </w:tc>
        <w:tc>
          <w:tcPr>
            <w:tcW w:w="907" w:type="dxa"/>
            <w:shd w:val="clear" w:color="auto" w:fill="auto"/>
            <w:noWrap/>
            <w:vAlign w:val="bottom"/>
            <w:hideMark/>
          </w:tcPr>
          <w:p w14:paraId="6D5BCBE9" w14:textId="4051AC60" w:rsidR="002227E6" w:rsidRPr="008761E0" w:rsidRDefault="002227E6" w:rsidP="00356632">
            <w:pPr>
              <w:spacing w:before="40" w:after="40" w:line="220" w:lineRule="exact"/>
              <w:ind w:right="113"/>
              <w:jc w:val="right"/>
              <w:rPr>
                <w:sz w:val="17"/>
                <w:szCs w:val="17"/>
              </w:rPr>
            </w:pPr>
            <w:r w:rsidRPr="008761E0">
              <w:rPr>
                <w:sz w:val="17"/>
                <w:szCs w:val="17"/>
              </w:rPr>
              <w:t>6</w:t>
            </w:r>
            <w:r w:rsidR="00D41420" w:rsidRPr="008761E0">
              <w:rPr>
                <w:sz w:val="17"/>
                <w:szCs w:val="17"/>
              </w:rPr>
              <w:t xml:space="preserve"> </w:t>
            </w:r>
            <w:r w:rsidRPr="008761E0">
              <w:rPr>
                <w:sz w:val="17"/>
                <w:szCs w:val="17"/>
              </w:rPr>
              <w:t>494</w:t>
            </w:r>
            <w:r w:rsidR="00D41420" w:rsidRPr="008761E0">
              <w:rPr>
                <w:sz w:val="17"/>
                <w:szCs w:val="17"/>
              </w:rPr>
              <w:t xml:space="preserve"> </w:t>
            </w:r>
            <w:r w:rsidRPr="008761E0">
              <w:rPr>
                <w:sz w:val="17"/>
                <w:szCs w:val="17"/>
              </w:rPr>
              <w:t>663</w:t>
            </w:r>
          </w:p>
        </w:tc>
        <w:tc>
          <w:tcPr>
            <w:tcW w:w="992" w:type="dxa"/>
            <w:shd w:val="clear" w:color="auto" w:fill="auto"/>
            <w:noWrap/>
            <w:vAlign w:val="bottom"/>
            <w:hideMark/>
          </w:tcPr>
          <w:p w14:paraId="75AA9936" w14:textId="68BD9B57" w:rsidR="002227E6" w:rsidRPr="008761E0" w:rsidRDefault="002227E6" w:rsidP="00356632">
            <w:pPr>
              <w:spacing w:before="40" w:after="40" w:line="220" w:lineRule="exact"/>
              <w:ind w:right="113"/>
              <w:jc w:val="right"/>
              <w:rPr>
                <w:sz w:val="17"/>
                <w:szCs w:val="17"/>
              </w:rPr>
            </w:pPr>
            <w:r w:rsidRPr="008761E0">
              <w:rPr>
                <w:sz w:val="17"/>
                <w:szCs w:val="17"/>
              </w:rPr>
              <w:t>4</w:t>
            </w:r>
            <w:r w:rsidR="00D41420" w:rsidRPr="008761E0">
              <w:rPr>
                <w:sz w:val="17"/>
                <w:szCs w:val="17"/>
              </w:rPr>
              <w:t xml:space="preserve"> </w:t>
            </w:r>
            <w:r w:rsidRPr="008761E0">
              <w:rPr>
                <w:sz w:val="17"/>
                <w:szCs w:val="17"/>
              </w:rPr>
              <w:t>657</w:t>
            </w:r>
            <w:r w:rsidR="00D41420" w:rsidRPr="008761E0">
              <w:rPr>
                <w:sz w:val="17"/>
                <w:szCs w:val="17"/>
              </w:rPr>
              <w:t xml:space="preserve"> </w:t>
            </w:r>
            <w:r w:rsidRPr="008761E0">
              <w:rPr>
                <w:sz w:val="17"/>
                <w:szCs w:val="17"/>
              </w:rPr>
              <w:t>518</w:t>
            </w:r>
          </w:p>
        </w:tc>
        <w:tc>
          <w:tcPr>
            <w:tcW w:w="425" w:type="dxa"/>
            <w:shd w:val="clear" w:color="auto" w:fill="auto"/>
            <w:noWrap/>
            <w:vAlign w:val="bottom"/>
            <w:hideMark/>
          </w:tcPr>
          <w:p w14:paraId="2CC4984A" w14:textId="77777777" w:rsidR="002227E6" w:rsidRPr="008761E0" w:rsidRDefault="002227E6" w:rsidP="00356632">
            <w:pPr>
              <w:spacing w:before="40" w:after="40" w:line="220" w:lineRule="exact"/>
              <w:ind w:right="113"/>
              <w:jc w:val="right"/>
              <w:rPr>
                <w:sz w:val="17"/>
                <w:szCs w:val="17"/>
              </w:rPr>
            </w:pPr>
            <w:r w:rsidRPr="008761E0">
              <w:rPr>
                <w:sz w:val="17"/>
                <w:szCs w:val="17"/>
              </w:rPr>
              <w:t>71.7</w:t>
            </w:r>
          </w:p>
        </w:tc>
        <w:tc>
          <w:tcPr>
            <w:tcW w:w="964" w:type="dxa"/>
            <w:shd w:val="clear" w:color="auto" w:fill="auto"/>
            <w:noWrap/>
            <w:vAlign w:val="bottom"/>
            <w:hideMark/>
          </w:tcPr>
          <w:p w14:paraId="0D132979" w14:textId="659254CD" w:rsidR="002227E6" w:rsidRPr="008761E0" w:rsidRDefault="002227E6" w:rsidP="00356632">
            <w:pPr>
              <w:spacing w:before="40" w:after="40" w:line="220" w:lineRule="exact"/>
              <w:ind w:right="113"/>
              <w:jc w:val="right"/>
              <w:rPr>
                <w:sz w:val="17"/>
                <w:szCs w:val="17"/>
              </w:rPr>
            </w:pPr>
            <w:r w:rsidRPr="008761E0">
              <w:rPr>
                <w:sz w:val="17"/>
                <w:szCs w:val="17"/>
              </w:rPr>
              <w:t>6</w:t>
            </w:r>
            <w:r w:rsidR="00D41420" w:rsidRPr="008761E0">
              <w:rPr>
                <w:sz w:val="17"/>
                <w:szCs w:val="17"/>
              </w:rPr>
              <w:t xml:space="preserve"> </w:t>
            </w:r>
            <w:r w:rsidRPr="008761E0">
              <w:rPr>
                <w:sz w:val="17"/>
                <w:szCs w:val="17"/>
              </w:rPr>
              <w:t>037</w:t>
            </w:r>
            <w:r w:rsidR="00D41420" w:rsidRPr="008761E0">
              <w:rPr>
                <w:sz w:val="17"/>
                <w:szCs w:val="17"/>
              </w:rPr>
              <w:t xml:space="preserve"> </w:t>
            </w:r>
            <w:r w:rsidRPr="008761E0">
              <w:rPr>
                <w:sz w:val="17"/>
                <w:szCs w:val="17"/>
              </w:rPr>
              <w:t>182</w:t>
            </w:r>
          </w:p>
        </w:tc>
        <w:tc>
          <w:tcPr>
            <w:tcW w:w="624" w:type="dxa"/>
            <w:shd w:val="clear" w:color="auto" w:fill="auto"/>
            <w:noWrap/>
            <w:vAlign w:val="bottom"/>
            <w:hideMark/>
          </w:tcPr>
          <w:p w14:paraId="332AD196" w14:textId="77777777" w:rsidR="002227E6" w:rsidRPr="008761E0" w:rsidRDefault="002227E6" w:rsidP="00356632">
            <w:pPr>
              <w:spacing w:before="40" w:after="40" w:line="220" w:lineRule="exact"/>
              <w:ind w:right="113"/>
              <w:jc w:val="right"/>
              <w:rPr>
                <w:sz w:val="17"/>
                <w:szCs w:val="17"/>
              </w:rPr>
            </w:pPr>
            <w:r w:rsidRPr="008761E0">
              <w:rPr>
                <w:sz w:val="17"/>
                <w:szCs w:val="17"/>
              </w:rPr>
              <w:t>81.9</w:t>
            </w:r>
          </w:p>
        </w:tc>
      </w:tr>
      <w:tr w:rsidR="005705F1" w:rsidRPr="00356632" w14:paraId="350EC57A" w14:textId="77777777" w:rsidTr="005705F1">
        <w:trPr>
          <w:trHeight w:val="240"/>
        </w:trPr>
        <w:tc>
          <w:tcPr>
            <w:tcW w:w="1093" w:type="dxa"/>
            <w:shd w:val="clear" w:color="auto" w:fill="auto"/>
            <w:noWrap/>
            <w:hideMark/>
          </w:tcPr>
          <w:p w14:paraId="6CD3B13D" w14:textId="77777777" w:rsidR="002227E6" w:rsidRPr="008761E0" w:rsidRDefault="002227E6" w:rsidP="00356632">
            <w:pPr>
              <w:spacing w:before="40" w:after="40" w:line="220" w:lineRule="exact"/>
              <w:ind w:right="113"/>
              <w:rPr>
                <w:sz w:val="17"/>
                <w:szCs w:val="17"/>
              </w:rPr>
            </w:pPr>
            <w:r w:rsidRPr="008761E0">
              <w:rPr>
                <w:sz w:val="17"/>
                <w:szCs w:val="17"/>
              </w:rPr>
              <w:t>Riberalta</w:t>
            </w:r>
          </w:p>
        </w:tc>
        <w:tc>
          <w:tcPr>
            <w:tcW w:w="892" w:type="dxa"/>
            <w:shd w:val="clear" w:color="auto" w:fill="auto"/>
            <w:noWrap/>
            <w:vAlign w:val="bottom"/>
            <w:hideMark/>
          </w:tcPr>
          <w:p w14:paraId="1043666D" w14:textId="77777777" w:rsidR="002227E6" w:rsidRPr="008761E0" w:rsidRDefault="002227E6" w:rsidP="00356632">
            <w:pPr>
              <w:spacing w:before="40" w:after="40" w:line="220" w:lineRule="exact"/>
              <w:ind w:right="113"/>
              <w:jc w:val="right"/>
              <w:rPr>
                <w:sz w:val="17"/>
                <w:szCs w:val="17"/>
              </w:rPr>
            </w:pPr>
            <w:r w:rsidRPr="008761E0">
              <w:rPr>
                <w:sz w:val="17"/>
                <w:szCs w:val="17"/>
              </w:rPr>
              <w:t>-</w:t>
            </w:r>
          </w:p>
        </w:tc>
        <w:tc>
          <w:tcPr>
            <w:tcW w:w="907" w:type="dxa"/>
            <w:shd w:val="clear" w:color="auto" w:fill="auto"/>
            <w:noWrap/>
            <w:vAlign w:val="bottom"/>
            <w:hideMark/>
          </w:tcPr>
          <w:p w14:paraId="04BD216B" w14:textId="77777777" w:rsidR="002227E6" w:rsidRPr="008761E0" w:rsidRDefault="002227E6" w:rsidP="00356632">
            <w:pPr>
              <w:spacing w:before="40" w:after="40" w:line="220" w:lineRule="exact"/>
              <w:ind w:right="113"/>
              <w:jc w:val="right"/>
              <w:rPr>
                <w:sz w:val="17"/>
                <w:szCs w:val="17"/>
              </w:rPr>
            </w:pPr>
            <w:r w:rsidRPr="008761E0">
              <w:rPr>
                <w:sz w:val="17"/>
                <w:szCs w:val="17"/>
              </w:rPr>
              <w:t>-</w:t>
            </w:r>
          </w:p>
        </w:tc>
        <w:tc>
          <w:tcPr>
            <w:tcW w:w="447" w:type="dxa"/>
            <w:shd w:val="clear" w:color="auto" w:fill="auto"/>
            <w:noWrap/>
            <w:vAlign w:val="bottom"/>
            <w:hideMark/>
          </w:tcPr>
          <w:p w14:paraId="66B7B3BA" w14:textId="77777777" w:rsidR="002227E6" w:rsidRPr="008761E0" w:rsidRDefault="002227E6" w:rsidP="00356632">
            <w:pPr>
              <w:spacing w:before="40" w:after="40" w:line="220" w:lineRule="exact"/>
              <w:ind w:right="113"/>
              <w:jc w:val="right"/>
              <w:rPr>
                <w:sz w:val="17"/>
                <w:szCs w:val="17"/>
              </w:rPr>
            </w:pPr>
            <w:r w:rsidRPr="008761E0">
              <w:rPr>
                <w:sz w:val="17"/>
                <w:szCs w:val="17"/>
              </w:rPr>
              <w:t>-</w:t>
            </w:r>
          </w:p>
        </w:tc>
        <w:tc>
          <w:tcPr>
            <w:tcW w:w="924" w:type="dxa"/>
            <w:shd w:val="clear" w:color="auto" w:fill="auto"/>
            <w:noWrap/>
            <w:vAlign w:val="bottom"/>
            <w:hideMark/>
          </w:tcPr>
          <w:p w14:paraId="3076C6B4" w14:textId="0C31B9D7" w:rsidR="002227E6" w:rsidRPr="008761E0" w:rsidRDefault="002227E6" w:rsidP="00356632">
            <w:pPr>
              <w:spacing w:before="40" w:after="40" w:line="220" w:lineRule="exact"/>
              <w:ind w:right="113"/>
              <w:jc w:val="right"/>
              <w:rPr>
                <w:sz w:val="17"/>
                <w:szCs w:val="17"/>
              </w:rPr>
            </w:pPr>
            <w:r w:rsidRPr="008761E0">
              <w:rPr>
                <w:sz w:val="17"/>
                <w:szCs w:val="17"/>
              </w:rPr>
              <w:t>2</w:t>
            </w:r>
            <w:r w:rsidR="00D41420" w:rsidRPr="008761E0">
              <w:rPr>
                <w:sz w:val="17"/>
                <w:szCs w:val="17"/>
              </w:rPr>
              <w:t xml:space="preserve"> </w:t>
            </w:r>
            <w:r w:rsidRPr="008761E0">
              <w:rPr>
                <w:sz w:val="17"/>
                <w:szCs w:val="17"/>
              </w:rPr>
              <w:t>468</w:t>
            </w:r>
            <w:r w:rsidR="00D41420" w:rsidRPr="008761E0">
              <w:rPr>
                <w:sz w:val="17"/>
                <w:szCs w:val="17"/>
              </w:rPr>
              <w:t xml:space="preserve"> </w:t>
            </w:r>
            <w:r w:rsidRPr="008761E0">
              <w:rPr>
                <w:sz w:val="17"/>
                <w:szCs w:val="17"/>
              </w:rPr>
              <w:t>172</w:t>
            </w:r>
          </w:p>
        </w:tc>
        <w:tc>
          <w:tcPr>
            <w:tcW w:w="907" w:type="dxa"/>
            <w:shd w:val="clear" w:color="auto" w:fill="auto"/>
            <w:noWrap/>
            <w:vAlign w:val="bottom"/>
            <w:hideMark/>
          </w:tcPr>
          <w:p w14:paraId="57B1C2F4" w14:textId="4E52C835" w:rsidR="002227E6" w:rsidRPr="008761E0" w:rsidRDefault="002227E6" w:rsidP="00356632">
            <w:pPr>
              <w:spacing w:before="40" w:after="40" w:line="220" w:lineRule="exact"/>
              <w:ind w:right="113"/>
              <w:jc w:val="right"/>
              <w:rPr>
                <w:sz w:val="17"/>
                <w:szCs w:val="17"/>
              </w:rPr>
            </w:pPr>
            <w:r w:rsidRPr="008761E0">
              <w:rPr>
                <w:sz w:val="17"/>
                <w:szCs w:val="17"/>
              </w:rPr>
              <w:t>2</w:t>
            </w:r>
            <w:r w:rsidR="00D41420" w:rsidRPr="008761E0">
              <w:rPr>
                <w:sz w:val="17"/>
                <w:szCs w:val="17"/>
              </w:rPr>
              <w:t xml:space="preserve"> </w:t>
            </w:r>
            <w:r w:rsidRPr="008761E0">
              <w:rPr>
                <w:sz w:val="17"/>
                <w:szCs w:val="17"/>
              </w:rPr>
              <w:t>216</w:t>
            </w:r>
            <w:r w:rsidR="00D41420" w:rsidRPr="008761E0">
              <w:rPr>
                <w:sz w:val="17"/>
                <w:szCs w:val="17"/>
              </w:rPr>
              <w:t xml:space="preserve"> </w:t>
            </w:r>
            <w:r w:rsidRPr="008761E0">
              <w:rPr>
                <w:sz w:val="17"/>
                <w:szCs w:val="17"/>
              </w:rPr>
              <w:t>463</w:t>
            </w:r>
          </w:p>
        </w:tc>
        <w:tc>
          <w:tcPr>
            <w:tcW w:w="453" w:type="dxa"/>
            <w:shd w:val="clear" w:color="auto" w:fill="auto"/>
            <w:noWrap/>
            <w:vAlign w:val="bottom"/>
            <w:hideMark/>
          </w:tcPr>
          <w:p w14:paraId="5990E321" w14:textId="77777777" w:rsidR="002227E6" w:rsidRPr="008761E0" w:rsidRDefault="002227E6" w:rsidP="00356632">
            <w:pPr>
              <w:spacing w:before="40" w:after="40" w:line="220" w:lineRule="exact"/>
              <w:ind w:right="113"/>
              <w:jc w:val="right"/>
              <w:rPr>
                <w:sz w:val="17"/>
                <w:szCs w:val="17"/>
              </w:rPr>
            </w:pPr>
            <w:r w:rsidRPr="008761E0">
              <w:rPr>
                <w:sz w:val="17"/>
                <w:szCs w:val="17"/>
              </w:rPr>
              <w:t>89.8</w:t>
            </w:r>
          </w:p>
        </w:tc>
        <w:tc>
          <w:tcPr>
            <w:tcW w:w="907" w:type="dxa"/>
            <w:shd w:val="clear" w:color="auto" w:fill="auto"/>
            <w:noWrap/>
            <w:vAlign w:val="bottom"/>
            <w:hideMark/>
          </w:tcPr>
          <w:p w14:paraId="266656AF" w14:textId="684E1361" w:rsidR="002227E6" w:rsidRPr="008761E0" w:rsidRDefault="002227E6" w:rsidP="00356632">
            <w:pPr>
              <w:spacing w:before="40" w:after="40" w:line="220" w:lineRule="exact"/>
              <w:ind w:right="113"/>
              <w:jc w:val="right"/>
              <w:rPr>
                <w:sz w:val="17"/>
                <w:szCs w:val="17"/>
              </w:rPr>
            </w:pPr>
            <w:r w:rsidRPr="008761E0">
              <w:rPr>
                <w:sz w:val="17"/>
                <w:szCs w:val="17"/>
              </w:rPr>
              <w:t>2</w:t>
            </w:r>
            <w:r w:rsidR="00D41420" w:rsidRPr="008761E0">
              <w:rPr>
                <w:sz w:val="17"/>
                <w:szCs w:val="17"/>
              </w:rPr>
              <w:t xml:space="preserve"> </w:t>
            </w:r>
            <w:r w:rsidRPr="008761E0">
              <w:rPr>
                <w:sz w:val="17"/>
                <w:szCs w:val="17"/>
              </w:rPr>
              <w:t>938</w:t>
            </w:r>
            <w:r w:rsidR="00D41420" w:rsidRPr="008761E0">
              <w:rPr>
                <w:sz w:val="17"/>
                <w:szCs w:val="17"/>
              </w:rPr>
              <w:t xml:space="preserve"> </w:t>
            </w:r>
            <w:r w:rsidRPr="008761E0">
              <w:rPr>
                <w:sz w:val="17"/>
                <w:szCs w:val="17"/>
              </w:rPr>
              <w:t>029</w:t>
            </w:r>
          </w:p>
        </w:tc>
        <w:tc>
          <w:tcPr>
            <w:tcW w:w="992" w:type="dxa"/>
            <w:shd w:val="clear" w:color="auto" w:fill="auto"/>
            <w:noWrap/>
            <w:vAlign w:val="bottom"/>
            <w:hideMark/>
          </w:tcPr>
          <w:p w14:paraId="3F184E6B" w14:textId="09A3B83A" w:rsidR="002227E6" w:rsidRPr="008761E0" w:rsidRDefault="002227E6" w:rsidP="00356632">
            <w:pPr>
              <w:spacing w:before="40" w:after="40" w:line="220" w:lineRule="exact"/>
              <w:ind w:right="113"/>
              <w:jc w:val="right"/>
              <w:rPr>
                <w:sz w:val="17"/>
                <w:szCs w:val="17"/>
              </w:rPr>
            </w:pPr>
            <w:r w:rsidRPr="008761E0">
              <w:rPr>
                <w:sz w:val="17"/>
                <w:szCs w:val="17"/>
              </w:rPr>
              <w:t>2</w:t>
            </w:r>
            <w:r w:rsidR="00D41420" w:rsidRPr="008761E0">
              <w:rPr>
                <w:sz w:val="17"/>
                <w:szCs w:val="17"/>
              </w:rPr>
              <w:t xml:space="preserve"> </w:t>
            </w:r>
            <w:r w:rsidRPr="008761E0">
              <w:rPr>
                <w:sz w:val="17"/>
                <w:szCs w:val="17"/>
              </w:rPr>
              <w:t>403</w:t>
            </w:r>
            <w:r w:rsidR="00D41420" w:rsidRPr="008761E0">
              <w:rPr>
                <w:sz w:val="17"/>
                <w:szCs w:val="17"/>
              </w:rPr>
              <w:t xml:space="preserve"> </w:t>
            </w:r>
            <w:r w:rsidRPr="008761E0">
              <w:rPr>
                <w:sz w:val="17"/>
                <w:szCs w:val="17"/>
              </w:rPr>
              <w:t>670</w:t>
            </w:r>
          </w:p>
        </w:tc>
        <w:tc>
          <w:tcPr>
            <w:tcW w:w="425" w:type="dxa"/>
            <w:shd w:val="clear" w:color="auto" w:fill="auto"/>
            <w:noWrap/>
            <w:vAlign w:val="bottom"/>
            <w:hideMark/>
          </w:tcPr>
          <w:p w14:paraId="2285265B" w14:textId="77777777" w:rsidR="002227E6" w:rsidRPr="008761E0" w:rsidRDefault="002227E6" w:rsidP="00356632">
            <w:pPr>
              <w:spacing w:before="40" w:after="40" w:line="220" w:lineRule="exact"/>
              <w:ind w:right="113"/>
              <w:jc w:val="right"/>
              <w:rPr>
                <w:sz w:val="17"/>
                <w:szCs w:val="17"/>
              </w:rPr>
            </w:pPr>
            <w:r w:rsidRPr="008761E0">
              <w:rPr>
                <w:sz w:val="17"/>
                <w:szCs w:val="17"/>
              </w:rPr>
              <w:t>81.8</w:t>
            </w:r>
          </w:p>
        </w:tc>
        <w:tc>
          <w:tcPr>
            <w:tcW w:w="964" w:type="dxa"/>
            <w:shd w:val="clear" w:color="auto" w:fill="auto"/>
            <w:noWrap/>
            <w:vAlign w:val="bottom"/>
            <w:hideMark/>
          </w:tcPr>
          <w:p w14:paraId="691D2F79" w14:textId="532403D4" w:rsidR="002227E6" w:rsidRPr="008761E0" w:rsidRDefault="002227E6" w:rsidP="00356632">
            <w:pPr>
              <w:spacing w:before="40" w:after="40" w:line="220" w:lineRule="exact"/>
              <w:ind w:right="113"/>
              <w:jc w:val="right"/>
              <w:rPr>
                <w:sz w:val="17"/>
                <w:szCs w:val="17"/>
              </w:rPr>
            </w:pPr>
            <w:r w:rsidRPr="008761E0">
              <w:rPr>
                <w:sz w:val="17"/>
                <w:szCs w:val="17"/>
              </w:rPr>
              <w:t>2</w:t>
            </w:r>
            <w:r w:rsidR="00D41420" w:rsidRPr="008761E0">
              <w:rPr>
                <w:sz w:val="17"/>
                <w:szCs w:val="17"/>
              </w:rPr>
              <w:t xml:space="preserve"> </w:t>
            </w:r>
            <w:r w:rsidRPr="008761E0">
              <w:rPr>
                <w:sz w:val="17"/>
                <w:szCs w:val="17"/>
              </w:rPr>
              <w:t>310</w:t>
            </w:r>
            <w:r w:rsidR="00D41420" w:rsidRPr="008761E0">
              <w:rPr>
                <w:sz w:val="17"/>
                <w:szCs w:val="17"/>
              </w:rPr>
              <w:t xml:space="preserve"> </w:t>
            </w:r>
            <w:r w:rsidRPr="008761E0">
              <w:rPr>
                <w:sz w:val="17"/>
                <w:szCs w:val="17"/>
              </w:rPr>
              <w:t>066</w:t>
            </w:r>
          </w:p>
        </w:tc>
        <w:tc>
          <w:tcPr>
            <w:tcW w:w="624" w:type="dxa"/>
            <w:shd w:val="clear" w:color="auto" w:fill="auto"/>
            <w:noWrap/>
            <w:vAlign w:val="bottom"/>
            <w:hideMark/>
          </w:tcPr>
          <w:p w14:paraId="1FB31A90" w14:textId="77777777" w:rsidR="002227E6" w:rsidRPr="008761E0" w:rsidRDefault="002227E6" w:rsidP="00356632">
            <w:pPr>
              <w:spacing w:before="40" w:after="40" w:line="220" w:lineRule="exact"/>
              <w:ind w:right="113"/>
              <w:jc w:val="right"/>
              <w:rPr>
                <w:sz w:val="17"/>
                <w:szCs w:val="17"/>
              </w:rPr>
            </w:pPr>
            <w:r w:rsidRPr="008761E0">
              <w:rPr>
                <w:sz w:val="17"/>
                <w:szCs w:val="17"/>
              </w:rPr>
              <w:t>85.8</w:t>
            </w:r>
          </w:p>
        </w:tc>
      </w:tr>
      <w:bookmarkEnd w:id="2"/>
      <w:tr w:rsidR="005705F1" w:rsidRPr="00356632" w14:paraId="10ADAF0F" w14:textId="77777777" w:rsidTr="005705F1">
        <w:trPr>
          <w:trHeight w:val="240"/>
        </w:trPr>
        <w:tc>
          <w:tcPr>
            <w:tcW w:w="1093" w:type="dxa"/>
            <w:shd w:val="clear" w:color="auto" w:fill="auto"/>
            <w:noWrap/>
            <w:hideMark/>
          </w:tcPr>
          <w:p w14:paraId="12BAB7E2" w14:textId="77777777" w:rsidR="002227E6" w:rsidRPr="008761E0" w:rsidRDefault="002227E6" w:rsidP="00356632">
            <w:pPr>
              <w:spacing w:before="40" w:after="40" w:line="220" w:lineRule="exact"/>
              <w:ind w:right="113"/>
              <w:rPr>
                <w:sz w:val="17"/>
                <w:szCs w:val="17"/>
              </w:rPr>
            </w:pPr>
            <w:r w:rsidRPr="008761E0">
              <w:rPr>
                <w:sz w:val="17"/>
                <w:szCs w:val="17"/>
              </w:rPr>
              <w:t>Viacha</w:t>
            </w:r>
          </w:p>
        </w:tc>
        <w:tc>
          <w:tcPr>
            <w:tcW w:w="892" w:type="dxa"/>
            <w:shd w:val="clear" w:color="auto" w:fill="auto"/>
            <w:noWrap/>
            <w:vAlign w:val="bottom"/>
            <w:hideMark/>
          </w:tcPr>
          <w:p w14:paraId="202D156C" w14:textId="7E235E6C" w:rsidR="002227E6" w:rsidRPr="008761E0" w:rsidRDefault="002227E6" w:rsidP="00356632">
            <w:pPr>
              <w:spacing w:before="40" w:after="40" w:line="220" w:lineRule="exact"/>
              <w:ind w:right="113"/>
              <w:jc w:val="right"/>
              <w:rPr>
                <w:sz w:val="17"/>
                <w:szCs w:val="17"/>
              </w:rPr>
            </w:pPr>
            <w:r w:rsidRPr="008761E0">
              <w:rPr>
                <w:sz w:val="17"/>
                <w:szCs w:val="17"/>
              </w:rPr>
              <w:t>93</w:t>
            </w:r>
            <w:r w:rsidR="00D41420" w:rsidRPr="008761E0">
              <w:rPr>
                <w:sz w:val="17"/>
                <w:szCs w:val="17"/>
              </w:rPr>
              <w:t xml:space="preserve"> </w:t>
            </w:r>
            <w:r w:rsidRPr="008761E0">
              <w:rPr>
                <w:sz w:val="17"/>
                <w:szCs w:val="17"/>
              </w:rPr>
              <w:t>461</w:t>
            </w:r>
          </w:p>
        </w:tc>
        <w:tc>
          <w:tcPr>
            <w:tcW w:w="907" w:type="dxa"/>
            <w:shd w:val="clear" w:color="auto" w:fill="auto"/>
            <w:noWrap/>
            <w:vAlign w:val="bottom"/>
            <w:hideMark/>
          </w:tcPr>
          <w:p w14:paraId="7C9B8C2C" w14:textId="11CB3C37" w:rsidR="002227E6" w:rsidRPr="008761E0" w:rsidRDefault="002227E6" w:rsidP="00356632">
            <w:pPr>
              <w:spacing w:before="40" w:after="40" w:line="220" w:lineRule="exact"/>
              <w:ind w:right="113"/>
              <w:jc w:val="right"/>
              <w:rPr>
                <w:sz w:val="17"/>
                <w:szCs w:val="17"/>
              </w:rPr>
            </w:pPr>
            <w:r w:rsidRPr="008761E0">
              <w:rPr>
                <w:sz w:val="17"/>
                <w:szCs w:val="17"/>
              </w:rPr>
              <w:t>74</w:t>
            </w:r>
            <w:r w:rsidR="00D41420" w:rsidRPr="008761E0">
              <w:rPr>
                <w:sz w:val="17"/>
                <w:szCs w:val="17"/>
              </w:rPr>
              <w:t xml:space="preserve"> </w:t>
            </w:r>
            <w:r w:rsidRPr="008761E0">
              <w:rPr>
                <w:sz w:val="17"/>
                <w:szCs w:val="17"/>
              </w:rPr>
              <w:t>501</w:t>
            </w:r>
          </w:p>
        </w:tc>
        <w:tc>
          <w:tcPr>
            <w:tcW w:w="447" w:type="dxa"/>
            <w:shd w:val="clear" w:color="auto" w:fill="auto"/>
            <w:noWrap/>
            <w:vAlign w:val="bottom"/>
            <w:hideMark/>
          </w:tcPr>
          <w:p w14:paraId="765D802C" w14:textId="77777777" w:rsidR="002227E6" w:rsidRPr="008761E0" w:rsidRDefault="002227E6" w:rsidP="00356632">
            <w:pPr>
              <w:spacing w:before="40" w:after="40" w:line="220" w:lineRule="exact"/>
              <w:ind w:right="113"/>
              <w:jc w:val="right"/>
              <w:rPr>
                <w:sz w:val="17"/>
                <w:szCs w:val="17"/>
              </w:rPr>
            </w:pPr>
            <w:r w:rsidRPr="008761E0">
              <w:rPr>
                <w:sz w:val="17"/>
                <w:szCs w:val="17"/>
              </w:rPr>
              <w:t>79.7</w:t>
            </w:r>
          </w:p>
        </w:tc>
        <w:tc>
          <w:tcPr>
            <w:tcW w:w="924" w:type="dxa"/>
            <w:shd w:val="clear" w:color="auto" w:fill="auto"/>
            <w:noWrap/>
            <w:vAlign w:val="bottom"/>
            <w:hideMark/>
          </w:tcPr>
          <w:p w14:paraId="7C0B127D" w14:textId="544CEF76" w:rsidR="002227E6" w:rsidRPr="008761E0" w:rsidRDefault="002227E6" w:rsidP="00356632">
            <w:pPr>
              <w:spacing w:before="40" w:after="40" w:line="220" w:lineRule="exact"/>
              <w:ind w:right="113"/>
              <w:jc w:val="right"/>
              <w:rPr>
                <w:sz w:val="17"/>
                <w:szCs w:val="17"/>
              </w:rPr>
            </w:pPr>
            <w:r w:rsidRPr="008761E0">
              <w:rPr>
                <w:sz w:val="17"/>
                <w:szCs w:val="17"/>
              </w:rPr>
              <w:t>455</w:t>
            </w:r>
            <w:r w:rsidR="00D41420" w:rsidRPr="008761E0">
              <w:rPr>
                <w:sz w:val="17"/>
                <w:szCs w:val="17"/>
              </w:rPr>
              <w:t xml:space="preserve"> </w:t>
            </w:r>
            <w:r w:rsidRPr="008761E0">
              <w:rPr>
                <w:sz w:val="17"/>
                <w:szCs w:val="17"/>
              </w:rPr>
              <w:t>655</w:t>
            </w:r>
          </w:p>
        </w:tc>
        <w:tc>
          <w:tcPr>
            <w:tcW w:w="907" w:type="dxa"/>
            <w:shd w:val="clear" w:color="auto" w:fill="auto"/>
            <w:noWrap/>
            <w:vAlign w:val="bottom"/>
            <w:hideMark/>
          </w:tcPr>
          <w:p w14:paraId="4FD14503" w14:textId="4C66939F" w:rsidR="002227E6" w:rsidRPr="008761E0" w:rsidRDefault="002227E6" w:rsidP="00356632">
            <w:pPr>
              <w:spacing w:before="40" w:after="40" w:line="220" w:lineRule="exact"/>
              <w:ind w:right="113"/>
              <w:jc w:val="right"/>
              <w:rPr>
                <w:sz w:val="17"/>
                <w:szCs w:val="17"/>
              </w:rPr>
            </w:pPr>
            <w:r w:rsidRPr="008761E0">
              <w:rPr>
                <w:sz w:val="17"/>
                <w:szCs w:val="17"/>
              </w:rPr>
              <w:t>436</w:t>
            </w:r>
            <w:r w:rsidR="00D41420" w:rsidRPr="008761E0">
              <w:rPr>
                <w:sz w:val="17"/>
                <w:szCs w:val="17"/>
              </w:rPr>
              <w:t xml:space="preserve"> </w:t>
            </w:r>
            <w:r w:rsidRPr="008761E0">
              <w:rPr>
                <w:sz w:val="17"/>
                <w:szCs w:val="17"/>
              </w:rPr>
              <w:t>021</w:t>
            </w:r>
          </w:p>
        </w:tc>
        <w:tc>
          <w:tcPr>
            <w:tcW w:w="453" w:type="dxa"/>
            <w:shd w:val="clear" w:color="auto" w:fill="auto"/>
            <w:noWrap/>
            <w:vAlign w:val="bottom"/>
            <w:hideMark/>
          </w:tcPr>
          <w:p w14:paraId="2A516AD1" w14:textId="77777777" w:rsidR="002227E6" w:rsidRPr="008761E0" w:rsidRDefault="002227E6" w:rsidP="00356632">
            <w:pPr>
              <w:spacing w:before="40" w:after="40" w:line="220" w:lineRule="exact"/>
              <w:ind w:right="113"/>
              <w:jc w:val="right"/>
              <w:rPr>
                <w:sz w:val="17"/>
                <w:szCs w:val="17"/>
              </w:rPr>
            </w:pPr>
            <w:r w:rsidRPr="008761E0">
              <w:rPr>
                <w:sz w:val="17"/>
                <w:szCs w:val="17"/>
              </w:rPr>
              <w:t>95.7</w:t>
            </w:r>
          </w:p>
        </w:tc>
        <w:tc>
          <w:tcPr>
            <w:tcW w:w="907" w:type="dxa"/>
            <w:shd w:val="clear" w:color="auto" w:fill="auto"/>
            <w:noWrap/>
            <w:vAlign w:val="bottom"/>
            <w:hideMark/>
          </w:tcPr>
          <w:p w14:paraId="107BAEE4" w14:textId="4F3D7235" w:rsidR="002227E6" w:rsidRPr="008761E0" w:rsidRDefault="002227E6" w:rsidP="00356632">
            <w:pPr>
              <w:spacing w:before="40" w:after="40" w:line="220" w:lineRule="exact"/>
              <w:ind w:right="113"/>
              <w:jc w:val="right"/>
              <w:rPr>
                <w:sz w:val="17"/>
                <w:szCs w:val="17"/>
              </w:rPr>
            </w:pPr>
            <w:r w:rsidRPr="008761E0">
              <w:rPr>
                <w:sz w:val="17"/>
                <w:szCs w:val="17"/>
              </w:rPr>
              <w:t>417</w:t>
            </w:r>
            <w:r w:rsidR="00D41420" w:rsidRPr="008761E0">
              <w:rPr>
                <w:sz w:val="17"/>
                <w:szCs w:val="17"/>
              </w:rPr>
              <w:t xml:space="preserve"> </w:t>
            </w:r>
            <w:r w:rsidRPr="008761E0">
              <w:rPr>
                <w:sz w:val="17"/>
                <w:szCs w:val="17"/>
              </w:rPr>
              <w:t>706</w:t>
            </w:r>
          </w:p>
        </w:tc>
        <w:tc>
          <w:tcPr>
            <w:tcW w:w="992" w:type="dxa"/>
            <w:shd w:val="clear" w:color="auto" w:fill="auto"/>
            <w:noWrap/>
            <w:vAlign w:val="bottom"/>
            <w:hideMark/>
          </w:tcPr>
          <w:p w14:paraId="73F127EF" w14:textId="2D4AA74F" w:rsidR="002227E6" w:rsidRPr="008761E0" w:rsidRDefault="002227E6" w:rsidP="00356632">
            <w:pPr>
              <w:spacing w:before="40" w:after="40" w:line="220" w:lineRule="exact"/>
              <w:ind w:right="113"/>
              <w:jc w:val="right"/>
              <w:rPr>
                <w:sz w:val="17"/>
                <w:szCs w:val="17"/>
              </w:rPr>
            </w:pPr>
            <w:r w:rsidRPr="008761E0">
              <w:rPr>
                <w:sz w:val="17"/>
                <w:szCs w:val="17"/>
              </w:rPr>
              <w:t>305</w:t>
            </w:r>
            <w:r w:rsidR="00D41420" w:rsidRPr="008761E0">
              <w:rPr>
                <w:sz w:val="17"/>
                <w:szCs w:val="17"/>
              </w:rPr>
              <w:t xml:space="preserve"> </w:t>
            </w:r>
            <w:r w:rsidRPr="008761E0">
              <w:rPr>
                <w:sz w:val="17"/>
                <w:szCs w:val="17"/>
              </w:rPr>
              <w:t>811</w:t>
            </w:r>
          </w:p>
        </w:tc>
        <w:tc>
          <w:tcPr>
            <w:tcW w:w="425" w:type="dxa"/>
            <w:shd w:val="clear" w:color="auto" w:fill="auto"/>
            <w:noWrap/>
            <w:vAlign w:val="bottom"/>
            <w:hideMark/>
          </w:tcPr>
          <w:p w14:paraId="0595E421" w14:textId="77777777" w:rsidR="002227E6" w:rsidRPr="008761E0" w:rsidRDefault="002227E6" w:rsidP="00356632">
            <w:pPr>
              <w:spacing w:before="40" w:after="40" w:line="220" w:lineRule="exact"/>
              <w:ind w:right="113"/>
              <w:jc w:val="right"/>
              <w:rPr>
                <w:sz w:val="17"/>
                <w:szCs w:val="17"/>
              </w:rPr>
            </w:pPr>
            <w:r w:rsidRPr="008761E0">
              <w:rPr>
                <w:sz w:val="17"/>
                <w:szCs w:val="17"/>
              </w:rPr>
              <w:t>73.2</w:t>
            </w:r>
          </w:p>
        </w:tc>
        <w:tc>
          <w:tcPr>
            <w:tcW w:w="964" w:type="dxa"/>
            <w:shd w:val="clear" w:color="auto" w:fill="auto"/>
            <w:noWrap/>
            <w:vAlign w:val="bottom"/>
            <w:hideMark/>
          </w:tcPr>
          <w:p w14:paraId="625D7378" w14:textId="633B84A4" w:rsidR="002227E6" w:rsidRPr="008761E0" w:rsidRDefault="002227E6" w:rsidP="00356632">
            <w:pPr>
              <w:spacing w:before="40" w:after="40" w:line="220" w:lineRule="exact"/>
              <w:ind w:right="113"/>
              <w:jc w:val="right"/>
              <w:rPr>
                <w:sz w:val="17"/>
                <w:szCs w:val="17"/>
              </w:rPr>
            </w:pPr>
            <w:r w:rsidRPr="008761E0">
              <w:rPr>
                <w:sz w:val="17"/>
                <w:szCs w:val="17"/>
              </w:rPr>
              <w:t>272</w:t>
            </w:r>
            <w:r w:rsidR="00D41420" w:rsidRPr="008761E0">
              <w:rPr>
                <w:sz w:val="17"/>
                <w:szCs w:val="17"/>
              </w:rPr>
              <w:t xml:space="preserve"> </w:t>
            </w:r>
            <w:r w:rsidRPr="008761E0">
              <w:rPr>
                <w:sz w:val="17"/>
                <w:szCs w:val="17"/>
              </w:rPr>
              <w:t>111</w:t>
            </w:r>
          </w:p>
        </w:tc>
        <w:tc>
          <w:tcPr>
            <w:tcW w:w="624" w:type="dxa"/>
            <w:shd w:val="clear" w:color="auto" w:fill="auto"/>
            <w:noWrap/>
            <w:vAlign w:val="bottom"/>
            <w:hideMark/>
          </w:tcPr>
          <w:p w14:paraId="3623A640" w14:textId="77777777" w:rsidR="002227E6" w:rsidRPr="008761E0" w:rsidRDefault="002227E6" w:rsidP="00356632">
            <w:pPr>
              <w:spacing w:before="40" w:after="40" w:line="220" w:lineRule="exact"/>
              <w:ind w:right="113"/>
              <w:jc w:val="right"/>
              <w:rPr>
                <w:sz w:val="17"/>
                <w:szCs w:val="17"/>
              </w:rPr>
            </w:pPr>
            <w:r w:rsidRPr="008761E0">
              <w:rPr>
                <w:sz w:val="17"/>
                <w:szCs w:val="17"/>
              </w:rPr>
              <w:t>82.9</w:t>
            </w:r>
          </w:p>
        </w:tc>
      </w:tr>
      <w:tr w:rsidR="005705F1" w:rsidRPr="00356632" w14:paraId="6A9AF739" w14:textId="77777777" w:rsidTr="005705F1">
        <w:trPr>
          <w:trHeight w:val="240"/>
        </w:trPr>
        <w:tc>
          <w:tcPr>
            <w:tcW w:w="1093" w:type="dxa"/>
            <w:tcBorders>
              <w:bottom w:val="single" w:sz="4" w:space="0" w:color="auto"/>
            </w:tcBorders>
            <w:shd w:val="clear" w:color="auto" w:fill="auto"/>
            <w:noWrap/>
            <w:hideMark/>
          </w:tcPr>
          <w:p w14:paraId="722182B3" w14:textId="77777777" w:rsidR="002227E6" w:rsidRPr="008761E0" w:rsidRDefault="002227E6" w:rsidP="00356632">
            <w:pPr>
              <w:spacing w:before="40" w:after="40" w:line="220" w:lineRule="exact"/>
              <w:ind w:right="113"/>
              <w:rPr>
                <w:sz w:val="17"/>
                <w:szCs w:val="17"/>
              </w:rPr>
            </w:pPr>
            <w:r w:rsidRPr="008761E0">
              <w:rPr>
                <w:sz w:val="17"/>
                <w:szCs w:val="17"/>
              </w:rPr>
              <w:t>Cobija</w:t>
            </w:r>
          </w:p>
        </w:tc>
        <w:tc>
          <w:tcPr>
            <w:tcW w:w="892" w:type="dxa"/>
            <w:tcBorders>
              <w:bottom w:val="single" w:sz="4" w:space="0" w:color="auto"/>
            </w:tcBorders>
            <w:shd w:val="clear" w:color="auto" w:fill="auto"/>
            <w:noWrap/>
            <w:vAlign w:val="bottom"/>
            <w:hideMark/>
          </w:tcPr>
          <w:p w14:paraId="0AA00C56" w14:textId="6095A38D" w:rsidR="002227E6" w:rsidRPr="008761E0" w:rsidRDefault="002227E6" w:rsidP="00356632">
            <w:pPr>
              <w:spacing w:before="40" w:after="40" w:line="220" w:lineRule="exact"/>
              <w:ind w:right="113"/>
              <w:jc w:val="right"/>
              <w:rPr>
                <w:sz w:val="17"/>
                <w:szCs w:val="17"/>
              </w:rPr>
            </w:pPr>
            <w:r w:rsidRPr="008761E0">
              <w:rPr>
                <w:sz w:val="17"/>
                <w:szCs w:val="17"/>
              </w:rPr>
              <w:t>841</w:t>
            </w:r>
            <w:r w:rsidR="00D41420" w:rsidRPr="008761E0">
              <w:rPr>
                <w:sz w:val="17"/>
                <w:szCs w:val="17"/>
              </w:rPr>
              <w:t xml:space="preserve"> </w:t>
            </w:r>
            <w:r w:rsidRPr="008761E0">
              <w:rPr>
                <w:sz w:val="17"/>
                <w:szCs w:val="17"/>
              </w:rPr>
              <w:t>528</w:t>
            </w:r>
          </w:p>
        </w:tc>
        <w:tc>
          <w:tcPr>
            <w:tcW w:w="907" w:type="dxa"/>
            <w:tcBorders>
              <w:bottom w:val="single" w:sz="4" w:space="0" w:color="auto"/>
            </w:tcBorders>
            <w:shd w:val="clear" w:color="auto" w:fill="auto"/>
            <w:noWrap/>
            <w:vAlign w:val="bottom"/>
            <w:hideMark/>
          </w:tcPr>
          <w:p w14:paraId="3905E3BC" w14:textId="721DAC33" w:rsidR="002227E6" w:rsidRPr="008761E0" w:rsidRDefault="002227E6" w:rsidP="00356632">
            <w:pPr>
              <w:spacing w:before="40" w:after="40" w:line="220" w:lineRule="exact"/>
              <w:ind w:right="113"/>
              <w:jc w:val="right"/>
              <w:rPr>
                <w:sz w:val="17"/>
                <w:szCs w:val="17"/>
              </w:rPr>
            </w:pPr>
            <w:r w:rsidRPr="008761E0">
              <w:rPr>
                <w:sz w:val="17"/>
                <w:szCs w:val="17"/>
              </w:rPr>
              <w:t>829</w:t>
            </w:r>
            <w:r w:rsidR="00D41420" w:rsidRPr="008761E0">
              <w:rPr>
                <w:sz w:val="17"/>
                <w:szCs w:val="17"/>
              </w:rPr>
              <w:t xml:space="preserve"> </w:t>
            </w:r>
            <w:r w:rsidRPr="008761E0">
              <w:rPr>
                <w:sz w:val="17"/>
                <w:szCs w:val="17"/>
              </w:rPr>
              <w:t>439</w:t>
            </w:r>
          </w:p>
        </w:tc>
        <w:tc>
          <w:tcPr>
            <w:tcW w:w="447" w:type="dxa"/>
            <w:tcBorders>
              <w:bottom w:val="single" w:sz="4" w:space="0" w:color="auto"/>
            </w:tcBorders>
            <w:shd w:val="clear" w:color="auto" w:fill="auto"/>
            <w:noWrap/>
            <w:vAlign w:val="bottom"/>
            <w:hideMark/>
          </w:tcPr>
          <w:p w14:paraId="31FE6862" w14:textId="77777777" w:rsidR="002227E6" w:rsidRPr="008761E0" w:rsidRDefault="002227E6" w:rsidP="00356632">
            <w:pPr>
              <w:spacing w:before="40" w:after="40" w:line="220" w:lineRule="exact"/>
              <w:ind w:right="113"/>
              <w:jc w:val="right"/>
              <w:rPr>
                <w:sz w:val="17"/>
                <w:szCs w:val="17"/>
              </w:rPr>
            </w:pPr>
            <w:r w:rsidRPr="008761E0">
              <w:rPr>
                <w:sz w:val="17"/>
                <w:szCs w:val="17"/>
              </w:rPr>
              <w:t>98.6</w:t>
            </w:r>
          </w:p>
        </w:tc>
        <w:tc>
          <w:tcPr>
            <w:tcW w:w="924" w:type="dxa"/>
            <w:tcBorders>
              <w:bottom w:val="single" w:sz="4" w:space="0" w:color="auto"/>
            </w:tcBorders>
            <w:shd w:val="clear" w:color="auto" w:fill="auto"/>
            <w:noWrap/>
            <w:vAlign w:val="bottom"/>
            <w:hideMark/>
          </w:tcPr>
          <w:p w14:paraId="07F73D37" w14:textId="49FB0508" w:rsidR="002227E6" w:rsidRPr="008761E0" w:rsidRDefault="002227E6" w:rsidP="00356632">
            <w:pPr>
              <w:spacing w:before="40" w:after="40" w:line="220" w:lineRule="exact"/>
              <w:ind w:right="113"/>
              <w:jc w:val="right"/>
              <w:rPr>
                <w:sz w:val="17"/>
                <w:szCs w:val="17"/>
              </w:rPr>
            </w:pPr>
            <w:r w:rsidRPr="008761E0">
              <w:rPr>
                <w:sz w:val="17"/>
                <w:szCs w:val="17"/>
              </w:rPr>
              <w:t>2</w:t>
            </w:r>
            <w:r w:rsidR="00D41420" w:rsidRPr="008761E0">
              <w:rPr>
                <w:sz w:val="17"/>
                <w:szCs w:val="17"/>
              </w:rPr>
              <w:t xml:space="preserve"> </w:t>
            </w:r>
            <w:r w:rsidRPr="008761E0">
              <w:rPr>
                <w:sz w:val="17"/>
                <w:szCs w:val="17"/>
              </w:rPr>
              <w:t>060</w:t>
            </w:r>
            <w:r w:rsidR="00D41420" w:rsidRPr="008761E0">
              <w:rPr>
                <w:sz w:val="17"/>
                <w:szCs w:val="17"/>
              </w:rPr>
              <w:t xml:space="preserve"> </w:t>
            </w:r>
            <w:r w:rsidRPr="008761E0">
              <w:rPr>
                <w:sz w:val="17"/>
                <w:szCs w:val="17"/>
              </w:rPr>
              <w:t>825</w:t>
            </w:r>
          </w:p>
        </w:tc>
        <w:tc>
          <w:tcPr>
            <w:tcW w:w="907" w:type="dxa"/>
            <w:tcBorders>
              <w:bottom w:val="single" w:sz="4" w:space="0" w:color="auto"/>
            </w:tcBorders>
            <w:shd w:val="clear" w:color="auto" w:fill="auto"/>
            <w:noWrap/>
            <w:vAlign w:val="bottom"/>
            <w:hideMark/>
          </w:tcPr>
          <w:p w14:paraId="32F410A4" w14:textId="28C85D6C"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608</w:t>
            </w:r>
            <w:r w:rsidR="00D41420" w:rsidRPr="008761E0">
              <w:rPr>
                <w:sz w:val="17"/>
                <w:szCs w:val="17"/>
              </w:rPr>
              <w:t xml:space="preserve"> </w:t>
            </w:r>
            <w:r w:rsidRPr="008761E0">
              <w:rPr>
                <w:sz w:val="17"/>
                <w:szCs w:val="17"/>
              </w:rPr>
              <w:t>390</w:t>
            </w:r>
          </w:p>
        </w:tc>
        <w:tc>
          <w:tcPr>
            <w:tcW w:w="453" w:type="dxa"/>
            <w:tcBorders>
              <w:bottom w:val="single" w:sz="4" w:space="0" w:color="auto"/>
            </w:tcBorders>
            <w:shd w:val="clear" w:color="auto" w:fill="auto"/>
            <w:noWrap/>
            <w:vAlign w:val="bottom"/>
            <w:hideMark/>
          </w:tcPr>
          <w:p w14:paraId="582F3D1E" w14:textId="77777777" w:rsidR="002227E6" w:rsidRPr="008761E0" w:rsidRDefault="002227E6" w:rsidP="00356632">
            <w:pPr>
              <w:spacing w:before="40" w:after="40" w:line="220" w:lineRule="exact"/>
              <w:ind w:right="113"/>
              <w:jc w:val="right"/>
              <w:rPr>
                <w:sz w:val="17"/>
                <w:szCs w:val="17"/>
              </w:rPr>
            </w:pPr>
            <w:r w:rsidRPr="008761E0">
              <w:rPr>
                <w:sz w:val="17"/>
                <w:szCs w:val="17"/>
              </w:rPr>
              <w:t>78.0</w:t>
            </w:r>
          </w:p>
        </w:tc>
        <w:tc>
          <w:tcPr>
            <w:tcW w:w="907" w:type="dxa"/>
            <w:tcBorders>
              <w:bottom w:val="single" w:sz="4" w:space="0" w:color="auto"/>
            </w:tcBorders>
            <w:shd w:val="clear" w:color="auto" w:fill="auto"/>
            <w:noWrap/>
            <w:vAlign w:val="bottom"/>
            <w:hideMark/>
          </w:tcPr>
          <w:p w14:paraId="27488410" w14:textId="6CFA8F13" w:rsidR="002227E6" w:rsidRPr="008761E0" w:rsidRDefault="002227E6" w:rsidP="00356632">
            <w:pPr>
              <w:spacing w:before="40" w:after="40" w:line="220" w:lineRule="exact"/>
              <w:ind w:right="113"/>
              <w:jc w:val="right"/>
              <w:rPr>
                <w:sz w:val="17"/>
                <w:szCs w:val="17"/>
              </w:rPr>
            </w:pPr>
            <w:r w:rsidRPr="008761E0">
              <w:rPr>
                <w:sz w:val="17"/>
                <w:szCs w:val="17"/>
              </w:rPr>
              <w:t>1</w:t>
            </w:r>
            <w:r w:rsidR="00D41420" w:rsidRPr="008761E0">
              <w:rPr>
                <w:sz w:val="17"/>
                <w:szCs w:val="17"/>
              </w:rPr>
              <w:t xml:space="preserve"> </w:t>
            </w:r>
            <w:r w:rsidRPr="008761E0">
              <w:rPr>
                <w:sz w:val="17"/>
                <w:szCs w:val="17"/>
              </w:rPr>
              <w:t>394</w:t>
            </w:r>
            <w:r w:rsidR="00D41420" w:rsidRPr="008761E0">
              <w:rPr>
                <w:sz w:val="17"/>
                <w:szCs w:val="17"/>
              </w:rPr>
              <w:t xml:space="preserve"> </w:t>
            </w:r>
            <w:r w:rsidRPr="008761E0">
              <w:rPr>
                <w:sz w:val="17"/>
                <w:szCs w:val="17"/>
              </w:rPr>
              <w:t>249</w:t>
            </w:r>
          </w:p>
        </w:tc>
        <w:tc>
          <w:tcPr>
            <w:tcW w:w="992" w:type="dxa"/>
            <w:tcBorders>
              <w:bottom w:val="single" w:sz="4" w:space="0" w:color="auto"/>
            </w:tcBorders>
            <w:shd w:val="clear" w:color="auto" w:fill="auto"/>
            <w:noWrap/>
            <w:vAlign w:val="bottom"/>
            <w:hideMark/>
          </w:tcPr>
          <w:p w14:paraId="23FF1D53" w14:textId="05001476" w:rsidR="002227E6" w:rsidRPr="008761E0" w:rsidRDefault="002227E6" w:rsidP="00356632">
            <w:pPr>
              <w:spacing w:before="40" w:after="40" w:line="220" w:lineRule="exact"/>
              <w:ind w:right="113"/>
              <w:jc w:val="right"/>
              <w:rPr>
                <w:sz w:val="17"/>
                <w:szCs w:val="17"/>
              </w:rPr>
            </w:pPr>
            <w:r w:rsidRPr="008761E0">
              <w:rPr>
                <w:sz w:val="17"/>
                <w:szCs w:val="17"/>
              </w:rPr>
              <w:t>551</w:t>
            </w:r>
            <w:r w:rsidR="00D41420" w:rsidRPr="008761E0">
              <w:rPr>
                <w:sz w:val="17"/>
                <w:szCs w:val="17"/>
              </w:rPr>
              <w:t xml:space="preserve"> </w:t>
            </w:r>
            <w:r w:rsidRPr="008761E0">
              <w:rPr>
                <w:sz w:val="17"/>
                <w:szCs w:val="17"/>
              </w:rPr>
              <w:t>294</w:t>
            </w:r>
          </w:p>
        </w:tc>
        <w:tc>
          <w:tcPr>
            <w:tcW w:w="425" w:type="dxa"/>
            <w:tcBorders>
              <w:bottom w:val="single" w:sz="4" w:space="0" w:color="auto"/>
            </w:tcBorders>
            <w:shd w:val="clear" w:color="auto" w:fill="auto"/>
            <w:noWrap/>
            <w:vAlign w:val="bottom"/>
            <w:hideMark/>
          </w:tcPr>
          <w:p w14:paraId="0D14C5E2" w14:textId="77777777" w:rsidR="002227E6" w:rsidRPr="008761E0" w:rsidRDefault="002227E6" w:rsidP="00356632">
            <w:pPr>
              <w:spacing w:before="40" w:after="40" w:line="220" w:lineRule="exact"/>
              <w:ind w:right="113"/>
              <w:jc w:val="right"/>
              <w:rPr>
                <w:sz w:val="17"/>
                <w:szCs w:val="17"/>
              </w:rPr>
            </w:pPr>
            <w:r w:rsidRPr="008761E0">
              <w:rPr>
                <w:sz w:val="17"/>
                <w:szCs w:val="17"/>
              </w:rPr>
              <w:t>39.5</w:t>
            </w:r>
          </w:p>
        </w:tc>
        <w:tc>
          <w:tcPr>
            <w:tcW w:w="964" w:type="dxa"/>
            <w:tcBorders>
              <w:bottom w:val="single" w:sz="4" w:space="0" w:color="auto"/>
            </w:tcBorders>
            <w:shd w:val="clear" w:color="auto" w:fill="auto"/>
            <w:noWrap/>
            <w:vAlign w:val="bottom"/>
            <w:hideMark/>
          </w:tcPr>
          <w:p w14:paraId="70F82293" w14:textId="5CB78FD7" w:rsidR="002227E6" w:rsidRPr="008761E0" w:rsidRDefault="002227E6" w:rsidP="00356632">
            <w:pPr>
              <w:spacing w:before="40" w:after="40" w:line="220" w:lineRule="exact"/>
              <w:ind w:right="113"/>
              <w:jc w:val="right"/>
              <w:rPr>
                <w:sz w:val="17"/>
                <w:szCs w:val="17"/>
              </w:rPr>
            </w:pPr>
            <w:r w:rsidRPr="008761E0">
              <w:rPr>
                <w:sz w:val="17"/>
                <w:szCs w:val="17"/>
              </w:rPr>
              <w:t>996</w:t>
            </w:r>
            <w:r w:rsidR="00D41420" w:rsidRPr="008761E0">
              <w:rPr>
                <w:sz w:val="17"/>
                <w:szCs w:val="17"/>
              </w:rPr>
              <w:t xml:space="preserve"> </w:t>
            </w:r>
            <w:r w:rsidRPr="008761E0">
              <w:rPr>
                <w:sz w:val="17"/>
                <w:szCs w:val="17"/>
              </w:rPr>
              <w:t>374</w:t>
            </w:r>
          </w:p>
        </w:tc>
        <w:tc>
          <w:tcPr>
            <w:tcW w:w="624" w:type="dxa"/>
            <w:tcBorders>
              <w:bottom w:val="single" w:sz="4" w:space="0" w:color="auto"/>
            </w:tcBorders>
            <w:shd w:val="clear" w:color="auto" w:fill="auto"/>
            <w:noWrap/>
            <w:vAlign w:val="bottom"/>
            <w:hideMark/>
          </w:tcPr>
          <w:p w14:paraId="7A53596F" w14:textId="77777777" w:rsidR="002227E6" w:rsidRPr="008761E0" w:rsidRDefault="002227E6" w:rsidP="00356632">
            <w:pPr>
              <w:spacing w:before="40" w:after="40" w:line="220" w:lineRule="exact"/>
              <w:ind w:right="113"/>
              <w:jc w:val="right"/>
              <w:rPr>
                <w:sz w:val="17"/>
                <w:szCs w:val="17"/>
              </w:rPr>
            </w:pPr>
            <w:r w:rsidRPr="008761E0">
              <w:rPr>
                <w:sz w:val="17"/>
                <w:szCs w:val="17"/>
              </w:rPr>
              <w:t>72.0</w:t>
            </w:r>
          </w:p>
        </w:tc>
      </w:tr>
      <w:tr w:rsidR="005705F1" w:rsidRPr="00143596" w14:paraId="412F5F42" w14:textId="77777777" w:rsidTr="005705F1">
        <w:trPr>
          <w:trHeight w:val="240"/>
        </w:trPr>
        <w:tc>
          <w:tcPr>
            <w:tcW w:w="1093" w:type="dxa"/>
            <w:tcBorders>
              <w:top w:val="single" w:sz="4" w:space="0" w:color="auto"/>
              <w:bottom w:val="single" w:sz="12" w:space="0" w:color="auto"/>
            </w:tcBorders>
            <w:shd w:val="clear" w:color="auto" w:fill="auto"/>
            <w:noWrap/>
          </w:tcPr>
          <w:p w14:paraId="560B484E" w14:textId="77777777" w:rsidR="002227E6" w:rsidRPr="008761E0" w:rsidRDefault="002227E6" w:rsidP="00143596">
            <w:pPr>
              <w:spacing w:before="80" w:after="80" w:line="220" w:lineRule="exact"/>
              <w:ind w:right="113"/>
              <w:jc w:val="right"/>
              <w:rPr>
                <w:b/>
                <w:sz w:val="17"/>
                <w:szCs w:val="17"/>
              </w:rPr>
            </w:pPr>
            <w:r w:rsidRPr="008761E0">
              <w:rPr>
                <w:b/>
                <w:sz w:val="17"/>
                <w:szCs w:val="17"/>
              </w:rPr>
              <w:t>Total cat. D</w:t>
            </w:r>
          </w:p>
        </w:tc>
        <w:tc>
          <w:tcPr>
            <w:tcW w:w="892" w:type="dxa"/>
            <w:tcBorders>
              <w:top w:val="single" w:sz="4" w:space="0" w:color="auto"/>
              <w:bottom w:val="single" w:sz="12" w:space="0" w:color="auto"/>
            </w:tcBorders>
            <w:shd w:val="clear" w:color="auto" w:fill="auto"/>
            <w:noWrap/>
            <w:vAlign w:val="bottom"/>
          </w:tcPr>
          <w:p w14:paraId="09E1C92E" w14:textId="019CD0FA" w:rsidR="002227E6" w:rsidRPr="008761E0" w:rsidRDefault="002227E6" w:rsidP="00143596">
            <w:pPr>
              <w:spacing w:before="80" w:after="80" w:line="220" w:lineRule="exact"/>
              <w:ind w:right="113"/>
              <w:jc w:val="right"/>
              <w:rPr>
                <w:b/>
                <w:sz w:val="17"/>
                <w:szCs w:val="17"/>
              </w:rPr>
            </w:pPr>
            <w:r w:rsidRPr="008761E0">
              <w:rPr>
                <w:b/>
                <w:sz w:val="17"/>
                <w:szCs w:val="17"/>
              </w:rPr>
              <w:t>35</w:t>
            </w:r>
            <w:r w:rsidR="00D41420" w:rsidRPr="008761E0">
              <w:rPr>
                <w:b/>
                <w:sz w:val="17"/>
                <w:szCs w:val="17"/>
              </w:rPr>
              <w:t xml:space="preserve"> </w:t>
            </w:r>
            <w:r w:rsidRPr="008761E0">
              <w:rPr>
                <w:b/>
                <w:sz w:val="17"/>
                <w:szCs w:val="17"/>
              </w:rPr>
              <w:t>972</w:t>
            </w:r>
            <w:r w:rsidR="00D41420" w:rsidRPr="008761E0">
              <w:rPr>
                <w:b/>
                <w:sz w:val="17"/>
                <w:szCs w:val="17"/>
              </w:rPr>
              <w:t xml:space="preserve"> </w:t>
            </w:r>
            <w:r w:rsidRPr="008761E0">
              <w:rPr>
                <w:b/>
                <w:sz w:val="17"/>
                <w:szCs w:val="17"/>
              </w:rPr>
              <w:t>062</w:t>
            </w:r>
          </w:p>
        </w:tc>
        <w:tc>
          <w:tcPr>
            <w:tcW w:w="907" w:type="dxa"/>
            <w:tcBorders>
              <w:top w:val="single" w:sz="4" w:space="0" w:color="auto"/>
              <w:bottom w:val="single" w:sz="12" w:space="0" w:color="auto"/>
            </w:tcBorders>
            <w:shd w:val="clear" w:color="auto" w:fill="auto"/>
            <w:noWrap/>
            <w:vAlign w:val="bottom"/>
          </w:tcPr>
          <w:p w14:paraId="35EFB251" w14:textId="7CBDE4AD" w:rsidR="002227E6" w:rsidRPr="008761E0" w:rsidRDefault="002227E6" w:rsidP="00143596">
            <w:pPr>
              <w:spacing w:before="80" w:after="80" w:line="220" w:lineRule="exact"/>
              <w:ind w:right="113"/>
              <w:jc w:val="right"/>
              <w:rPr>
                <w:b/>
                <w:sz w:val="17"/>
                <w:szCs w:val="17"/>
              </w:rPr>
            </w:pPr>
            <w:r w:rsidRPr="008761E0">
              <w:rPr>
                <w:b/>
                <w:sz w:val="17"/>
                <w:szCs w:val="17"/>
              </w:rPr>
              <w:t>26</w:t>
            </w:r>
            <w:r w:rsidR="00D41420" w:rsidRPr="008761E0">
              <w:rPr>
                <w:b/>
                <w:sz w:val="17"/>
                <w:szCs w:val="17"/>
              </w:rPr>
              <w:t xml:space="preserve"> </w:t>
            </w:r>
            <w:r w:rsidRPr="008761E0">
              <w:rPr>
                <w:b/>
                <w:sz w:val="17"/>
                <w:szCs w:val="17"/>
              </w:rPr>
              <w:t>352</w:t>
            </w:r>
            <w:r w:rsidR="00D41420" w:rsidRPr="008761E0">
              <w:rPr>
                <w:b/>
                <w:sz w:val="17"/>
                <w:szCs w:val="17"/>
              </w:rPr>
              <w:t xml:space="preserve"> </w:t>
            </w:r>
            <w:r w:rsidRPr="008761E0">
              <w:rPr>
                <w:b/>
                <w:sz w:val="17"/>
                <w:szCs w:val="17"/>
              </w:rPr>
              <w:t>056</w:t>
            </w:r>
          </w:p>
        </w:tc>
        <w:tc>
          <w:tcPr>
            <w:tcW w:w="447" w:type="dxa"/>
            <w:tcBorders>
              <w:top w:val="single" w:sz="4" w:space="0" w:color="auto"/>
              <w:bottom w:val="single" w:sz="12" w:space="0" w:color="auto"/>
            </w:tcBorders>
            <w:shd w:val="clear" w:color="auto" w:fill="auto"/>
            <w:noWrap/>
            <w:vAlign w:val="bottom"/>
          </w:tcPr>
          <w:p w14:paraId="4798A7A4" w14:textId="77777777" w:rsidR="002227E6" w:rsidRPr="008761E0" w:rsidRDefault="002227E6" w:rsidP="00143596">
            <w:pPr>
              <w:spacing w:before="80" w:after="80" w:line="220" w:lineRule="exact"/>
              <w:ind w:right="113"/>
              <w:jc w:val="right"/>
              <w:rPr>
                <w:b/>
                <w:sz w:val="17"/>
                <w:szCs w:val="17"/>
              </w:rPr>
            </w:pPr>
            <w:r w:rsidRPr="008761E0">
              <w:rPr>
                <w:b/>
                <w:sz w:val="17"/>
                <w:szCs w:val="17"/>
              </w:rPr>
              <w:t>73.3</w:t>
            </w:r>
          </w:p>
        </w:tc>
        <w:tc>
          <w:tcPr>
            <w:tcW w:w="924" w:type="dxa"/>
            <w:tcBorders>
              <w:top w:val="single" w:sz="4" w:space="0" w:color="auto"/>
              <w:bottom w:val="single" w:sz="12" w:space="0" w:color="auto"/>
            </w:tcBorders>
            <w:shd w:val="clear" w:color="auto" w:fill="auto"/>
            <w:noWrap/>
            <w:vAlign w:val="bottom"/>
          </w:tcPr>
          <w:p w14:paraId="46640CBA" w14:textId="25A79624" w:rsidR="002227E6" w:rsidRPr="008761E0" w:rsidRDefault="002227E6" w:rsidP="00143596">
            <w:pPr>
              <w:spacing w:before="80" w:after="80" w:line="220" w:lineRule="exact"/>
              <w:ind w:right="113"/>
              <w:jc w:val="right"/>
              <w:rPr>
                <w:b/>
                <w:sz w:val="17"/>
                <w:szCs w:val="17"/>
              </w:rPr>
            </w:pPr>
            <w:r w:rsidRPr="008761E0">
              <w:rPr>
                <w:b/>
                <w:sz w:val="17"/>
                <w:szCs w:val="17"/>
              </w:rPr>
              <w:t>89</w:t>
            </w:r>
            <w:r w:rsidR="00D41420" w:rsidRPr="008761E0">
              <w:rPr>
                <w:b/>
                <w:sz w:val="17"/>
                <w:szCs w:val="17"/>
              </w:rPr>
              <w:t xml:space="preserve"> </w:t>
            </w:r>
            <w:r w:rsidRPr="008761E0">
              <w:rPr>
                <w:b/>
                <w:sz w:val="17"/>
                <w:szCs w:val="17"/>
              </w:rPr>
              <w:t>183</w:t>
            </w:r>
            <w:r w:rsidR="00D41420" w:rsidRPr="008761E0">
              <w:rPr>
                <w:b/>
                <w:sz w:val="17"/>
                <w:szCs w:val="17"/>
              </w:rPr>
              <w:t xml:space="preserve"> </w:t>
            </w:r>
            <w:r w:rsidRPr="008761E0">
              <w:rPr>
                <w:b/>
                <w:sz w:val="17"/>
                <w:szCs w:val="17"/>
              </w:rPr>
              <w:t>291</w:t>
            </w:r>
          </w:p>
        </w:tc>
        <w:tc>
          <w:tcPr>
            <w:tcW w:w="907" w:type="dxa"/>
            <w:tcBorders>
              <w:top w:val="single" w:sz="4" w:space="0" w:color="auto"/>
              <w:bottom w:val="single" w:sz="12" w:space="0" w:color="auto"/>
            </w:tcBorders>
            <w:shd w:val="clear" w:color="auto" w:fill="auto"/>
            <w:noWrap/>
            <w:vAlign w:val="bottom"/>
          </w:tcPr>
          <w:p w14:paraId="074926B9" w14:textId="5BE64422" w:rsidR="002227E6" w:rsidRPr="008761E0" w:rsidRDefault="002227E6" w:rsidP="00143596">
            <w:pPr>
              <w:spacing w:before="80" w:after="80" w:line="220" w:lineRule="exact"/>
              <w:ind w:right="113"/>
              <w:jc w:val="right"/>
              <w:rPr>
                <w:b/>
                <w:sz w:val="17"/>
                <w:szCs w:val="17"/>
              </w:rPr>
            </w:pPr>
            <w:r w:rsidRPr="008761E0">
              <w:rPr>
                <w:b/>
                <w:sz w:val="17"/>
                <w:szCs w:val="17"/>
              </w:rPr>
              <w:t>68</w:t>
            </w:r>
            <w:r w:rsidR="00D41420" w:rsidRPr="008761E0">
              <w:rPr>
                <w:b/>
                <w:sz w:val="17"/>
                <w:szCs w:val="17"/>
              </w:rPr>
              <w:t xml:space="preserve"> </w:t>
            </w:r>
            <w:r w:rsidRPr="008761E0">
              <w:rPr>
                <w:b/>
                <w:sz w:val="17"/>
                <w:szCs w:val="17"/>
              </w:rPr>
              <w:t>953</w:t>
            </w:r>
            <w:r w:rsidR="00D41420" w:rsidRPr="008761E0">
              <w:rPr>
                <w:b/>
                <w:sz w:val="17"/>
                <w:szCs w:val="17"/>
              </w:rPr>
              <w:t xml:space="preserve"> </w:t>
            </w:r>
            <w:r w:rsidRPr="008761E0">
              <w:rPr>
                <w:b/>
                <w:sz w:val="17"/>
                <w:szCs w:val="17"/>
              </w:rPr>
              <w:t>647</w:t>
            </w:r>
          </w:p>
        </w:tc>
        <w:tc>
          <w:tcPr>
            <w:tcW w:w="453" w:type="dxa"/>
            <w:tcBorders>
              <w:top w:val="single" w:sz="4" w:space="0" w:color="auto"/>
              <w:bottom w:val="single" w:sz="12" w:space="0" w:color="auto"/>
            </w:tcBorders>
            <w:shd w:val="clear" w:color="auto" w:fill="auto"/>
            <w:noWrap/>
            <w:vAlign w:val="bottom"/>
          </w:tcPr>
          <w:p w14:paraId="1C5F30F2" w14:textId="77777777" w:rsidR="002227E6" w:rsidRPr="008761E0" w:rsidRDefault="002227E6" w:rsidP="00143596">
            <w:pPr>
              <w:spacing w:before="80" w:after="80" w:line="220" w:lineRule="exact"/>
              <w:ind w:right="113"/>
              <w:jc w:val="right"/>
              <w:rPr>
                <w:b/>
                <w:sz w:val="17"/>
                <w:szCs w:val="17"/>
              </w:rPr>
            </w:pPr>
            <w:r w:rsidRPr="008761E0">
              <w:rPr>
                <w:b/>
                <w:sz w:val="17"/>
                <w:szCs w:val="17"/>
              </w:rPr>
              <w:t>77.3</w:t>
            </w:r>
          </w:p>
        </w:tc>
        <w:tc>
          <w:tcPr>
            <w:tcW w:w="907" w:type="dxa"/>
            <w:tcBorders>
              <w:top w:val="single" w:sz="4" w:space="0" w:color="auto"/>
              <w:bottom w:val="single" w:sz="12" w:space="0" w:color="auto"/>
            </w:tcBorders>
            <w:shd w:val="clear" w:color="auto" w:fill="auto"/>
            <w:noWrap/>
            <w:vAlign w:val="bottom"/>
          </w:tcPr>
          <w:p w14:paraId="0AE56E10" w14:textId="09CC1AEA" w:rsidR="002227E6" w:rsidRPr="008761E0" w:rsidRDefault="002227E6" w:rsidP="00143596">
            <w:pPr>
              <w:spacing w:before="80" w:after="80" w:line="220" w:lineRule="exact"/>
              <w:ind w:right="113"/>
              <w:jc w:val="right"/>
              <w:rPr>
                <w:b/>
                <w:sz w:val="17"/>
                <w:szCs w:val="17"/>
              </w:rPr>
            </w:pPr>
            <w:r w:rsidRPr="008761E0">
              <w:rPr>
                <w:b/>
                <w:sz w:val="17"/>
                <w:szCs w:val="17"/>
              </w:rPr>
              <w:t>96</w:t>
            </w:r>
            <w:r w:rsidR="00D41420" w:rsidRPr="008761E0">
              <w:rPr>
                <w:b/>
                <w:sz w:val="17"/>
                <w:szCs w:val="17"/>
              </w:rPr>
              <w:t xml:space="preserve"> </w:t>
            </w:r>
            <w:r w:rsidRPr="008761E0">
              <w:rPr>
                <w:b/>
                <w:sz w:val="17"/>
                <w:szCs w:val="17"/>
              </w:rPr>
              <w:t>760</w:t>
            </w:r>
            <w:r w:rsidR="00D41420" w:rsidRPr="008761E0">
              <w:rPr>
                <w:b/>
                <w:sz w:val="17"/>
                <w:szCs w:val="17"/>
              </w:rPr>
              <w:t xml:space="preserve"> </w:t>
            </w:r>
            <w:r w:rsidRPr="008761E0">
              <w:rPr>
                <w:b/>
                <w:sz w:val="17"/>
                <w:szCs w:val="17"/>
              </w:rPr>
              <w:t>787</w:t>
            </w:r>
          </w:p>
        </w:tc>
        <w:tc>
          <w:tcPr>
            <w:tcW w:w="992" w:type="dxa"/>
            <w:tcBorders>
              <w:top w:val="single" w:sz="4" w:space="0" w:color="auto"/>
              <w:bottom w:val="single" w:sz="12" w:space="0" w:color="auto"/>
            </w:tcBorders>
            <w:shd w:val="clear" w:color="auto" w:fill="auto"/>
            <w:noWrap/>
            <w:vAlign w:val="bottom"/>
          </w:tcPr>
          <w:p w14:paraId="1EBC0D7E" w14:textId="1F3AE98E" w:rsidR="002227E6" w:rsidRPr="008761E0" w:rsidRDefault="002227E6" w:rsidP="00143596">
            <w:pPr>
              <w:spacing w:before="80" w:after="80" w:line="220" w:lineRule="exact"/>
              <w:ind w:right="113"/>
              <w:jc w:val="right"/>
              <w:rPr>
                <w:b/>
                <w:sz w:val="17"/>
                <w:szCs w:val="17"/>
              </w:rPr>
            </w:pPr>
            <w:r w:rsidRPr="008761E0">
              <w:rPr>
                <w:b/>
                <w:sz w:val="17"/>
                <w:szCs w:val="17"/>
              </w:rPr>
              <w:t>59</w:t>
            </w:r>
            <w:r w:rsidR="00D41420" w:rsidRPr="008761E0">
              <w:rPr>
                <w:b/>
                <w:sz w:val="17"/>
                <w:szCs w:val="17"/>
              </w:rPr>
              <w:t xml:space="preserve"> </w:t>
            </w:r>
            <w:r w:rsidRPr="008761E0">
              <w:rPr>
                <w:b/>
                <w:sz w:val="17"/>
                <w:szCs w:val="17"/>
              </w:rPr>
              <w:t>103</w:t>
            </w:r>
            <w:r w:rsidR="00D41420" w:rsidRPr="008761E0">
              <w:rPr>
                <w:b/>
                <w:sz w:val="17"/>
                <w:szCs w:val="17"/>
              </w:rPr>
              <w:t xml:space="preserve"> </w:t>
            </w:r>
            <w:r w:rsidRPr="008761E0">
              <w:rPr>
                <w:b/>
                <w:sz w:val="17"/>
                <w:szCs w:val="17"/>
              </w:rPr>
              <w:t>332</w:t>
            </w:r>
          </w:p>
        </w:tc>
        <w:tc>
          <w:tcPr>
            <w:tcW w:w="425" w:type="dxa"/>
            <w:tcBorders>
              <w:top w:val="single" w:sz="4" w:space="0" w:color="auto"/>
              <w:bottom w:val="single" w:sz="12" w:space="0" w:color="auto"/>
            </w:tcBorders>
            <w:shd w:val="clear" w:color="auto" w:fill="auto"/>
            <w:noWrap/>
            <w:vAlign w:val="bottom"/>
          </w:tcPr>
          <w:p w14:paraId="2F5E5EA9" w14:textId="77777777" w:rsidR="002227E6" w:rsidRPr="008761E0" w:rsidRDefault="002227E6" w:rsidP="00143596">
            <w:pPr>
              <w:spacing w:before="80" w:after="80" w:line="220" w:lineRule="exact"/>
              <w:ind w:right="113"/>
              <w:jc w:val="right"/>
              <w:rPr>
                <w:b/>
                <w:sz w:val="17"/>
                <w:szCs w:val="17"/>
              </w:rPr>
            </w:pPr>
            <w:r w:rsidRPr="008761E0">
              <w:rPr>
                <w:b/>
                <w:sz w:val="17"/>
                <w:szCs w:val="17"/>
              </w:rPr>
              <w:t>61.1</w:t>
            </w:r>
          </w:p>
        </w:tc>
        <w:tc>
          <w:tcPr>
            <w:tcW w:w="964" w:type="dxa"/>
            <w:tcBorders>
              <w:top w:val="single" w:sz="4" w:space="0" w:color="auto"/>
              <w:bottom w:val="single" w:sz="12" w:space="0" w:color="auto"/>
            </w:tcBorders>
            <w:shd w:val="clear" w:color="auto" w:fill="auto"/>
            <w:noWrap/>
            <w:vAlign w:val="bottom"/>
          </w:tcPr>
          <w:p w14:paraId="52624299" w14:textId="7D6114A6" w:rsidR="002227E6" w:rsidRPr="008761E0" w:rsidRDefault="002227E6" w:rsidP="00143596">
            <w:pPr>
              <w:spacing w:before="80" w:after="80" w:line="220" w:lineRule="exact"/>
              <w:ind w:right="113"/>
              <w:jc w:val="right"/>
              <w:rPr>
                <w:b/>
                <w:sz w:val="17"/>
                <w:szCs w:val="17"/>
              </w:rPr>
            </w:pPr>
            <w:r w:rsidRPr="008761E0">
              <w:rPr>
                <w:b/>
                <w:sz w:val="17"/>
                <w:szCs w:val="17"/>
              </w:rPr>
              <w:t>54</w:t>
            </w:r>
            <w:r w:rsidR="00D41420" w:rsidRPr="008761E0">
              <w:rPr>
                <w:b/>
                <w:sz w:val="17"/>
                <w:szCs w:val="17"/>
              </w:rPr>
              <w:t xml:space="preserve"> </w:t>
            </w:r>
            <w:r w:rsidRPr="008761E0">
              <w:rPr>
                <w:b/>
                <w:sz w:val="17"/>
                <w:szCs w:val="17"/>
              </w:rPr>
              <w:t>252</w:t>
            </w:r>
            <w:r w:rsidR="00D41420" w:rsidRPr="008761E0">
              <w:rPr>
                <w:b/>
                <w:sz w:val="17"/>
                <w:szCs w:val="17"/>
              </w:rPr>
              <w:t xml:space="preserve"> </w:t>
            </w:r>
            <w:r w:rsidRPr="008761E0">
              <w:rPr>
                <w:b/>
                <w:sz w:val="17"/>
                <w:szCs w:val="17"/>
              </w:rPr>
              <w:t>095</w:t>
            </w:r>
          </w:p>
        </w:tc>
        <w:tc>
          <w:tcPr>
            <w:tcW w:w="624" w:type="dxa"/>
            <w:tcBorders>
              <w:top w:val="single" w:sz="4" w:space="0" w:color="auto"/>
              <w:bottom w:val="single" w:sz="12" w:space="0" w:color="auto"/>
            </w:tcBorders>
            <w:shd w:val="clear" w:color="auto" w:fill="auto"/>
            <w:noWrap/>
            <w:vAlign w:val="bottom"/>
          </w:tcPr>
          <w:p w14:paraId="1EA1D32E" w14:textId="77777777" w:rsidR="002227E6" w:rsidRPr="008761E0" w:rsidRDefault="002227E6" w:rsidP="00143596">
            <w:pPr>
              <w:spacing w:before="80" w:after="80" w:line="220" w:lineRule="exact"/>
              <w:ind w:right="113"/>
              <w:jc w:val="right"/>
              <w:rPr>
                <w:b/>
                <w:sz w:val="17"/>
                <w:szCs w:val="17"/>
              </w:rPr>
            </w:pPr>
            <w:r w:rsidRPr="008761E0">
              <w:rPr>
                <w:b/>
                <w:sz w:val="17"/>
                <w:szCs w:val="17"/>
              </w:rPr>
              <w:t>70.6</w:t>
            </w:r>
          </w:p>
        </w:tc>
      </w:tr>
    </w:tbl>
    <w:p w14:paraId="51662EC2" w14:textId="77777777" w:rsidR="002227E6" w:rsidRPr="00914368" w:rsidRDefault="002227E6" w:rsidP="002227E6">
      <w:pPr>
        <w:spacing w:before="120"/>
        <w:ind w:right="51" w:firstLine="170"/>
        <w:rPr>
          <w:sz w:val="18"/>
          <w:szCs w:val="18"/>
        </w:rPr>
      </w:pPr>
      <w:r w:rsidRPr="00914368">
        <w:rPr>
          <w:i/>
          <w:iCs/>
          <w:sz w:val="18"/>
          <w:szCs w:val="18"/>
        </w:rPr>
        <w:t>Source</w:t>
      </w:r>
      <w:r w:rsidRPr="00914368">
        <w:rPr>
          <w:sz w:val="18"/>
          <w:szCs w:val="18"/>
        </w:rPr>
        <w:t>: Own compilation based on data from the Ministry of Economy and Public Finance.</w:t>
      </w:r>
    </w:p>
    <w:p w14:paraId="6D3B46D0" w14:textId="32607817" w:rsidR="002227E6" w:rsidRPr="00914368" w:rsidRDefault="00275C9E" w:rsidP="00275C9E">
      <w:pPr>
        <w:pStyle w:val="H23G"/>
        <w:rPr>
          <w:rFonts w:eastAsia="Calibri"/>
          <w:b w:val="0"/>
        </w:rPr>
      </w:pPr>
      <w:bookmarkStart w:id="3" w:name="_Toc68097279"/>
      <w:r w:rsidRPr="00914368">
        <w:rPr>
          <w:rFonts w:eastAsia="Calibri"/>
          <w:b w:val="0"/>
          <w:i/>
          <w:iCs/>
          <w:noProof/>
          <w:color w:val="1F497D"/>
          <w:lang w:eastAsia="en-GB"/>
        </w:rPr>
        <w:lastRenderedPageBreak/>
        <w:drawing>
          <wp:anchor distT="0" distB="0" distL="114300" distR="114300" simplePos="0" relativeHeight="251658241" behindDoc="1" locked="0" layoutInCell="1" allowOverlap="1" wp14:anchorId="4BBF30AB" wp14:editId="4CB398AC">
            <wp:simplePos x="0" y="0"/>
            <wp:positionH relativeFrom="margin">
              <wp:posOffset>719455</wp:posOffset>
            </wp:positionH>
            <wp:positionV relativeFrom="paragraph">
              <wp:posOffset>502285</wp:posOffset>
            </wp:positionV>
            <wp:extent cx="4660265" cy="2369185"/>
            <wp:effectExtent l="0" t="0" r="6985" b="0"/>
            <wp:wrapTopAndBottom/>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660265" cy="2369185"/>
                    </a:xfrm>
                    <a:prstGeom prst="rect">
                      <a:avLst/>
                    </a:prstGeom>
                  </pic:spPr>
                </pic:pic>
              </a:graphicData>
            </a:graphic>
            <wp14:sizeRelH relativeFrom="margin">
              <wp14:pctWidth>0</wp14:pctWidth>
            </wp14:sizeRelH>
            <wp14:sizeRelV relativeFrom="margin">
              <wp14:pctHeight>0</wp14:pctHeight>
            </wp14:sizeRelV>
          </wp:anchor>
        </w:drawing>
      </w:r>
      <w:r>
        <w:tab/>
      </w:r>
      <w:r>
        <w:tab/>
      </w:r>
      <w:r w:rsidR="002227E6" w:rsidRPr="00275C9E">
        <w:rPr>
          <w:b w:val="0"/>
          <w:bCs/>
        </w:rPr>
        <w:t>Figure 2</w:t>
      </w:r>
      <w:r>
        <w:br/>
      </w:r>
      <w:r w:rsidR="002227E6" w:rsidRPr="00914368">
        <w:tab/>
      </w:r>
      <w:r w:rsidR="002227E6" w:rsidRPr="00914368">
        <w:rPr>
          <w:bCs/>
        </w:rPr>
        <w:t>Average amounts and percentages of budget expenditure by municipal autonomous governments (2018–2020)</w:t>
      </w:r>
      <w:r w:rsidR="002227E6" w:rsidRPr="00914368">
        <w:t xml:space="preserve"> </w:t>
      </w:r>
    </w:p>
    <w:bookmarkEnd w:id="3"/>
    <w:p w14:paraId="16189067" w14:textId="77777777" w:rsidR="002227E6" w:rsidRPr="00914368" w:rsidRDefault="002227E6" w:rsidP="002227E6">
      <w:pPr>
        <w:tabs>
          <w:tab w:val="left" w:pos="1701"/>
          <w:tab w:val="left" w:pos="2268"/>
          <w:tab w:val="left" w:pos="2835"/>
        </w:tabs>
        <w:spacing w:before="240" w:after="240"/>
        <w:ind w:left="1134" w:right="1134" w:firstLine="170"/>
        <w:rPr>
          <w:sz w:val="18"/>
          <w:szCs w:val="18"/>
        </w:rPr>
      </w:pPr>
      <w:r w:rsidRPr="00914368">
        <w:rPr>
          <w:i/>
          <w:iCs/>
          <w:sz w:val="18"/>
          <w:szCs w:val="18"/>
        </w:rPr>
        <w:t>Source</w:t>
      </w:r>
      <w:r w:rsidRPr="00914368">
        <w:rPr>
          <w:sz w:val="18"/>
          <w:szCs w:val="18"/>
        </w:rPr>
        <w:t>: Own compilation based on data from the Ministry of Economy and Public Finance.</w:t>
      </w:r>
    </w:p>
    <w:p w14:paraId="47687631" w14:textId="77777777" w:rsidR="002227E6" w:rsidRPr="00914368" w:rsidRDefault="002227E6" w:rsidP="000D2CC7">
      <w:pPr>
        <w:pStyle w:val="SingleTxtG"/>
        <w:rPr>
          <w:rFonts w:eastAsia="Calibri"/>
        </w:rPr>
      </w:pPr>
      <w:r w:rsidRPr="00914368">
        <w:t>43.</w:t>
      </w:r>
      <w:r w:rsidRPr="00914368">
        <w:tab/>
        <w:t xml:space="preserve">(b) Human rights indicators are tools designed to measure and reflect the degree of realization of a human, civil, cultural, economic, political and/or social right on the basis of quantitative and qualitative variables that can be monitored or observed. In 2012, the right of women to a life free from violence was included in the first group of rights prioritized by the Government. A Thematic Technical Committee on the right of women to a life free from violence was formed, and it developed the relevant indicators using the methodology put forward by the Office of the United Nations High Commissioner for Human Rights. </w:t>
      </w:r>
    </w:p>
    <w:p w14:paraId="0D8B072D" w14:textId="77777777" w:rsidR="002227E6" w:rsidRPr="00914368" w:rsidRDefault="002227E6" w:rsidP="000D2CC7">
      <w:pPr>
        <w:pStyle w:val="SingleTxtG"/>
        <w:rPr>
          <w:rFonts w:eastAsia="Calibri"/>
        </w:rPr>
      </w:pPr>
      <w:r w:rsidRPr="00914368">
        <w:t>44.</w:t>
      </w:r>
      <w:r w:rsidRPr="00914368">
        <w:tab/>
        <w:t xml:space="preserve">The Thematic Technical Committee on the right of women to a life free from violence is made up of professionals and technicians from more than 10 institutions. They participated actively in meetings and workshops to develop the indicators and establish the degree to which they are achieved. Information taken from the page on Bolivian human rights indicators. </w:t>
      </w:r>
    </w:p>
    <w:p w14:paraId="299F06DE" w14:textId="77777777" w:rsidR="002227E6" w:rsidRPr="00914368" w:rsidRDefault="002227E6" w:rsidP="000D2CC7">
      <w:pPr>
        <w:pStyle w:val="SingleTxtG"/>
        <w:rPr>
          <w:rFonts w:eastAsia="Calibri"/>
        </w:rPr>
      </w:pPr>
      <w:r w:rsidRPr="00914368">
        <w:t>45.</w:t>
      </w:r>
      <w:r w:rsidRPr="00914368">
        <w:tab/>
        <w:t>(c) Since its launch in 2014, the Plurinational Integrated System for the Prevention, Protection, Punishment and Elimination of Gender-Based Violence has developed specialized instruments and an information system designed to strengthen the bodies that are directly involved in preventing, responding to, protecting against, prosecuting, punishing and providing reparation for harm suffered by women in situations of violence.</w:t>
      </w:r>
    </w:p>
    <w:p w14:paraId="54D72AFE" w14:textId="77777777" w:rsidR="002227E6" w:rsidRPr="00914368" w:rsidRDefault="002227E6" w:rsidP="000D2CC7">
      <w:pPr>
        <w:pStyle w:val="SingleTxtG"/>
        <w:rPr>
          <w:rFonts w:eastAsia="Calibri"/>
        </w:rPr>
      </w:pPr>
      <w:r w:rsidRPr="00914368">
        <w:t>46.</w:t>
      </w:r>
      <w:r w:rsidRPr="00914368">
        <w:tab/>
        <w:t xml:space="preserve">It developed a software information system, consisting of three modules and three links, for recording details of incidents of gender-based violence. </w:t>
      </w:r>
    </w:p>
    <w:p w14:paraId="5D9942E4" w14:textId="77777777" w:rsidR="002227E6" w:rsidRPr="00914368" w:rsidRDefault="002227E6" w:rsidP="000D2CC7">
      <w:pPr>
        <w:pStyle w:val="SingleTxtG"/>
        <w:rPr>
          <w:rFonts w:eastAsia="Calibri"/>
        </w:rPr>
      </w:pPr>
      <w:r w:rsidRPr="00914368">
        <w:t>47.</w:t>
      </w:r>
      <w:r w:rsidRPr="00914368">
        <w:tab/>
        <w:t>One of the modules is the Central Register of Gender-Based Violence, which is intended to be used by personnel working in comprehensive</w:t>
      </w:r>
      <w:r w:rsidRPr="00D470FC">
        <w:t xml:space="preserve"> municipal</w:t>
      </w:r>
      <w:r w:rsidRPr="00914368">
        <w:t xml:space="preserve"> legal services. These administrative units are responsible, within municipal autonomous governments, for dealing with gender-based violence. They provide psychological, legal and social services with the aim of promoting the prevention of gender-based violence, providing protection and support when cases do occur and seeking to ensure that gender-based violence is punished, by reporting it and assisting with prosecutions. As part of the information requested, the reports for 2018, 2019, 2020 and 2021 are attached. </w:t>
      </w:r>
    </w:p>
    <w:p w14:paraId="5BA7FEE4" w14:textId="77777777" w:rsidR="002227E6" w:rsidRPr="00914368" w:rsidRDefault="002227E6" w:rsidP="000D2CC7">
      <w:pPr>
        <w:pStyle w:val="SingleTxtG"/>
        <w:rPr>
          <w:rFonts w:eastAsia="Calibri"/>
        </w:rPr>
      </w:pPr>
      <w:r w:rsidRPr="00914368">
        <w:t>48.</w:t>
      </w:r>
      <w:r w:rsidRPr="00914368">
        <w:tab/>
        <w:t xml:space="preserve">The Plurinational Integrated System for the Prevention, Protection, Punishment and Elimination of Gender-Based Violence is currently upgrading this information system. </w:t>
      </w:r>
    </w:p>
    <w:p w14:paraId="56EA5767" w14:textId="3DD2F7B8" w:rsidR="002227E6" w:rsidRPr="00914368" w:rsidRDefault="002227E6" w:rsidP="000D2CC7">
      <w:pPr>
        <w:pStyle w:val="SingleTxtG"/>
        <w:rPr>
          <w:rFonts w:eastAsia="Calibri"/>
        </w:rPr>
      </w:pPr>
      <w:r w:rsidRPr="00914368">
        <w:t>49.</w:t>
      </w:r>
      <w:r w:rsidRPr="00914368">
        <w:tab/>
        <w:t>With reference to the number of complaints received and their outcome (investigations, prosecutions, convictions and penalties handed down), the Attorney General</w:t>
      </w:r>
      <w:r w:rsidR="008D6E06">
        <w:t>’</w:t>
      </w:r>
      <w:r w:rsidRPr="00914368">
        <w:t>s Office has reported that between 2013 and 2020, 215,975 complaints and investigations were recorded in relation to offences set out in Act No. 348. In the same period, 17,180 cases have reached the prosecution stage, and 5,978 convictions have been handed down.</w:t>
      </w:r>
    </w:p>
    <w:p w14:paraId="7727FDCE" w14:textId="77777777" w:rsidR="002227E6" w:rsidRPr="00914368" w:rsidRDefault="002227E6" w:rsidP="000D2CC7">
      <w:pPr>
        <w:pStyle w:val="SingleTxtG"/>
        <w:rPr>
          <w:rFonts w:eastAsia="Calibri"/>
        </w:rPr>
      </w:pPr>
      <w:r w:rsidRPr="00914368">
        <w:lastRenderedPageBreak/>
        <w:t>50.</w:t>
      </w:r>
      <w:r w:rsidRPr="00914368">
        <w:tab/>
        <w:t>(d) According to reports by the Directorate General for the Prevention of All Forms of Gender-based and Generational Violence in 2018, there are 12 shelters and refuge nationwide.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5952"/>
      </w:tblGrid>
      <w:tr w:rsidR="00937E9E" w:rsidRPr="00937E9E" w14:paraId="7357F5E7" w14:textId="77777777" w:rsidTr="00941F29">
        <w:trPr>
          <w:tblHeader/>
        </w:trPr>
        <w:tc>
          <w:tcPr>
            <w:tcW w:w="1418" w:type="dxa"/>
            <w:tcBorders>
              <w:top w:val="single" w:sz="4" w:space="0" w:color="auto"/>
              <w:bottom w:val="single" w:sz="12" w:space="0" w:color="auto"/>
            </w:tcBorders>
            <w:shd w:val="clear" w:color="auto" w:fill="auto"/>
            <w:vAlign w:val="bottom"/>
          </w:tcPr>
          <w:p w14:paraId="5440BD8C" w14:textId="77777777" w:rsidR="002227E6" w:rsidRPr="00937E9E" w:rsidRDefault="002227E6" w:rsidP="00937E9E">
            <w:pPr>
              <w:spacing w:before="80" w:after="80" w:line="200" w:lineRule="exact"/>
              <w:ind w:right="113"/>
              <w:rPr>
                <w:rFonts w:eastAsia="Calibri"/>
                <w:i/>
                <w:sz w:val="16"/>
                <w:szCs w:val="16"/>
              </w:rPr>
            </w:pPr>
            <w:r w:rsidRPr="00937E9E">
              <w:rPr>
                <w:i/>
                <w:iCs/>
                <w:sz w:val="16"/>
                <w:szCs w:val="16"/>
              </w:rPr>
              <w:t>Department</w:t>
            </w:r>
          </w:p>
        </w:tc>
        <w:tc>
          <w:tcPr>
            <w:tcW w:w="5952" w:type="dxa"/>
            <w:tcBorders>
              <w:top w:val="single" w:sz="4" w:space="0" w:color="auto"/>
              <w:bottom w:val="single" w:sz="12" w:space="0" w:color="auto"/>
            </w:tcBorders>
            <w:shd w:val="clear" w:color="auto" w:fill="auto"/>
            <w:vAlign w:val="bottom"/>
          </w:tcPr>
          <w:p w14:paraId="52B48B7C" w14:textId="77777777" w:rsidR="002227E6" w:rsidRPr="00937E9E" w:rsidRDefault="002227E6" w:rsidP="00937E9E">
            <w:pPr>
              <w:spacing w:before="80" w:after="80" w:line="200" w:lineRule="exact"/>
              <w:ind w:right="113"/>
              <w:rPr>
                <w:rFonts w:eastAsia="Calibri"/>
                <w:i/>
                <w:sz w:val="16"/>
                <w:szCs w:val="16"/>
              </w:rPr>
            </w:pPr>
            <w:r w:rsidRPr="00937E9E">
              <w:rPr>
                <w:i/>
                <w:iCs/>
                <w:sz w:val="16"/>
                <w:szCs w:val="16"/>
              </w:rPr>
              <w:t>Details</w:t>
            </w:r>
          </w:p>
        </w:tc>
      </w:tr>
      <w:tr w:rsidR="00941F29" w:rsidRPr="00937E9E" w14:paraId="5FBF9E99" w14:textId="77777777" w:rsidTr="00941F29">
        <w:trPr>
          <w:trHeight w:hRule="exact" w:val="113"/>
        </w:trPr>
        <w:tc>
          <w:tcPr>
            <w:tcW w:w="1418" w:type="dxa"/>
            <w:tcBorders>
              <w:top w:val="single" w:sz="12" w:space="0" w:color="auto"/>
            </w:tcBorders>
            <w:shd w:val="clear" w:color="auto" w:fill="auto"/>
          </w:tcPr>
          <w:p w14:paraId="1081814D" w14:textId="77777777" w:rsidR="002227E6" w:rsidRPr="00937E9E" w:rsidRDefault="002227E6" w:rsidP="00937E9E">
            <w:pPr>
              <w:spacing w:before="40" w:after="120" w:line="220" w:lineRule="exact"/>
              <w:ind w:right="113"/>
              <w:rPr>
                <w:rFonts w:eastAsia="Calibri"/>
                <w:lang w:eastAsia="es-BO"/>
              </w:rPr>
            </w:pPr>
          </w:p>
        </w:tc>
        <w:tc>
          <w:tcPr>
            <w:tcW w:w="5952" w:type="dxa"/>
            <w:tcBorders>
              <w:top w:val="single" w:sz="12" w:space="0" w:color="auto"/>
            </w:tcBorders>
            <w:shd w:val="clear" w:color="auto" w:fill="auto"/>
          </w:tcPr>
          <w:p w14:paraId="534A2D7B" w14:textId="77777777" w:rsidR="002227E6" w:rsidRPr="00937E9E" w:rsidRDefault="002227E6" w:rsidP="00937E9E">
            <w:pPr>
              <w:spacing w:before="40" w:after="120" w:line="220" w:lineRule="exact"/>
              <w:ind w:right="113"/>
              <w:rPr>
                <w:rFonts w:eastAsia="Calibri"/>
                <w:lang w:eastAsia="es-BO"/>
              </w:rPr>
            </w:pPr>
          </w:p>
        </w:tc>
      </w:tr>
      <w:tr w:rsidR="00941F29" w:rsidRPr="00937E9E" w14:paraId="670347B4" w14:textId="77777777" w:rsidTr="00941F29">
        <w:tc>
          <w:tcPr>
            <w:tcW w:w="1418" w:type="dxa"/>
            <w:shd w:val="clear" w:color="auto" w:fill="auto"/>
          </w:tcPr>
          <w:p w14:paraId="55344865" w14:textId="77777777" w:rsidR="002227E6" w:rsidRPr="00937E9E" w:rsidRDefault="002227E6" w:rsidP="00937E9E">
            <w:pPr>
              <w:spacing w:before="40" w:after="120" w:line="220" w:lineRule="exact"/>
              <w:ind w:right="113"/>
              <w:rPr>
                <w:rFonts w:eastAsia="Calibri"/>
              </w:rPr>
            </w:pPr>
            <w:r w:rsidRPr="00937E9E">
              <w:t>La Paz</w:t>
            </w:r>
          </w:p>
        </w:tc>
        <w:tc>
          <w:tcPr>
            <w:tcW w:w="5952" w:type="dxa"/>
            <w:shd w:val="clear" w:color="auto" w:fill="auto"/>
          </w:tcPr>
          <w:p w14:paraId="51CA2B59" w14:textId="77777777" w:rsidR="002227E6" w:rsidRPr="00937E9E" w:rsidRDefault="002227E6" w:rsidP="00937E9E">
            <w:pPr>
              <w:spacing w:before="40" w:after="120" w:line="220" w:lineRule="exact"/>
              <w:ind w:right="113"/>
            </w:pPr>
            <w:r w:rsidRPr="00937E9E">
              <w:t>Refugio Dignidad temporary shelter for victims, run by the departmental social services. It can accommodate up to 50 women with children.</w:t>
            </w:r>
          </w:p>
          <w:p w14:paraId="53EDDB4F" w14:textId="77777777" w:rsidR="002227E6" w:rsidRPr="00937E9E" w:rsidRDefault="002227E6" w:rsidP="00937E9E">
            <w:pPr>
              <w:spacing w:before="40" w:after="120" w:line="220" w:lineRule="exact"/>
              <w:ind w:right="113"/>
              <w:rPr>
                <w:rFonts w:eastAsia="Calibri"/>
              </w:rPr>
            </w:pPr>
            <w:r w:rsidRPr="00937E9E">
              <w:t>In 2018, a temporary centre for victims of violence, trafficking and smuggling was launched to help people from all 20 provinces.</w:t>
            </w:r>
          </w:p>
        </w:tc>
      </w:tr>
      <w:tr w:rsidR="00941F29" w:rsidRPr="00937E9E" w14:paraId="211D6F66" w14:textId="77777777" w:rsidTr="00941F29">
        <w:tc>
          <w:tcPr>
            <w:tcW w:w="1418" w:type="dxa"/>
            <w:shd w:val="clear" w:color="auto" w:fill="auto"/>
          </w:tcPr>
          <w:p w14:paraId="03E2B4B6" w14:textId="77777777" w:rsidR="002227E6" w:rsidRPr="00937E9E" w:rsidRDefault="002227E6" w:rsidP="00937E9E">
            <w:pPr>
              <w:spacing w:before="40" w:after="120" w:line="220" w:lineRule="exact"/>
              <w:ind w:right="113"/>
              <w:rPr>
                <w:rFonts w:eastAsia="Calibri"/>
              </w:rPr>
            </w:pPr>
            <w:r w:rsidRPr="00937E9E">
              <w:t>Potosí</w:t>
            </w:r>
          </w:p>
        </w:tc>
        <w:tc>
          <w:tcPr>
            <w:tcW w:w="5952" w:type="dxa"/>
            <w:shd w:val="clear" w:color="auto" w:fill="auto"/>
          </w:tcPr>
          <w:p w14:paraId="2B3B684F" w14:textId="77777777" w:rsidR="002227E6" w:rsidRPr="00937E9E" w:rsidRDefault="002227E6" w:rsidP="00937E9E">
            <w:pPr>
              <w:spacing w:before="40" w:after="120" w:line="220" w:lineRule="exact"/>
              <w:ind w:right="113"/>
              <w:rPr>
                <w:rFonts w:eastAsia="Calibri"/>
              </w:rPr>
            </w:pPr>
            <w:r w:rsidRPr="00937E9E">
              <w:t>The Government of Potosí has a temporary shelter for victims of violence in Cantumarca, in the city of Potosí. It opened in November 2017 and can accommodate 32 people.</w:t>
            </w:r>
          </w:p>
        </w:tc>
      </w:tr>
      <w:tr w:rsidR="00941F29" w:rsidRPr="00937E9E" w14:paraId="414C2D8F" w14:textId="77777777" w:rsidTr="00941F29">
        <w:tc>
          <w:tcPr>
            <w:tcW w:w="1418" w:type="dxa"/>
            <w:shd w:val="clear" w:color="auto" w:fill="auto"/>
          </w:tcPr>
          <w:p w14:paraId="01476796" w14:textId="77777777" w:rsidR="002227E6" w:rsidRPr="00937E9E" w:rsidRDefault="002227E6" w:rsidP="00937E9E">
            <w:pPr>
              <w:spacing w:before="40" w:after="120" w:line="220" w:lineRule="exact"/>
              <w:ind w:right="113"/>
              <w:rPr>
                <w:rFonts w:eastAsia="Calibri"/>
              </w:rPr>
            </w:pPr>
            <w:r w:rsidRPr="00937E9E">
              <w:t>Beni</w:t>
            </w:r>
          </w:p>
        </w:tc>
        <w:tc>
          <w:tcPr>
            <w:tcW w:w="5952" w:type="dxa"/>
            <w:shd w:val="clear" w:color="auto" w:fill="auto"/>
          </w:tcPr>
          <w:p w14:paraId="2B5D9C91" w14:textId="77777777" w:rsidR="002227E6" w:rsidRPr="00937E9E" w:rsidRDefault="002227E6" w:rsidP="00937E9E">
            <w:pPr>
              <w:spacing w:before="40" w:after="120" w:line="220" w:lineRule="exact"/>
              <w:ind w:right="113"/>
              <w:rPr>
                <w:rFonts w:eastAsia="Calibri"/>
              </w:rPr>
            </w:pPr>
            <w:r w:rsidRPr="00937E9E">
              <w:t>The Municipal Government of Trinidad has a temporary refuge run by the municipal public security services, with the aim of promoting equal opportunities by providing legal, psychological and social support, as well as food and lodging for vulnerable groups.</w:t>
            </w:r>
          </w:p>
        </w:tc>
      </w:tr>
      <w:tr w:rsidR="00941F29" w:rsidRPr="00937E9E" w14:paraId="68AC4907" w14:textId="77777777" w:rsidTr="00941F29">
        <w:tc>
          <w:tcPr>
            <w:tcW w:w="1418" w:type="dxa"/>
            <w:shd w:val="clear" w:color="auto" w:fill="auto"/>
          </w:tcPr>
          <w:p w14:paraId="227CA5D9" w14:textId="77777777" w:rsidR="002227E6" w:rsidRPr="00937E9E" w:rsidRDefault="002227E6" w:rsidP="00937E9E">
            <w:pPr>
              <w:spacing w:before="40" w:after="120" w:line="220" w:lineRule="exact"/>
              <w:ind w:right="113"/>
              <w:rPr>
                <w:rFonts w:eastAsia="Calibri"/>
              </w:rPr>
            </w:pPr>
            <w:r w:rsidRPr="00937E9E">
              <w:t>Oruro</w:t>
            </w:r>
          </w:p>
        </w:tc>
        <w:tc>
          <w:tcPr>
            <w:tcW w:w="5952" w:type="dxa"/>
            <w:shd w:val="clear" w:color="auto" w:fill="auto"/>
          </w:tcPr>
          <w:p w14:paraId="22F33E5D" w14:textId="77777777" w:rsidR="002227E6" w:rsidRPr="00937E9E" w:rsidRDefault="002227E6" w:rsidP="00937E9E">
            <w:pPr>
              <w:spacing w:before="40" w:after="120" w:line="220" w:lineRule="exact"/>
              <w:ind w:right="113"/>
              <w:rPr>
                <w:rFonts w:eastAsia="Calibri"/>
              </w:rPr>
            </w:pPr>
            <w:r w:rsidRPr="00937E9E">
              <w:t>The municipal autonomous government runs a shelter. The departmental autonomous government is planning to build a temporary shelter or refuge for victims of violence.</w:t>
            </w:r>
          </w:p>
        </w:tc>
      </w:tr>
      <w:tr w:rsidR="00941F29" w:rsidRPr="00937E9E" w14:paraId="7E6437E1" w14:textId="77777777" w:rsidTr="00941F29">
        <w:tc>
          <w:tcPr>
            <w:tcW w:w="1418" w:type="dxa"/>
            <w:shd w:val="clear" w:color="auto" w:fill="auto"/>
          </w:tcPr>
          <w:p w14:paraId="347A8A2E" w14:textId="77777777" w:rsidR="002227E6" w:rsidRPr="00937E9E" w:rsidRDefault="002227E6" w:rsidP="00937E9E">
            <w:pPr>
              <w:spacing w:before="40" w:after="120" w:line="220" w:lineRule="exact"/>
              <w:ind w:right="113"/>
              <w:rPr>
                <w:rFonts w:eastAsia="Calibri"/>
              </w:rPr>
            </w:pPr>
            <w:r w:rsidRPr="00937E9E">
              <w:t>Cochabamba</w:t>
            </w:r>
          </w:p>
        </w:tc>
        <w:tc>
          <w:tcPr>
            <w:tcW w:w="5952" w:type="dxa"/>
            <w:shd w:val="clear" w:color="auto" w:fill="auto"/>
          </w:tcPr>
          <w:p w14:paraId="5C13CB1E" w14:textId="77777777" w:rsidR="002227E6" w:rsidRPr="00937E9E" w:rsidRDefault="002227E6" w:rsidP="00937E9E">
            <w:pPr>
              <w:spacing w:before="40" w:after="120" w:line="220" w:lineRule="exact"/>
              <w:ind w:right="113"/>
              <w:rPr>
                <w:rFonts w:eastAsia="Calibri"/>
              </w:rPr>
            </w:pPr>
            <w:r w:rsidRPr="00937E9E">
              <w:t xml:space="preserve">The departmental autonomous government of Cochabamba runs a shelter as part of Programa Esperanza (the Hope Programme). </w:t>
            </w:r>
          </w:p>
        </w:tc>
      </w:tr>
      <w:tr w:rsidR="00941F29" w:rsidRPr="00937E9E" w14:paraId="7459A125" w14:textId="77777777" w:rsidTr="00941F29">
        <w:tc>
          <w:tcPr>
            <w:tcW w:w="1418" w:type="dxa"/>
            <w:shd w:val="clear" w:color="auto" w:fill="auto"/>
          </w:tcPr>
          <w:p w14:paraId="65C0A7D9" w14:textId="77777777" w:rsidR="002227E6" w:rsidRPr="00937E9E" w:rsidRDefault="002227E6" w:rsidP="00937E9E">
            <w:pPr>
              <w:spacing w:before="40" w:after="120" w:line="220" w:lineRule="exact"/>
              <w:ind w:right="113"/>
              <w:rPr>
                <w:rFonts w:eastAsia="Calibri"/>
              </w:rPr>
            </w:pPr>
            <w:r w:rsidRPr="00937E9E">
              <w:t>Santa Cruz</w:t>
            </w:r>
          </w:p>
        </w:tc>
        <w:tc>
          <w:tcPr>
            <w:tcW w:w="5952" w:type="dxa"/>
            <w:shd w:val="clear" w:color="auto" w:fill="auto"/>
          </w:tcPr>
          <w:p w14:paraId="2AF42C70" w14:textId="77777777" w:rsidR="002227E6" w:rsidRPr="00937E9E" w:rsidRDefault="002227E6" w:rsidP="00937E9E">
            <w:pPr>
              <w:spacing w:before="40" w:after="120" w:line="220" w:lineRule="exact"/>
              <w:ind w:right="113"/>
              <w:rPr>
                <w:rFonts w:eastAsia="Calibri"/>
              </w:rPr>
            </w:pPr>
            <w:r w:rsidRPr="00937E9E">
              <w:t>The departmental autonomous government of Santa Cruz has a shelter and temporary refuge, as well as four centres providing comprehensive support for women and families.</w:t>
            </w:r>
          </w:p>
        </w:tc>
      </w:tr>
      <w:tr w:rsidR="00941F29" w:rsidRPr="00937E9E" w14:paraId="107DA335" w14:textId="77777777" w:rsidTr="00941F29">
        <w:tc>
          <w:tcPr>
            <w:tcW w:w="1418" w:type="dxa"/>
            <w:shd w:val="clear" w:color="auto" w:fill="auto"/>
          </w:tcPr>
          <w:p w14:paraId="2D880E31" w14:textId="77777777" w:rsidR="002227E6" w:rsidRPr="00937E9E" w:rsidRDefault="002227E6" w:rsidP="00937E9E">
            <w:pPr>
              <w:spacing w:before="40" w:after="120" w:line="220" w:lineRule="exact"/>
              <w:ind w:right="113"/>
              <w:rPr>
                <w:rFonts w:eastAsia="Calibri"/>
              </w:rPr>
            </w:pPr>
            <w:r w:rsidRPr="00937E9E">
              <w:t>Tarija</w:t>
            </w:r>
          </w:p>
        </w:tc>
        <w:tc>
          <w:tcPr>
            <w:tcW w:w="5952" w:type="dxa"/>
            <w:shd w:val="clear" w:color="auto" w:fill="auto"/>
          </w:tcPr>
          <w:p w14:paraId="57952A1E" w14:textId="77777777" w:rsidR="002227E6" w:rsidRPr="00937E9E" w:rsidRDefault="002227E6" w:rsidP="00937E9E">
            <w:pPr>
              <w:spacing w:before="40" w:after="120" w:line="220" w:lineRule="exact"/>
              <w:ind w:right="113"/>
              <w:rPr>
                <w:rFonts w:eastAsia="Calibri"/>
              </w:rPr>
            </w:pPr>
            <w:r w:rsidRPr="00937E9E">
              <w:t>The departmental autonomous government of Tarija has two temporary shelters in Cercado Province: the RENACER temporary shelter and the Vida Digna Centre. It also runs a centre specializing in prevention and therapy and the Bermejo Therapy Centre.</w:t>
            </w:r>
          </w:p>
        </w:tc>
      </w:tr>
      <w:tr w:rsidR="00941F29" w:rsidRPr="00937E9E" w14:paraId="23FB5035" w14:textId="77777777" w:rsidTr="00941F29">
        <w:tc>
          <w:tcPr>
            <w:tcW w:w="1418" w:type="dxa"/>
            <w:shd w:val="clear" w:color="auto" w:fill="auto"/>
          </w:tcPr>
          <w:p w14:paraId="3EEAE7B8" w14:textId="77777777" w:rsidR="002227E6" w:rsidRPr="00937E9E" w:rsidRDefault="002227E6" w:rsidP="00937E9E">
            <w:pPr>
              <w:spacing w:before="40" w:after="120" w:line="220" w:lineRule="exact"/>
              <w:ind w:right="113"/>
              <w:rPr>
                <w:rFonts w:eastAsia="Calibri"/>
              </w:rPr>
            </w:pPr>
            <w:r w:rsidRPr="00937E9E">
              <w:t>Pando</w:t>
            </w:r>
          </w:p>
        </w:tc>
        <w:tc>
          <w:tcPr>
            <w:tcW w:w="5952" w:type="dxa"/>
            <w:shd w:val="clear" w:color="auto" w:fill="auto"/>
          </w:tcPr>
          <w:p w14:paraId="54C851EA" w14:textId="77777777" w:rsidR="002227E6" w:rsidRPr="00937E9E" w:rsidRDefault="002227E6" w:rsidP="00937E9E">
            <w:pPr>
              <w:spacing w:before="40" w:after="120" w:line="220" w:lineRule="exact"/>
              <w:ind w:right="113"/>
              <w:rPr>
                <w:rFonts w:eastAsia="Calibri"/>
              </w:rPr>
            </w:pPr>
            <w:r w:rsidRPr="00937E9E">
              <w:t>There is a temporary shelter for women in the community of Loma Alto.</w:t>
            </w:r>
          </w:p>
        </w:tc>
      </w:tr>
      <w:tr w:rsidR="00941F29" w:rsidRPr="00937E9E" w14:paraId="2A2A863C" w14:textId="77777777" w:rsidTr="00941F29">
        <w:tc>
          <w:tcPr>
            <w:tcW w:w="1418" w:type="dxa"/>
            <w:shd w:val="clear" w:color="auto" w:fill="auto"/>
          </w:tcPr>
          <w:p w14:paraId="7B40BEB1" w14:textId="77777777" w:rsidR="002227E6" w:rsidRPr="00937E9E" w:rsidRDefault="002227E6" w:rsidP="00937E9E">
            <w:pPr>
              <w:spacing w:before="40" w:after="120" w:line="220" w:lineRule="exact"/>
              <w:ind w:right="113"/>
              <w:rPr>
                <w:rFonts w:eastAsia="Calibri"/>
              </w:rPr>
            </w:pPr>
            <w:r w:rsidRPr="00937E9E">
              <w:t>Chuquisaca</w:t>
            </w:r>
          </w:p>
        </w:tc>
        <w:tc>
          <w:tcPr>
            <w:tcW w:w="5952" w:type="dxa"/>
            <w:shd w:val="clear" w:color="auto" w:fill="auto"/>
          </w:tcPr>
          <w:p w14:paraId="7DE08A67" w14:textId="77777777" w:rsidR="002227E6" w:rsidRPr="00937E9E" w:rsidRDefault="002227E6" w:rsidP="00937E9E">
            <w:pPr>
              <w:spacing w:before="40" w:after="120" w:line="220" w:lineRule="exact"/>
              <w:ind w:right="113"/>
              <w:rPr>
                <w:rFonts w:eastAsia="Calibri"/>
              </w:rPr>
            </w:pPr>
            <w:r w:rsidRPr="00937E9E">
              <w:t>There is one shelter with capacity for 60 people.</w:t>
            </w:r>
          </w:p>
        </w:tc>
      </w:tr>
    </w:tbl>
    <w:p w14:paraId="3C6C662B" w14:textId="77777777" w:rsidR="002227E6" w:rsidRPr="00914368" w:rsidRDefault="002227E6" w:rsidP="00937E9E">
      <w:pPr>
        <w:pStyle w:val="SingleTxtG"/>
        <w:spacing w:before="240"/>
        <w:rPr>
          <w:rFonts w:eastAsia="Calibri"/>
        </w:rPr>
      </w:pPr>
      <w:r w:rsidRPr="00914368">
        <w:t>51.</w:t>
      </w:r>
      <w:r w:rsidRPr="00914368">
        <w:tab/>
        <w:t>(e) Spousal rape is explicitly criminalized in national legislation. Article 308 of the Penal Code establishes that the criminal offence of rape is punishable by a prison sentence of 15 to 20 years. Article 310 (f), as modified by the fourth additional provision of Act No. 1173, on aggravating circumstances for the offence of rape, states that the penalty is increased by five years when the perpetrator is the spouse or live-in partner of the victim or is or has been in a similar intimate relationship with the victim.</w:t>
      </w:r>
    </w:p>
    <w:p w14:paraId="25984635" w14:textId="77777777" w:rsidR="002227E6" w:rsidRPr="00914368" w:rsidRDefault="002227E6" w:rsidP="00327F07">
      <w:pPr>
        <w:pStyle w:val="H1G"/>
      </w:pPr>
      <w:r w:rsidRPr="00914368">
        <w:tab/>
      </w:r>
      <w:r w:rsidRPr="00914368">
        <w:tab/>
        <w:t>Voluntary termination of pregnancy and reproductive rights (arts. 2–3, 6–7, 17 and 24–26)</w:t>
      </w:r>
    </w:p>
    <w:p w14:paraId="5DCA16C6" w14:textId="77777777" w:rsidR="002227E6" w:rsidRPr="00914368" w:rsidRDefault="002227E6" w:rsidP="00327F07">
      <w:pPr>
        <w:pStyle w:val="H23G"/>
        <w:rPr>
          <w:rFonts w:eastAsia="Calibri"/>
        </w:rPr>
      </w:pPr>
      <w:r w:rsidRPr="00914368">
        <w:tab/>
        <w:t>8.</w:t>
      </w:r>
      <w:r w:rsidRPr="00914368">
        <w:tab/>
        <w:t>Replies to the issues raised in paragraph 8 of the list of issues</w:t>
      </w:r>
    </w:p>
    <w:p w14:paraId="2CD89AA0" w14:textId="0EA361D1" w:rsidR="002227E6" w:rsidRPr="00914368" w:rsidRDefault="002227E6" w:rsidP="00327F07">
      <w:pPr>
        <w:pStyle w:val="SingleTxtG"/>
        <w:rPr>
          <w:rFonts w:eastAsia="Calibri"/>
        </w:rPr>
      </w:pPr>
      <w:r w:rsidRPr="00914368">
        <w:t>52.</w:t>
      </w:r>
      <w:r w:rsidRPr="00914368">
        <w:tab/>
        <w:t xml:space="preserve">(a) </w:t>
      </w:r>
      <w:bookmarkStart w:id="4" w:name="_Hlk95215845"/>
      <w:r w:rsidRPr="00914368">
        <w:t>According to Constitutional Decision No. 0206/2014, a woman can obtain a legal and safe abortion in cases where the pregnancy is the result of rape, incest or statutory rape, or if the pregnancy endangers her life or health</w:t>
      </w:r>
      <w:bookmarkEnd w:id="4"/>
      <w:r w:rsidRPr="00914368">
        <w:t>. The relevant part of the Decision states that the filing of a complaint or the existence of a formal accusation and/or indictment is not required. If a woman</w:t>
      </w:r>
      <w:r w:rsidR="008D6E06">
        <w:t>’</w:t>
      </w:r>
      <w:r w:rsidRPr="00914368">
        <w:t>s pregnancy has resulted from the commission of a criminal offence, it is sufficient for her to attend a public or private health centre, where she can obtain an abortion, and to inform the competent public authority of her situation. The doctor who performs the abortion will thus have a record of the justification for it. According to the interpretation of the Plurinational Constitutional Court in the Constitutional Decision mentioned above, rape victims do NOT require any prior judicial authorization, nor do they have to comply with any rule or regulation in order to obtain an abortion.</w:t>
      </w:r>
    </w:p>
    <w:p w14:paraId="0CB0A6CC" w14:textId="77777777" w:rsidR="002227E6" w:rsidRPr="00914368" w:rsidRDefault="002227E6" w:rsidP="00327F07">
      <w:pPr>
        <w:pStyle w:val="SingleTxtG"/>
        <w:rPr>
          <w:rFonts w:eastAsia="Calibri"/>
        </w:rPr>
      </w:pPr>
      <w:r w:rsidRPr="00914368">
        <w:lastRenderedPageBreak/>
        <w:t>53.</w:t>
      </w:r>
      <w:r w:rsidRPr="00914368">
        <w:tab/>
        <w:t>(b) As mentioned in the previous paragraph, NO prior judicial authorization is required to obtain a legal termination, nor are there any particular rules or regulations in that regard.</w:t>
      </w:r>
    </w:p>
    <w:p w14:paraId="6FFB9C33" w14:textId="77777777" w:rsidR="002227E6" w:rsidRPr="00914368" w:rsidRDefault="002227E6" w:rsidP="00327F07">
      <w:pPr>
        <w:pStyle w:val="SingleTxtG"/>
        <w:rPr>
          <w:rFonts w:eastAsia="Calibri"/>
        </w:rPr>
      </w:pPr>
      <w:r w:rsidRPr="00914368">
        <w:t>54.</w:t>
      </w:r>
      <w:r w:rsidRPr="00914368">
        <w:tab/>
        <w:t>(c) In relation to criminal prosecutions brought in cases of terminations, in Plurinational Constitutional Decision No. 0206/2014 of 5 February 2014, part of article 266 of the Criminal Code, on permissible abortion, was declared unconstitutional, namely with respect to the requirement to make a formal criminal complaint and provide evidence of judicial authorization as necessary. Consequently, the State has not launched any criminal prosecutions relating to abortion in the last five years.</w:t>
      </w:r>
    </w:p>
    <w:p w14:paraId="22A4444B" w14:textId="73F2814E" w:rsidR="002227E6" w:rsidRPr="00914368" w:rsidRDefault="002227E6" w:rsidP="00327F07">
      <w:pPr>
        <w:pStyle w:val="SingleTxtG"/>
        <w:rPr>
          <w:rFonts w:eastAsia="Calibri"/>
        </w:rPr>
      </w:pPr>
      <w:r w:rsidRPr="00914368">
        <w:t>55.</w:t>
      </w:r>
      <w:r w:rsidRPr="00914368">
        <w:tab/>
        <w:t>Article 266 of the Criminal Code, on permissible abortion, states that if the abortion results from an offence of rape, abduction not followed by marriage, statutory rape or incest, no penalty is applied. Article 266 further states that an abortion is permissible if it is performed because the mother</w:t>
      </w:r>
      <w:r w:rsidR="008D6E06">
        <w:t>’</w:t>
      </w:r>
      <w:r w:rsidRPr="00914368">
        <w:t>s life or health is at risk and if the risk cannot be avoided by other means, and that, in both situations, the procedure must be performed by a doctor, with the mother</w:t>
      </w:r>
      <w:r w:rsidR="008D6E06">
        <w:t>’</w:t>
      </w:r>
      <w:r w:rsidRPr="00914368">
        <w:t xml:space="preserve">s consent. The deleted text was declared unconstitutional in Plurinational Constitutional Decision No. 0206/2014 of 5 February 2014, and the State has not launched any criminal prosecutions relating to abortion in the last five years. </w:t>
      </w:r>
    </w:p>
    <w:p w14:paraId="12DCBD27" w14:textId="77777777" w:rsidR="002227E6" w:rsidRPr="00914368" w:rsidRDefault="002227E6" w:rsidP="00327F07">
      <w:pPr>
        <w:pStyle w:val="SingleTxtG"/>
        <w:rPr>
          <w:rFonts w:eastAsia="Calibri"/>
        </w:rPr>
      </w:pPr>
      <w:r w:rsidRPr="00914368">
        <w:t>56.</w:t>
      </w:r>
      <w:r w:rsidRPr="00914368">
        <w:tab/>
        <w:t>(d) According to Constitutional Decision No. 0206/2014, a woman can obtain a legal and safe abortion in cases where the pregnancy is the result of rape, incest or statutory rape, or if the pregnancy endangers her life or health. Similarly, article 8 (e) of the technical procedure for the provision of health services in the framework of Plurinational Constitutional Decision No. 0206/2014, as approved by Ministerial Decision No. 0027, states that health service providers have an obligation to terminate a pregnancy if the life or health of the woman is at risk or if there are fatal congenital malformations, as documented in a medical report, provided that the woman voluntarily signs to indicate free and informed consent, without any other prerequisites.</w:t>
      </w:r>
    </w:p>
    <w:p w14:paraId="395134B8" w14:textId="77777777" w:rsidR="002227E6" w:rsidRPr="00914368" w:rsidRDefault="002227E6" w:rsidP="00327F07">
      <w:pPr>
        <w:pStyle w:val="SingleTxtG"/>
      </w:pPr>
      <w:r w:rsidRPr="00914368">
        <w:t>57.</w:t>
      </w:r>
      <w:r w:rsidRPr="00914368">
        <w:tab/>
        <w:t>(e) The Plurinational Plan for the Prevention of Pregnancy among Adolescents and Young Persons is composed of the following components, each of which have been allocated the budget indicated.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235"/>
        <w:gridCol w:w="2135"/>
      </w:tblGrid>
      <w:tr w:rsidR="00530933" w:rsidRPr="00530933" w14:paraId="092F7B2E" w14:textId="77777777" w:rsidTr="00530933">
        <w:trPr>
          <w:trHeight w:val="240"/>
          <w:tblHeader/>
        </w:trPr>
        <w:tc>
          <w:tcPr>
            <w:tcW w:w="5235" w:type="dxa"/>
            <w:tcBorders>
              <w:top w:val="single" w:sz="4" w:space="0" w:color="auto"/>
              <w:bottom w:val="single" w:sz="12" w:space="0" w:color="auto"/>
            </w:tcBorders>
            <w:shd w:val="clear" w:color="auto" w:fill="auto"/>
            <w:vAlign w:val="bottom"/>
          </w:tcPr>
          <w:p w14:paraId="7B604F7B" w14:textId="77777777" w:rsidR="002227E6" w:rsidRPr="00530933" w:rsidRDefault="002227E6" w:rsidP="00530933">
            <w:pPr>
              <w:spacing w:before="80" w:after="80" w:line="200" w:lineRule="exact"/>
              <w:ind w:right="113"/>
              <w:rPr>
                <w:rFonts w:eastAsia="Times New Roman"/>
                <w:i/>
                <w:sz w:val="16"/>
                <w:szCs w:val="16"/>
              </w:rPr>
            </w:pPr>
            <w:r w:rsidRPr="00530933">
              <w:rPr>
                <w:i/>
                <w:iCs/>
                <w:sz w:val="16"/>
                <w:szCs w:val="16"/>
              </w:rPr>
              <w:t>Component</w:t>
            </w:r>
          </w:p>
        </w:tc>
        <w:tc>
          <w:tcPr>
            <w:tcW w:w="2135" w:type="dxa"/>
            <w:tcBorders>
              <w:top w:val="single" w:sz="4" w:space="0" w:color="auto"/>
              <w:bottom w:val="single" w:sz="12" w:space="0" w:color="auto"/>
            </w:tcBorders>
            <w:shd w:val="clear" w:color="auto" w:fill="auto"/>
            <w:vAlign w:val="bottom"/>
          </w:tcPr>
          <w:p w14:paraId="38D61D51" w14:textId="77777777" w:rsidR="002227E6" w:rsidRPr="00530933" w:rsidRDefault="002227E6" w:rsidP="00530933">
            <w:pPr>
              <w:spacing w:before="80" w:after="80" w:line="200" w:lineRule="exact"/>
              <w:ind w:right="113"/>
              <w:jc w:val="right"/>
              <w:rPr>
                <w:rFonts w:eastAsia="Times New Roman"/>
                <w:i/>
                <w:sz w:val="16"/>
                <w:szCs w:val="16"/>
              </w:rPr>
            </w:pPr>
            <w:r w:rsidRPr="00530933">
              <w:rPr>
                <w:i/>
                <w:iCs/>
                <w:sz w:val="16"/>
                <w:szCs w:val="16"/>
              </w:rPr>
              <w:t>Budget (in bolivianos)</w:t>
            </w:r>
          </w:p>
        </w:tc>
      </w:tr>
      <w:tr w:rsidR="002227E6" w:rsidRPr="00530933" w14:paraId="16ED9CFF" w14:textId="77777777" w:rsidTr="00530933">
        <w:trPr>
          <w:trHeight w:val="240"/>
        </w:trPr>
        <w:tc>
          <w:tcPr>
            <w:tcW w:w="5235" w:type="dxa"/>
            <w:tcBorders>
              <w:top w:val="single" w:sz="12" w:space="0" w:color="auto"/>
            </w:tcBorders>
            <w:shd w:val="clear" w:color="auto" w:fill="auto"/>
          </w:tcPr>
          <w:p w14:paraId="7D954383" w14:textId="77777777" w:rsidR="002227E6" w:rsidRPr="00530933" w:rsidRDefault="002227E6" w:rsidP="00530933">
            <w:pPr>
              <w:spacing w:before="40" w:after="40" w:line="220" w:lineRule="exact"/>
              <w:ind w:right="113"/>
              <w:rPr>
                <w:rFonts w:eastAsia="Times New Roman"/>
                <w:sz w:val="18"/>
                <w:szCs w:val="18"/>
              </w:rPr>
            </w:pPr>
            <w:r w:rsidRPr="00530933">
              <w:rPr>
                <w:sz w:val="18"/>
                <w:szCs w:val="18"/>
              </w:rPr>
              <w:t xml:space="preserve">Economic, productive and employment component </w:t>
            </w:r>
          </w:p>
        </w:tc>
        <w:tc>
          <w:tcPr>
            <w:tcW w:w="2135" w:type="dxa"/>
            <w:tcBorders>
              <w:top w:val="single" w:sz="12" w:space="0" w:color="auto"/>
            </w:tcBorders>
            <w:shd w:val="clear" w:color="auto" w:fill="auto"/>
            <w:vAlign w:val="bottom"/>
          </w:tcPr>
          <w:p w14:paraId="624BF472" w14:textId="519F52EE" w:rsidR="002227E6" w:rsidRPr="00530933" w:rsidRDefault="002227E6" w:rsidP="00530933">
            <w:pPr>
              <w:spacing w:before="40" w:after="40" w:line="220" w:lineRule="exact"/>
              <w:ind w:right="113"/>
              <w:jc w:val="right"/>
              <w:rPr>
                <w:rFonts w:eastAsia="Times New Roman"/>
                <w:sz w:val="18"/>
                <w:szCs w:val="18"/>
              </w:rPr>
            </w:pPr>
            <w:r w:rsidRPr="00530933">
              <w:rPr>
                <w:sz w:val="18"/>
                <w:szCs w:val="18"/>
              </w:rPr>
              <w:t>1</w:t>
            </w:r>
            <w:r w:rsidR="00530933">
              <w:rPr>
                <w:sz w:val="18"/>
                <w:szCs w:val="18"/>
              </w:rPr>
              <w:t xml:space="preserve"> </w:t>
            </w:r>
            <w:r w:rsidRPr="00530933">
              <w:rPr>
                <w:sz w:val="18"/>
                <w:szCs w:val="18"/>
              </w:rPr>
              <w:t>750</w:t>
            </w:r>
            <w:r w:rsidR="00530933">
              <w:rPr>
                <w:sz w:val="18"/>
                <w:szCs w:val="18"/>
              </w:rPr>
              <w:t xml:space="preserve"> </w:t>
            </w:r>
            <w:r w:rsidRPr="00530933">
              <w:rPr>
                <w:sz w:val="18"/>
                <w:szCs w:val="18"/>
              </w:rPr>
              <w:t>000</w:t>
            </w:r>
          </w:p>
        </w:tc>
      </w:tr>
      <w:tr w:rsidR="002227E6" w:rsidRPr="00530933" w14:paraId="7B2F9E3A" w14:textId="77777777" w:rsidTr="00530933">
        <w:trPr>
          <w:trHeight w:val="240"/>
        </w:trPr>
        <w:tc>
          <w:tcPr>
            <w:tcW w:w="5235" w:type="dxa"/>
            <w:shd w:val="clear" w:color="auto" w:fill="auto"/>
          </w:tcPr>
          <w:p w14:paraId="34ACA579" w14:textId="77777777" w:rsidR="002227E6" w:rsidRPr="00530933" w:rsidRDefault="002227E6" w:rsidP="00530933">
            <w:pPr>
              <w:spacing w:before="40" w:after="40" w:line="220" w:lineRule="exact"/>
              <w:ind w:right="113"/>
              <w:rPr>
                <w:rFonts w:eastAsia="Times New Roman"/>
                <w:sz w:val="18"/>
                <w:szCs w:val="18"/>
              </w:rPr>
            </w:pPr>
            <w:r w:rsidRPr="00530933">
              <w:rPr>
                <w:sz w:val="18"/>
                <w:szCs w:val="18"/>
              </w:rPr>
              <w:t xml:space="preserve">Education component </w:t>
            </w:r>
          </w:p>
        </w:tc>
        <w:tc>
          <w:tcPr>
            <w:tcW w:w="2135" w:type="dxa"/>
            <w:shd w:val="clear" w:color="auto" w:fill="auto"/>
            <w:vAlign w:val="bottom"/>
          </w:tcPr>
          <w:p w14:paraId="5E54EDB2" w14:textId="683D4BE6" w:rsidR="002227E6" w:rsidRPr="00530933" w:rsidRDefault="002227E6" w:rsidP="00530933">
            <w:pPr>
              <w:spacing w:before="40" w:after="40" w:line="220" w:lineRule="exact"/>
              <w:ind w:right="113"/>
              <w:jc w:val="right"/>
              <w:rPr>
                <w:rFonts w:eastAsia="Times New Roman"/>
                <w:sz w:val="18"/>
                <w:szCs w:val="18"/>
              </w:rPr>
            </w:pPr>
            <w:r w:rsidRPr="00530933">
              <w:rPr>
                <w:sz w:val="18"/>
                <w:szCs w:val="18"/>
              </w:rPr>
              <w:t>2</w:t>
            </w:r>
            <w:r w:rsidR="00530933">
              <w:rPr>
                <w:sz w:val="18"/>
                <w:szCs w:val="18"/>
              </w:rPr>
              <w:t xml:space="preserve"> </w:t>
            </w:r>
            <w:r w:rsidRPr="00530933">
              <w:rPr>
                <w:sz w:val="18"/>
                <w:szCs w:val="18"/>
              </w:rPr>
              <w:t>380</w:t>
            </w:r>
            <w:r w:rsidR="00530933">
              <w:rPr>
                <w:sz w:val="18"/>
                <w:szCs w:val="18"/>
              </w:rPr>
              <w:t xml:space="preserve"> </w:t>
            </w:r>
            <w:r w:rsidRPr="00530933">
              <w:rPr>
                <w:sz w:val="18"/>
                <w:szCs w:val="18"/>
              </w:rPr>
              <w:t>000</w:t>
            </w:r>
          </w:p>
        </w:tc>
      </w:tr>
      <w:tr w:rsidR="002227E6" w:rsidRPr="00530933" w14:paraId="3DFCAD9E" w14:textId="77777777" w:rsidTr="00530933">
        <w:trPr>
          <w:trHeight w:val="240"/>
        </w:trPr>
        <w:tc>
          <w:tcPr>
            <w:tcW w:w="5235" w:type="dxa"/>
            <w:shd w:val="clear" w:color="auto" w:fill="auto"/>
          </w:tcPr>
          <w:p w14:paraId="6CD60BBB" w14:textId="77777777" w:rsidR="002227E6" w:rsidRPr="00530933" w:rsidRDefault="002227E6" w:rsidP="00530933">
            <w:pPr>
              <w:spacing w:before="40" w:after="40" w:line="220" w:lineRule="exact"/>
              <w:ind w:right="113"/>
              <w:rPr>
                <w:rFonts w:eastAsia="Times New Roman"/>
                <w:sz w:val="18"/>
                <w:szCs w:val="18"/>
              </w:rPr>
            </w:pPr>
            <w:r w:rsidRPr="00530933">
              <w:rPr>
                <w:sz w:val="18"/>
                <w:szCs w:val="18"/>
              </w:rPr>
              <w:t xml:space="preserve">Health component </w:t>
            </w:r>
          </w:p>
        </w:tc>
        <w:tc>
          <w:tcPr>
            <w:tcW w:w="2135" w:type="dxa"/>
            <w:shd w:val="clear" w:color="auto" w:fill="auto"/>
            <w:vAlign w:val="bottom"/>
          </w:tcPr>
          <w:p w14:paraId="6A8CFE17" w14:textId="1295B5C9" w:rsidR="002227E6" w:rsidRPr="00530933" w:rsidRDefault="002227E6" w:rsidP="00530933">
            <w:pPr>
              <w:spacing w:before="40" w:after="40" w:line="220" w:lineRule="exact"/>
              <w:ind w:right="113"/>
              <w:jc w:val="right"/>
              <w:rPr>
                <w:rFonts w:eastAsia="Times New Roman"/>
                <w:sz w:val="18"/>
                <w:szCs w:val="18"/>
              </w:rPr>
            </w:pPr>
            <w:r w:rsidRPr="00530933">
              <w:rPr>
                <w:sz w:val="18"/>
                <w:szCs w:val="18"/>
              </w:rPr>
              <w:t>6</w:t>
            </w:r>
            <w:r w:rsidR="00530933">
              <w:rPr>
                <w:sz w:val="18"/>
                <w:szCs w:val="18"/>
              </w:rPr>
              <w:t xml:space="preserve"> </w:t>
            </w:r>
            <w:r w:rsidRPr="00530933">
              <w:rPr>
                <w:sz w:val="18"/>
                <w:szCs w:val="18"/>
              </w:rPr>
              <w:t>678</w:t>
            </w:r>
            <w:r w:rsidR="00530933">
              <w:rPr>
                <w:sz w:val="18"/>
                <w:szCs w:val="18"/>
              </w:rPr>
              <w:t xml:space="preserve"> </w:t>
            </w:r>
            <w:r w:rsidRPr="00530933">
              <w:rPr>
                <w:sz w:val="18"/>
                <w:szCs w:val="18"/>
              </w:rPr>
              <w:t>000</w:t>
            </w:r>
          </w:p>
        </w:tc>
      </w:tr>
      <w:tr w:rsidR="002227E6" w:rsidRPr="00530933" w14:paraId="6CA3D0C9" w14:textId="77777777" w:rsidTr="00530933">
        <w:trPr>
          <w:trHeight w:val="240"/>
        </w:trPr>
        <w:tc>
          <w:tcPr>
            <w:tcW w:w="5235" w:type="dxa"/>
            <w:shd w:val="clear" w:color="auto" w:fill="auto"/>
          </w:tcPr>
          <w:p w14:paraId="219D6A81" w14:textId="77777777" w:rsidR="002227E6" w:rsidRPr="00530933" w:rsidRDefault="002227E6" w:rsidP="00530933">
            <w:pPr>
              <w:spacing w:before="40" w:after="40" w:line="220" w:lineRule="exact"/>
              <w:ind w:right="113"/>
              <w:rPr>
                <w:rFonts w:eastAsia="Times New Roman"/>
                <w:sz w:val="18"/>
                <w:szCs w:val="18"/>
              </w:rPr>
            </w:pPr>
            <w:r w:rsidRPr="00530933">
              <w:rPr>
                <w:sz w:val="18"/>
                <w:szCs w:val="18"/>
              </w:rPr>
              <w:t xml:space="preserve">Gender-based violence component </w:t>
            </w:r>
          </w:p>
        </w:tc>
        <w:tc>
          <w:tcPr>
            <w:tcW w:w="2135" w:type="dxa"/>
            <w:shd w:val="clear" w:color="auto" w:fill="auto"/>
            <w:vAlign w:val="bottom"/>
          </w:tcPr>
          <w:p w14:paraId="2F0BA41E" w14:textId="146BA3D5" w:rsidR="002227E6" w:rsidRPr="00530933" w:rsidRDefault="002227E6" w:rsidP="00530933">
            <w:pPr>
              <w:spacing w:before="40" w:after="40" w:line="220" w:lineRule="exact"/>
              <w:ind w:right="113"/>
              <w:jc w:val="right"/>
              <w:rPr>
                <w:rFonts w:eastAsia="Times New Roman"/>
                <w:sz w:val="18"/>
                <w:szCs w:val="18"/>
              </w:rPr>
            </w:pPr>
            <w:r w:rsidRPr="00530933">
              <w:rPr>
                <w:sz w:val="18"/>
                <w:szCs w:val="18"/>
              </w:rPr>
              <w:t>1</w:t>
            </w:r>
            <w:r w:rsidR="00530933">
              <w:rPr>
                <w:sz w:val="18"/>
                <w:szCs w:val="18"/>
              </w:rPr>
              <w:t xml:space="preserve"> </w:t>
            </w:r>
            <w:r w:rsidRPr="00530933">
              <w:rPr>
                <w:sz w:val="18"/>
                <w:szCs w:val="18"/>
              </w:rPr>
              <w:t>800</w:t>
            </w:r>
            <w:r w:rsidR="00530933">
              <w:rPr>
                <w:sz w:val="18"/>
                <w:szCs w:val="18"/>
              </w:rPr>
              <w:t xml:space="preserve"> </w:t>
            </w:r>
            <w:r w:rsidRPr="00530933">
              <w:rPr>
                <w:sz w:val="18"/>
                <w:szCs w:val="18"/>
              </w:rPr>
              <w:t>000</w:t>
            </w:r>
          </w:p>
        </w:tc>
      </w:tr>
      <w:tr w:rsidR="002227E6" w:rsidRPr="00530933" w14:paraId="33ED8788" w14:textId="77777777" w:rsidTr="00530933">
        <w:trPr>
          <w:trHeight w:val="240"/>
        </w:trPr>
        <w:tc>
          <w:tcPr>
            <w:tcW w:w="5235" w:type="dxa"/>
            <w:shd w:val="clear" w:color="auto" w:fill="auto"/>
          </w:tcPr>
          <w:p w14:paraId="638DB092" w14:textId="77777777" w:rsidR="002227E6" w:rsidRPr="00530933" w:rsidRDefault="002227E6" w:rsidP="00530933">
            <w:pPr>
              <w:spacing w:before="40" w:after="40" w:line="220" w:lineRule="exact"/>
              <w:ind w:right="113"/>
              <w:rPr>
                <w:rFonts w:eastAsia="Times New Roman"/>
                <w:sz w:val="18"/>
                <w:szCs w:val="18"/>
              </w:rPr>
            </w:pPr>
            <w:r w:rsidRPr="00530933">
              <w:rPr>
                <w:sz w:val="18"/>
                <w:szCs w:val="18"/>
              </w:rPr>
              <w:t xml:space="preserve">Citizenship and political participation component </w:t>
            </w:r>
          </w:p>
        </w:tc>
        <w:tc>
          <w:tcPr>
            <w:tcW w:w="2135" w:type="dxa"/>
            <w:shd w:val="clear" w:color="auto" w:fill="auto"/>
            <w:vAlign w:val="bottom"/>
          </w:tcPr>
          <w:p w14:paraId="4DBBAD20" w14:textId="0078E49F" w:rsidR="002227E6" w:rsidRPr="00530933" w:rsidRDefault="002227E6" w:rsidP="00530933">
            <w:pPr>
              <w:spacing w:before="40" w:after="40" w:line="220" w:lineRule="exact"/>
              <w:ind w:right="113"/>
              <w:jc w:val="right"/>
              <w:rPr>
                <w:rFonts w:eastAsia="Times New Roman"/>
                <w:sz w:val="18"/>
                <w:szCs w:val="18"/>
              </w:rPr>
            </w:pPr>
            <w:r w:rsidRPr="00530933">
              <w:rPr>
                <w:sz w:val="18"/>
                <w:szCs w:val="18"/>
              </w:rPr>
              <w:t>1</w:t>
            </w:r>
            <w:r w:rsidR="00530933">
              <w:rPr>
                <w:sz w:val="18"/>
                <w:szCs w:val="18"/>
              </w:rPr>
              <w:t xml:space="preserve"> </w:t>
            </w:r>
            <w:r w:rsidRPr="00530933">
              <w:rPr>
                <w:sz w:val="18"/>
                <w:szCs w:val="18"/>
              </w:rPr>
              <w:t>020</w:t>
            </w:r>
            <w:r w:rsidR="00530933">
              <w:rPr>
                <w:sz w:val="18"/>
                <w:szCs w:val="18"/>
              </w:rPr>
              <w:t xml:space="preserve"> </w:t>
            </w:r>
            <w:r w:rsidRPr="00530933">
              <w:rPr>
                <w:sz w:val="18"/>
                <w:szCs w:val="18"/>
              </w:rPr>
              <w:t>000</w:t>
            </w:r>
          </w:p>
        </w:tc>
      </w:tr>
      <w:tr w:rsidR="002227E6" w:rsidRPr="00530933" w14:paraId="43C49476" w14:textId="77777777" w:rsidTr="00497F60">
        <w:trPr>
          <w:trHeight w:val="240"/>
        </w:trPr>
        <w:tc>
          <w:tcPr>
            <w:tcW w:w="5235" w:type="dxa"/>
            <w:tcBorders>
              <w:bottom w:val="single" w:sz="4" w:space="0" w:color="auto"/>
            </w:tcBorders>
            <w:shd w:val="clear" w:color="auto" w:fill="auto"/>
          </w:tcPr>
          <w:p w14:paraId="3A753D41" w14:textId="77777777" w:rsidR="002227E6" w:rsidRPr="00530933" w:rsidRDefault="002227E6" w:rsidP="00530933">
            <w:pPr>
              <w:spacing w:before="40" w:after="40" w:line="220" w:lineRule="exact"/>
              <w:ind w:right="113"/>
              <w:rPr>
                <w:rFonts w:eastAsia="Times New Roman"/>
                <w:sz w:val="18"/>
                <w:szCs w:val="18"/>
              </w:rPr>
            </w:pPr>
            <w:r w:rsidRPr="00530933">
              <w:rPr>
                <w:sz w:val="18"/>
                <w:szCs w:val="18"/>
              </w:rPr>
              <w:t xml:space="preserve">Institution-building component </w:t>
            </w:r>
          </w:p>
        </w:tc>
        <w:tc>
          <w:tcPr>
            <w:tcW w:w="2135" w:type="dxa"/>
            <w:tcBorders>
              <w:bottom w:val="single" w:sz="4" w:space="0" w:color="auto"/>
            </w:tcBorders>
            <w:shd w:val="clear" w:color="auto" w:fill="auto"/>
            <w:vAlign w:val="bottom"/>
          </w:tcPr>
          <w:p w14:paraId="3EBBC014" w14:textId="38E74AC1" w:rsidR="002227E6" w:rsidRPr="00530933" w:rsidRDefault="002227E6" w:rsidP="00530933">
            <w:pPr>
              <w:spacing w:before="40" w:after="40" w:line="220" w:lineRule="exact"/>
              <w:ind w:right="113"/>
              <w:jc w:val="right"/>
              <w:rPr>
                <w:rFonts w:eastAsia="Times New Roman"/>
                <w:sz w:val="18"/>
                <w:szCs w:val="18"/>
              </w:rPr>
            </w:pPr>
            <w:r w:rsidRPr="00530933">
              <w:rPr>
                <w:sz w:val="18"/>
                <w:szCs w:val="18"/>
              </w:rPr>
              <w:t>760</w:t>
            </w:r>
            <w:r w:rsidR="00530933">
              <w:rPr>
                <w:sz w:val="18"/>
                <w:szCs w:val="18"/>
              </w:rPr>
              <w:t xml:space="preserve"> </w:t>
            </w:r>
            <w:r w:rsidRPr="00530933">
              <w:rPr>
                <w:sz w:val="18"/>
                <w:szCs w:val="18"/>
              </w:rPr>
              <w:t>000</w:t>
            </w:r>
          </w:p>
        </w:tc>
      </w:tr>
      <w:tr w:rsidR="00497F60" w:rsidRPr="00497F60" w14:paraId="6966E48E" w14:textId="77777777" w:rsidTr="00497F60">
        <w:trPr>
          <w:trHeight w:val="240"/>
        </w:trPr>
        <w:tc>
          <w:tcPr>
            <w:tcW w:w="5235" w:type="dxa"/>
            <w:tcBorders>
              <w:top w:val="single" w:sz="4" w:space="0" w:color="auto"/>
              <w:bottom w:val="single" w:sz="12" w:space="0" w:color="auto"/>
            </w:tcBorders>
            <w:shd w:val="clear" w:color="auto" w:fill="auto"/>
          </w:tcPr>
          <w:p w14:paraId="67803A7F" w14:textId="77777777" w:rsidR="002227E6" w:rsidRPr="00497F60" w:rsidRDefault="002227E6" w:rsidP="00497F60">
            <w:pPr>
              <w:spacing w:before="80" w:after="80" w:line="220" w:lineRule="exact"/>
              <w:ind w:left="282" w:right="113"/>
              <w:rPr>
                <w:rFonts w:eastAsia="Times New Roman"/>
                <w:b/>
                <w:sz w:val="18"/>
                <w:szCs w:val="18"/>
              </w:rPr>
            </w:pPr>
            <w:r w:rsidRPr="00497F60">
              <w:rPr>
                <w:b/>
                <w:sz w:val="18"/>
                <w:szCs w:val="18"/>
              </w:rPr>
              <w:t xml:space="preserve">Total five-year budget </w:t>
            </w:r>
          </w:p>
        </w:tc>
        <w:tc>
          <w:tcPr>
            <w:tcW w:w="2135" w:type="dxa"/>
            <w:tcBorders>
              <w:top w:val="single" w:sz="4" w:space="0" w:color="auto"/>
              <w:bottom w:val="single" w:sz="12" w:space="0" w:color="auto"/>
            </w:tcBorders>
            <w:shd w:val="clear" w:color="auto" w:fill="auto"/>
            <w:vAlign w:val="bottom"/>
          </w:tcPr>
          <w:p w14:paraId="3D510CDA" w14:textId="1C2BA14A" w:rsidR="002227E6" w:rsidRPr="00497F60" w:rsidRDefault="002227E6" w:rsidP="00497F60">
            <w:pPr>
              <w:spacing w:before="80" w:after="80" w:line="220" w:lineRule="exact"/>
              <w:ind w:right="113"/>
              <w:jc w:val="right"/>
              <w:rPr>
                <w:rFonts w:eastAsia="Times New Roman"/>
                <w:b/>
                <w:sz w:val="18"/>
                <w:szCs w:val="18"/>
              </w:rPr>
            </w:pPr>
            <w:r w:rsidRPr="00497F60">
              <w:rPr>
                <w:b/>
                <w:sz w:val="18"/>
                <w:szCs w:val="18"/>
              </w:rPr>
              <w:t>12</w:t>
            </w:r>
            <w:r w:rsidR="00530933" w:rsidRPr="00497F60">
              <w:rPr>
                <w:b/>
                <w:sz w:val="18"/>
                <w:szCs w:val="18"/>
              </w:rPr>
              <w:t xml:space="preserve"> </w:t>
            </w:r>
            <w:r w:rsidRPr="00497F60">
              <w:rPr>
                <w:b/>
                <w:sz w:val="18"/>
                <w:szCs w:val="18"/>
              </w:rPr>
              <w:t>638</w:t>
            </w:r>
            <w:r w:rsidR="00530933" w:rsidRPr="00497F60">
              <w:rPr>
                <w:b/>
                <w:sz w:val="18"/>
                <w:szCs w:val="18"/>
              </w:rPr>
              <w:t xml:space="preserve"> </w:t>
            </w:r>
            <w:r w:rsidRPr="00497F60">
              <w:rPr>
                <w:b/>
                <w:sz w:val="18"/>
                <w:szCs w:val="18"/>
              </w:rPr>
              <w:t>000</w:t>
            </w:r>
          </w:p>
        </w:tc>
      </w:tr>
    </w:tbl>
    <w:p w14:paraId="2B5B01DD" w14:textId="77777777" w:rsidR="002227E6" w:rsidRPr="00497F60" w:rsidRDefault="002227E6" w:rsidP="00497F60">
      <w:pPr>
        <w:tabs>
          <w:tab w:val="left" w:pos="1701"/>
          <w:tab w:val="left" w:pos="2268"/>
          <w:tab w:val="left" w:pos="2835"/>
        </w:tabs>
        <w:spacing w:before="120" w:after="240" w:line="240" w:lineRule="atLeast"/>
        <w:ind w:left="1134" w:right="1134" w:firstLine="170"/>
        <w:rPr>
          <w:sz w:val="18"/>
        </w:rPr>
      </w:pPr>
      <w:r w:rsidRPr="00497F60">
        <w:rPr>
          <w:i/>
          <w:iCs/>
          <w:sz w:val="18"/>
        </w:rPr>
        <w:t>Source</w:t>
      </w:r>
      <w:r w:rsidRPr="00497F60">
        <w:rPr>
          <w:sz w:val="18"/>
        </w:rPr>
        <w:t>: Plurinational Plan for the Prevention of Pregnancy among Adolescents and Young Persons 2015–2020.</w:t>
      </w:r>
    </w:p>
    <w:p w14:paraId="5D6352CD" w14:textId="77777777" w:rsidR="002227E6" w:rsidRPr="00914368" w:rsidRDefault="002227E6" w:rsidP="00327F07">
      <w:pPr>
        <w:pStyle w:val="SingleTxtG"/>
      </w:pPr>
      <w:r w:rsidRPr="00914368">
        <w:t>58.</w:t>
      </w:r>
      <w:r w:rsidRPr="00914368">
        <w:tab/>
        <w:t xml:space="preserve">(f) Pursuant to Act No. 348, training on comprehensive care for victims of sexual violence is being offered to health-care providers. To reflect the fact that anyone can be a victim of violence, the training covers how to support a range of victims, including girls, boys, teenagers, men, women, older persons, persons with disabilities and persons of diverse sexual orientation and gender identity. </w:t>
      </w:r>
    </w:p>
    <w:p w14:paraId="466C624E" w14:textId="77777777" w:rsidR="002227E6" w:rsidRPr="00914368" w:rsidRDefault="002227E6" w:rsidP="00327F07">
      <w:pPr>
        <w:pStyle w:val="SingleTxtG"/>
      </w:pPr>
      <w:r w:rsidRPr="00914368">
        <w:t>59.</w:t>
      </w:r>
      <w:r w:rsidRPr="00914368">
        <w:tab/>
        <w:t xml:space="preserve">In this context, the Lifelong Care Department of the Ministry of Health and Sports has a contraception technology training plan. The training offered in the last four years on contraception technology and awareness of sexual and reproductive rights has helped to ensure that the population receives high-quality health care. </w:t>
      </w:r>
    </w:p>
    <w:p w14:paraId="47043063" w14:textId="77777777" w:rsidR="002227E6" w:rsidRPr="00914368" w:rsidRDefault="002227E6" w:rsidP="00497F60">
      <w:pPr>
        <w:pStyle w:val="H23G"/>
      </w:pPr>
      <w:r w:rsidRPr="00914368">
        <w:lastRenderedPageBreak/>
        <w:tab/>
      </w:r>
      <w:r w:rsidRPr="00914368">
        <w:tab/>
        <w:t xml:space="preserve">Contraceptive technology training for primary health-care personnel </w:t>
      </w:r>
    </w:p>
    <w:p w14:paraId="06C12EF1" w14:textId="6F539380" w:rsidR="002227E6" w:rsidRPr="00914368" w:rsidRDefault="002227E6" w:rsidP="00327F07">
      <w:pPr>
        <w:pStyle w:val="SingleTxtG"/>
      </w:pPr>
      <w:r w:rsidRPr="00914368">
        <w:t>60.</w:t>
      </w:r>
      <w:r w:rsidRPr="00914368">
        <w:tab/>
        <w:t>In 2016, in order to improve the capacities of health-care workers, the Lifelong Care Department worked with the United Nations Population Fund (UNFPA) to plan training programmes. In that year, 288 doctors and 166 nurses received training in contraceptive technology, and health-care workers</w:t>
      </w:r>
      <w:r w:rsidR="008D6E06">
        <w:t>’</w:t>
      </w:r>
      <w:r w:rsidRPr="00914368">
        <w:t xml:space="preserve"> awareness of sexual and reproductive rights was improved. </w:t>
      </w:r>
    </w:p>
    <w:p w14:paraId="3C329962" w14:textId="77777777" w:rsidR="002227E6" w:rsidRPr="00914368" w:rsidRDefault="002227E6" w:rsidP="00327F07">
      <w:pPr>
        <w:pStyle w:val="SingleTxtG"/>
      </w:pPr>
      <w:r w:rsidRPr="00914368">
        <w:t>61.</w:t>
      </w:r>
      <w:r w:rsidRPr="00914368">
        <w:tab/>
        <w:t>In 2017, 240 health-care workers nationwide received theoretical and practical training on the topic of contraception, and 531 received training on sexual and reproductive rights and the importance of contraception for women and men, in accordance with the regulations in force.</w:t>
      </w:r>
    </w:p>
    <w:p w14:paraId="7C332987" w14:textId="77777777" w:rsidR="002227E6" w:rsidRPr="00914368" w:rsidRDefault="002227E6" w:rsidP="00327F07">
      <w:pPr>
        <w:pStyle w:val="SingleTxtG"/>
      </w:pPr>
      <w:r w:rsidRPr="00914368">
        <w:t>62.</w:t>
      </w:r>
      <w:r w:rsidRPr="00914368">
        <w:tab/>
        <w:t>In 2018, 259 health-care workers received training on contraception, in compliance with regulations on the right to sexual and reproductive health.</w:t>
      </w:r>
    </w:p>
    <w:p w14:paraId="51CD1395" w14:textId="77777777" w:rsidR="002227E6" w:rsidRPr="00914368" w:rsidRDefault="002227E6" w:rsidP="00327F07">
      <w:pPr>
        <w:pStyle w:val="SingleTxtG"/>
      </w:pPr>
      <w:r w:rsidRPr="00914368">
        <w:t>63.</w:t>
      </w:r>
      <w:r w:rsidRPr="00914368">
        <w:tab/>
        <w:t>In 2019, as part of the Annual Workplan, 111 health-care workers received training on contraception and the regulations on sexual and reproductive rights, with an emphasis on the right of women to choose and obtain methods of contraception.</w:t>
      </w:r>
    </w:p>
    <w:p w14:paraId="43751891" w14:textId="77777777" w:rsidR="002227E6" w:rsidRPr="00914368" w:rsidRDefault="002227E6" w:rsidP="00327F07">
      <w:pPr>
        <w:pStyle w:val="SingleTxtG"/>
      </w:pPr>
      <w:r w:rsidRPr="00914368">
        <w:t>64.</w:t>
      </w:r>
      <w:r w:rsidRPr="00914368">
        <w:tab/>
        <w:t>In 2020, the continuity of sexual and reproductive health services was disrupted, and there was a shortage of personal protective equipment material for health-care workers. In that context, the following achievements were recorded:</w:t>
      </w:r>
    </w:p>
    <w:p w14:paraId="7E3C398E" w14:textId="42D99AC9"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 xml:space="preserve">Personal protective equipment was donated by UNFPA and the Embassy of Sweden in June, July, August and September to 55 category I, II and III maternity hospitals and birth facilities. </w:t>
      </w:r>
    </w:p>
    <w:p w14:paraId="6778F658" w14:textId="0B43CB44"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10 contraceptive campaigns were conducted in the nine departments; 1,552 subdermal implants and 167 intra-uterine devices were inserted, and 10,314 condoms were distributed with the support of UNFPA and Marie Stopes.</w:t>
      </w:r>
    </w:p>
    <w:p w14:paraId="268F6E41" w14:textId="1D6D7590"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172 health-care workers received online training on the regulations on comprehensive sexual and reproductive health care for persons with disabilities.</w:t>
      </w:r>
    </w:p>
    <w:p w14:paraId="678576BF" w14:textId="32DE83A7"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A number of seminars were held in July and August 2020 on the following topics: mental health for health-care workers during the coronavirus disease (COVID-19) pandemic; dealing with cases of violence during the pandemic; prevention and control of COVID-19 infections; and psychological challenges such as emotional regulation support during online consultations and mental health for health-care workers while working from home.</w:t>
      </w:r>
    </w:p>
    <w:p w14:paraId="06297401" w14:textId="77777777" w:rsidR="002227E6" w:rsidRPr="00914368" w:rsidRDefault="002227E6" w:rsidP="00327F07">
      <w:pPr>
        <w:pStyle w:val="SingleTxtG"/>
      </w:pPr>
      <w:r w:rsidRPr="00914368">
        <w:t>65.</w:t>
      </w:r>
      <w:r w:rsidRPr="00914368">
        <w:tab/>
        <w:t>In 2021, the Ministry of Health and Sports undertook regulatory activities that will help to guide the actions of health-care workers, including:</w:t>
      </w:r>
    </w:p>
    <w:p w14:paraId="7F53EC14" w14:textId="61A9318B"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Action Plan for the Continuity of Sexual and Reproductive Health Services during and after the COVID-19 Pandemic</w:t>
      </w:r>
    </w:p>
    <w:p w14:paraId="5194B16D" w14:textId="349560A4"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Standard for Comprehensive Care of the LGBTIQ+ Population in Health Facilities</w:t>
      </w:r>
    </w:p>
    <w:p w14:paraId="50678DAB" w14:textId="1D1E75AE"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Sexual and Reproductive Health Guidelines 2021–2025</w:t>
      </w:r>
    </w:p>
    <w:p w14:paraId="2FB2C89E" w14:textId="3DE1DE6B"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National standards, rules, protocols and procedures relating to contraception, 2021 edition</w:t>
      </w:r>
    </w:p>
    <w:p w14:paraId="78C713A9" w14:textId="5223AE48"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Procedural Chart for Comprehensive Lifelong Care 2021</w:t>
      </w:r>
    </w:p>
    <w:p w14:paraId="084A386D" w14:textId="77777777" w:rsidR="002227E6" w:rsidRPr="00914368" w:rsidRDefault="002227E6" w:rsidP="00327F07">
      <w:pPr>
        <w:pStyle w:val="SingleTxtG"/>
      </w:pPr>
      <w:r w:rsidRPr="00914368">
        <w:t>66.</w:t>
      </w:r>
      <w:r w:rsidRPr="00914368">
        <w:tab/>
        <w:t>The following activities were carried out in 2021 to improve access to sexual and reproductive health services:</w:t>
      </w:r>
    </w:p>
    <w:p w14:paraId="22637528" w14:textId="5C15F9F9"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Health fairs were held in Potosí, Sucre, Irupana, El Alto and La Paz; 100 women received subdermal implants and 800 were given sexual and reproductive health advice; contraception campaigns were held in Cochabamba and Beni.</w:t>
      </w:r>
    </w:p>
    <w:p w14:paraId="5C9244EA" w14:textId="53FAEAFE"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Personal protective equipment, medication to treat COVID-19 and life-saving medicines were received and distributed to 138 category I, II and III maternity and birth facilities.</w:t>
      </w:r>
    </w:p>
    <w:p w14:paraId="726AA67D" w14:textId="77777777" w:rsidR="002227E6" w:rsidRPr="00914368" w:rsidRDefault="002227E6" w:rsidP="00327F07">
      <w:pPr>
        <w:pStyle w:val="SingleTxtG"/>
      </w:pPr>
      <w:r w:rsidRPr="00914368">
        <w:t>67.</w:t>
      </w:r>
      <w:r w:rsidRPr="00914368">
        <w:tab/>
        <w:t xml:space="preserve">The Lifelong Care Department, which is part of the unit that oversees the network of high-quality health-care services, ensures that ongoing improvements are made to the </w:t>
      </w:r>
      <w:r w:rsidRPr="00914368">
        <w:lastRenderedPageBreak/>
        <w:t>services provided by health-care facilities and that the population has access to high-quality care. It also conducts training and awareness-raising activities on aspects of sexual and reproductive rights so that women, men and adolescents can make informed choices about contraception.</w:t>
      </w:r>
    </w:p>
    <w:p w14:paraId="0081EF51" w14:textId="77777777" w:rsidR="002227E6" w:rsidRPr="00914368" w:rsidRDefault="002227E6" w:rsidP="00327F07">
      <w:pPr>
        <w:pStyle w:val="SingleTxtG"/>
      </w:pPr>
      <w:r w:rsidRPr="00914368">
        <w:t>68.</w:t>
      </w:r>
      <w:r w:rsidRPr="00914368">
        <w:tab/>
        <w:t xml:space="preserve">In response to Constitutional Decision No. 0206/2014 on the legal termination of pregnancy, the Ministry of Health and Sports prepared and applied procedural and technical regulations for the provision of health services in the framework of the Decision. The regulations set out specific procedures for performing legal terminations at the different levels of health-care services. In addition, a care model for victims of sexual violence was developed and implemented to ensure that such victims receive care in safe conditions. </w:t>
      </w:r>
    </w:p>
    <w:p w14:paraId="13C6AB1A" w14:textId="77777777" w:rsidR="002227E6" w:rsidRPr="00914368" w:rsidRDefault="002227E6" w:rsidP="00327F07">
      <w:pPr>
        <w:pStyle w:val="SingleTxtG"/>
      </w:pPr>
      <w:r w:rsidRPr="00914368">
        <w:t>69.</w:t>
      </w:r>
      <w:r w:rsidRPr="00914368">
        <w:tab/>
        <w:t>In 2018 and 2019, the use of mifepristone in combination with misoprostol was introduced to ensure safe terminations. Training was also provided on safer techniques such as manual vacuum aspiration, depending on gestational age. In addition, a range of post-obstetric event contraception methods are available, including oral contraceptives, intra-uterine devices, subdermal implants, injections, condoms and sterilization.</w:t>
      </w:r>
    </w:p>
    <w:p w14:paraId="479ED286" w14:textId="77777777" w:rsidR="002227E6" w:rsidRPr="00914368" w:rsidRDefault="002227E6" w:rsidP="00327F07">
      <w:pPr>
        <w:pStyle w:val="SingleTxtG"/>
      </w:pPr>
      <w:r w:rsidRPr="00914368">
        <w:t>70.</w:t>
      </w:r>
      <w:r w:rsidRPr="00914368">
        <w:tab/>
        <w:t>The following achievements have been made in 2021 to date:</w:t>
      </w:r>
    </w:p>
    <w:p w14:paraId="32FF2800" w14:textId="1B16C7C7"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Supervision of health facilities in eight departments to ensure adherence to the comprehensive care model for victims of sexual violence and the procedural and technical regulations relating to Constitutional Decision No. 0206/2014 and the use of misoprostol in obstetric gynaecology</w:t>
      </w:r>
    </w:p>
    <w:p w14:paraId="01AE448C" w14:textId="442A0536"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Reinstatement of the National Inter-Agency Committee on Violence in the Health Sector</w:t>
      </w:r>
    </w:p>
    <w:p w14:paraId="15885959" w14:textId="2C57ECF4"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Testing of the digital platform for the Single Medical Certificate issued in cases of violence</w:t>
      </w:r>
    </w:p>
    <w:p w14:paraId="2AD85E70" w14:textId="0BF40B08"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Training, education, promotion and ongoing awareness-raising activities for the personnel of the national health system on preventing violence and ensuring that women in situations of violence receive comprehensive and timely care</w:t>
      </w:r>
    </w:p>
    <w:p w14:paraId="49ABB485" w14:textId="77777777" w:rsidR="002227E6" w:rsidRPr="00914368" w:rsidRDefault="002227E6" w:rsidP="006A2561">
      <w:pPr>
        <w:pStyle w:val="H1G"/>
      </w:pPr>
      <w:r w:rsidRPr="00914368">
        <w:tab/>
      </w:r>
      <w:r w:rsidRPr="00914368">
        <w:tab/>
        <w:t xml:space="preserve">Prohibition of torture and cruel, inhuman or degrading treatment or punishment (arts. 7, 9, 14 and 24) </w:t>
      </w:r>
    </w:p>
    <w:p w14:paraId="5B39373E" w14:textId="77777777" w:rsidR="002227E6" w:rsidRPr="00914368" w:rsidRDefault="002227E6" w:rsidP="006A2561">
      <w:pPr>
        <w:pStyle w:val="H23G"/>
      </w:pPr>
      <w:r w:rsidRPr="00914368">
        <w:tab/>
        <w:t>9.</w:t>
      </w:r>
      <w:r w:rsidRPr="00914368">
        <w:tab/>
        <w:t>Replies to the issues raised in paragraph 9 of the list of issues</w:t>
      </w:r>
    </w:p>
    <w:p w14:paraId="3D093910" w14:textId="77777777" w:rsidR="002227E6" w:rsidRPr="00914368" w:rsidRDefault="002227E6" w:rsidP="006A2561">
      <w:pPr>
        <w:pStyle w:val="H4G"/>
      </w:pPr>
      <w:r w:rsidRPr="00914368">
        <w:tab/>
      </w:r>
      <w:r w:rsidRPr="00914368">
        <w:tab/>
        <w:t>Replies to the issues raised in paragraph 9 (a) of the list of issues</w:t>
      </w:r>
    </w:p>
    <w:p w14:paraId="25DEF81A" w14:textId="77777777" w:rsidR="002227E6" w:rsidRPr="00914368" w:rsidRDefault="002227E6" w:rsidP="00327F07">
      <w:pPr>
        <w:pStyle w:val="SingleTxtG"/>
      </w:pPr>
      <w:r w:rsidRPr="00914368">
        <w:t>71.</w:t>
      </w:r>
      <w:r w:rsidRPr="00914368">
        <w:tab/>
        <w:t>The Bolivian State has worked toward amending the criminal definition of torture and bringing it into line with international standards. The definition is enshrined in article 87 of Act No. 1005, the Criminal Code, of 20 December 2017. However, as a result of protests and a strike by opposition legislators, the provision was abrogated by Act No. 1027 of 25 January 2018.</w:t>
      </w:r>
    </w:p>
    <w:p w14:paraId="75E0B663" w14:textId="77777777" w:rsidR="002227E6" w:rsidRPr="00914368" w:rsidRDefault="002227E6" w:rsidP="00327F07">
      <w:pPr>
        <w:pStyle w:val="SingleTxtG"/>
      </w:pPr>
      <w:r w:rsidRPr="00914368">
        <w:t>72.</w:t>
      </w:r>
      <w:r w:rsidRPr="00914368">
        <w:tab/>
        <w:t>Since then, efforts have been made to implement this amendment by means of several initiatives, which have been blocked as a result of the breakdown of the constitutional order. All proposals have been dismissed by the interim Government. In that context, on 12 December 2019 the Inter-American Commission on Human Rights and the Plurinational State of Bolivia signed an agreement establishing an Interdisciplinary Group of Independent Experts to support the investigation into the acts of violence and human rights violations that occurred in the country between 1 September and 31 December 2019.</w:t>
      </w:r>
    </w:p>
    <w:p w14:paraId="48C1F5F7" w14:textId="77777777" w:rsidR="002227E6" w:rsidRPr="00914368" w:rsidRDefault="002227E6" w:rsidP="00327F07">
      <w:pPr>
        <w:pStyle w:val="SingleTxtG"/>
      </w:pPr>
      <w:r w:rsidRPr="00914368">
        <w:t>73.</w:t>
      </w:r>
      <w:r w:rsidRPr="00914368">
        <w:tab/>
        <w:t>On 23 July, the Group issued a report in which it made a series of recommendations to the Government in relation to its findings in connection with the events that occurred between 1 September and 31 December 2019. One of the recommendations is to amend the definition of the criminal offence of torture to ensure that it includes all the forms of conduct set out in international standards and that punishments for the offence reflect the seriousness of the facts, in accordance with those standards.</w:t>
      </w:r>
    </w:p>
    <w:p w14:paraId="5405E443" w14:textId="77777777" w:rsidR="002227E6" w:rsidRPr="00914368" w:rsidRDefault="002227E6" w:rsidP="00327F07">
      <w:pPr>
        <w:pStyle w:val="SingleTxtG"/>
      </w:pPr>
      <w:r w:rsidRPr="00914368">
        <w:lastRenderedPageBreak/>
        <w:t>74.</w:t>
      </w:r>
      <w:r w:rsidRPr="00914368">
        <w:tab/>
        <w:t>Therefore, with a view to formulating a proposal that is aligned with international standards, the Ministry of Justice and Institutional Transparency intends to amend the current definition of the criminal offence of torture and ill-treatment to include all the forms of conduct set out in international standards and to ensure that punishments for the offence reflect the seriousness of the facts, in accordance with those standards.</w:t>
      </w:r>
    </w:p>
    <w:p w14:paraId="0112CEE3" w14:textId="77777777" w:rsidR="002227E6" w:rsidRPr="00914368" w:rsidRDefault="002227E6" w:rsidP="00272027">
      <w:pPr>
        <w:pStyle w:val="H4G"/>
      </w:pPr>
      <w:r w:rsidRPr="00914368">
        <w:tab/>
      </w:r>
      <w:r w:rsidRPr="00914368">
        <w:tab/>
        <w:t>Replies to the issues raised in paragraphs 9 (b), (c) and (d) of the list of issues</w:t>
      </w:r>
    </w:p>
    <w:p w14:paraId="49978732" w14:textId="77777777" w:rsidR="002227E6" w:rsidRPr="00914368" w:rsidRDefault="002227E6" w:rsidP="00327F07">
      <w:pPr>
        <w:pStyle w:val="SingleTxtG"/>
      </w:pPr>
      <w:r w:rsidRPr="00914368">
        <w:t>75.</w:t>
      </w:r>
      <w:r w:rsidRPr="00914368">
        <w:tab/>
        <w:t xml:space="preserve">The Bolivian State ratified the Convention against Torture and Other Cruel, Inhuman or Degrading Treatment or Punishment by Act No. 1939 of 10 February 1999 and the Optional Protocol to the Convention by Act No. 3298 of 12 December 2005. </w:t>
      </w:r>
    </w:p>
    <w:p w14:paraId="552A73DD" w14:textId="77777777" w:rsidR="002227E6" w:rsidRPr="00914368" w:rsidRDefault="002227E6" w:rsidP="00272027">
      <w:pPr>
        <w:pStyle w:val="H4G"/>
      </w:pPr>
      <w:r w:rsidRPr="00914368">
        <w:tab/>
      </w:r>
      <w:r w:rsidRPr="00914368">
        <w:tab/>
        <w:t>Replies to the issues raised in paragraphs 9 (e) and (f) of the list of issues</w:t>
      </w:r>
    </w:p>
    <w:p w14:paraId="58ABBD66" w14:textId="036DA7C3" w:rsidR="002227E6" w:rsidRPr="00914368" w:rsidRDefault="002227E6" w:rsidP="00327F07">
      <w:pPr>
        <w:pStyle w:val="SingleTxtG"/>
      </w:pPr>
      <w:r w:rsidRPr="00914368">
        <w:t>76.</w:t>
      </w:r>
      <w:r w:rsidRPr="00914368">
        <w:tab/>
        <w:t>In compliance with the provisions of the Optional Protocol to the Convention against Torture and Other Cruel, Inhuman or Degrading Treatment or Punishment, the Bolivian State issued Act No. 1397 of 29 September 2021, amending Act No. 870 of 13 December 2016 on the Ombudsman and abrogating Act No. 474 of 30 December 2013 and Supreme Decree No. 2082 of 20 August 2014. Act No. 1397 designates the Ombudsman</w:t>
      </w:r>
      <w:r w:rsidR="008D6E06">
        <w:t>’</w:t>
      </w:r>
      <w:r w:rsidRPr="00914368">
        <w:t>s Office as the national preventive mechanism of the Plurinational State of Bolivia.</w:t>
      </w:r>
    </w:p>
    <w:p w14:paraId="4F8DE345" w14:textId="7217C093" w:rsidR="002227E6" w:rsidRPr="00914368" w:rsidRDefault="002227E6" w:rsidP="00327F07">
      <w:pPr>
        <w:pStyle w:val="SingleTxtG"/>
      </w:pPr>
      <w:r w:rsidRPr="00914368">
        <w:t>77.</w:t>
      </w:r>
      <w:r w:rsidRPr="00914368">
        <w:tab/>
        <w:t>Under the third transitional provision of the Act, the Ombudsman</w:t>
      </w:r>
      <w:r w:rsidR="008D6E06">
        <w:t>’</w:t>
      </w:r>
      <w:r w:rsidRPr="00914368">
        <w:t>s Office assumes responsibility for administrative, judicial and other proceedings, as well as other administrative matters to which the Service for the Prevention of Torture is a party, and will issue the necessary regulations in that connection. The transition process is under way, and the relevant regulations are being drafted.</w:t>
      </w:r>
    </w:p>
    <w:p w14:paraId="1154B984" w14:textId="77777777" w:rsidR="002227E6" w:rsidRPr="00914368" w:rsidRDefault="002227E6" w:rsidP="00272027">
      <w:pPr>
        <w:pStyle w:val="H23G"/>
      </w:pPr>
      <w:r w:rsidRPr="00914368">
        <w:tab/>
        <w:t>10.</w:t>
      </w:r>
      <w:r w:rsidRPr="00914368">
        <w:tab/>
        <w:t>Replies to the issues raised in paragraph 10 of the list of issues</w:t>
      </w:r>
    </w:p>
    <w:p w14:paraId="7A5DC28F" w14:textId="77777777" w:rsidR="002227E6" w:rsidRPr="00914368" w:rsidRDefault="002227E6" w:rsidP="00327F07">
      <w:pPr>
        <w:pStyle w:val="SingleTxtG"/>
      </w:pPr>
      <w:r w:rsidRPr="00914368">
        <w:t>78.</w:t>
      </w:r>
      <w:r w:rsidRPr="00914368">
        <w:tab/>
        <w:t>The Directorate General for Combating Trafficking in Persons, which is part of the Office of the Deputy Minister for Public Safety, reports that although the Bolivian Criminal Code does not define lynching as a specific offence, its consequences fall under the definitions of other offences such as serious or very serious bodily harm or murder. As a result, there are no official statistics on lynching. The Bolivian Observatory for Citizen Security and the Fight against Drugs, which is the body that compiles and disseminates information on citizen security, reports the following data.</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39"/>
        <w:gridCol w:w="1629"/>
        <w:gridCol w:w="958"/>
        <w:gridCol w:w="960"/>
        <w:gridCol w:w="958"/>
        <w:gridCol w:w="960"/>
        <w:gridCol w:w="1266"/>
      </w:tblGrid>
      <w:tr w:rsidR="00272027" w:rsidRPr="00272027" w14:paraId="2B5EBC17" w14:textId="77777777" w:rsidTr="00054A89">
        <w:trPr>
          <w:trHeight w:val="240"/>
          <w:tblHeader/>
        </w:trPr>
        <w:tc>
          <w:tcPr>
            <w:tcW w:w="434" w:type="pct"/>
            <w:vMerge w:val="restart"/>
            <w:tcBorders>
              <w:top w:val="single" w:sz="4" w:space="0" w:color="auto"/>
              <w:bottom w:val="single" w:sz="12" w:space="0" w:color="auto"/>
            </w:tcBorders>
            <w:shd w:val="clear" w:color="auto" w:fill="auto"/>
            <w:vAlign w:val="bottom"/>
          </w:tcPr>
          <w:p w14:paraId="79FDDE55" w14:textId="77777777" w:rsidR="002227E6" w:rsidRPr="00272027" w:rsidRDefault="002227E6" w:rsidP="00272027">
            <w:pPr>
              <w:spacing w:before="80" w:after="80" w:line="200" w:lineRule="exact"/>
              <w:ind w:right="113"/>
              <w:rPr>
                <w:rFonts w:eastAsia="Times New Roman"/>
                <w:i/>
                <w:sz w:val="16"/>
                <w:szCs w:val="16"/>
              </w:rPr>
            </w:pPr>
            <w:r w:rsidRPr="00272027">
              <w:rPr>
                <w:i/>
                <w:iCs/>
                <w:sz w:val="16"/>
                <w:szCs w:val="16"/>
              </w:rPr>
              <w:t>No.</w:t>
            </w:r>
          </w:p>
        </w:tc>
        <w:tc>
          <w:tcPr>
            <w:tcW w:w="1105" w:type="pct"/>
            <w:vMerge w:val="restart"/>
            <w:tcBorders>
              <w:top w:val="single" w:sz="4" w:space="0" w:color="auto"/>
              <w:bottom w:val="single" w:sz="12" w:space="0" w:color="auto"/>
            </w:tcBorders>
            <w:shd w:val="clear" w:color="auto" w:fill="auto"/>
            <w:vAlign w:val="bottom"/>
          </w:tcPr>
          <w:p w14:paraId="1B4762C9" w14:textId="77777777" w:rsidR="002227E6" w:rsidRPr="00272027" w:rsidRDefault="002227E6" w:rsidP="00054A89">
            <w:pPr>
              <w:spacing w:before="80" w:after="80" w:line="200" w:lineRule="exact"/>
              <w:ind w:right="113"/>
              <w:rPr>
                <w:rFonts w:eastAsia="Times New Roman"/>
                <w:i/>
                <w:sz w:val="16"/>
                <w:szCs w:val="16"/>
              </w:rPr>
            </w:pPr>
            <w:r w:rsidRPr="00272027">
              <w:rPr>
                <w:i/>
                <w:iCs/>
                <w:sz w:val="16"/>
                <w:szCs w:val="16"/>
              </w:rPr>
              <w:t>Department</w:t>
            </w:r>
          </w:p>
        </w:tc>
        <w:tc>
          <w:tcPr>
            <w:tcW w:w="2601" w:type="pct"/>
            <w:gridSpan w:val="4"/>
            <w:tcBorders>
              <w:top w:val="single" w:sz="4" w:space="0" w:color="auto"/>
              <w:bottom w:val="single" w:sz="4" w:space="0" w:color="auto"/>
            </w:tcBorders>
            <w:shd w:val="clear" w:color="auto" w:fill="auto"/>
            <w:vAlign w:val="bottom"/>
          </w:tcPr>
          <w:p w14:paraId="1CA56EE5" w14:textId="77777777" w:rsidR="002227E6" w:rsidRPr="00272027" w:rsidRDefault="002227E6" w:rsidP="00054A89">
            <w:pPr>
              <w:spacing w:before="80" w:after="80" w:line="200" w:lineRule="exact"/>
              <w:ind w:right="113"/>
              <w:jc w:val="center"/>
              <w:rPr>
                <w:rFonts w:eastAsia="Times New Roman"/>
                <w:i/>
                <w:sz w:val="16"/>
                <w:szCs w:val="16"/>
              </w:rPr>
            </w:pPr>
            <w:r w:rsidRPr="00272027">
              <w:rPr>
                <w:i/>
                <w:iCs/>
                <w:sz w:val="16"/>
                <w:szCs w:val="16"/>
              </w:rPr>
              <w:t>Year</w:t>
            </w:r>
          </w:p>
        </w:tc>
        <w:tc>
          <w:tcPr>
            <w:tcW w:w="860" w:type="pct"/>
            <w:vMerge w:val="restart"/>
            <w:tcBorders>
              <w:top w:val="single" w:sz="4" w:space="0" w:color="auto"/>
              <w:bottom w:val="single" w:sz="12" w:space="0" w:color="auto"/>
            </w:tcBorders>
            <w:shd w:val="clear" w:color="auto" w:fill="auto"/>
            <w:vAlign w:val="bottom"/>
          </w:tcPr>
          <w:p w14:paraId="119C11AC" w14:textId="77777777" w:rsidR="002227E6" w:rsidRPr="00272027" w:rsidRDefault="002227E6" w:rsidP="00272027">
            <w:pPr>
              <w:spacing w:before="80" w:after="80" w:line="200" w:lineRule="exact"/>
              <w:ind w:right="113"/>
              <w:jc w:val="right"/>
              <w:rPr>
                <w:rFonts w:eastAsia="Times New Roman"/>
                <w:i/>
                <w:sz w:val="16"/>
                <w:szCs w:val="16"/>
              </w:rPr>
            </w:pPr>
            <w:r w:rsidRPr="00272027">
              <w:rPr>
                <w:i/>
                <w:iCs/>
                <w:sz w:val="16"/>
                <w:szCs w:val="16"/>
              </w:rPr>
              <w:t>Total</w:t>
            </w:r>
          </w:p>
        </w:tc>
      </w:tr>
      <w:tr w:rsidR="00054A89" w:rsidRPr="00272027" w14:paraId="05B2BB09" w14:textId="77777777" w:rsidTr="00054A89">
        <w:trPr>
          <w:trHeight w:val="240"/>
          <w:tblHeader/>
        </w:trPr>
        <w:tc>
          <w:tcPr>
            <w:tcW w:w="434" w:type="pct"/>
            <w:vMerge/>
            <w:tcBorders>
              <w:top w:val="nil"/>
              <w:bottom w:val="single" w:sz="12" w:space="0" w:color="auto"/>
            </w:tcBorders>
            <w:shd w:val="clear" w:color="auto" w:fill="auto"/>
            <w:vAlign w:val="bottom"/>
          </w:tcPr>
          <w:p w14:paraId="6C629891" w14:textId="77777777" w:rsidR="002227E6" w:rsidRPr="00272027" w:rsidRDefault="002227E6" w:rsidP="00272027">
            <w:pPr>
              <w:spacing w:before="40" w:after="40" w:line="220" w:lineRule="exact"/>
              <w:ind w:right="113"/>
              <w:rPr>
                <w:rFonts w:eastAsia="Times New Roman"/>
                <w:sz w:val="18"/>
                <w:szCs w:val="16"/>
                <w:lang w:bidi="es-ES"/>
              </w:rPr>
            </w:pPr>
          </w:p>
        </w:tc>
        <w:tc>
          <w:tcPr>
            <w:tcW w:w="1105" w:type="pct"/>
            <w:vMerge/>
            <w:tcBorders>
              <w:top w:val="nil"/>
              <w:bottom w:val="single" w:sz="12" w:space="0" w:color="auto"/>
            </w:tcBorders>
            <w:shd w:val="clear" w:color="auto" w:fill="auto"/>
            <w:vAlign w:val="bottom"/>
          </w:tcPr>
          <w:p w14:paraId="1D83E731" w14:textId="77777777" w:rsidR="002227E6" w:rsidRPr="00272027" w:rsidRDefault="002227E6" w:rsidP="00054A89">
            <w:pPr>
              <w:spacing w:before="40" w:after="40" w:line="220" w:lineRule="exact"/>
              <w:ind w:right="113"/>
              <w:rPr>
                <w:rFonts w:eastAsia="Times New Roman"/>
                <w:sz w:val="18"/>
                <w:szCs w:val="16"/>
                <w:lang w:bidi="es-ES"/>
              </w:rPr>
            </w:pPr>
          </w:p>
        </w:tc>
        <w:tc>
          <w:tcPr>
            <w:tcW w:w="650" w:type="pct"/>
            <w:tcBorders>
              <w:top w:val="single" w:sz="4" w:space="0" w:color="auto"/>
              <w:bottom w:val="single" w:sz="12" w:space="0" w:color="auto"/>
            </w:tcBorders>
            <w:shd w:val="clear" w:color="auto" w:fill="auto"/>
            <w:vAlign w:val="bottom"/>
          </w:tcPr>
          <w:p w14:paraId="684907A8" w14:textId="77777777" w:rsidR="002227E6" w:rsidRPr="00054A89" w:rsidRDefault="002227E6" w:rsidP="00054A89">
            <w:pPr>
              <w:spacing w:before="80" w:after="80" w:line="200" w:lineRule="exact"/>
              <w:ind w:right="113"/>
              <w:jc w:val="right"/>
              <w:rPr>
                <w:i/>
                <w:iCs/>
                <w:sz w:val="16"/>
                <w:szCs w:val="16"/>
              </w:rPr>
            </w:pPr>
            <w:r w:rsidRPr="00054A89">
              <w:rPr>
                <w:i/>
                <w:iCs/>
                <w:sz w:val="16"/>
                <w:szCs w:val="16"/>
              </w:rPr>
              <w:t>2018</w:t>
            </w:r>
          </w:p>
        </w:tc>
        <w:tc>
          <w:tcPr>
            <w:tcW w:w="651" w:type="pct"/>
            <w:tcBorders>
              <w:top w:val="single" w:sz="4" w:space="0" w:color="auto"/>
              <w:bottom w:val="single" w:sz="12" w:space="0" w:color="auto"/>
            </w:tcBorders>
            <w:shd w:val="clear" w:color="auto" w:fill="auto"/>
            <w:vAlign w:val="bottom"/>
          </w:tcPr>
          <w:p w14:paraId="54B7B576" w14:textId="77777777" w:rsidR="002227E6" w:rsidRPr="00054A89" w:rsidRDefault="002227E6" w:rsidP="00054A89">
            <w:pPr>
              <w:spacing w:before="80" w:after="80" w:line="200" w:lineRule="exact"/>
              <w:ind w:right="113"/>
              <w:jc w:val="right"/>
              <w:rPr>
                <w:i/>
                <w:iCs/>
                <w:sz w:val="16"/>
                <w:szCs w:val="16"/>
              </w:rPr>
            </w:pPr>
            <w:r w:rsidRPr="00054A89">
              <w:rPr>
                <w:i/>
                <w:iCs/>
                <w:sz w:val="16"/>
                <w:szCs w:val="16"/>
              </w:rPr>
              <w:t>2019</w:t>
            </w:r>
          </w:p>
        </w:tc>
        <w:tc>
          <w:tcPr>
            <w:tcW w:w="650" w:type="pct"/>
            <w:tcBorders>
              <w:top w:val="single" w:sz="4" w:space="0" w:color="auto"/>
              <w:bottom w:val="single" w:sz="12" w:space="0" w:color="auto"/>
            </w:tcBorders>
            <w:shd w:val="clear" w:color="auto" w:fill="auto"/>
            <w:vAlign w:val="bottom"/>
          </w:tcPr>
          <w:p w14:paraId="26B94C41" w14:textId="77777777" w:rsidR="002227E6" w:rsidRPr="00054A89" w:rsidRDefault="002227E6" w:rsidP="00054A89">
            <w:pPr>
              <w:spacing w:before="80" w:after="80" w:line="200" w:lineRule="exact"/>
              <w:ind w:right="113"/>
              <w:jc w:val="right"/>
              <w:rPr>
                <w:i/>
                <w:iCs/>
                <w:sz w:val="16"/>
                <w:szCs w:val="16"/>
              </w:rPr>
            </w:pPr>
            <w:r w:rsidRPr="00054A89">
              <w:rPr>
                <w:i/>
                <w:iCs/>
                <w:sz w:val="16"/>
                <w:szCs w:val="16"/>
              </w:rPr>
              <w:t>2020</w:t>
            </w:r>
          </w:p>
        </w:tc>
        <w:tc>
          <w:tcPr>
            <w:tcW w:w="651" w:type="pct"/>
            <w:tcBorders>
              <w:top w:val="single" w:sz="4" w:space="0" w:color="auto"/>
              <w:bottom w:val="single" w:sz="12" w:space="0" w:color="auto"/>
            </w:tcBorders>
            <w:shd w:val="clear" w:color="auto" w:fill="auto"/>
            <w:vAlign w:val="bottom"/>
          </w:tcPr>
          <w:p w14:paraId="2DAF3208" w14:textId="77777777" w:rsidR="002227E6" w:rsidRPr="00054A89" w:rsidRDefault="002227E6" w:rsidP="00054A89">
            <w:pPr>
              <w:spacing w:before="80" w:after="80" w:line="200" w:lineRule="exact"/>
              <w:ind w:right="113"/>
              <w:jc w:val="right"/>
              <w:rPr>
                <w:i/>
                <w:iCs/>
                <w:sz w:val="16"/>
                <w:szCs w:val="16"/>
              </w:rPr>
            </w:pPr>
            <w:r w:rsidRPr="00054A89">
              <w:rPr>
                <w:i/>
                <w:iCs/>
                <w:sz w:val="16"/>
                <w:szCs w:val="16"/>
              </w:rPr>
              <w:t>2021</w:t>
            </w:r>
          </w:p>
        </w:tc>
        <w:tc>
          <w:tcPr>
            <w:tcW w:w="860" w:type="pct"/>
            <w:vMerge/>
            <w:tcBorders>
              <w:top w:val="single" w:sz="12" w:space="0" w:color="auto"/>
              <w:bottom w:val="single" w:sz="12" w:space="0" w:color="auto"/>
            </w:tcBorders>
            <w:shd w:val="clear" w:color="auto" w:fill="auto"/>
            <w:vAlign w:val="bottom"/>
          </w:tcPr>
          <w:p w14:paraId="351F1D45" w14:textId="77777777" w:rsidR="002227E6" w:rsidRPr="00272027" w:rsidRDefault="002227E6" w:rsidP="00272027">
            <w:pPr>
              <w:spacing w:before="40" w:after="40" w:line="220" w:lineRule="exact"/>
              <w:ind w:right="113"/>
              <w:jc w:val="right"/>
              <w:rPr>
                <w:rFonts w:eastAsia="Times New Roman"/>
                <w:sz w:val="18"/>
                <w:szCs w:val="16"/>
                <w:lang w:bidi="es-ES"/>
              </w:rPr>
            </w:pPr>
          </w:p>
        </w:tc>
      </w:tr>
      <w:tr w:rsidR="002227E6" w:rsidRPr="00272027" w14:paraId="7E07BDAA" w14:textId="77777777" w:rsidTr="00054A89">
        <w:trPr>
          <w:trHeight w:val="240"/>
        </w:trPr>
        <w:tc>
          <w:tcPr>
            <w:tcW w:w="434" w:type="pct"/>
            <w:tcBorders>
              <w:top w:val="single" w:sz="12" w:space="0" w:color="auto"/>
            </w:tcBorders>
            <w:shd w:val="clear" w:color="auto" w:fill="auto"/>
          </w:tcPr>
          <w:p w14:paraId="34BDE904" w14:textId="77777777" w:rsidR="002227E6" w:rsidRPr="00272027" w:rsidRDefault="002227E6" w:rsidP="00272027">
            <w:pPr>
              <w:spacing w:before="40" w:after="40" w:line="220" w:lineRule="exact"/>
              <w:ind w:right="113"/>
              <w:rPr>
                <w:rFonts w:eastAsia="Times New Roman"/>
                <w:sz w:val="18"/>
                <w:szCs w:val="18"/>
              </w:rPr>
            </w:pPr>
            <w:r w:rsidRPr="00272027">
              <w:rPr>
                <w:sz w:val="18"/>
                <w:szCs w:val="18"/>
              </w:rPr>
              <w:t>1</w:t>
            </w:r>
          </w:p>
        </w:tc>
        <w:tc>
          <w:tcPr>
            <w:tcW w:w="1105" w:type="pct"/>
            <w:tcBorders>
              <w:top w:val="single" w:sz="12" w:space="0" w:color="auto"/>
            </w:tcBorders>
            <w:shd w:val="clear" w:color="auto" w:fill="auto"/>
            <w:vAlign w:val="bottom"/>
          </w:tcPr>
          <w:p w14:paraId="74A10063" w14:textId="77777777" w:rsidR="002227E6" w:rsidRPr="00272027" w:rsidRDefault="002227E6" w:rsidP="00054A89">
            <w:pPr>
              <w:spacing w:before="40" w:after="40" w:line="220" w:lineRule="exact"/>
              <w:ind w:right="113"/>
              <w:rPr>
                <w:rFonts w:eastAsia="Times New Roman"/>
                <w:sz w:val="18"/>
                <w:szCs w:val="18"/>
              </w:rPr>
            </w:pPr>
            <w:r w:rsidRPr="00272027">
              <w:rPr>
                <w:sz w:val="18"/>
                <w:szCs w:val="18"/>
              </w:rPr>
              <w:t>Cochabamba</w:t>
            </w:r>
          </w:p>
        </w:tc>
        <w:tc>
          <w:tcPr>
            <w:tcW w:w="650" w:type="pct"/>
            <w:tcBorders>
              <w:top w:val="single" w:sz="12" w:space="0" w:color="auto"/>
            </w:tcBorders>
            <w:shd w:val="clear" w:color="auto" w:fill="auto"/>
            <w:vAlign w:val="bottom"/>
          </w:tcPr>
          <w:p w14:paraId="5F98D02C"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3</w:t>
            </w:r>
          </w:p>
        </w:tc>
        <w:tc>
          <w:tcPr>
            <w:tcW w:w="651" w:type="pct"/>
            <w:tcBorders>
              <w:top w:val="single" w:sz="12" w:space="0" w:color="auto"/>
            </w:tcBorders>
            <w:shd w:val="clear" w:color="auto" w:fill="auto"/>
            <w:vAlign w:val="bottom"/>
          </w:tcPr>
          <w:p w14:paraId="04770BB8"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3</w:t>
            </w:r>
          </w:p>
        </w:tc>
        <w:tc>
          <w:tcPr>
            <w:tcW w:w="650" w:type="pct"/>
            <w:tcBorders>
              <w:top w:val="single" w:sz="12" w:space="0" w:color="auto"/>
            </w:tcBorders>
            <w:shd w:val="clear" w:color="auto" w:fill="auto"/>
            <w:vAlign w:val="bottom"/>
          </w:tcPr>
          <w:p w14:paraId="66093C40"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1</w:t>
            </w:r>
          </w:p>
        </w:tc>
        <w:tc>
          <w:tcPr>
            <w:tcW w:w="651" w:type="pct"/>
            <w:tcBorders>
              <w:top w:val="single" w:sz="12" w:space="0" w:color="auto"/>
            </w:tcBorders>
            <w:shd w:val="clear" w:color="auto" w:fill="auto"/>
            <w:vAlign w:val="bottom"/>
          </w:tcPr>
          <w:p w14:paraId="0B595C1D"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11</w:t>
            </w:r>
          </w:p>
        </w:tc>
        <w:tc>
          <w:tcPr>
            <w:tcW w:w="860" w:type="pct"/>
            <w:tcBorders>
              <w:top w:val="single" w:sz="12" w:space="0" w:color="auto"/>
            </w:tcBorders>
            <w:shd w:val="clear" w:color="auto" w:fill="auto"/>
            <w:vAlign w:val="bottom"/>
          </w:tcPr>
          <w:p w14:paraId="7E2F777C"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18</w:t>
            </w:r>
          </w:p>
        </w:tc>
      </w:tr>
      <w:tr w:rsidR="002227E6" w:rsidRPr="00272027" w14:paraId="1B136BC3" w14:textId="77777777" w:rsidTr="00272027">
        <w:trPr>
          <w:trHeight w:val="240"/>
        </w:trPr>
        <w:tc>
          <w:tcPr>
            <w:tcW w:w="434" w:type="pct"/>
            <w:shd w:val="clear" w:color="auto" w:fill="auto"/>
          </w:tcPr>
          <w:p w14:paraId="0A041913" w14:textId="77777777" w:rsidR="002227E6" w:rsidRPr="00272027" w:rsidRDefault="002227E6" w:rsidP="00272027">
            <w:pPr>
              <w:spacing w:before="40" w:after="40" w:line="220" w:lineRule="exact"/>
              <w:ind w:right="113"/>
              <w:rPr>
                <w:rFonts w:eastAsia="Times New Roman"/>
                <w:sz w:val="18"/>
                <w:szCs w:val="18"/>
              </w:rPr>
            </w:pPr>
            <w:r w:rsidRPr="00272027">
              <w:rPr>
                <w:sz w:val="18"/>
                <w:szCs w:val="18"/>
              </w:rPr>
              <w:t>2</w:t>
            </w:r>
          </w:p>
        </w:tc>
        <w:tc>
          <w:tcPr>
            <w:tcW w:w="1105" w:type="pct"/>
            <w:shd w:val="clear" w:color="auto" w:fill="auto"/>
            <w:vAlign w:val="bottom"/>
          </w:tcPr>
          <w:p w14:paraId="5A429A2F" w14:textId="77777777" w:rsidR="002227E6" w:rsidRPr="00272027" w:rsidRDefault="002227E6" w:rsidP="00054A89">
            <w:pPr>
              <w:spacing w:before="40" w:after="40" w:line="220" w:lineRule="exact"/>
              <w:ind w:right="113"/>
              <w:rPr>
                <w:rFonts w:eastAsia="Times New Roman"/>
                <w:sz w:val="18"/>
                <w:szCs w:val="18"/>
              </w:rPr>
            </w:pPr>
            <w:r w:rsidRPr="00272027">
              <w:rPr>
                <w:sz w:val="18"/>
                <w:szCs w:val="18"/>
              </w:rPr>
              <w:t>La Paz</w:t>
            </w:r>
          </w:p>
        </w:tc>
        <w:tc>
          <w:tcPr>
            <w:tcW w:w="650" w:type="pct"/>
            <w:shd w:val="clear" w:color="auto" w:fill="auto"/>
            <w:vAlign w:val="bottom"/>
          </w:tcPr>
          <w:p w14:paraId="4821E453"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651" w:type="pct"/>
            <w:shd w:val="clear" w:color="auto" w:fill="auto"/>
            <w:vAlign w:val="bottom"/>
          </w:tcPr>
          <w:p w14:paraId="57412987"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650" w:type="pct"/>
            <w:shd w:val="clear" w:color="auto" w:fill="auto"/>
            <w:vAlign w:val="bottom"/>
          </w:tcPr>
          <w:p w14:paraId="79E31707"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651" w:type="pct"/>
            <w:shd w:val="clear" w:color="auto" w:fill="auto"/>
            <w:vAlign w:val="bottom"/>
          </w:tcPr>
          <w:p w14:paraId="17F75278"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7</w:t>
            </w:r>
          </w:p>
        </w:tc>
        <w:tc>
          <w:tcPr>
            <w:tcW w:w="860" w:type="pct"/>
            <w:shd w:val="clear" w:color="auto" w:fill="auto"/>
            <w:vAlign w:val="bottom"/>
          </w:tcPr>
          <w:p w14:paraId="062380DE"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7</w:t>
            </w:r>
          </w:p>
        </w:tc>
      </w:tr>
      <w:tr w:rsidR="002227E6" w:rsidRPr="00272027" w14:paraId="587CD450" w14:textId="77777777" w:rsidTr="00272027">
        <w:trPr>
          <w:trHeight w:val="240"/>
        </w:trPr>
        <w:tc>
          <w:tcPr>
            <w:tcW w:w="434" w:type="pct"/>
            <w:shd w:val="clear" w:color="auto" w:fill="auto"/>
          </w:tcPr>
          <w:p w14:paraId="5319EAA3" w14:textId="77777777" w:rsidR="002227E6" w:rsidRPr="00272027" w:rsidRDefault="002227E6" w:rsidP="00272027">
            <w:pPr>
              <w:spacing w:before="40" w:after="40" w:line="220" w:lineRule="exact"/>
              <w:ind w:right="113"/>
              <w:rPr>
                <w:rFonts w:eastAsia="Times New Roman"/>
                <w:sz w:val="18"/>
                <w:szCs w:val="18"/>
              </w:rPr>
            </w:pPr>
            <w:r w:rsidRPr="00272027">
              <w:rPr>
                <w:sz w:val="18"/>
                <w:szCs w:val="18"/>
              </w:rPr>
              <w:t>3</w:t>
            </w:r>
          </w:p>
        </w:tc>
        <w:tc>
          <w:tcPr>
            <w:tcW w:w="1105" w:type="pct"/>
            <w:shd w:val="clear" w:color="auto" w:fill="auto"/>
            <w:vAlign w:val="bottom"/>
          </w:tcPr>
          <w:p w14:paraId="244B3E0B" w14:textId="77777777" w:rsidR="002227E6" w:rsidRPr="00272027" w:rsidRDefault="002227E6" w:rsidP="00054A89">
            <w:pPr>
              <w:spacing w:before="40" w:after="40" w:line="220" w:lineRule="exact"/>
              <w:ind w:right="113"/>
              <w:rPr>
                <w:rFonts w:eastAsia="Times New Roman"/>
                <w:sz w:val="18"/>
                <w:szCs w:val="18"/>
              </w:rPr>
            </w:pPr>
            <w:r w:rsidRPr="00272027">
              <w:rPr>
                <w:sz w:val="18"/>
                <w:szCs w:val="18"/>
              </w:rPr>
              <w:t>Santa Cruz</w:t>
            </w:r>
          </w:p>
        </w:tc>
        <w:tc>
          <w:tcPr>
            <w:tcW w:w="650" w:type="pct"/>
            <w:shd w:val="clear" w:color="auto" w:fill="auto"/>
            <w:vAlign w:val="bottom"/>
          </w:tcPr>
          <w:p w14:paraId="7597E2C4"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1</w:t>
            </w:r>
          </w:p>
        </w:tc>
        <w:tc>
          <w:tcPr>
            <w:tcW w:w="651" w:type="pct"/>
            <w:shd w:val="clear" w:color="auto" w:fill="auto"/>
            <w:vAlign w:val="bottom"/>
          </w:tcPr>
          <w:p w14:paraId="5EE370F0"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650" w:type="pct"/>
            <w:shd w:val="clear" w:color="auto" w:fill="auto"/>
            <w:vAlign w:val="bottom"/>
          </w:tcPr>
          <w:p w14:paraId="56708B37"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1</w:t>
            </w:r>
          </w:p>
        </w:tc>
        <w:tc>
          <w:tcPr>
            <w:tcW w:w="651" w:type="pct"/>
            <w:shd w:val="clear" w:color="auto" w:fill="auto"/>
            <w:vAlign w:val="bottom"/>
          </w:tcPr>
          <w:p w14:paraId="3699A9A1"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860" w:type="pct"/>
            <w:shd w:val="clear" w:color="auto" w:fill="auto"/>
            <w:vAlign w:val="bottom"/>
          </w:tcPr>
          <w:p w14:paraId="400D4780"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2</w:t>
            </w:r>
          </w:p>
        </w:tc>
      </w:tr>
      <w:tr w:rsidR="002227E6" w:rsidRPr="00272027" w14:paraId="2C7498E2" w14:textId="77777777" w:rsidTr="00272027">
        <w:trPr>
          <w:trHeight w:val="240"/>
        </w:trPr>
        <w:tc>
          <w:tcPr>
            <w:tcW w:w="434" w:type="pct"/>
            <w:shd w:val="clear" w:color="auto" w:fill="auto"/>
          </w:tcPr>
          <w:p w14:paraId="47E9E099" w14:textId="77777777" w:rsidR="002227E6" w:rsidRPr="00272027" w:rsidRDefault="002227E6" w:rsidP="00272027">
            <w:pPr>
              <w:spacing w:before="40" w:after="40" w:line="220" w:lineRule="exact"/>
              <w:ind w:right="113"/>
              <w:rPr>
                <w:rFonts w:eastAsia="Times New Roman"/>
                <w:sz w:val="18"/>
                <w:szCs w:val="18"/>
              </w:rPr>
            </w:pPr>
            <w:r w:rsidRPr="00272027">
              <w:rPr>
                <w:sz w:val="18"/>
                <w:szCs w:val="18"/>
              </w:rPr>
              <w:t>4</w:t>
            </w:r>
          </w:p>
        </w:tc>
        <w:tc>
          <w:tcPr>
            <w:tcW w:w="1105" w:type="pct"/>
            <w:shd w:val="clear" w:color="auto" w:fill="auto"/>
            <w:vAlign w:val="bottom"/>
          </w:tcPr>
          <w:p w14:paraId="725A17C2" w14:textId="77777777" w:rsidR="002227E6" w:rsidRPr="00272027" w:rsidRDefault="002227E6" w:rsidP="00054A89">
            <w:pPr>
              <w:spacing w:before="40" w:after="40" w:line="220" w:lineRule="exact"/>
              <w:ind w:right="113"/>
              <w:rPr>
                <w:rFonts w:eastAsia="Times New Roman"/>
                <w:sz w:val="18"/>
                <w:szCs w:val="18"/>
              </w:rPr>
            </w:pPr>
            <w:r w:rsidRPr="00272027">
              <w:rPr>
                <w:sz w:val="18"/>
                <w:szCs w:val="18"/>
              </w:rPr>
              <w:t>Beni</w:t>
            </w:r>
          </w:p>
        </w:tc>
        <w:tc>
          <w:tcPr>
            <w:tcW w:w="650" w:type="pct"/>
            <w:shd w:val="clear" w:color="auto" w:fill="auto"/>
            <w:vAlign w:val="bottom"/>
          </w:tcPr>
          <w:p w14:paraId="054E66F0"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651" w:type="pct"/>
            <w:shd w:val="clear" w:color="auto" w:fill="auto"/>
            <w:vAlign w:val="bottom"/>
          </w:tcPr>
          <w:p w14:paraId="2BCFC999"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650" w:type="pct"/>
            <w:shd w:val="clear" w:color="auto" w:fill="auto"/>
            <w:vAlign w:val="bottom"/>
          </w:tcPr>
          <w:p w14:paraId="5D75C633"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651" w:type="pct"/>
            <w:shd w:val="clear" w:color="auto" w:fill="auto"/>
            <w:vAlign w:val="bottom"/>
          </w:tcPr>
          <w:p w14:paraId="0A4187A5"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1</w:t>
            </w:r>
          </w:p>
        </w:tc>
        <w:tc>
          <w:tcPr>
            <w:tcW w:w="860" w:type="pct"/>
            <w:shd w:val="clear" w:color="auto" w:fill="auto"/>
            <w:vAlign w:val="bottom"/>
          </w:tcPr>
          <w:p w14:paraId="0EFD74C0"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1</w:t>
            </w:r>
          </w:p>
        </w:tc>
      </w:tr>
      <w:tr w:rsidR="002227E6" w:rsidRPr="00272027" w14:paraId="722885A0" w14:textId="77777777" w:rsidTr="00272027">
        <w:trPr>
          <w:trHeight w:val="240"/>
        </w:trPr>
        <w:tc>
          <w:tcPr>
            <w:tcW w:w="434" w:type="pct"/>
            <w:shd w:val="clear" w:color="auto" w:fill="auto"/>
          </w:tcPr>
          <w:p w14:paraId="1019D33F" w14:textId="77777777" w:rsidR="002227E6" w:rsidRPr="00272027" w:rsidRDefault="002227E6" w:rsidP="00272027">
            <w:pPr>
              <w:spacing w:before="40" w:after="40" w:line="220" w:lineRule="exact"/>
              <w:ind w:right="113"/>
              <w:rPr>
                <w:rFonts w:eastAsia="Times New Roman"/>
                <w:sz w:val="18"/>
                <w:szCs w:val="18"/>
              </w:rPr>
            </w:pPr>
            <w:r w:rsidRPr="00272027">
              <w:rPr>
                <w:sz w:val="18"/>
                <w:szCs w:val="18"/>
              </w:rPr>
              <w:t>5</w:t>
            </w:r>
          </w:p>
        </w:tc>
        <w:tc>
          <w:tcPr>
            <w:tcW w:w="1105" w:type="pct"/>
            <w:shd w:val="clear" w:color="auto" w:fill="auto"/>
            <w:vAlign w:val="bottom"/>
          </w:tcPr>
          <w:p w14:paraId="49C9D3C1" w14:textId="77777777" w:rsidR="002227E6" w:rsidRPr="00272027" w:rsidRDefault="002227E6" w:rsidP="00054A89">
            <w:pPr>
              <w:spacing w:before="40" w:after="40" w:line="220" w:lineRule="exact"/>
              <w:ind w:right="113"/>
              <w:rPr>
                <w:rFonts w:eastAsia="Times New Roman"/>
                <w:sz w:val="18"/>
                <w:szCs w:val="18"/>
              </w:rPr>
            </w:pPr>
            <w:r w:rsidRPr="00272027">
              <w:rPr>
                <w:sz w:val="18"/>
                <w:szCs w:val="18"/>
              </w:rPr>
              <w:t>Chuquisaca</w:t>
            </w:r>
          </w:p>
        </w:tc>
        <w:tc>
          <w:tcPr>
            <w:tcW w:w="650" w:type="pct"/>
            <w:shd w:val="clear" w:color="auto" w:fill="auto"/>
            <w:vAlign w:val="bottom"/>
          </w:tcPr>
          <w:p w14:paraId="5ECD71F9"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651" w:type="pct"/>
            <w:shd w:val="clear" w:color="auto" w:fill="auto"/>
            <w:vAlign w:val="bottom"/>
          </w:tcPr>
          <w:p w14:paraId="0A9A35A7"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650" w:type="pct"/>
            <w:shd w:val="clear" w:color="auto" w:fill="auto"/>
            <w:vAlign w:val="bottom"/>
          </w:tcPr>
          <w:p w14:paraId="5908F320"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651" w:type="pct"/>
            <w:shd w:val="clear" w:color="auto" w:fill="auto"/>
            <w:vAlign w:val="bottom"/>
          </w:tcPr>
          <w:p w14:paraId="4763F9F3"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860" w:type="pct"/>
            <w:shd w:val="clear" w:color="auto" w:fill="auto"/>
            <w:vAlign w:val="bottom"/>
          </w:tcPr>
          <w:p w14:paraId="6178CB9F"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r>
      <w:tr w:rsidR="002227E6" w:rsidRPr="00272027" w14:paraId="05D6D1C1" w14:textId="77777777" w:rsidTr="00272027">
        <w:trPr>
          <w:trHeight w:val="240"/>
        </w:trPr>
        <w:tc>
          <w:tcPr>
            <w:tcW w:w="434" w:type="pct"/>
            <w:shd w:val="clear" w:color="auto" w:fill="auto"/>
          </w:tcPr>
          <w:p w14:paraId="179B366D" w14:textId="77777777" w:rsidR="002227E6" w:rsidRPr="00272027" w:rsidRDefault="002227E6" w:rsidP="00272027">
            <w:pPr>
              <w:spacing w:before="40" w:after="40" w:line="220" w:lineRule="exact"/>
              <w:ind w:right="113"/>
              <w:rPr>
                <w:rFonts w:eastAsia="Times New Roman"/>
                <w:sz w:val="18"/>
                <w:szCs w:val="18"/>
              </w:rPr>
            </w:pPr>
            <w:r w:rsidRPr="00272027">
              <w:rPr>
                <w:sz w:val="18"/>
                <w:szCs w:val="18"/>
              </w:rPr>
              <w:t>6</w:t>
            </w:r>
          </w:p>
        </w:tc>
        <w:tc>
          <w:tcPr>
            <w:tcW w:w="1105" w:type="pct"/>
            <w:shd w:val="clear" w:color="auto" w:fill="auto"/>
            <w:vAlign w:val="bottom"/>
          </w:tcPr>
          <w:p w14:paraId="3883AB45" w14:textId="77777777" w:rsidR="002227E6" w:rsidRPr="00272027" w:rsidRDefault="002227E6" w:rsidP="00054A89">
            <w:pPr>
              <w:spacing w:before="40" w:after="40" w:line="220" w:lineRule="exact"/>
              <w:ind w:right="113"/>
              <w:rPr>
                <w:rFonts w:eastAsia="Times New Roman"/>
                <w:sz w:val="18"/>
                <w:szCs w:val="18"/>
              </w:rPr>
            </w:pPr>
            <w:r w:rsidRPr="00272027">
              <w:rPr>
                <w:sz w:val="18"/>
                <w:szCs w:val="18"/>
              </w:rPr>
              <w:t>Oruro</w:t>
            </w:r>
          </w:p>
        </w:tc>
        <w:tc>
          <w:tcPr>
            <w:tcW w:w="650" w:type="pct"/>
            <w:shd w:val="clear" w:color="auto" w:fill="auto"/>
            <w:vAlign w:val="bottom"/>
          </w:tcPr>
          <w:p w14:paraId="2E4E4E55"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651" w:type="pct"/>
            <w:shd w:val="clear" w:color="auto" w:fill="auto"/>
            <w:vAlign w:val="bottom"/>
          </w:tcPr>
          <w:p w14:paraId="0D1FEBAC"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650" w:type="pct"/>
            <w:shd w:val="clear" w:color="auto" w:fill="auto"/>
            <w:vAlign w:val="bottom"/>
          </w:tcPr>
          <w:p w14:paraId="1CA0E254"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651" w:type="pct"/>
            <w:shd w:val="clear" w:color="auto" w:fill="auto"/>
            <w:vAlign w:val="bottom"/>
          </w:tcPr>
          <w:p w14:paraId="631776DF"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860" w:type="pct"/>
            <w:shd w:val="clear" w:color="auto" w:fill="auto"/>
            <w:vAlign w:val="bottom"/>
          </w:tcPr>
          <w:p w14:paraId="1638385C"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r>
      <w:tr w:rsidR="002227E6" w:rsidRPr="00272027" w14:paraId="24964EEA" w14:textId="77777777" w:rsidTr="00272027">
        <w:trPr>
          <w:trHeight w:val="240"/>
        </w:trPr>
        <w:tc>
          <w:tcPr>
            <w:tcW w:w="434" w:type="pct"/>
            <w:shd w:val="clear" w:color="auto" w:fill="auto"/>
          </w:tcPr>
          <w:p w14:paraId="1D3992A9" w14:textId="77777777" w:rsidR="002227E6" w:rsidRPr="00272027" w:rsidRDefault="002227E6" w:rsidP="00272027">
            <w:pPr>
              <w:spacing w:before="40" w:after="40" w:line="220" w:lineRule="exact"/>
              <w:ind w:right="113"/>
              <w:rPr>
                <w:rFonts w:eastAsia="Times New Roman"/>
                <w:sz w:val="18"/>
                <w:szCs w:val="18"/>
              </w:rPr>
            </w:pPr>
            <w:r w:rsidRPr="00272027">
              <w:rPr>
                <w:sz w:val="18"/>
                <w:szCs w:val="18"/>
              </w:rPr>
              <w:t>7</w:t>
            </w:r>
          </w:p>
        </w:tc>
        <w:tc>
          <w:tcPr>
            <w:tcW w:w="1105" w:type="pct"/>
            <w:shd w:val="clear" w:color="auto" w:fill="auto"/>
            <w:vAlign w:val="bottom"/>
          </w:tcPr>
          <w:p w14:paraId="44BC240D" w14:textId="77777777" w:rsidR="002227E6" w:rsidRPr="00272027" w:rsidRDefault="002227E6" w:rsidP="00054A89">
            <w:pPr>
              <w:spacing w:before="40" w:after="40" w:line="220" w:lineRule="exact"/>
              <w:ind w:right="113"/>
              <w:rPr>
                <w:rFonts w:eastAsia="Times New Roman"/>
                <w:sz w:val="18"/>
                <w:szCs w:val="18"/>
              </w:rPr>
            </w:pPr>
            <w:r w:rsidRPr="00272027">
              <w:rPr>
                <w:sz w:val="18"/>
                <w:szCs w:val="18"/>
              </w:rPr>
              <w:t>Potosí</w:t>
            </w:r>
          </w:p>
        </w:tc>
        <w:tc>
          <w:tcPr>
            <w:tcW w:w="650" w:type="pct"/>
            <w:shd w:val="clear" w:color="auto" w:fill="auto"/>
            <w:vAlign w:val="bottom"/>
          </w:tcPr>
          <w:p w14:paraId="00BFEB95"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651" w:type="pct"/>
            <w:shd w:val="clear" w:color="auto" w:fill="auto"/>
            <w:vAlign w:val="bottom"/>
          </w:tcPr>
          <w:p w14:paraId="5DBD52F9"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650" w:type="pct"/>
            <w:shd w:val="clear" w:color="auto" w:fill="auto"/>
            <w:vAlign w:val="bottom"/>
          </w:tcPr>
          <w:p w14:paraId="4324FBDD"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651" w:type="pct"/>
            <w:shd w:val="clear" w:color="auto" w:fill="auto"/>
            <w:vAlign w:val="bottom"/>
          </w:tcPr>
          <w:p w14:paraId="7CDF37AE"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860" w:type="pct"/>
            <w:shd w:val="clear" w:color="auto" w:fill="auto"/>
            <w:vAlign w:val="bottom"/>
          </w:tcPr>
          <w:p w14:paraId="1A680BB8"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r>
      <w:tr w:rsidR="002227E6" w:rsidRPr="00272027" w14:paraId="70FE731D" w14:textId="77777777" w:rsidTr="00272027">
        <w:trPr>
          <w:trHeight w:val="240"/>
        </w:trPr>
        <w:tc>
          <w:tcPr>
            <w:tcW w:w="434" w:type="pct"/>
            <w:shd w:val="clear" w:color="auto" w:fill="auto"/>
          </w:tcPr>
          <w:p w14:paraId="355E1BE8" w14:textId="77777777" w:rsidR="002227E6" w:rsidRPr="00272027" w:rsidRDefault="002227E6" w:rsidP="00272027">
            <w:pPr>
              <w:spacing w:before="40" w:after="40" w:line="220" w:lineRule="exact"/>
              <w:ind w:right="113"/>
              <w:rPr>
                <w:rFonts w:eastAsia="Times New Roman"/>
                <w:sz w:val="18"/>
                <w:szCs w:val="18"/>
              </w:rPr>
            </w:pPr>
            <w:r w:rsidRPr="00272027">
              <w:rPr>
                <w:sz w:val="18"/>
                <w:szCs w:val="18"/>
              </w:rPr>
              <w:t>8</w:t>
            </w:r>
          </w:p>
        </w:tc>
        <w:tc>
          <w:tcPr>
            <w:tcW w:w="1105" w:type="pct"/>
            <w:shd w:val="clear" w:color="auto" w:fill="auto"/>
            <w:vAlign w:val="bottom"/>
          </w:tcPr>
          <w:p w14:paraId="76617642" w14:textId="77777777" w:rsidR="002227E6" w:rsidRPr="00272027" w:rsidRDefault="002227E6" w:rsidP="00054A89">
            <w:pPr>
              <w:spacing w:before="40" w:after="40" w:line="220" w:lineRule="exact"/>
              <w:ind w:right="113"/>
              <w:rPr>
                <w:rFonts w:eastAsia="Times New Roman"/>
                <w:sz w:val="18"/>
                <w:szCs w:val="18"/>
              </w:rPr>
            </w:pPr>
            <w:r w:rsidRPr="00272027">
              <w:rPr>
                <w:sz w:val="18"/>
                <w:szCs w:val="18"/>
              </w:rPr>
              <w:t>Tarija</w:t>
            </w:r>
          </w:p>
        </w:tc>
        <w:tc>
          <w:tcPr>
            <w:tcW w:w="650" w:type="pct"/>
            <w:shd w:val="clear" w:color="auto" w:fill="auto"/>
            <w:vAlign w:val="bottom"/>
          </w:tcPr>
          <w:p w14:paraId="1402C029"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651" w:type="pct"/>
            <w:shd w:val="clear" w:color="auto" w:fill="auto"/>
            <w:vAlign w:val="bottom"/>
          </w:tcPr>
          <w:p w14:paraId="489293E0"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650" w:type="pct"/>
            <w:shd w:val="clear" w:color="auto" w:fill="auto"/>
            <w:vAlign w:val="bottom"/>
          </w:tcPr>
          <w:p w14:paraId="3A3FCDF2"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651" w:type="pct"/>
            <w:shd w:val="clear" w:color="auto" w:fill="auto"/>
            <w:vAlign w:val="bottom"/>
          </w:tcPr>
          <w:p w14:paraId="3CCC8106"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860" w:type="pct"/>
            <w:shd w:val="clear" w:color="auto" w:fill="auto"/>
            <w:vAlign w:val="bottom"/>
          </w:tcPr>
          <w:p w14:paraId="0C7EA14B"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r>
      <w:tr w:rsidR="002227E6" w:rsidRPr="00272027" w14:paraId="4FA3426E" w14:textId="77777777" w:rsidTr="000F0A9B">
        <w:trPr>
          <w:trHeight w:val="240"/>
        </w:trPr>
        <w:tc>
          <w:tcPr>
            <w:tcW w:w="434" w:type="pct"/>
            <w:tcBorders>
              <w:bottom w:val="single" w:sz="4" w:space="0" w:color="auto"/>
            </w:tcBorders>
            <w:shd w:val="clear" w:color="auto" w:fill="auto"/>
          </w:tcPr>
          <w:p w14:paraId="6C931A91" w14:textId="77777777" w:rsidR="002227E6" w:rsidRPr="00272027" w:rsidRDefault="002227E6" w:rsidP="00272027">
            <w:pPr>
              <w:spacing w:before="40" w:after="40" w:line="220" w:lineRule="exact"/>
              <w:ind w:right="113"/>
              <w:rPr>
                <w:rFonts w:eastAsia="Times New Roman"/>
                <w:sz w:val="18"/>
                <w:szCs w:val="18"/>
              </w:rPr>
            </w:pPr>
            <w:r w:rsidRPr="00272027">
              <w:rPr>
                <w:sz w:val="18"/>
                <w:szCs w:val="18"/>
              </w:rPr>
              <w:t>9</w:t>
            </w:r>
          </w:p>
        </w:tc>
        <w:tc>
          <w:tcPr>
            <w:tcW w:w="1105" w:type="pct"/>
            <w:tcBorders>
              <w:bottom w:val="single" w:sz="4" w:space="0" w:color="auto"/>
            </w:tcBorders>
            <w:shd w:val="clear" w:color="auto" w:fill="auto"/>
            <w:vAlign w:val="bottom"/>
          </w:tcPr>
          <w:p w14:paraId="626F1067" w14:textId="77777777" w:rsidR="002227E6" w:rsidRPr="00272027" w:rsidRDefault="002227E6" w:rsidP="00054A89">
            <w:pPr>
              <w:spacing w:before="40" w:after="40" w:line="220" w:lineRule="exact"/>
              <w:ind w:right="113"/>
              <w:rPr>
                <w:rFonts w:eastAsia="Times New Roman"/>
                <w:sz w:val="18"/>
                <w:szCs w:val="18"/>
              </w:rPr>
            </w:pPr>
            <w:r w:rsidRPr="00272027">
              <w:rPr>
                <w:sz w:val="18"/>
                <w:szCs w:val="18"/>
              </w:rPr>
              <w:t>Pando</w:t>
            </w:r>
          </w:p>
        </w:tc>
        <w:tc>
          <w:tcPr>
            <w:tcW w:w="650" w:type="pct"/>
            <w:tcBorders>
              <w:bottom w:val="single" w:sz="4" w:space="0" w:color="auto"/>
            </w:tcBorders>
            <w:shd w:val="clear" w:color="auto" w:fill="auto"/>
            <w:vAlign w:val="bottom"/>
          </w:tcPr>
          <w:p w14:paraId="59D536A1"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651" w:type="pct"/>
            <w:tcBorders>
              <w:bottom w:val="single" w:sz="4" w:space="0" w:color="auto"/>
            </w:tcBorders>
            <w:shd w:val="clear" w:color="auto" w:fill="auto"/>
            <w:vAlign w:val="bottom"/>
          </w:tcPr>
          <w:p w14:paraId="639D97F3"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650" w:type="pct"/>
            <w:tcBorders>
              <w:bottom w:val="single" w:sz="4" w:space="0" w:color="auto"/>
            </w:tcBorders>
            <w:shd w:val="clear" w:color="auto" w:fill="auto"/>
            <w:vAlign w:val="bottom"/>
          </w:tcPr>
          <w:p w14:paraId="2FDB40D6"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651" w:type="pct"/>
            <w:tcBorders>
              <w:bottom w:val="single" w:sz="4" w:space="0" w:color="auto"/>
            </w:tcBorders>
            <w:shd w:val="clear" w:color="auto" w:fill="auto"/>
            <w:vAlign w:val="bottom"/>
          </w:tcPr>
          <w:p w14:paraId="09531961"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c>
          <w:tcPr>
            <w:tcW w:w="860" w:type="pct"/>
            <w:tcBorders>
              <w:bottom w:val="single" w:sz="4" w:space="0" w:color="auto"/>
            </w:tcBorders>
            <w:shd w:val="clear" w:color="auto" w:fill="auto"/>
            <w:vAlign w:val="bottom"/>
          </w:tcPr>
          <w:p w14:paraId="5401443A" w14:textId="77777777" w:rsidR="002227E6" w:rsidRPr="00272027" w:rsidRDefault="002227E6" w:rsidP="00272027">
            <w:pPr>
              <w:spacing w:before="40" w:after="40" w:line="220" w:lineRule="exact"/>
              <w:ind w:right="113"/>
              <w:jc w:val="right"/>
              <w:rPr>
                <w:rFonts w:eastAsia="Times New Roman"/>
                <w:sz w:val="18"/>
                <w:szCs w:val="18"/>
              </w:rPr>
            </w:pPr>
            <w:r w:rsidRPr="00272027">
              <w:rPr>
                <w:sz w:val="18"/>
                <w:szCs w:val="18"/>
              </w:rPr>
              <w:t>0</w:t>
            </w:r>
          </w:p>
        </w:tc>
      </w:tr>
      <w:tr w:rsidR="002227E6" w:rsidRPr="000F0A9B" w14:paraId="501EFCE8" w14:textId="77777777" w:rsidTr="000F0A9B">
        <w:tblPrEx>
          <w:tblLook w:val="0000" w:firstRow="0" w:lastRow="0" w:firstColumn="0" w:lastColumn="0" w:noHBand="0" w:noVBand="0"/>
        </w:tblPrEx>
        <w:trPr>
          <w:trHeight w:val="240"/>
        </w:trPr>
        <w:tc>
          <w:tcPr>
            <w:tcW w:w="1539" w:type="pct"/>
            <w:gridSpan w:val="2"/>
            <w:tcBorders>
              <w:top w:val="single" w:sz="4" w:space="0" w:color="auto"/>
              <w:bottom w:val="single" w:sz="12" w:space="0" w:color="auto"/>
            </w:tcBorders>
            <w:shd w:val="clear" w:color="auto" w:fill="auto"/>
          </w:tcPr>
          <w:p w14:paraId="45385C3D" w14:textId="77777777" w:rsidR="002227E6" w:rsidRPr="000F0A9B" w:rsidRDefault="002227E6" w:rsidP="000F0A9B">
            <w:pPr>
              <w:spacing w:before="80" w:after="80" w:line="220" w:lineRule="exact"/>
              <w:ind w:left="282" w:right="113"/>
              <w:rPr>
                <w:rFonts w:eastAsia="Times New Roman"/>
                <w:b/>
                <w:sz w:val="18"/>
                <w:szCs w:val="18"/>
              </w:rPr>
            </w:pPr>
            <w:r w:rsidRPr="000F0A9B">
              <w:rPr>
                <w:b/>
                <w:sz w:val="18"/>
                <w:szCs w:val="18"/>
              </w:rPr>
              <w:t xml:space="preserve">Subtotal </w:t>
            </w:r>
          </w:p>
        </w:tc>
        <w:tc>
          <w:tcPr>
            <w:tcW w:w="650" w:type="pct"/>
            <w:tcBorders>
              <w:top w:val="single" w:sz="4" w:space="0" w:color="auto"/>
              <w:bottom w:val="single" w:sz="12" w:space="0" w:color="auto"/>
            </w:tcBorders>
            <w:shd w:val="clear" w:color="auto" w:fill="auto"/>
            <w:vAlign w:val="bottom"/>
          </w:tcPr>
          <w:p w14:paraId="1E3767AE" w14:textId="77777777" w:rsidR="002227E6" w:rsidRPr="000F0A9B" w:rsidRDefault="002227E6" w:rsidP="000F0A9B">
            <w:pPr>
              <w:spacing w:before="80" w:after="80" w:line="220" w:lineRule="exact"/>
              <w:ind w:right="113"/>
              <w:jc w:val="right"/>
              <w:rPr>
                <w:rFonts w:eastAsia="Times New Roman"/>
                <w:b/>
                <w:sz w:val="18"/>
                <w:szCs w:val="18"/>
              </w:rPr>
            </w:pPr>
            <w:r w:rsidRPr="000F0A9B">
              <w:rPr>
                <w:b/>
                <w:sz w:val="18"/>
                <w:szCs w:val="18"/>
              </w:rPr>
              <w:t>4</w:t>
            </w:r>
          </w:p>
        </w:tc>
        <w:tc>
          <w:tcPr>
            <w:tcW w:w="651" w:type="pct"/>
            <w:tcBorders>
              <w:top w:val="single" w:sz="4" w:space="0" w:color="auto"/>
              <w:bottom w:val="single" w:sz="12" w:space="0" w:color="auto"/>
            </w:tcBorders>
            <w:shd w:val="clear" w:color="auto" w:fill="auto"/>
            <w:vAlign w:val="bottom"/>
          </w:tcPr>
          <w:p w14:paraId="4E9137AE" w14:textId="77777777" w:rsidR="002227E6" w:rsidRPr="000F0A9B" w:rsidRDefault="002227E6" w:rsidP="000F0A9B">
            <w:pPr>
              <w:spacing w:before="80" w:after="80" w:line="220" w:lineRule="exact"/>
              <w:ind w:right="113"/>
              <w:jc w:val="right"/>
              <w:rPr>
                <w:rFonts w:eastAsia="Times New Roman"/>
                <w:b/>
                <w:sz w:val="18"/>
                <w:szCs w:val="18"/>
              </w:rPr>
            </w:pPr>
            <w:r w:rsidRPr="000F0A9B">
              <w:rPr>
                <w:b/>
                <w:sz w:val="18"/>
                <w:szCs w:val="18"/>
              </w:rPr>
              <w:t>3</w:t>
            </w:r>
          </w:p>
        </w:tc>
        <w:tc>
          <w:tcPr>
            <w:tcW w:w="650" w:type="pct"/>
            <w:tcBorders>
              <w:top w:val="single" w:sz="4" w:space="0" w:color="auto"/>
              <w:bottom w:val="single" w:sz="12" w:space="0" w:color="auto"/>
            </w:tcBorders>
            <w:shd w:val="clear" w:color="auto" w:fill="auto"/>
            <w:vAlign w:val="bottom"/>
          </w:tcPr>
          <w:p w14:paraId="3411F444" w14:textId="77777777" w:rsidR="002227E6" w:rsidRPr="000F0A9B" w:rsidRDefault="002227E6" w:rsidP="000F0A9B">
            <w:pPr>
              <w:spacing w:before="80" w:after="80" w:line="220" w:lineRule="exact"/>
              <w:ind w:right="113"/>
              <w:jc w:val="right"/>
              <w:rPr>
                <w:rFonts w:eastAsia="Times New Roman"/>
                <w:b/>
                <w:sz w:val="18"/>
                <w:szCs w:val="18"/>
              </w:rPr>
            </w:pPr>
            <w:r w:rsidRPr="000F0A9B">
              <w:rPr>
                <w:b/>
                <w:sz w:val="18"/>
                <w:szCs w:val="18"/>
              </w:rPr>
              <w:t>2</w:t>
            </w:r>
          </w:p>
        </w:tc>
        <w:tc>
          <w:tcPr>
            <w:tcW w:w="651" w:type="pct"/>
            <w:tcBorders>
              <w:top w:val="single" w:sz="4" w:space="0" w:color="auto"/>
              <w:bottom w:val="single" w:sz="12" w:space="0" w:color="auto"/>
            </w:tcBorders>
            <w:shd w:val="clear" w:color="auto" w:fill="auto"/>
            <w:vAlign w:val="bottom"/>
          </w:tcPr>
          <w:p w14:paraId="2FD49751" w14:textId="77777777" w:rsidR="002227E6" w:rsidRPr="000F0A9B" w:rsidRDefault="002227E6" w:rsidP="000F0A9B">
            <w:pPr>
              <w:spacing w:before="80" w:after="80" w:line="220" w:lineRule="exact"/>
              <w:ind w:right="113"/>
              <w:jc w:val="right"/>
              <w:rPr>
                <w:rFonts w:eastAsia="Times New Roman"/>
                <w:b/>
                <w:sz w:val="18"/>
                <w:szCs w:val="18"/>
              </w:rPr>
            </w:pPr>
            <w:r w:rsidRPr="000F0A9B">
              <w:rPr>
                <w:b/>
                <w:sz w:val="18"/>
                <w:szCs w:val="18"/>
              </w:rPr>
              <w:t>19</w:t>
            </w:r>
          </w:p>
        </w:tc>
        <w:tc>
          <w:tcPr>
            <w:tcW w:w="860" w:type="pct"/>
            <w:tcBorders>
              <w:top w:val="single" w:sz="4" w:space="0" w:color="auto"/>
              <w:bottom w:val="single" w:sz="12" w:space="0" w:color="auto"/>
            </w:tcBorders>
            <w:shd w:val="clear" w:color="auto" w:fill="auto"/>
            <w:vAlign w:val="bottom"/>
          </w:tcPr>
          <w:p w14:paraId="09BDC443" w14:textId="77777777" w:rsidR="002227E6" w:rsidRPr="000F0A9B" w:rsidRDefault="002227E6" w:rsidP="000F0A9B">
            <w:pPr>
              <w:spacing w:before="80" w:after="80" w:line="220" w:lineRule="exact"/>
              <w:ind w:right="113"/>
              <w:jc w:val="right"/>
              <w:rPr>
                <w:rFonts w:eastAsia="Times New Roman"/>
                <w:b/>
                <w:sz w:val="18"/>
                <w:szCs w:val="18"/>
              </w:rPr>
            </w:pPr>
            <w:r w:rsidRPr="000F0A9B">
              <w:rPr>
                <w:b/>
                <w:sz w:val="18"/>
                <w:szCs w:val="18"/>
              </w:rPr>
              <w:t>28</w:t>
            </w:r>
          </w:p>
        </w:tc>
      </w:tr>
    </w:tbl>
    <w:p w14:paraId="4FD91D75" w14:textId="65C78327" w:rsidR="002227E6" w:rsidRPr="00914368" w:rsidRDefault="002227E6" w:rsidP="000F0A9B">
      <w:pPr>
        <w:pStyle w:val="SingleTxtG"/>
        <w:spacing w:before="240"/>
      </w:pPr>
      <w:r w:rsidRPr="00914368">
        <w:t>79.</w:t>
      </w:r>
      <w:r w:rsidRPr="00914368">
        <w:tab/>
        <w:t xml:space="preserve">These incidents are mainly the result of citizen insecurity, criminality and cases that have not been resolved by the judiciary. To put a stop to these and other such acts that endanger citizen security, the </w:t>
      </w:r>
      <w:r w:rsidR="008D6E06">
        <w:t>“</w:t>
      </w:r>
      <w:r w:rsidRPr="00914368">
        <w:t>My Safe Neighbourhood</w:t>
      </w:r>
      <w:r w:rsidR="008D6E06">
        <w:t>”</w:t>
      </w:r>
      <w:r w:rsidRPr="00914368">
        <w:t xml:space="preserve"> Plan has been implemented in a number of areas throughout the country. Plans are tailored to identified risk areas and their specific characteristics, and georeferencing is performed. Workshops and awareness-raising campaigns are also conducted on domestic violence, gender-based violence, trafficking in persons and lynching.</w:t>
      </w:r>
    </w:p>
    <w:p w14:paraId="574BEECA" w14:textId="77777777" w:rsidR="002227E6" w:rsidRPr="00914368" w:rsidRDefault="002227E6" w:rsidP="00E66B89">
      <w:pPr>
        <w:pStyle w:val="SingleTxtG"/>
      </w:pPr>
      <w:r w:rsidRPr="00914368">
        <w:lastRenderedPageBreak/>
        <w:t>80.</w:t>
      </w:r>
      <w:r w:rsidRPr="00914368">
        <w:tab/>
        <w:t>The Plan has been implemented in the Senkata, La Ceja and Camino a Laja areas of the city of El Alto and the Plan 3000, G77, Los Lotes and Villa Primero de Mayo areas in the city of Santa Cruz. It will be implemented this year in the Departments of Pando, Tarija and Cochabamba.</w:t>
      </w:r>
    </w:p>
    <w:p w14:paraId="17149AB2" w14:textId="77777777" w:rsidR="002227E6" w:rsidRPr="00914368" w:rsidRDefault="002227E6" w:rsidP="00E66B89">
      <w:pPr>
        <w:pStyle w:val="SingleTxtG"/>
      </w:pPr>
      <w:r w:rsidRPr="00914368">
        <w:t>81.</w:t>
      </w:r>
      <w:r w:rsidRPr="00914368">
        <w:tab/>
        <w:t>The Statistics Division of the National Police Planning Department, which is part of the National Crime Squad Directorate, reports that 28 lynching incidents were recorded nationwide between 2017 and July 2021.</w:t>
      </w:r>
    </w:p>
    <w:p w14:paraId="0C7F53F1" w14:textId="77777777" w:rsidR="002227E6" w:rsidRPr="00914368" w:rsidRDefault="002227E6" w:rsidP="00E66B89">
      <w:pPr>
        <w:pStyle w:val="SingleTxtG"/>
      </w:pPr>
      <w:r w:rsidRPr="00914368">
        <w:t>82.</w:t>
      </w:r>
      <w:r w:rsidRPr="00914368">
        <w:tab/>
        <w:t>Within the results-based model of prosecution management, the Office of the Special Prosecutor for Offences against Life is the most important investigative unit and the one that receives the greatest institutional attention. Its main aim is to pursue public criminal prosecutions in cases that involve the taking or endangering of life.</w:t>
      </w:r>
    </w:p>
    <w:p w14:paraId="0BC3FDA6" w14:textId="77777777" w:rsidR="002227E6" w:rsidRPr="00914368" w:rsidRDefault="002227E6" w:rsidP="00E66B89">
      <w:pPr>
        <w:pStyle w:val="SingleTxtG"/>
      </w:pPr>
      <w:r w:rsidRPr="00914368">
        <w:t>83.</w:t>
      </w:r>
      <w:r w:rsidRPr="00914368">
        <w:tab/>
        <w:t>With respect to the measures adopted, the Public Prosecution Service, in line with the functions entrusted to it, prosecutes criminal conduct in public criminal proceedings, in accordance with article 225 of the Constitution and the laws and international treaties and conventions in force. It conducts the corresponding investigations and undertakes all necessary investigative work to ensure that due diligence is applied in uncovering the truth about cases of lynching.</w:t>
      </w:r>
    </w:p>
    <w:p w14:paraId="78E68C83" w14:textId="77777777" w:rsidR="002227E6" w:rsidRPr="00914368" w:rsidRDefault="002227E6" w:rsidP="000F0A9B">
      <w:pPr>
        <w:pStyle w:val="H23G"/>
      </w:pPr>
      <w:r w:rsidRPr="00914368">
        <w:tab/>
        <w:t>11.</w:t>
      </w:r>
      <w:r w:rsidRPr="00914368">
        <w:tab/>
        <w:t>Replies to the issues raised in paragraph 11 of the list of issues</w:t>
      </w:r>
    </w:p>
    <w:p w14:paraId="3FA97B2C" w14:textId="77777777" w:rsidR="002227E6" w:rsidRPr="00914368" w:rsidRDefault="002227E6" w:rsidP="00E66B89">
      <w:pPr>
        <w:pStyle w:val="SingleTxtG"/>
      </w:pPr>
      <w:r w:rsidRPr="00914368">
        <w:t>84.</w:t>
      </w:r>
      <w:r w:rsidRPr="00914368">
        <w:tab/>
        <w:t xml:space="preserve">Articles 117 and 120 of the Constitution are clear on the matter of military jurisdiction. In addition, article 48 of the Code of Criminal Procedure stipulates that in case of doubt, ordinary justice takes precedence over military justice. Article 180 (III) of the Constitution establishes that military courts try offences of a military nature regulated by law. </w:t>
      </w:r>
    </w:p>
    <w:p w14:paraId="63E70AF1" w14:textId="77777777" w:rsidR="002227E6" w:rsidRPr="00914368" w:rsidRDefault="002227E6" w:rsidP="00E66B89">
      <w:pPr>
        <w:pStyle w:val="SingleTxtG"/>
      </w:pPr>
      <w:r w:rsidRPr="00914368">
        <w:t>85.</w:t>
      </w:r>
      <w:r w:rsidRPr="00914368">
        <w:tab/>
        <w:t xml:space="preserve">The military courts are competent to try offences committed in the line of duty and subject to the following requirements: (1) under article 10 of the Military Justice Organization Act, Bolivian and foreign nationals are subject to military jurisdiction for offences that concern military matters, by which it is understood that only those acts that are defined as criminal offences in the Military Criminal Code and that violate military legal rights are subject to military jurisdiction; and (2) article 1 (1) of the Military Criminal Code specifies that the Code applies, inter alia, to all offences committed by members of the armed forces in the line of duty, or in connection therewith, inside or outside barracks, camps or military zones, and throughout the national territory in the context of war either inside or outside the country; consequently, for the Code and military jurisdiction to apply to members of the armed forces, the relevant offence must be committed in the line of duty, or in connection therewith, inside or outside a military zone. </w:t>
      </w:r>
    </w:p>
    <w:p w14:paraId="319BB617" w14:textId="77777777" w:rsidR="002227E6" w:rsidRPr="00914368" w:rsidRDefault="002227E6" w:rsidP="00E66B89">
      <w:pPr>
        <w:pStyle w:val="SingleTxtG"/>
      </w:pPr>
      <w:r w:rsidRPr="00914368">
        <w:t>86.</w:t>
      </w:r>
      <w:r w:rsidRPr="00914368">
        <w:tab/>
        <w:t>Only offences that affect military legal rights can be considered military offences, such rights being understood as those protected by criminal legislation, based on the constitutional mission of the armed forces, the means allocated to the fulfilment of that mission and their organization, hierarchy and discipline. It follows that the jurisdiction of military courts must be restricted to military affairs and specifically to the duties performed by military staff.</w:t>
      </w:r>
    </w:p>
    <w:p w14:paraId="3DA55178" w14:textId="77777777" w:rsidR="002227E6" w:rsidRPr="00914368" w:rsidRDefault="002227E6" w:rsidP="00E66B89">
      <w:pPr>
        <w:pStyle w:val="SingleTxtG"/>
      </w:pPr>
      <w:r w:rsidRPr="00914368">
        <w:t>87.</w:t>
      </w:r>
      <w:r w:rsidRPr="00914368">
        <w:tab/>
        <w:t>Consequently, it is clear that the military courts are not competent to try offences that are not committed in the line of duty. To interpret the rules otherwise would be to remove the effective protection of ordinary criminal law, and even that of ordinary criminal jurisdiction, from legal rights considered to be fundamental values, interests and expectations without which social life would be rendered impossible, precarious or unworthy, and that are recognized as rights in article 7 of the Constitution and in international human rights covenants and standards.</w:t>
      </w:r>
    </w:p>
    <w:p w14:paraId="0A333C84" w14:textId="77777777" w:rsidR="002227E6" w:rsidRPr="00914368" w:rsidRDefault="002227E6" w:rsidP="00E66B89">
      <w:pPr>
        <w:pStyle w:val="SingleTxtG"/>
        <w:rPr>
          <w:b/>
          <w:i/>
        </w:rPr>
      </w:pPr>
      <w:r w:rsidRPr="00914368">
        <w:t>88.</w:t>
      </w:r>
      <w:r w:rsidRPr="00914368">
        <w:tab/>
        <w:t xml:space="preserve">Under article 26 of the Organic Act on the Armed Forces, articles 9 to 12 of the Military Justice Organization Act and article 1 of the Military Criminal Code, military jurisdiction is not triggered purely on the basis that the perpetrator is a member of the armed forces. The criminal conduct must also arise in the context of fulfilment of one of the missions of the armed forces, namely the preservation of the security, stability and sovereignty of the nation, as set out in article 224 of the Constitution. </w:t>
      </w:r>
    </w:p>
    <w:p w14:paraId="6AA55836" w14:textId="77777777" w:rsidR="002227E6" w:rsidRPr="00914368" w:rsidRDefault="002227E6" w:rsidP="00E66B89">
      <w:pPr>
        <w:pStyle w:val="SingleTxtG"/>
      </w:pPr>
      <w:r w:rsidRPr="00914368">
        <w:lastRenderedPageBreak/>
        <w:t>89.</w:t>
      </w:r>
      <w:r w:rsidRPr="00914368">
        <w:tab/>
        <w:t>In Plurinational Constitutional Decision No. 0872/2018-S4 of 20 December 2018, the Constitutional Court concluded that ordinary jurisdiction is the rule and military jurisdiction is the exception and that, in general, military jurisdiction can only be triggered when an alleged criminal offence is committed by a member of the armed forces in the line of duty, or in connection therewith, inside or outside a military zone. It further concluded that if the act infringes a military legal right and is specifically defined in criminal legislation as an offence and arises in the context of fulfilment of the constitutional mission of the armed forces, and if it in no way infringes fundamental rights and guarantees, it can be investigated by the relevant military criminal jurisdiction.</w:t>
      </w:r>
    </w:p>
    <w:p w14:paraId="6435FBA9" w14:textId="77777777" w:rsidR="002227E6" w:rsidRPr="00914368" w:rsidRDefault="002227E6" w:rsidP="000F0A9B">
      <w:pPr>
        <w:pStyle w:val="H23G"/>
      </w:pPr>
      <w:r w:rsidRPr="00914368">
        <w:tab/>
        <w:t>12.</w:t>
      </w:r>
      <w:r w:rsidRPr="00914368">
        <w:tab/>
        <w:t>Replies to the issues raised in paragraph 12 of the list of issues</w:t>
      </w:r>
    </w:p>
    <w:p w14:paraId="06047FC1" w14:textId="4C31040D" w:rsidR="002227E6" w:rsidRPr="00914368" w:rsidRDefault="002227E6" w:rsidP="00E66B89">
      <w:pPr>
        <w:pStyle w:val="SingleTxtG"/>
      </w:pPr>
      <w:r w:rsidRPr="00914368">
        <w:t>90.</w:t>
      </w:r>
      <w:r w:rsidRPr="00914368">
        <w:tab/>
        <w:t xml:space="preserve">The Children and Adolescents Code establishes that children and adolescents have the right to integrity of the person and protection against all forms of violence affecting their physical, psychological and sexual integrity. In that regard, the Code specifies that all children and adolescents have the right to </w:t>
      </w:r>
      <w:r w:rsidR="008D6E06">
        <w:t>“</w:t>
      </w:r>
      <w:r w:rsidRPr="00914368">
        <w:t>good treatment</w:t>
      </w:r>
      <w:r w:rsidR="008D6E06">
        <w:t>”</w:t>
      </w:r>
      <w:r w:rsidRPr="00914368">
        <w:t xml:space="preserve">, including a non-violent upbringing and education; the Code therefore prohibits any type of physical, violent or humiliating punishment. </w:t>
      </w:r>
    </w:p>
    <w:p w14:paraId="75A5BE2A" w14:textId="77777777" w:rsidR="002227E6" w:rsidRPr="00914368" w:rsidRDefault="002227E6" w:rsidP="00E66B89">
      <w:pPr>
        <w:pStyle w:val="SingleTxtG"/>
      </w:pPr>
      <w:r w:rsidRPr="00914368">
        <w:t>91.</w:t>
      </w:r>
      <w:r w:rsidRPr="00914368">
        <w:tab/>
        <w:t>In order to protect the right to integrity of the person, the Office for the Defence of Children and Adolescents</w:t>
      </w:r>
      <w:r w:rsidRPr="00914368" w:rsidDel="00826C1A">
        <w:t xml:space="preserve"> </w:t>
      </w:r>
      <w:r w:rsidRPr="00914368">
        <w:t>is empowered, without the need for a specific mandate, to submit requests, complaints and appeals to the competent authorities in relation to acts of violence and minor or major offences committed against children and adolescents, including in rural areas and those inhabited by indigenous and aboriginal campesino peoples.</w:t>
      </w:r>
    </w:p>
    <w:p w14:paraId="727D5428" w14:textId="77777777" w:rsidR="002227E6" w:rsidRPr="00914368" w:rsidRDefault="002227E6" w:rsidP="00E66B89">
      <w:pPr>
        <w:pStyle w:val="SingleTxtG"/>
      </w:pPr>
      <w:r w:rsidRPr="00914368">
        <w:t>92.</w:t>
      </w:r>
      <w:r w:rsidRPr="00914368">
        <w:tab/>
        <w:t>Within the framework of these regulations, the Ministry of Education has drafted internal rules designed to guarantee an education free of violence, as described below:</w:t>
      </w:r>
    </w:p>
    <w:p w14:paraId="4D1268F5" w14:textId="465026F9"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Ministerial Decision No. 001/2016-2020 sets out specific mandates on the prohibition of all forms of violence, ill-treatment or abuse and establishes the duty to take preventive action.</w:t>
      </w:r>
    </w:p>
    <w:p w14:paraId="56516488" w14:textId="7E8819BB"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In 2021, the zero-tolerance policy on bullying and violence will continue to be applied in classrooms, hallways and other areas of school premises, as well as on social networks within and beyond educational facilities. Teachers must develop materials to combat all forms of school violence, based on the overarching theme of learning social and community values.</w:t>
      </w:r>
    </w:p>
    <w:p w14:paraId="0B8A93F8" w14:textId="2F202069"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Any member of the educational community, including teachers, administrative staff, parents and students, who become aware of a situation of violence have a duty to report it to the appropriate authorities.</w:t>
      </w:r>
    </w:p>
    <w:p w14:paraId="5E5B4D69" w14:textId="66C8598B"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The Ministry of Education has hired professional defence lawyers to work in departmental directorates of education and provide legal assistance to students who are victims of sexual violence.</w:t>
      </w:r>
    </w:p>
    <w:p w14:paraId="6FB59773" w14:textId="6EFC795A" w:rsidR="002227E6" w:rsidRPr="00914368" w:rsidRDefault="00521EED" w:rsidP="00521EED">
      <w:pPr>
        <w:pStyle w:val="Bullet1G"/>
        <w:numPr>
          <w:ilvl w:val="0"/>
          <w:numId w:val="0"/>
        </w:numPr>
        <w:tabs>
          <w:tab w:val="left" w:pos="1701"/>
        </w:tabs>
        <w:ind w:left="1701" w:hanging="170"/>
        <w:rPr>
          <w:shd w:val="clear" w:color="auto" w:fill="FFFFFF"/>
          <w:lang w:eastAsia="en-US"/>
        </w:rPr>
      </w:pPr>
      <w:r w:rsidRPr="00914368">
        <w:rPr>
          <w:lang w:eastAsia="en-US"/>
        </w:rPr>
        <w:t>•</w:t>
      </w:r>
      <w:r w:rsidRPr="00914368">
        <w:rPr>
          <w:lang w:eastAsia="en-US"/>
        </w:rPr>
        <w:tab/>
      </w:r>
      <w:r w:rsidR="002227E6" w:rsidRPr="00914368">
        <w:rPr>
          <w:lang w:eastAsia="en-US"/>
        </w:rPr>
        <w:t>Guidelines were prepared for the design of the Peaceful and Harmonious Coexistence Plan approved by Ministerial Decision No. 0208/2021.</w:t>
      </w:r>
    </w:p>
    <w:p w14:paraId="247FFC9B" w14:textId="77777777" w:rsidR="002227E6" w:rsidRPr="00914368" w:rsidRDefault="002227E6" w:rsidP="000F0A9B">
      <w:pPr>
        <w:pStyle w:val="H1G"/>
      </w:pPr>
      <w:r w:rsidRPr="00914368">
        <w:tab/>
      </w:r>
      <w:r w:rsidRPr="00914368">
        <w:tab/>
        <w:t xml:space="preserve">Excessive use of force (arts. 2, 6–7 and 14) </w:t>
      </w:r>
    </w:p>
    <w:p w14:paraId="5D0A9A74" w14:textId="77777777" w:rsidR="002227E6" w:rsidRPr="00914368" w:rsidRDefault="002227E6" w:rsidP="000F0A9B">
      <w:pPr>
        <w:pStyle w:val="H23G"/>
      </w:pPr>
      <w:r w:rsidRPr="00914368">
        <w:tab/>
        <w:t>13.</w:t>
      </w:r>
      <w:r w:rsidRPr="00914368">
        <w:tab/>
        <w:t>Replies to the issues raised in paragraph 13 of the list of issues</w:t>
      </w:r>
    </w:p>
    <w:p w14:paraId="7AD42D4D" w14:textId="77777777" w:rsidR="002227E6" w:rsidRPr="00914368" w:rsidRDefault="002227E6" w:rsidP="00E66B89">
      <w:pPr>
        <w:pStyle w:val="SingleTxtG"/>
      </w:pPr>
      <w:r w:rsidRPr="00914368">
        <w:t>93.</w:t>
      </w:r>
      <w:r w:rsidRPr="00914368">
        <w:tab/>
        <w:t>In relation to the incidents that occurred in Pando and Sucre in 2008, the Office of the Attorney General of the Department of La Paz provided the following information on Case No. LPZ0806950, which was filed on 17 September 2008:</w:t>
      </w:r>
    </w:p>
    <w:p w14:paraId="38DAE905" w14:textId="04A953B2"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 xml:space="preserve">Complainant: ex officio </w:t>
      </w:r>
    </w:p>
    <w:p w14:paraId="412A3D02" w14:textId="2142399F"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Victim: Ramiro Tiñini Alvarado</w:t>
      </w:r>
    </w:p>
    <w:p w14:paraId="0C73478D" w14:textId="2ECD9E64"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Defendants: Leopoldo Fernández Ferreira, Juan Marcelo Mejido Flores and others, for offences including terrorism, murder, homicide, serious and minor bodily harm and criminal association. Current status: in August 2021, a guilty verdict was handed down in respect of Leopoldo Fernández Ferreira (sentenced to 15 years</w:t>
      </w:r>
      <w:r w:rsidR="008D6E06">
        <w:rPr>
          <w:lang w:eastAsia="en-US"/>
        </w:rPr>
        <w:t>’</w:t>
      </w:r>
      <w:r w:rsidR="002227E6" w:rsidRPr="00914368">
        <w:rPr>
          <w:lang w:eastAsia="en-US"/>
        </w:rPr>
        <w:t xml:space="preserve"> imprisonment </w:t>
      </w:r>
      <w:r w:rsidR="002227E6" w:rsidRPr="00914368">
        <w:rPr>
          <w:lang w:eastAsia="en-US"/>
        </w:rPr>
        <w:lastRenderedPageBreak/>
        <w:t>for homicide), Hernán Justiniano Negrete (sentenced to 8 years</w:t>
      </w:r>
      <w:r w:rsidR="008D6E06">
        <w:rPr>
          <w:lang w:eastAsia="en-US"/>
        </w:rPr>
        <w:t>’</w:t>
      </w:r>
      <w:r w:rsidR="002227E6" w:rsidRPr="00914368">
        <w:rPr>
          <w:lang w:eastAsia="en-US"/>
        </w:rPr>
        <w:t xml:space="preserve"> imprisonment for accessory to homicide), Ivin Ventura Vogoth (sentenced to 9 years</w:t>
      </w:r>
      <w:r w:rsidR="008D6E06">
        <w:rPr>
          <w:lang w:eastAsia="en-US"/>
        </w:rPr>
        <w:t>’</w:t>
      </w:r>
      <w:r w:rsidR="002227E6" w:rsidRPr="00914368">
        <w:rPr>
          <w:lang w:eastAsia="en-US"/>
        </w:rPr>
        <w:t xml:space="preserve"> imprisonment for accessory to homicide) and Juan Marcelo Mejido Flores (sentenced to 5 years</w:t>
      </w:r>
      <w:r w:rsidR="008D6E06">
        <w:rPr>
          <w:lang w:eastAsia="en-US"/>
        </w:rPr>
        <w:t>’</w:t>
      </w:r>
      <w:r w:rsidR="002227E6" w:rsidRPr="00914368">
        <w:rPr>
          <w:lang w:eastAsia="en-US"/>
        </w:rPr>
        <w:t xml:space="preserve"> imprisonment for serious and minor bodily harm). The decision was appealed by both the Public Prosecution Service and the defendants, and a resolution is currently pending.</w:t>
      </w:r>
    </w:p>
    <w:p w14:paraId="3D8CAD30" w14:textId="77777777" w:rsidR="002227E6" w:rsidRPr="00914368" w:rsidRDefault="002227E6" w:rsidP="00E66B89">
      <w:pPr>
        <w:pStyle w:val="SingleTxtG"/>
      </w:pPr>
      <w:r w:rsidRPr="00914368">
        <w:t>94.</w:t>
      </w:r>
      <w:r w:rsidRPr="00914368">
        <w:tab/>
        <w:t>Also in relation to the incidents that occurred in Pando and Sucre in 2008, the Office of the Attorney General of Chuquisaca filed Case No. FIS0801076 in May 2008 and provided the following information:</w:t>
      </w:r>
    </w:p>
    <w:p w14:paraId="58DCD06B" w14:textId="156069F5"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Complainant: Ángel Vallejos, in his capacity as victim.</w:t>
      </w:r>
    </w:p>
    <w:p w14:paraId="2A348BBD" w14:textId="1454D447"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Defendants: Jaime Barrón Poveda, Aydee Nava Andrade, Fidel Herrera Ressini, Jhon Caba, Sabina Cuellar Leaños and others, for the offences of serious and minor bodily harm, sedition, ill-treatment and torture, coercion, threats, deprivation of liberty, manufacture, trade or possession of explosive or asphyxiating substances, public disorder or disturbance and public incitement to commit an offence.</w:t>
      </w:r>
    </w:p>
    <w:p w14:paraId="3CE19698" w14:textId="6C47AA15"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Current status: defendants filed for the criminal proceedings to be discontinued owing to the statute of limitations. In response, the Public Prosecution Service filed a complaint based on crimes against humanity; however, the First Criminal Chamber I of Chuquisaca Departmental Court of Justice ordered the discontinuance of the proceedings.</w:t>
      </w:r>
    </w:p>
    <w:p w14:paraId="355B2341" w14:textId="77777777" w:rsidR="002227E6" w:rsidRPr="00914368" w:rsidRDefault="002227E6" w:rsidP="00E66B89">
      <w:pPr>
        <w:pStyle w:val="SingleTxtG"/>
      </w:pPr>
      <w:r w:rsidRPr="00914368">
        <w:t>95.</w:t>
      </w:r>
      <w:r w:rsidRPr="00914368">
        <w:tab/>
        <w:t xml:space="preserve">In addition, the trial court of the City of Padilla issued Judgment No. 04/2016 of 2 February 2016 against Jaime Barrón, Jhon Cava, Sabina Cuellar, Fidel Herrera, Aydee Nava, Epifania Terrazas, Jamil Pileo, Juan Antonio, Jesús Mendoza, Juan Carlos Zambrana, Cristian Jaime Flores Vedia, Franz Quispe Fernández, Juan Carlos Zambrana, Iván Álvaro Ríos and Flavio Huallpa Flores and found them to be jointly responsible for the offence of aggravated coercion. </w:t>
      </w:r>
    </w:p>
    <w:p w14:paraId="04644CE2" w14:textId="77777777" w:rsidR="002227E6" w:rsidRPr="00914368" w:rsidRDefault="002227E6" w:rsidP="00E66B89">
      <w:pPr>
        <w:pStyle w:val="SingleTxtG"/>
      </w:pPr>
      <w:r w:rsidRPr="00914368">
        <w:t>96.</w:t>
      </w:r>
      <w:r w:rsidRPr="00914368">
        <w:tab/>
        <w:t xml:space="preserve">In relation to compensation for the victims, the then Ministry of Justice provided an official list of the names of the persons who died in the events that took place on 24 and 25 November 2007 in the Department of Chuquisaca. In coordination with the Social Services Support Unit of the Ministry of the Presidency, a single humanitarian social assistance payment of Bs 50,000 was paid to the relatives of the deceased. The payments were authorized by Supreme Decree No. 29759 of 24 October 2008, which provided for humanitarian social assistance to be extended to the relatives of the victims of the conflict in order to alleviate their situation. </w:t>
      </w:r>
    </w:p>
    <w:p w14:paraId="16E62C88" w14:textId="35EEA8EE" w:rsidR="002227E6" w:rsidRPr="00914368" w:rsidRDefault="002227E6" w:rsidP="00E66B89">
      <w:pPr>
        <w:pStyle w:val="SingleTxtG"/>
      </w:pPr>
      <w:r w:rsidRPr="00914368">
        <w:t>97.</w:t>
      </w:r>
      <w:r w:rsidRPr="00914368">
        <w:tab/>
        <w:t>With regard to the investigations into acts of violence that occurred in the context of the elections of October 2019, the Attorney General</w:t>
      </w:r>
      <w:r w:rsidR="008D6E06">
        <w:t>’</w:t>
      </w:r>
      <w:r w:rsidRPr="00914368">
        <w:t>s Office reports the following information on the activities of the Offices of the Departmental Attorneys General:</w:t>
      </w:r>
    </w:p>
    <w:p w14:paraId="17471A40" w14:textId="1687A167"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 xml:space="preserve">The Office of the Attorney General of the Department of La Paz reported that 10 sets of criminal proceedings were launched. Of those, 7 cases relating to offences of ill-treatment and torture were dismissed. A further 2 cases relating to offences of ill-treatment and torture are at the preliminary stage, and 1 case, relating to offences of serious and minor bodily harm and homicide, and known as the Senkata case, is currently at the preparatory stage. </w:t>
      </w:r>
    </w:p>
    <w:p w14:paraId="1DC6CF9C" w14:textId="139A0392"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The Office of the Attorney General of the Department of Cochabamba reported 9 cases, of which 5 relating to serious and minor bodily harm were dismissed. Another 2 cases relating to serious and minor bodily harm, manufacture, trade or possession of explosive or asphyxiating substances, homicide in an altercation or as a consequence of assault and public incitement to commit an offence, and 1 case relating to serious and minor bodily harm is at the preliminary stage. Lastly, a case known as the Sacaba case and relating to serious and minor bodily harm, homicide, very serious bodily harm and murder is currently at the preparatory stage.</w:t>
      </w:r>
    </w:p>
    <w:p w14:paraId="6F175CA6" w14:textId="245608BD" w:rsidR="002227E6" w:rsidRPr="00914368" w:rsidRDefault="00521EED" w:rsidP="00521EED">
      <w:pPr>
        <w:pStyle w:val="Bullet1G"/>
        <w:numPr>
          <w:ilvl w:val="0"/>
          <w:numId w:val="0"/>
        </w:numPr>
        <w:tabs>
          <w:tab w:val="left" w:pos="1701"/>
        </w:tabs>
        <w:ind w:left="1701" w:hanging="170"/>
        <w:rPr>
          <w:lang w:eastAsia="en-US"/>
        </w:rPr>
      </w:pPr>
      <w:r w:rsidRPr="00914368">
        <w:rPr>
          <w:lang w:eastAsia="en-US"/>
        </w:rPr>
        <w:t>•</w:t>
      </w:r>
      <w:r w:rsidRPr="00914368">
        <w:rPr>
          <w:lang w:eastAsia="en-US"/>
        </w:rPr>
        <w:tab/>
      </w:r>
      <w:r w:rsidR="002227E6" w:rsidRPr="00914368">
        <w:rPr>
          <w:lang w:eastAsia="en-US"/>
        </w:rPr>
        <w:t>The Office of the Attorney General of the Department of Potosí reported that 1 case, relating to homicide and attempted homicide, is at the preparatory stage.</w:t>
      </w:r>
    </w:p>
    <w:p w14:paraId="6E4A495C" w14:textId="77777777" w:rsidR="002227E6" w:rsidRPr="00914368" w:rsidRDefault="002227E6" w:rsidP="00E66B89">
      <w:pPr>
        <w:pStyle w:val="SingleTxtG"/>
      </w:pPr>
      <w:r w:rsidRPr="00914368">
        <w:t>98.</w:t>
      </w:r>
      <w:r w:rsidRPr="00914368">
        <w:tab/>
        <w:t xml:space="preserve">The Ministry of the Interior was a party to the proceedings in the judicial districts of La Paz and Cochabamba against the defendants Luis Fernando López Julio, Arturo Carlos </w:t>
      </w:r>
      <w:r w:rsidRPr="00914368">
        <w:lastRenderedPageBreak/>
        <w:t>Murillo Prijic, Víctor Hugo Zamora Castedo, Luis Fernando Valverde Ferrufino, Franko Orlando Suarez Gonzales, Sergio Carlos Orellana Centellas, Rodolfo Antonio Montero Torricos, Jaime Zurita Trujillo, Juan Carlos Juchani Sacaico and Alfredo Cuellar for the offences of homicide, serious and minor bodily harm and murder.</w:t>
      </w:r>
    </w:p>
    <w:p w14:paraId="32ED2E68" w14:textId="0A1DEB74" w:rsidR="002227E6" w:rsidRPr="00914368" w:rsidRDefault="002227E6" w:rsidP="00E66B89">
      <w:pPr>
        <w:pStyle w:val="SingleTxtG"/>
      </w:pPr>
      <w:r w:rsidRPr="00914368">
        <w:t>99.</w:t>
      </w:r>
      <w:r w:rsidRPr="00914368">
        <w:tab/>
        <w:t>In relation to the measures taken to prevent and eliminate excessive use of force by law enforcement officers, in 2021 the National Department for Human Resources, Training and Dissemination, which is part of the Ministry of the Interior, issued general memorandums to the Departmental Directorates of Human Rights with a view to planning, organizing and providing training on issues related to the use of force and firearms.</w:t>
      </w:r>
    </w:p>
    <w:p w14:paraId="501A197B" w14:textId="77777777" w:rsidR="002227E6" w:rsidRPr="00914368" w:rsidRDefault="002227E6" w:rsidP="00E66B89">
      <w:pPr>
        <w:pStyle w:val="SingleTxtG"/>
      </w:pPr>
      <w:r w:rsidRPr="00914368">
        <w:t>100.</w:t>
      </w:r>
      <w:r w:rsidRPr="00914368">
        <w:tab/>
        <w:t>Between 1 January and 31 December 2020, 163 in-person and online training sessions were held on the use of force and firearms, covering topics including international standards on the use of force and firearms in maintaining public order and the restoration of public order. A total of 852 police officers (125 women and 754 men) participated.</w:t>
      </w:r>
    </w:p>
    <w:p w14:paraId="14506B63" w14:textId="77777777" w:rsidR="002227E6" w:rsidRPr="00914368" w:rsidRDefault="002227E6" w:rsidP="00E66B89">
      <w:pPr>
        <w:pStyle w:val="SingleTxtG"/>
      </w:pPr>
      <w:r w:rsidRPr="00914368">
        <w:t>101.</w:t>
      </w:r>
      <w:r w:rsidRPr="00914368">
        <w:tab/>
        <w:t>Between 1 January and 31 July 2021, 135 in-person and online training sessions were held on the use of force and firearms, covering topics including international standards on the use of force and firearms in maintaining public order and the restoration of public order. A total of 833 police officers (132 women and 701 men) participated.</w:t>
      </w:r>
    </w:p>
    <w:p w14:paraId="6C34776D" w14:textId="77777777" w:rsidR="002227E6" w:rsidRPr="00914368" w:rsidRDefault="002227E6" w:rsidP="00E66B89">
      <w:pPr>
        <w:pStyle w:val="SingleTxtG"/>
      </w:pPr>
      <w:r w:rsidRPr="00914368">
        <w:t>102.</w:t>
      </w:r>
      <w:r w:rsidRPr="00914368">
        <w:tab/>
        <w:t>In 2020, 21 in-person and online training sessions on a human rights-based approach to persons deprived of their liberty were delivered in the cities of La Paz, Cochabamba and Santa Cruz. A total of 347 police officers (94 women and 253 men) participated. In 2021, 28 training sessions were attended by 173 police officers (56 women and 117 men).</w:t>
      </w:r>
    </w:p>
    <w:p w14:paraId="33D66EDC" w14:textId="77777777" w:rsidR="002227E6" w:rsidRPr="00914368" w:rsidRDefault="002227E6" w:rsidP="00E66B89">
      <w:pPr>
        <w:pStyle w:val="SingleTxtG"/>
      </w:pPr>
      <w:r w:rsidRPr="00914368">
        <w:t>103.</w:t>
      </w:r>
      <w:r w:rsidRPr="00914368">
        <w:tab/>
        <w:t>With regard to complaints of excessive use of force and the outcome of those complaints, the crime squads of seven departments reported that, as of August 2021, they had no record of complaints filed or cases opened in connection with excessive use of force by police officers in any circumstances.</w:t>
      </w:r>
    </w:p>
    <w:p w14:paraId="4467B4E1" w14:textId="77777777" w:rsidR="002227E6" w:rsidRPr="00914368" w:rsidRDefault="002227E6" w:rsidP="00E66B89">
      <w:pPr>
        <w:pStyle w:val="SingleTxtG"/>
      </w:pPr>
      <w:r w:rsidRPr="00914368">
        <w:t>104.</w:t>
      </w:r>
      <w:r w:rsidRPr="00914368">
        <w:tab/>
        <w:t>Within the armed forces, excessive use of force is regulated by the Manual on the Use of Force in Internal Conflicts, which was approved by Supreme Decree No. 27977 of 14 January 2005 and which regulates the use of military forces and weapons in internal conflicts.</w:t>
      </w:r>
    </w:p>
    <w:p w14:paraId="5992F61A" w14:textId="77777777" w:rsidR="002227E6" w:rsidRPr="00914368" w:rsidRDefault="002227E6" w:rsidP="00E66B89">
      <w:pPr>
        <w:pStyle w:val="SingleTxtG"/>
      </w:pPr>
      <w:r w:rsidRPr="00914368">
        <w:t>105.</w:t>
      </w:r>
      <w:r w:rsidRPr="00914368">
        <w:tab/>
        <w:t>With regard to complaints of human rights violations by the armed forces, monitoring centres have been set up to cover the following thematic areas: gender, violence, racism and discrimination. The centres promote training on human rights and international humanitarian law for military and civilian personnel, in the form of workshops and seminars, with a view to advancing respect for human rights.</w:t>
      </w:r>
    </w:p>
    <w:p w14:paraId="75F81F87" w14:textId="77777777" w:rsidR="002227E6" w:rsidRPr="00914368" w:rsidRDefault="002227E6" w:rsidP="00E66B89">
      <w:pPr>
        <w:pStyle w:val="SingleTxtG"/>
        <w:rPr>
          <w:u w:val="single"/>
        </w:rPr>
      </w:pPr>
      <w:r w:rsidRPr="00914368">
        <w:t>106.</w:t>
      </w:r>
      <w:r w:rsidRPr="00914368">
        <w:tab/>
        <w:t>Among the measures taken to combat excessive use of force by the armed forces, the Ministry of Defence continued to update academic programmes and curricula, with a particular focus on increasing the number of hours dedicated to teaching human rights and international humanitarian law at military training institutes.</w:t>
      </w:r>
    </w:p>
    <w:p w14:paraId="4ADE8750" w14:textId="77777777" w:rsidR="002227E6" w:rsidRPr="00D470FC" w:rsidRDefault="002227E6" w:rsidP="00546D01">
      <w:pPr>
        <w:pStyle w:val="H1G"/>
      </w:pPr>
      <w:r w:rsidRPr="00D470FC">
        <w:tab/>
      </w:r>
      <w:r w:rsidRPr="00D470FC">
        <w:tab/>
        <w:t>Persons deprived of their liberty and conditions of detention (arts. 6–7, 9–10, 14 and 26)</w:t>
      </w:r>
    </w:p>
    <w:p w14:paraId="55F9D8E9" w14:textId="24ECE164" w:rsidR="002227E6" w:rsidRPr="00D470FC" w:rsidRDefault="00546D01" w:rsidP="00546D01">
      <w:pPr>
        <w:pStyle w:val="H23G"/>
      </w:pPr>
      <w:r>
        <w:tab/>
      </w:r>
      <w:r w:rsidR="002227E6" w:rsidRPr="00D470FC">
        <w:t>14.</w:t>
      </w:r>
      <w:r w:rsidR="002227E6" w:rsidRPr="00D470FC">
        <w:tab/>
        <w:t>Replies to the issues raised in paragraph 14 of the list of issues</w:t>
      </w:r>
    </w:p>
    <w:p w14:paraId="6D033C1B" w14:textId="77777777" w:rsidR="002227E6" w:rsidRPr="00D470FC" w:rsidRDefault="002227E6" w:rsidP="00E66B89">
      <w:pPr>
        <w:pStyle w:val="SingleTxtG"/>
      </w:pPr>
      <w:r w:rsidRPr="00D470FC">
        <w:t>107.</w:t>
      </w:r>
      <w:r w:rsidRPr="00D470FC">
        <w:tab/>
        <w:t>Act No. 1173 on Summary Criminal Procedure and Strengthening Measures to Combat Violence against Children, Adolescents and Women was promulgated with the aim of, inter alia, achieving the prompt and timely resolution of criminal cases, providing protection to women, child and adolescent victims of violence, avoiding re-victimization, reducing recourse to pretrial detention and guaranteeing favourable treatment to pregnant women, nursing mothers with children under 1 year of age, children with disabilities under 6 years of age who are in the care of the accused person, and older persons, as well as upholding the right to technology.</w:t>
      </w:r>
    </w:p>
    <w:p w14:paraId="3025D35E" w14:textId="77777777" w:rsidR="002227E6" w:rsidRPr="00D470FC" w:rsidRDefault="002227E6" w:rsidP="00E66B89">
      <w:pPr>
        <w:pStyle w:val="SingleTxtG"/>
      </w:pPr>
      <w:r w:rsidRPr="00D470FC">
        <w:t>108.</w:t>
      </w:r>
      <w:r w:rsidRPr="00D470FC">
        <w:tab/>
        <w:t xml:space="preserve">Regarding alternatives to pretrial detention, the Prisons Directorate has signed agreements with universities and non-governmental organizations (NGOs) on the provision of relevant legal advice for procedural mechanisms. Mobile phones, laptops and other </w:t>
      </w:r>
      <w:r w:rsidRPr="00D470FC">
        <w:lastRenderedPageBreak/>
        <w:t>computer equipment and Internet connections have been provided in connection with virtual hearings set up for prisoners. In total, 9,535 virtual hearings were held in 2020, and 3,296 virtual hearings (in 37 prisons in the nine departments of the country) were held in 2021. As a result of these hearings, prisoners were offered access to house arrest, conditional release or other alternatives to pretrial detention.</w:t>
      </w:r>
    </w:p>
    <w:p w14:paraId="362A84DB" w14:textId="77777777" w:rsidR="002227E6" w:rsidRPr="00D470FC" w:rsidRDefault="002227E6" w:rsidP="00E66B89">
      <w:pPr>
        <w:pStyle w:val="SingleTxtG"/>
      </w:pPr>
      <w:r w:rsidRPr="00D470FC">
        <w:t>109.</w:t>
      </w:r>
      <w:r w:rsidRPr="00D470FC">
        <w:tab/>
        <w:t>Lists of prisoners belonging to vulnerable groups were drawn up and, at the request of prisoners, the departmental courts of justice and the Plurinational Public Defender Service decided whether to grant an alternative penalty or house arrest.</w:t>
      </w:r>
    </w:p>
    <w:p w14:paraId="183798E2" w14:textId="77777777" w:rsidR="002227E6" w:rsidRPr="00D470FC" w:rsidRDefault="002227E6" w:rsidP="00E66B89">
      <w:pPr>
        <w:pStyle w:val="SingleTxtG"/>
      </w:pPr>
      <w:r w:rsidRPr="00D470FC">
        <w:t>110.</w:t>
      </w:r>
      <w:r w:rsidRPr="00D470FC">
        <w:tab/>
        <w:t>Workshops on easing the burden on the legal system have been held with a view to registering applications for amnesty and pardon. At these workshops, persons deprived of their liberty are identified by type of offence, length of stay or other information so that hearings may be held and such persons may opt for an alternative outcome and obtain immediate release or some other prison privilege.</w:t>
      </w:r>
    </w:p>
    <w:p w14:paraId="27F0C8FB" w14:textId="77777777" w:rsidR="002227E6" w:rsidRPr="00D470FC" w:rsidRDefault="002227E6" w:rsidP="00E66B89">
      <w:pPr>
        <w:pStyle w:val="SingleTxtG"/>
      </w:pPr>
      <w:r w:rsidRPr="00D470FC">
        <w:t>111.</w:t>
      </w:r>
      <w:r w:rsidRPr="00D470FC">
        <w:tab/>
        <w:t>In the juvenile justice system, referral centres use socioeducational measures as non-custodial alternatives, in compliance with the Children and Adolescents Code. To date, 639 children and adolescents have benefited from such alternatives.</w:t>
      </w:r>
    </w:p>
    <w:p w14:paraId="5B5B0579" w14:textId="77777777" w:rsidR="002227E6" w:rsidRPr="00D470FC" w:rsidRDefault="002227E6" w:rsidP="00E66B89">
      <w:pPr>
        <w:pStyle w:val="SingleTxtG"/>
      </w:pPr>
      <w:r w:rsidRPr="00D470FC">
        <w:t>112.</w:t>
      </w:r>
      <w:r w:rsidRPr="00D470FC">
        <w:tab/>
        <w:t>Regarding the use of monitoring bracelets, Act No. 1226 of 23 September 2019, amending Act No. 1173 of 3 May 2019 on Summary Criminal Procedure and Strengthening Measures to Combat Violence against Children, Adolescents and Women, provides for the use of electronic devices to monitor or track the physical location of a person, as a personal protective measure. A pilot project involving the use of 500 monitoring bracelets was carried out in application of that Act. The main objective when recommending the use of these devices is to ensure public safety, and also to humanize the prison system.</w:t>
      </w:r>
    </w:p>
    <w:p w14:paraId="4DEDC6F3" w14:textId="132F5C0E" w:rsidR="002227E6" w:rsidRPr="00D470FC" w:rsidRDefault="002227E6" w:rsidP="00E66B89">
      <w:pPr>
        <w:pStyle w:val="SingleTxtG"/>
        <w:rPr>
          <w:iCs/>
        </w:rPr>
      </w:pPr>
      <w:r w:rsidRPr="00D470FC">
        <w:t>113.</w:t>
      </w:r>
      <w:r w:rsidRPr="00D470FC">
        <w:tab/>
        <w:t>The decrees of pardons and amnesty were implemented according to the requirements set out in each decree. Thus, if an amnesty decree established that a sentence must be executed, then it was executed.</w:t>
      </w:r>
    </w:p>
    <w:p w14:paraId="35F649DF" w14:textId="77777777" w:rsidR="002227E6" w:rsidRPr="00D470FC" w:rsidRDefault="002227E6" w:rsidP="00E66B89">
      <w:pPr>
        <w:pStyle w:val="SingleTxtG"/>
      </w:pPr>
      <w:r w:rsidRPr="00D470FC">
        <w:t>114.</w:t>
      </w:r>
      <w:r w:rsidRPr="00D470FC">
        <w:tab/>
        <w:t>Legal aid offices, which provide legal counselling services within prisons, guarantee access to legal aid for a material and expert defence. These offices work with the Plurinational Public Defender Service to assign lawyers (public defenders) to provide an expert defence in criminal proceedings. Legal counselling services were provided to 8,371 people, and 546 requests for public defender services were processed.</w:t>
      </w:r>
    </w:p>
    <w:p w14:paraId="447CB193" w14:textId="527034F0" w:rsidR="002227E6" w:rsidRPr="00D470FC" w:rsidRDefault="002227E6" w:rsidP="00E66B89">
      <w:pPr>
        <w:pStyle w:val="SingleTxtG"/>
      </w:pPr>
      <w:r w:rsidRPr="00D470FC">
        <w:t>115.</w:t>
      </w:r>
      <w:r w:rsidRPr="00D470FC">
        <w:tab/>
        <w:t>On 7 December 2020, the Directorate General of Prisons signed an agreement with the Plurinational Public Defender Service on the provision of consultation services in the San Pedro and El Abra penitentiaries and Santa Cruz Palmasola rehabilitation centre. These services will allow prisoners to track developments in the case monitoring system, specifically with regard to actions taken by public defenders.</w:t>
      </w:r>
    </w:p>
    <w:p w14:paraId="7EB52BC4" w14:textId="77777777" w:rsidR="002227E6" w:rsidRPr="00D470FC" w:rsidRDefault="002227E6" w:rsidP="00E66B89">
      <w:pPr>
        <w:pStyle w:val="SingleTxtG"/>
      </w:pPr>
      <w:r w:rsidRPr="00D470FC">
        <w:t>116.</w:t>
      </w:r>
      <w:r w:rsidRPr="00D470FC">
        <w:tab/>
        <w:t>Mechanisms available to prisoners for reporting violations of their rights include hearings, books of requests and complaints, and prison complaint boxes.</w:t>
      </w:r>
    </w:p>
    <w:p w14:paraId="075CF678" w14:textId="6E3EB306" w:rsidR="002227E6" w:rsidRPr="00D470FC" w:rsidRDefault="00546D01" w:rsidP="00546D01">
      <w:pPr>
        <w:pStyle w:val="H23G"/>
      </w:pPr>
      <w:r>
        <w:tab/>
      </w:r>
      <w:r w:rsidR="002227E6" w:rsidRPr="00D470FC">
        <w:t>15.</w:t>
      </w:r>
      <w:r w:rsidR="002227E6" w:rsidRPr="00D470FC">
        <w:tab/>
        <w:t>Replies to the issues raised in paragraph 15 of the list of issues</w:t>
      </w:r>
    </w:p>
    <w:p w14:paraId="1467FB3D" w14:textId="77777777" w:rsidR="002227E6" w:rsidRPr="00D470FC" w:rsidRDefault="002227E6" w:rsidP="00E66B89">
      <w:pPr>
        <w:pStyle w:val="SingleTxtG"/>
      </w:pPr>
      <w:r w:rsidRPr="00D470FC">
        <w:t>117.</w:t>
      </w:r>
      <w:r w:rsidRPr="00D470FC">
        <w:tab/>
        <w:t>A number of State-led measures were adopted in order to reduce overcrowding in prisons and humanize the prison system, including granting amnesties and pardons, holding virtual hearings, running workshops on how to ease the burden on the legal system and building new prison complexes. In addition, a new presidential decree is being drafted that would grant amnesties and pardons in order to safeguard the fundamental rights of persons deprived of their liberty, ensure compliance with due process and guarantee access to effective and timely justice, given that Presidential Decree No. 4461 has been repealed.</w:t>
      </w:r>
    </w:p>
    <w:p w14:paraId="741E1BFD" w14:textId="4DDC648B" w:rsidR="002227E6" w:rsidRPr="00D470FC" w:rsidRDefault="002227E6" w:rsidP="00E66B89">
      <w:pPr>
        <w:pStyle w:val="SingleTxtG"/>
      </w:pPr>
      <w:r w:rsidRPr="00D470FC">
        <w:t>118.</w:t>
      </w:r>
      <w:r w:rsidRPr="00D470FC">
        <w:tab/>
        <w:t>The Palmasola prison complex in Santa Cruz and the Qalahuma men</w:t>
      </w:r>
      <w:r w:rsidR="008D6E06">
        <w:t>’</w:t>
      </w:r>
      <w:r w:rsidRPr="00D470FC">
        <w:t>s and women</w:t>
      </w:r>
      <w:r w:rsidR="008D6E06">
        <w:t>’</w:t>
      </w:r>
      <w:r w:rsidRPr="00D470FC">
        <w:t xml:space="preserve">s prisons in Viacha/La Paz have been upgraded and fitted with new equipment. In addition, the following facilities have been expanded: the Cantumarca prison complex in Potosí and the CERPROM rehabilitation centre in Montero (Santa Cruz), which meets all the humanitarian needs of the persons deprived of their liberty there, including a sufficient water supply and hygienic conditions, and houses two medical offices, a dental office, an infirmary and two courtrooms. The Riberalta prison complex in Beni was built recently. In addition, </w:t>
      </w:r>
      <w:r w:rsidRPr="00D470FC">
        <w:lastRenderedPageBreak/>
        <w:t>construction is planned with regard to the Chonchocoro (La Paz), Palmasola (Santa Cruz) and Araní (Cochabamba) prison complexes. As a result, there was 50 per cent less overcrowding in 2021 as compared to 2017. Specifically, overcrowding has gone down by 50 per cent in the Palmasola men</w:t>
      </w:r>
      <w:r w:rsidR="008D6E06">
        <w:t>’</w:t>
      </w:r>
      <w:r w:rsidRPr="00D470FC">
        <w:t>s prison, and there is no overcrowding in the Palmasola women</w:t>
      </w:r>
      <w:r w:rsidR="008D6E06">
        <w:t>’</w:t>
      </w:r>
      <w:r w:rsidRPr="00D470FC">
        <w:t>s prison.</w:t>
      </w:r>
    </w:p>
    <w:p w14:paraId="4224A807" w14:textId="77777777" w:rsidR="002227E6" w:rsidRPr="00D470FC" w:rsidRDefault="002227E6" w:rsidP="00E66B89">
      <w:pPr>
        <w:pStyle w:val="SingleTxtG"/>
      </w:pPr>
      <w:r w:rsidRPr="00D470FC">
        <w:t>119.</w:t>
      </w:r>
      <w:r w:rsidRPr="00D470FC">
        <w:tab/>
        <w:t>In order to speed up proceedings and avoid delays in the justice system, equipment was provided to allow virtual hearings to be held in prisons. A total of 9,535 hearings were held in 2020 and 22,177 hearings were held in 2021.</w:t>
      </w:r>
    </w:p>
    <w:p w14:paraId="134EFCC5" w14:textId="77777777" w:rsidR="002227E6" w:rsidRPr="00D470FC" w:rsidRDefault="002227E6" w:rsidP="00E66B89">
      <w:pPr>
        <w:pStyle w:val="SingleTxtG"/>
      </w:pPr>
      <w:r w:rsidRPr="00D470FC">
        <w:t>120.</w:t>
      </w:r>
      <w:r w:rsidRPr="00D470FC">
        <w:tab/>
        <w:t>With respect to systems of inmate self-government in prisons, a number of measures were adopted to guarantee peaceful coexistence in prisons, including training for prison staff so as to improve security in prisons where violent incidents occur, and the gradual increase of prison staff in coordination with the Directorate of Personnel of the National Police Command.</w:t>
      </w:r>
    </w:p>
    <w:p w14:paraId="5843DE71" w14:textId="7759B309" w:rsidR="002227E6" w:rsidRPr="00D470FC" w:rsidRDefault="002227E6" w:rsidP="00E66B89">
      <w:pPr>
        <w:pStyle w:val="SingleTxtG"/>
      </w:pPr>
      <w:r w:rsidRPr="00D470FC">
        <w:t>121.</w:t>
      </w:r>
      <w:r w:rsidRPr="00D470FC">
        <w:tab/>
        <w:t xml:space="preserve">To prevent prison violence, the National Prison Directorate has issued instructions, through General Memorandum Fax No. 11/2020, </w:t>
      </w:r>
      <w:r w:rsidR="008D6E06">
        <w:t>“</w:t>
      </w:r>
      <w:r w:rsidRPr="00D470FC">
        <w:t>to prevent the death of persons in police custody and to punish those responsible for any such deaths, as well as to show zero tolerance for acts of torture or other types of cruel and inhuman treatment, and to identify and refer alleged perpetrators of such acts to the authorities</w:t>
      </w:r>
      <w:r w:rsidR="008D6E06">
        <w:t>”</w:t>
      </w:r>
      <w:r w:rsidRPr="00D470FC">
        <w:t>.</w:t>
      </w:r>
    </w:p>
    <w:p w14:paraId="3EB97CD4" w14:textId="31AA3BF3" w:rsidR="002227E6" w:rsidRPr="00D470FC" w:rsidRDefault="002227E6" w:rsidP="00E66B89">
      <w:pPr>
        <w:pStyle w:val="SingleTxtG"/>
      </w:pPr>
      <w:r w:rsidRPr="00D470FC">
        <w:t>122.</w:t>
      </w:r>
      <w:r w:rsidRPr="00D470FC">
        <w:tab/>
        <w:t xml:space="preserve">General Memorandum Fax No. 001/2021, also issued by the National Prison Directorate, refers to the </w:t>
      </w:r>
      <w:r w:rsidR="008D6E06">
        <w:t>“</w:t>
      </w:r>
      <w:r w:rsidRPr="00D470FC">
        <w:t>application of heightened oversight measures by internal and external security services in prisons</w:t>
      </w:r>
      <w:r w:rsidR="008D6E06">
        <w:t>”</w:t>
      </w:r>
      <w:r w:rsidRPr="00D470FC">
        <w:t>.</w:t>
      </w:r>
    </w:p>
    <w:p w14:paraId="6CF69A71" w14:textId="249F2DD5" w:rsidR="002227E6" w:rsidRPr="00D470FC" w:rsidRDefault="00097981" w:rsidP="00097981">
      <w:pPr>
        <w:pStyle w:val="H23G"/>
      </w:pPr>
      <w:r>
        <w:tab/>
      </w:r>
      <w:r w:rsidR="002227E6" w:rsidRPr="00D470FC">
        <w:t>16.</w:t>
      </w:r>
      <w:r w:rsidR="002227E6" w:rsidRPr="00D470FC">
        <w:tab/>
        <w:t>Replies to the issues raised in paragraph 16 of the list of issues</w:t>
      </w:r>
    </w:p>
    <w:p w14:paraId="4B8FE18D" w14:textId="77777777" w:rsidR="002227E6" w:rsidRPr="00D470FC" w:rsidRDefault="002227E6" w:rsidP="00E66B89">
      <w:pPr>
        <w:pStyle w:val="SingleTxtG"/>
      </w:pPr>
      <w:r w:rsidRPr="00D470FC">
        <w:t>123.</w:t>
      </w:r>
      <w:r w:rsidRPr="00D470FC">
        <w:tab/>
        <w:t>On alternative care systems for children living in prison with their parents:</w:t>
      </w:r>
    </w:p>
    <w:p w14:paraId="69CCCBD7" w14:textId="488152E5" w:rsidR="002227E6" w:rsidRPr="00D470FC" w:rsidRDefault="00521EED" w:rsidP="00521EED">
      <w:pPr>
        <w:pStyle w:val="Bullet1G"/>
        <w:numPr>
          <w:ilvl w:val="0"/>
          <w:numId w:val="0"/>
        </w:numPr>
        <w:tabs>
          <w:tab w:val="left" w:pos="1701"/>
        </w:tabs>
        <w:ind w:left="1701" w:hanging="170"/>
      </w:pPr>
      <w:r w:rsidRPr="00D470FC">
        <w:t>•</w:t>
      </w:r>
      <w:r w:rsidRPr="00D470FC">
        <w:tab/>
      </w:r>
      <w:r w:rsidR="002227E6" w:rsidRPr="00D470FC">
        <w:t xml:space="preserve">The State does not permit the presence of children in places of deprivation of liberty. Article 106 of Act No. 508 of the Children and Adolescents Code establishes rights and safeguards for children and adolescents whose mother or father is deprived of liberty as follows: </w:t>
      </w:r>
      <w:r w:rsidR="008D6E06">
        <w:t>“</w:t>
      </w:r>
      <w:r w:rsidR="002227E6" w:rsidRPr="00D470FC">
        <w:t>(a) children and adolescents whose mother or father is deprived of liberty are to remain with the mother or father who is not deprived of liberty; (b) in cases where both parents are deprived of their liberty, the children shall be given over to the care of relatives or a foster family, in accordance with the provisions of this Code or, if this is not possible, the children shall be cared for under specific programmes or in foster care centres for the duration of the parents</w:t>
      </w:r>
      <w:r w:rsidR="008D6E06">
        <w:t>’</w:t>
      </w:r>
      <w:r w:rsidR="002227E6" w:rsidRPr="00D470FC">
        <w:t xml:space="preserve"> deprivation of liberty, while ensuring that they remain in the same geographical area as where their parents are serving time; (c) an exception is made for children under the age of 6 years, who may live with their mother in prison; under no circumstances are they permitted to live in a men</w:t>
      </w:r>
      <w:r w:rsidR="008D6E06">
        <w:t>’</w:t>
      </w:r>
      <w:r w:rsidR="002227E6" w:rsidRPr="00D470FC">
        <w:t>s prison; child development centres or day-care centres should be set up next to women</w:t>
      </w:r>
      <w:r w:rsidR="008D6E06">
        <w:t>’</w:t>
      </w:r>
      <w:r w:rsidR="002227E6" w:rsidRPr="00D470FC">
        <w:t>s prisons; (d) children and adolescents must have access to care and support programmes for their comprehensive development, based on their particular situation; and (e) children and adolescents must be able to maintain emotional ties with their mother, father or both, for which reason the extended or foster family or the foster care centre shall facilitate regular visits with them</w:t>
      </w:r>
      <w:r w:rsidR="008D6E06">
        <w:t>”</w:t>
      </w:r>
      <w:r w:rsidR="002227E6" w:rsidRPr="00D470FC">
        <w:t>. The Ministry of the Interior, through the authorities of the Directorate General of Prisons, where appropriate, is responsible for enforcing these aspects of the Children and Adolescents Code, as well as for implementing public policies for children, providing for social investment in children and introducing mechanisms for the protection of the rights of children whose parent or parents is/are deprived of liberty, if there are no other true and safe alternatives for such children.</w:t>
      </w:r>
    </w:p>
    <w:p w14:paraId="70B4ED57" w14:textId="77777777" w:rsidR="002227E6" w:rsidRPr="00D470FC" w:rsidRDefault="002227E6" w:rsidP="00E66B89">
      <w:pPr>
        <w:pStyle w:val="SingleTxtG"/>
      </w:pPr>
      <w:r w:rsidRPr="00D470FC">
        <w:t>124.</w:t>
      </w:r>
      <w:r w:rsidRPr="00D470FC">
        <w:tab/>
        <w:t>Regarding the number of children living in prison, measures have been adopted for the release of children and adolescents living in prison with their parents, while ensuring their comprehensive development, in coordination with the Office for the Defence of Children and Adolescents. Upon turning 6 years of age, plus 1 day, children are released and turned over to the care of relatives; the number of children and adolescents in prisons has gone down by 30% since 2017.</w:t>
      </w:r>
    </w:p>
    <w:p w14:paraId="68021492" w14:textId="77777777" w:rsidR="002227E6" w:rsidRPr="00D470FC" w:rsidRDefault="002227E6" w:rsidP="00E66B89">
      <w:pPr>
        <w:pStyle w:val="SingleTxtG"/>
        <w:rPr>
          <w:b/>
        </w:rPr>
      </w:pPr>
      <w:r w:rsidRPr="00D470FC">
        <w:t>125.</w:t>
      </w:r>
      <w:r w:rsidRPr="00D470FC">
        <w:tab/>
        <w:t xml:space="preserve">As for the situation regarding adolescent offenders, the State promulgated Act No. 548 of 17 July 2014, the Children and Adolescents Code, with a view to recognizing, </w:t>
      </w:r>
      <w:r w:rsidRPr="00D470FC">
        <w:lastRenderedPageBreak/>
        <w:t>developing and regulating the exercise of the rights of children and adolescents through the introduction of a comprehensive plurinational system, the responsibility of which is shared by the State at all levels, families and society. This system comprises both the comprehensive plurinational system for the protection of children and adolescents and the juvenile justice system.</w:t>
      </w:r>
    </w:p>
    <w:p w14:paraId="32DC0985" w14:textId="2F3C0DCA" w:rsidR="002227E6" w:rsidRPr="00D470FC" w:rsidRDefault="002227E6" w:rsidP="00E66B89">
      <w:pPr>
        <w:pStyle w:val="SingleTxtG"/>
      </w:pPr>
      <w:r w:rsidRPr="00D470FC">
        <w:t>126.</w:t>
      </w:r>
      <w:r w:rsidRPr="00D470FC">
        <w:tab/>
        <w:t>Nationwide, there are 17 social reintegration centres housing 394 adolescents, of which 19 are female and 375 are male, and 9 referral centres that house adolescent offenders. There are 783 adolescent offenders, of whom 132 are in pretrial detention.</w:t>
      </w:r>
    </w:p>
    <w:p w14:paraId="3E65FD0C" w14:textId="77777777" w:rsidR="002227E6" w:rsidRPr="00D470FC" w:rsidRDefault="002227E6" w:rsidP="00E66B89">
      <w:pPr>
        <w:pStyle w:val="SingleTxtG"/>
      </w:pPr>
      <w:r w:rsidRPr="00D470FC">
        <w:t>127.</w:t>
      </w:r>
      <w:r w:rsidRPr="00D470FC">
        <w:tab/>
        <w:t>Among the advances made in the juvenile justice system, the following are noteworthy:</w:t>
      </w:r>
    </w:p>
    <w:p w14:paraId="69A98502" w14:textId="15390BAB" w:rsidR="002227E6" w:rsidRPr="00D470FC" w:rsidRDefault="00521EED" w:rsidP="00521EED">
      <w:pPr>
        <w:pStyle w:val="Bullet1G"/>
        <w:numPr>
          <w:ilvl w:val="0"/>
          <w:numId w:val="0"/>
        </w:numPr>
        <w:tabs>
          <w:tab w:val="left" w:pos="1701"/>
        </w:tabs>
        <w:ind w:left="1701" w:hanging="170"/>
      </w:pPr>
      <w:r w:rsidRPr="00D470FC">
        <w:t>•</w:t>
      </w:r>
      <w:r w:rsidRPr="00D470FC">
        <w:tab/>
      </w:r>
      <w:r w:rsidR="002227E6" w:rsidRPr="00D470FC">
        <w:t>The use of pretrial detention dropped from 92 per cent in 2012 to 48 per cent in 2018.</w:t>
      </w:r>
    </w:p>
    <w:p w14:paraId="27607ACA" w14:textId="4C452F6B" w:rsidR="002227E6" w:rsidRPr="00D470FC" w:rsidRDefault="00521EED" w:rsidP="00521EED">
      <w:pPr>
        <w:pStyle w:val="Bullet1G"/>
        <w:numPr>
          <w:ilvl w:val="0"/>
          <w:numId w:val="0"/>
        </w:numPr>
        <w:tabs>
          <w:tab w:val="left" w:pos="1701"/>
        </w:tabs>
        <w:ind w:left="1701" w:hanging="170"/>
      </w:pPr>
      <w:r w:rsidRPr="00D470FC">
        <w:t>•</w:t>
      </w:r>
      <w:r w:rsidRPr="00D470FC">
        <w:tab/>
      </w:r>
      <w:r w:rsidR="002227E6" w:rsidRPr="00D470FC">
        <w:t>Restorative justice mechanisms were introduced that allow for meetings between adolescents and victims.</w:t>
      </w:r>
    </w:p>
    <w:p w14:paraId="3B5361CA" w14:textId="27BB01EA" w:rsidR="002227E6" w:rsidRPr="00D470FC" w:rsidRDefault="00521EED" w:rsidP="00521EED">
      <w:pPr>
        <w:pStyle w:val="Bullet1G"/>
        <w:numPr>
          <w:ilvl w:val="0"/>
          <w:numId w:val="0"/>
        </w:numPr>
        <w:tabs>
          <w:tab w:val="left" w:pos="1701"/>
        </w:tabs>
        <w:ind w:left="1701" w:hanging="170"/>
      </w:pPr>
      <w:r w:rsidRPr="00D470FC">
        <w:t>•</w:t>
      </w:r>
      <w:r w:rsidRPr="00D470FC">
        <w:tab/>
      </w:r>
      <w:r w:rsidR="002227E6" w:rsidRPr="00D470FC">
        <w:t>Departmental juvenile justice committees were formed, bringing together the various actors of the juvenile justice system.</w:t>
      </w:r>
    </w:p>
    <w:p w14:paraId="08DB4406" w14:textId="0E6A869E" w:rsidR="002227E6" w:rsidRPr="00D470FC" w:rsidRDefault="00521EED" w:rsidP="00521EED">
      <w:pPr>
        <w:pStyle w:val="Bullet1G"/>
        <w:numPr>
          <w:ilvl w:val="0"/>
          <w:numId w:val="0"/>
        </w:numPr>
        <w:tabs>
          <w:tab w:val="left" w:pos="1701"/>
        </w:tabs>
        <w:ind w:left="1701" w:hanging="170"/>
      </w:pPr>
      <w:r w:rsidRPr="00D470FC">
        <w:t>•</w:t>
      </w:r>
      <w:r w:rsidRPr="00D470FC">
        <w:tab/>
      </w:r>
      <w:r w:rsidR="002227E6" w:rsidRPr="00D470FC">
        <w:t>Guidelines, protocols, manuals and guides were developed to guide the work of the institutions involved in the juvenile justice system.</w:t>
      </w:r>
    </w:p>
    <w:p w14:paraId="5ECD5226" w14:textId="77777777" w:rsidR="002227E6" w:rsidRPr="00D470FC" w:rsidRDefault="002227E6" w:rsidP="00E66B89">
      <w:pPr>
        <w:pStyle w:val="SingleTxtG"/>
      </w:pPr>
      <w:r w:rsidRPr="00D470FC">
        <w:t>128.</w:t>
      </w:r>
      <w:r w:rsidRPr="00D470FC">
        <w:tab/>
        <w:t>In the light of the health emergency caused by the COVID-19 pandemic, the Office of the Deputy Minister for Equal Opportunity has requested all the referral and social reintegration centres under the authority of the departmental expert bodies for social management to report on the situation of adolescent offenders, with a view to developing strategies to protect this vulnerable population.</w:t>
      </w:r>
    </w:p>
    <w:p w14:paraId="05D56FF3" w14:textId="77777777" w:rsidR="002227E6" w:rsidRPr="00D470FC" w:rsidRDefault="002227E6" w:rsidP="002D5894">
      <w:pPr>
        <w:pStyle w:val="H1G"/>
      </w:pPr>
      <w:r w:rsidRPr="00D470FC">
        <w:tab/>
      </w:r>
      <w:r w:rsidRPr="00D470FC">
        <w:tab/>
        <w:t>Elimination of forced labour and trafficking in persons (arts. 7–8, 14 and 24)</w:t>
      </w:r>
    </w:p>
    <w:p w14:paraId="68345F38" w14:textId="577A1D24" w:rsidR="002227E6" w:rsidRPr="00D470FC" w:rsidRDefault="002D5894" w:rsidP="002D5894">
      <w:pPr>
        <w:pStyle w:val="H23G"/>
      </w:pPr>
      <w:r>
        <w:tab/>
      </w:r>
      <w:r w:rsidR="002227E6" w:rsidRPr="00D470FC">
        <w:t>17.</w:t>
      </w:r>
      <w:r w:rsidR="002227E6" w:rsidRPr="00D470FC">
        <w:tab/>
        <w:t>Replies to the issues raised in paragraph 17 of the list of issues</w:t>
      </w:r>
    </w:p>
    <w:p w14:paraId="3C35CC0C" w14:textId="77777777" w:rsidR="002227E6" w:rsidRPr="00D470FC" w:rsidRDefault="002227E6" w:rsidP="00E66B89">
      <w:pPr>
        <w:pStyle w:val="SingleTxtG"/>
      </w:pPr>
      <w:r w:rsidRPr="00D470FC">
        <w:t>129.</w:t>
      </w:r>
      <w:r w:rsidRPr="00D470FC">
        <w:tab/>
        <w:t>A State-led plan for the progressive eradication of forced labour and other similar practices, specifically targeted at indigenous families in parts of the Chaco, the Amazon region and the area known as the Integrated North of Santa Cruz region, was approved on 7 May 2014, the date on which Agreement No. 81026161 was signed by the Plurinational State of Bolivia and the Government of Switzerland.</w:t>
      </w:r>
    </w:p>
    <w:p w14:paraId="76E1C6FE" w14:textId="77777777" w:rsidR="002227E6" w:rsidRPr="00D470FC" w:rsidRDefault="002227E6" w:rsidP="00E66B89">
      <w:pPr>
        <w:pStyle w:val="SingleTxtG"/>
      </w:pPr>
      <w:r w:rsidRPr="00D470FC">
        <w:t>130.</w:t>
      </w:r>
      <w:r w:rsidRPr="00D470FC">
        <w:tab/>
        <w:t>The plan had three strategic aims: (1) establish a State presence; (2) promote fundamental human rights; and (3) introduce institutional capacity-building in the Chaco, the Bolivian Amazon and the Integrated North of Santa Cruz region. These strategic aims are all reflected in the 2025 Patriotic Agenda, the first pillar of which is eradication of extreme poverty with a view to reaching highly vulnerable groups through the regional labour headquarters of Camiri, Montero, Trinidad and Riberalta and expanding activities to Guayaramerín and the Integrated North of Santa Cruz region. Forced labour inspectors who report to the Fundamental Rights Section of the Ministry of Labour, Employment and Social Welfare work with social actors who are active among indigenous workers (harvesters, cattle ranchers, chestnut sellers). It is worth noting that the work of the social and labour rights inspectorates involves the participation of social actors, trade unions and the local authorities.</w:t>
      </w:r>
    </w:p>
    <w:p w14:paraId="4E9BE7EC" w14:textId="49A6240E" w:rsidR="002227E6" w:rsidRPr="00D470FC" w:rsidRDefault="002227E6" w:rsidP="00E66B89">
      <w:pPr>
        <w:pStyle w:val="SingleTxtG"/>
      </w:pPr>
      <w:r w:rsidRPr="00D470FC">
        <w:t>131.</w:t>
      </w:r>
      <w:r w:rsidRPr="00D470FC">
        <w:tab/>
        <w:t xml:space="preserve">One of the goals set for 2014 was that </w:t>
      </w:r>
      <w:r w:rsidR="008D6E06">
        <w:t>“</w:t>
      </w:r>
      <w:r w:rsidRPr="00D470FC">
        <w:t>at least 5,011 workers (2 per cent) in situations of forced labour or similar forms of labour in the Chaco and the Bolivian Amazon know their rights thanks to multipronged initiatives aimed at upholding basic social and labour rights</w:t>
      </w:r>
      <w:r w:rsidR="008D6E06">
        <w:t>”</w:t>
      </w:r>
      <w:r w:rsidRPr="00D470FC">
        <w:t>.</w:t>
      </w:r>
    </w:p>
    <w:p w14:paraId="4E1D2712" w14:textId="77777777" w:rsidR="002227E6" w:rsidRPr="00D470FC" w:rsidRDefault="002227E6" w:rsidP="00E66B89">
      <w:pPr>
        <w:pStyle w:val="SingleTxtG"/>
      </w:pPr>
      <w:r w:rsidRPr="00D470FC">
        <w:t>132.</w:t>
      </w:r>
      <w:r w:rsidRPr="00D470FC">
        <w:tab/>
        <w:t xml:space="preserve">The Fundamental Rights Section of the Ministry of Labour, Employment and Social Welfare carries out inspections and monitoring activities regarding compliance with the social and labour regulations in force in the country. Specialized or general inspectorates thus ensure a State presence in remote regions of the country. Their technical and operational activities, which are carried out in various types of labour establishments (e.g. agribusinesses, cattle ranches, sawmills and timber companies), help to restore basic social and labour rights, </w:t>
      </w:r>
      <w:r w:rsidRPr="00D470FC">
        <w:lastRenderedPageBreak/>
        <w:t>so that rural wage earners can exercise their rights, including access to the national minimum wage established by law.</w:t>
      </w:r>
    </w:p>
    <w:p w14:paraId="4F70AB50" w14:textId="0C71B205" w:rsidR="002227E6" w:rsidRPr="00D470FC" w:rsidRDefault="002227E6" w:rsidP="00E66B89">
      <w:pPr>
        <w:pStyle w:val="SingleTxtG"/>
      </w:pPr>
      <w:r w:rsidRPr="00D470FC">
        <w:t>133.</w:t>
      </w:r>
      <w:r w:rsidRPr="00D470FC">
        <w:tab/>
        <w:t>The national minimum wage is established in Supreme Decree No. 4501 of 1 May 2021. Working with specialized or general inspectorates in rural areas, employers are gradually aligning their practices with the social and labour rights of their employees, including the provision of work clothes, short- and long-term insurance and social and other benefits, as appropriate. This supports the State</w:t>
      </w:r>
      <w:r w:rsidR="008D6E06">
        <w:t>’</w:t>
      </w:r>
      <w:r w:rsidRPr="00D470FC">
        <w:t>s efforts to effectively protect fundamental labour rights.</w:t>
      </w:r>
    </w:p>
    <w:p w14:paraId="30690ABC" w14:textId="168945FE" w:rsidR="002227E6" w:rsidRPr="00D470FC" w:rsidRDefault="002227E6" w:rsidP="00E66B89">
      <w:pPr>
        <w:pStyle w:val="SingleTxtG"/>
      </w:pPr>
      <w:r w:rsidRPr="00D470FC">
        <w:t>134.</w:t>
      </w:r>
      <w:r w:rsidRPr="00D470FC">
        <w:tab/>
        <w:t>Regarding complaints of forced or bonded labour and the outcome of such complaints, and the action that the National Institute of Agrarian Reform takes when cases are referred to it, article 15 (V) of the Constitution establishes that no person may be subjected to servitude or slavery. Furthermore, article 397 (I) provides that work is the fundamental reason for the acquisition and conservation of agricultural land, and therefore landowners must ensure that their land fulfils a social function or social and economic function to safeguard their rights in accordance with the type of land.</w:t>
      </w:r>
    </w:p>
    <w:p w14:paraId="48CD8CA3" w14:textId="45EEA0E2" w:rsidR="002227E6" w:rsidRPr="00D470FC" w:rsidRDefault="002227E6" w:rsidP="00E66B89">
      <w:pPr>
        <w:pStyle w:val="SingleTxtG"/>
      </w:pPr>
      <w:r w:rsidRPr="00D470FC">
        <w:t>135.</w:t>
      </w:r>
      <w:r w:rsidRPr="00D470FC">
        <w:tab/>
        <w:t>Act No. 1715 of 18 October 1996, on the National Service for Agrarian Reform, as amended by Act No. 3545 of 28 November 2006, on Community-based Agrarian Reform Renewal, establishes that the economic and social function fulfilled by agricultural land must benefit society, the collective interest and the owner. In addition, article 157 of Supreme Decree No. 29215 of 2 August 2007 provides that the existence of a system of servitude, forced labour, bonded labour or slavery of captive families in a rural area does not benefit society or the collective interest and therefore implies non-fulfilment of the economic and social function of land.</w:t>
      </w:r>
    </w:p>
    <w:p w14:paraId="109927DA" w14:textId="719BF956" w:rsidR="002227E6" w:rsidRPr="00D470FC" w:rsidRDefault="002227E6" w:rsidP="00E66B89">
      <w:pPr>
        <w:pStyle w:val="SingleTxtG"/>
      </w:pPr>
      <w:r w:rsidRPr="00D470FC">
        <w:t>136.</w:t>
      </w:r>
      <w:r w:rsidRPr="00D470FC">
        <w:tab/>
        <w:t>Supreme Decree No. 29802 of 19 November 2008 establishes what should be understood, in the agricultural context, by systems of servitude, forced labour, bonded labour, slavery of captive families and other, similar systems. The National Institute of Agrarian Reform has the authority to verify and establish the existence of systems of servitude, forced labour or similar systems during its monitoring activities regarding the land</w:t>
      </w:r>
      <w:r w:rsidR="008D6E06">
        <w:t>’</w:t>
      </w:r>
      <w:r w:rsidRPr="00D470FC">
        <w:t>s fulfilment of an economic and social function.</w:t>
      </w:r>
    </w:p>
    <w:p w14:paraId="5E9A997B" w14:textId="77777777" w:rsidR="002227E6" w:rsidRPr="00D470FC" w:rsidRDefault="002227E6" w:rsidP="00E66B89">
      <w:pPr>
        <w:pStyle w:val="SingleTxtG"/>
      </w:pPr>
      <w:r w:rsidRPr="00D470FC">
        <w:t>137.</w:t>
      </w:r>
      <w:r w:rsidRPr="00D470FC">
        <w:tab/>
        <w:t>The National Institute of Agrarian Reform has not registered any complaints of forced or bonded labour.</w:t>
      </w:r>
    </w:p>
    <w:p w14:paraId="6BFEE1DE" w14:textId="037EA406" w:rsidR="002227E6" w:rsidRPr="00D470FC" w:rsidRDefault="004341A8" w:rsidP="004341A8">
      <w:pPr>
        <w:pStyle w:val="H23G"/>
      </w:pPr>
      <w:r>
        <w:tab/>
      </w:r>
      <w:r w:rsidR="002227E6" w:rsidRPr="00D470FC">
        <w:t>18.</w:t>
      </w:r>
      <w:r w:rsidR="002227E6" w:rsidRPr="00D470FC">
        <w:tab/>
        <w:t>Replies to the issues raised in paragraph 18 of the list of issues</w:t>
      </w:r>
    </w:p>
    <w:p w14:paraId="2C2BE7DA" w14:textId="5CB1EAFF" w:rsidR="002227E6" w:rsidRPr="00D470FC" w:rsidRDefault="002227E6" w:rsidP="00E66B89">
      <w:pPr>
        <w:pStyle w:val="SingleTxtG"/>
      </w:pPr>
      <w:r w:rsidRPr="00D470FC">
        <w:t>138.</w:t>
      </w:r>
      <w:r w:rsidRPr="00D470FC">
        <w:tab/>
        <w:t>The Bolivian State upholds principles, values and constitutional mandates to ensure the full, effective and preferential exercise by children and adolescents of their rights, and it has introduced public mechanisms and instruments to prevent, protect and defend them. The legally established minimum working age is 14 years old; self-employment, employment and salaried work in the home is also regulated. Labour and economic exploitation of children and adolescents is prohibited; work that by its very nature or the circumstances in which it is performed is hazardous, unhealthy or offensive to the dignity of the child or adolescent, and work that may cause them to drop out of school, are expressly prohibited.</w:t>
      </w:r>
    </w:p>
    <w:p w14:paraId="2B6A66BF" w14:textId="77777777" w:rsidR="002227E6" w:rsidRPr="00D470FC" w:rsidRDefault="002227E6" w:rsidP="00E66B89">
      <w:pPr>
        <w:pStyle w:val="SingleTxtG"/>
      </w:pPr>
      <w:r w:rsidRPr="00D470FC">
        <w:t>139.</w:t>
      </w:r>
      <w:r w:rsidRPr="00D470FC">
        <w:tab/>
        <w:t>In accordance with the Constitution, the State promulgated the Children and Adolescents Code, with a view to recognizing, developing and regulating the exercise of the rights of children and adolescents through the introduction of a comprehensive plurinational system, the responsibility of which is shared by the State at all levels, families and society. This system comprises both the comprehensive plurinational system for the protection of children and adolescents and the juvenile justice system.</w:t>
      </w:r>
    </w:p>
    <w:p w14:paraId="2BF46AFB" w14:textId="77777777" w:rsidR="002227E6" w:rsidRPr="00D470FC" w:rsidRDefault="002227E6" w:rsidP="00E66B89">
      <w:pPr>
        <w:pStyle w:val="SingleTxtG"/>
      </w:pPr>
      <w:r w:rsidRPr="00D470FC">
        <w:t>140.</w:t>
      </w:r>
      <w:r w:rsidRPr="00D470FC">
        <w:tab/>
        <w:t xml:space="preserve">The comprehensive plurinational system for the protection of children and adolescents is managed by a coordinated group of institutions, organizations and other entities responsible for executing the plurinational plan for children and adolescents, the aim of which is to ensure that all levels of government guarantee the full enjoyment by children and adolescents of their rights. As the governing body and head of sector, the Ministry of Justice and Institutional Transparency issued Ministerial Decision No. 040/2021 of 12 April 2021, establishing as an institutional priority the guidelines for the comprehensive care and protection of girls and boys under six (6) years of age in early childhood, in the following </w:t>
      </w:r>
      <w:r w:rsidRPr="00D470FC">
        <w:lastRenderedPageBreak/>
        <w:t>thematic areas: (a) prevention of all forms of violence in early childhood; (b) promotion and dissemination of information on early childhood rights; (c) development of information systems on the rights of children under six (6) years of age; and (d) formulation of guidelines for the operation and reopening of early childhood centres.</w:t>
      </w:r>
    </w:p>
    <w:p w14:paraId="5AB8DE7F" w14:textId="48D82429" w:rsidR="002227E6" w:rsidRPr="00D470FC" w:rsidRDefault="002227E6" w:rsidP="00E66B89">
      <w:pPr>
        <w:pStyle w:val="SingleTxtG"/>
      </w:pPr>
      <w:r w:rsidRPr="00D470FC">
        <w:t>141.</w:t>
      </w:r>
      <w:r w:rsidRPr="00D470FC">
        <w:tab/>
        <w:t>In addition, the plenary of the Council for Sectoral and Intersectoral Coordination in Children</w:t>
      </w:r>
      <w:r w:rsidR="008D6E06">
        <w:t>’</w:t>
      </w:r>
      <w:r w:rsidRPr="00D470FC">
        <w:t>s and Adolescents</w:t>
      </w:r>
      <w:r w:rsidR="008D6E06">
        <w:t>’</w:t>
      </w:r>
      <w:r w:rsidRPr="00D470FC">
        <w:t xml:space="preserve"> Affairs adopted decision No. 001/2015 of 9 April 2015 on public policies for children and adolescents, in which it established as a priority for the Plurinational State of Bolivia the creation of conditions that allow children and adolescents to exercise their rights and that promote their comprehensive development, participation and active involvement, as well as the eradication of violence and other situations in which their rights are violated. Related initiatives should be carried out in collaboration with social movements, families, civil society institutions and society as a whole.</w:t>
      </w:r>
    </w:p>
    <w:p w14:paraId="013C9AA3" w14:textId="24748DF5" w:rsidR="002227E6" w:rsidRPr="00D470FC" w:rsidRDefault="002227E6" w:rsidP="00E66B89">
      <w:pPr>
        <w:pStyle w:val="SingleTxtG"/>
      </w:pPr>
      <w:r w:rsidRPr="00D470FC">
        <w:t>142.</w:t>
      </w:r>
      <w:r w:rsidRPr="00D470FC">
        <w:tab/>
        <w:t>On 24 September 2015, in accordance with article 15 of the twelfth provision of the Children and Adolescents Code, the Ministry of Justice and Institutional Transparency, in coordination with the Ministry of the Interior, the Ministry of Health, the Supreme Court and the Attorney General</w:t>
      </w:r>
      <w:r w:rsidR="008D6E06">
        <w:t>’</w:t>
      </w:r>
      <w:r w:rsidRPr="00D470FC">
        <w:t>s Office, met in order to develop a Comprehensive Programme to Combat Sexual Violence, focusing on prevention, support and protection, its general objective being to guarantee the exercise by children and adolescents of their right to sexual integrity.</w:t>
      </w:r>
    </w:p>
    <w:p w14:paraId="0D05134B" w14:textId="4BB4D5CC" w:rsidR="002227E6" w:rsidRPr="00D470FC" w:rsidRDefault="002227E6" w:rsidP="00E66B89">
      <w:pPr>
        <w:pStyle w:val="SingleTxtG"/>
      </w:pPr>
      <w:r w:rsidRPr="00D470FC">
        <w:t>143.</w:t>
      </w:r>
      <w:r w:rsidRPr="00D470FC">
        <w:tab/>
        <w:t>The implementation of the Comprehensive Programme to Combat Sexual Violence in turn led to the development of a specialized programme involving the setting up of prevention and therapeutic care centres in several departments. These centres, which are public and charge no fees, provide targeted primary and secondary prevention services through workshops for children and adolescents, parents, teachers and school authorities in the municipalities of the La Paz department, as well as for high-risk groups, to build a culture of respect for the rights of children and adolescents. They also provide tertiary prevention in the form of short-term therapeutic care in cases of sexual violence involving child and adolescent victims and their families using Gesell chamber sessions, mobile therapy and online therapy.</w:t>
      </w:r>
    </w:p>
    <w:p w14:paraId="16C1E0F1" w14:textId="24D866DB" w:rsidR="002227E6" w:rsidRPr="00D470FC" w:rsidRDefault="002227E6" w:rsidP="00E66B89">
      <w:pPr>
        <w:pStyle w:val="SingleTxtG"/>
      </w:pPr>
      <w:r w:rsidRPr="00D470FC">
        <w:t>144.</w:t>
      </w:r>
      <w:r w:rsidRPr="00D470FC">
        <w:tab/>
        <w:t>Other initiatives introduced to provide support victims of violence include comprehensive municipal legal services, prevention and support for victims of violence in municipalities and therapeutic and comprehensive care for children and adolescents who are victims of any kind of violence.</w:t>
      </w:r>
    </w:p>
    <w:p w14:paraId="26DF417A" w14:textId="293C9958" w:rsidR="002227E6" w:rsidRPr="00D470FC" w:rsidRDefault="002227E6" w:rsidP="00E66B89">
      <w:pPr>
        <w:pStyle w:val="SingleTxtG"/>
      </w:pPr>
      <w:r w:rsidRPr="00D470FC">
        <w:t>145.</w:t>
      </w:r>
      <w:r w:rsidRPr="00D470FC">
        <w:tab/>
        <w:t xml:space="preserve">The National Institute of Statistics was authorized by Supreme Decree No. 2944 of 12 October 2016 to increase the funds allocated to subheading 25220, </w:t>
      </w:r>
      <w:r w:rsidR="008D6E06">
        <w:t>“</w:t>
      </w:r>
      <w:r w:rsidRPr="00D470FC">
        <w:t>Individual Line Consultants</w:t>
      </w:r>
      <w:r w:rsidR="008D6E06">
        <w:t>”</w:t>
      </w:r>
      <w:r w:rsidRPr="00D470FC">
        <w:t>, in order to conduct a household survey and a survey of children and adolescents who perform a labour activity or who work. It was thus found that, in 2016, some 739,000 children and adolescents were engaged in a work activity; that number dropped to 724,000 in 2019.</w:t>
      </w:r>
    </w:p>
    <w:p w14:paraId="5DDF9ED4" w14:textId="55645B09" w:rsidR="002227E6" w:rsidRPr="00D470FC" w:rsidRDefault="002227E6" w:rsidP="00E66B89">
      <w:pPr>
        <w:pStyle w:val="SingleTxtG"/>
      </w:pPr>
      <w:r w:rsidRPr="00D470FC">
        <w:t>146.</w:t>
      </w:r>
      <w:r w:rsidRPr="00D470FC">
        <w:tab/>
        <w:t>The number of children and adolescents engaged in hazardous work went down from 393,000 (13 per cent) in 2016 to 297,000 people (9.7 per cent) in 2019.</w:t>
      </w:r>
    </w:p>
    <w:p w14:paraId="66DD015E" w14:textId="3183F597" w:rsidR="002227E6" w:rsidRPr="00D470FC" w:rsidRDefault="002227E6" w:rsidP="00E66B89">
      <w:pPr>
        <w:pStyle w:val="SingleTxtG"/>
      </w:pPr>
      <w:r w:rsidRPr="00D470FC">
        <w:t>147.</w:t>
      </w:r>
      <w:r w:rsidRPr="00D470FC">
        <w:tab/>
        <w:t>During inspections carried out by the Ministry of Labour, Employment and Social Welfare during the sugarcane harvest in the region of Bermejo, Tarija, it was ascertained that child labour is no longer used in that sector. Support is offered through initiatives undertaken in cooperation with the United Nations Children</w:t>
      </w:r>
      <w:r w:rsidR="008D6E06">
        <w:t>’</w:t>
      </w:r>
      <w:r w:rsidRPr="00D470FC">
        <w:t xml:space="preserve">s Fund (UNICEF), such as the </w:t>
      </w:r>
      <w:r w:rsidR="008D6E06">
        <w:t>“</w:t>
      </w:r>
      <w:r w:rsidRPr="00D470FC">
        <w:t>Triple Seal</w:t>
      </w:r>
      <w:r w:rsidR="008D6E06">
        <w:t>”</w:t>
      </w:r>
      <w:r w:rsidRPr="00D470FC">
        <w:t xml:space="preserve"> programme, through which sugar mills may obtain </w:t>
      </w:r>
      <w:r w:rsidR="008D6E06">
        <w:t>“</w:t>
      </w:r>
      <w:r w:rsidRPr="00D470FC">
        <w:t>child-labour-free</w:t>
      </w:r>
      <w:r w:rsidR="008D6E06">
        <w:t>”</w:t>
      </w:r>
      <w:r w:rsidRPr="00D470FC">
        <w:t xml:space="preserve"> certification. According to other recent inspections carried out by the Ministry of Labour, Employment and Social Welfare, child labour is also non-existent in mining centres. Working in mines and sugarcane harvesting are both considered hazardous work, as it is defined in current Bolivian legislation. Lastly, it should be noted that, in 2019, 175 inspections were conducted with a focus on child and adolescent labour, whereas in 2020, during the period of the interim Government, the number of such inspections was just 43.</w:t>
      </w:r>
    </w:p>
    <w:p w14:paraId="478A6D48" w14:textId="77777777" w:rsidR="002227E6" w:rsidRPr="00D470FC" w:rsidRDefault="002227E6" w:rsidP="00E66B89">
      <w:pPr>
        <w:pStyle w:val="SingleTxtG"/>
      </w:pPr>
      <w:r w:rsidRPr="00D470FC">
        <w:t>148.</w:t>
      </w:r>
      <w:r w:rsidRPr="00D470FC">
        <w:tab/>
        <w:t>Regarding updated data on complaints of child labour and sexual exploitation, between 2017 and 31 July 2021, there were 15 cases of child labour and 35 cases of sexual exploitation nationwide, as shown in the following table: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1418"/>
        <w:gridCol w:w="1559"/>
        <w:gridCol w:w="1001"/>
        <w:gridCol w:w="982"/>
        <w:gridCol w:w="709"/>
      </w:tblGrid>
      <w:tr w:rsidR="00CE58B7" w:rsidRPr="004341A8" w14:paraId="48EEB304" w14:textId="77777777" w:rsidTr="00CE58B7">
        <w:trPr>
          <w:trHeight w:val="240"/>
          <w:tblHeader/>
        </w:trPr>
        <w:tc>
          <w:tcPr>
            <w:tcW w:w="1701" w:type="dxa"/>
            <w:tcBorders>
              <w:top w:val="single" w:sz="4" w:space="0" w:color="auto"/>
              <w:bottom w:val="single" w:sz="12" w:space="0" w:color="auto"/>
            </w:tcBorders>
            <w:shd w:val="clear" w:color="auto" w:fill="auto"/>
            <w:vAlign w:val="bottom"/>
          </w:tcPr>
          <w:p w14:paraId="248F3FD8" w14:textId="77777777" w:rsidR="002227E6" w:rsidRPr="004341A8" w:rsidRDefault="002227E6" w:rsidP="004341A8">
            <w:pPr>
              <w:spacing w:before="80" w:after="80" w:line="200" w:lineRule="exact"/>
              <w:ind w:right="113"/>
              <w:rPr>
                <w:i/>
                <w:sz w:val="16"/>
              </w:rPr>
            </w:pPr>
          </w:p>
        </w:tc>
        <w:tc>
          <w:tcPr>
            <w:tcW w:w="1418" w:type="dxa"/>
            <w:tcBorders>
              <w:top w:val="single" w:sz="4" w:space="0" w:color="auto"/>
              <w:bottom w:val="single" w:sz="12" w:space="0" w:color="auto"/>
            </w:tcBorders>
            <w:shd w:val="clear" w:color="auto" w:fill="auto"/>
            <w:vAlign w:val="bottom"/>
          </w:tcPr>
          <w:p w14:paraId="26910F65" w14:textId="77777777" w:rsidR="002227E6" w:rsidRPr="004341A8" w:rsidRDefault="002227E6" w:rsidP="004341A8">
            <w:pPr>
              <w:spacing w:before="80" w:after="80" w:line="200" w:lineRule="exact"/>
              <w:ind w:right="113"/>
              <w:jc w:val="right"/>
              <w:rPr>
                <w:i/>
                <w:sz w:val="16"/>
              </w:rPr>
            </w:pPr>
            <w:r w:rsidRPr="004341A8">
              <w:rPr>
                <w:i/>
                <w:iCs/>
                <w:sz w:val="16"/>
              </w:rPr>
              <w:t>Preliminary phase</w:t>
            </w:r>
          </w:p>
        </w:tc>
        <w:tc>
          <w:tcPr>
            <w:tcW w:w="1559" w:type="dxa"/>
            <w:tcBorders>
              <w:top w:val="single" w:sz="4" w:space="0" w:color="auto"/>
              <w:bottom w:val="single" w:sz="12" w:space="0" w:color="auto"/>
            </w:tcBorders>
            <w:shd w:val="clear" w:color="auto" w:fill="auto"/>
            <w:vAlign w:val="bottom"/>
          </w:tcPr>
          <w:p w14:paraId="26086BF0" w14:textId="77777777" w:rsidR="002227E6" w:rsidRPr="004341A8" w:rsidRDefault="002227E6" w:rsidP="004341A8">
            <w:pPr>
              <w:spacing w:before="80" w:after="80" w:line="200" w:lineRule="exact"/>
              <w:ind w:right="113"/>
              <w:jc w:val="right"/>
              <w:rPr>
                <w:i/>
                <w:sz w:val="16"/>
              </w:rPr>
            </w:pPr>
            <w:r w:rsidRPr="004341A8">
              <w:rPr>
                <w:i/>
                <w:iCs/>
                <w:sz w:val="16"/>
              </w:rPr>
              <w:t>Preparatory phase</w:t>
            </w:r>
          </w:p>
        </w:tc>
        <w:tc>
          <w:tcPr>
            <w:tcW w:w="1001" w:type="dxa"/>
            <w:tcBorders>
              <w:top w:val="single" w:sz="4" w:space="0" w:color="auto"/>
              <w:bottom w:val="single" w:sz="12" w:space="0" w:color="auto"/>
            </w:tcBorders>
            <w:shd w:val="clear" w:color="auto" w:fill="auto"/>
            <w:vAlign w:val="bottom"/>
          </w:tcPr>
          <w:p w14:paraId="2C218C4A" w14:textId="77777777" w:rsidR="002227E6" w:rsidRPr="004341A8" w:rsidRDefault="002227E6" w:rsidP="004341A8">
            <w:pPr>
              <w:spacing w:before="80" w:after="80" w:line="200" w:lineRule="exact"/>
              <w:ind w:right="113"/>
              <w:jc w:val="right"/>
              <w:rPr>
                <w:i/>
                <w:sz w:val="16"/>
              </w:rPr>
            </w:pPr>
            <w:r w:rsidRPr="004341A8">
              <w:rPr>
                <w:i/>
                <w:iCs/>
                <w:sz w:val="16"/>
              </w:rPr>
              <w:t>Oral proceedings</w:t>
            </w:r>
          </w:p>
        </w:tc>
        <w:tc>
          <w:tcPr>
            <w:tcW w:w="982" w:type="dxa"/>
            <w:tcBorders>
              <w:top w:val="single" w:sz="4" w:space="0" w:color="auto"/>
              <w:bottom w:val="single" w:sz="12" w:space="0" w:color="auto"/>
            </w:tcBorders>
            <w:shd w:val="clear" w:color="auto" w:fill="auto"/>
            <w:vAlign w:val="bottom"/>
          </w:tcPr>
          <w:p w14:paraId="1E0FABE8" w14:textId="77777777" w:rsidR="002227E6" w:rsidRPr="004341A8" w:rsidRDefault="002227E6" w:rsidP="004341A8">
            <w:pPr>
              <w:spacing w:before="80" w:after="80" w:line="200" w:lineRule="exact"/>
              <w:ind w:right="113"/>
              <w:jc w:val="right"/>
              <w:rPr>
                <w:i/>
                <w:sz w:val="16"/>
              </w:rPr>
            </w:pPr>
            <w:r w:rsidRPr="004341A8">
              <w:rPr>
                <w:i/>
                <w:iCs/>
                <w:sz w:val="16"/>
              </w:rPr>
              <w:t>Closed</w:t>
            </w:r>
          </w:p>
        </w:tc>
        <w:tc>
          <w:tcPr>
            <w:tcW w:w="709" w:type="dxa"/>
            <w:tcBorders>
              <w:top w:val="single" w:sz="4" w:space="0" w:color="auto"/>
              <w:bottom w:val="single" w:sz="12" w:space="0" w:color="auto"/>
            </w:tcBorders>
            <w:shd w:val="clear" w:color="auto" w:fill="auto"/>
            <w:vAlign w:val="bottom"/>
          </w:tcPr>
          <w:p w14:paraId="5A429F86" w14:textId="77777777" w:rsidR="002227E6" w:rsidRPr="004341A8" w:rsidRDefault="002227E6" w:rsidP="004341A8">
            <w:pPr>
              <w:spacing w:before="80" w:after="80" w:line="200" w:lineRule="exact"/>
              <w:ind w:right="113"/>
              <w:jc w:val="right"/>
              <w:rPr>
                <w:i/>
                <w:sz w:val="16"/>
              </w:rPr>
            </w:pPr>
            <w:r w:rsidRPr="004341A8">
              <w:rPr>
                <w:i/>
                <w:iCs/>
                <w:sz w:val="16"/>
              </w:rPr>
              <w:t>Total</w:t>
            </w:r>
          </w:p>
        </w:tc>
      </w:tr>
      <w:tr w:rsidR="00CE58B7" w:rsidRPr="004341A8" w14:paraId="6B064AC7" w14:textId="77777777" w:rsidTr="00CE58B7">
        <w:trPr>
          <w:trHeight w:val="240"/>
        </w:trPr>
        <w:tc>
          <w:tcPr>
            <w:tcW w:w="1701" w:type="dxa"/>
            <w:tcBorders>
              <w:top w:val="single" w:sz="12" w:space="0" w:color="auto"/>
            </w:tcBorders>
            <w:shd w:val="clear" w:color="auto" w:fill="auto"/>
          </w:tcPr>
          <w:p w14:paraId="08568A68" w14:textId="77777777" w:rsidR="002227E6" w:rsidRPr="004341A8" w:rsidRDefault="002227E6" w:rsidP="004341A8">
            <w:pPr>
              <w:spacing w:before="40" w:after="40" w:line="220" w:lineRule="exact"/>
              <w:ind w:right="113"/>
              <w:rPr>
                <w:sz w:val="18"/>
              </w:rPr>
            </w:pPr>
            <w:r w:rsidRPr="004341A8">
              <w:rPr>
                <w:sz w:val="18"/>
              </w:rPr>
              <w:t xml:space="preserve">Child labour </w:t>
            </w:r>
          </w:p>
        </w:tc>
        <w:tc>
          <w:tcPr>
            <w:tcW w:w="1418" w:type="dxa"/>
            <w:tcBorders>
              <w:top w:val="single" w:sz="12" w:space="0" w:color="auto"/>
            </w:tcBorders>
            <w:shd w:val="clear" w:color="auto" w:fill="auto"/>
            <w:vAlign w:val="bottom"/>
          </w:tcPr>
          <w:p w14:paraId="7B08651C" w14:textId="77777777" w:rsidR="002227E6" w:rsidRPr="004341A8" w:rsidRDefault="002227E6" w:rsidP="004341A8">
            <w:pPr>
              <w:spacing w:before="40" w:after="40" w:line="220" w:lineRule="exact"/>
              <w:ind w:right="113"/>
              <w:jc w:val="right"/>
              <w:rPr>
                <w:sz w:val="18"/>
              </w:rPr>
            </w:pPr>
            <w:r w:rsidRPr="004341A8">
              <w:rPr>
                <w:sz w:val="18"/>
              </w:rPr>
              <w:t>1</w:t>
            </w:r>
          </w:p>
        </w:tc>
        <w:tc>
          <w:tcPr>
            <w:tcW w:w="1559" w:type="dxa"/>
            <w:tcBorders>
              <w:top w:val="single" w:sz="12" w:space="0" w:color="auto"/>
            </w:tcBorders>
            <w:shd w:val="clear" w:color="auto" w:fill="auto"/>
            <w:vAlign w:val="bottom"/>
          </w:tcPr>
          <w:p w14:paraId="0C1BDF42" w14:textId="77777777" w:rsidR="002227E6" w:rsidRPr="004341A8" w:rsidRDefault="002227E6" w:rsidP="004341A8">
            <w:pPr>
              <w:spacing w:before="40" w:after="40" w:line="220" w:lineRule="exact"/>
              <w:ind w:right="113"/>
              <w:jc w:val="right"/>
              <w:rPr>
                <w:sz w:val="18"/>
              </w:rPr>
            </w:pPr>
            <w:r w:rsidRPr="004341A8">
              <w:rPr>
                <w:sz w:val="18"/>
              </w:rPr>
              <w:t>7</w:t>
            </w:r>
          </w:p>
        </w:tc>
        <w:tc>
          <w:tcPr>
            <w:tcW w:w="1001" w:type="dxa"/>
            <w:tcBorders>
              <w:top w:val="single" w:sz="12" w:space="0" w:color="auto"/>
            </w:tcBorders>
            <w:shd w:val="clear" w:color="auto" w:fill="auto"/>
            <w:vAlign w:val="bottom"/>
          </w:tcPr>
          <w:p w14:paraId="245092A9" w14:textId="77777777" w:rsidR="002227E6" w:rsidRPr="004341A8" w:rsidRDefault="002227E6" w:rsidP="004341A8">
            <w:pPr>
              <w:spacing w:before="40" w:after="40" w:line="220" w:lineRule="exact"/>
              <w:ind w:right="113"/>
              <w:jc w:val="right"/>
              <w:rPr>
                <w:sz w:val="18"/>
              </w:rPr>
            </w:pPr>
            <w:r w:rsidRPr="004341A8">
              <w:rPr>
                <w:sz w:val="18"/>
              </w:rPr>
              <w:t>6</w:t>
            </w:r>
          </w:p>
        </w:tc>
        <w:tc>
          <w:tcPr>
            <w:tcW w:w="982" w:type="dxa"/>
            <w:tcBorders>
              <w:top w:val="single" w:sz="12" w:space="0" w:color="auto"/>
            </w:tcBorders>
            <w:shd w:val="clear" w:color="auto" w:fill="auto"/>
            <w:vAlign w:val="bottom"/>
          </w:tcPr>
          <w:p w14:paraId="42173343" w14:textId="77777777" w:rsidR="002227E6" w:rsidRPr="004341A8" w:rsidRDefault="002227E6" w:rsidP="004341A8">
            <w:pPr>
              <w:spacing w:before="40" w:after="40" w:line="220" w:lineRule="exact"/>
              <w:ind w:right="113"/>
              <w:jc w:val="right"/>
              <w:rPr>
                <w:sz w:val="18"/>
              </w:rPr>
            </w:pPr>
            <w:r w:rsidRPr="004341A8">
              <w:rPr>
                <w:sz w:val="18"/>
              </w:rPr>
              <w:t>1</w:t>
            </w:r>
          </w:p>
        </w:tc>
        <w:tc>
          <w:tcPr>
            <w:tcW w:w="709" w:type="dxa"/>
            <w:tcBorders>
              <w:top w:val="single" w:sz="12" w:space="0" w:color="auto"/>
            </w:tcBorders>
            <w:shd w:val="clear" w:color="auto" w:fill="auto"/>
            <w:vAlign w:val="bottom"/>
          </w:tcPr>
          <w:p w14:paraId="0F167154" w14:textId="77777777" w:rsidR="002227E6" w:rsidRPr="004341A8" w:rsidRDefault="002227E6" w:rsidP="004341A8">
            <w:pPr>
              <w:spacing w:before="40" w:after="40" w:line="220" w:lineRule="exact"/>
              <w:ind w:right="113"/>
              <w:jc w:val="right"/>
              <w:rPr>
                <w:sz w:val="18"/>
              </w:rPr>
            </w:pPr>
            <w:r w:rsidRPr="004341A8">
              <w:rPr>
                <w:sz w:val="18"/>
              </w:rPr>
              <w:t>15</w:t>
            </w:r>
          </w:p>
        </w:tc>
      </w:tr>
      <w:tr w:rsidR="00CE58B7" w:rsidRPr="004341A8" w14:paraId="475C91EC" w14:textId="77777777" w:rsidTr="00CE58B7">
        <w:trPr>
          <w:trHeight w:val="240"/>
        </w:trPr>
        <w:tc>
          <w:tcPr>
            <w:tcW w:w="1701" w:type="dxa"/>
            <w:shd w:val="clear" w:color="auto" w:fill="auto"/>
          </w:tcPr>
          <w:p w14:paraId="6B6F9506" w14:textId="77777777" w:rsidR="002227E6" w:rsidRPr="004341A8" w:rsidRDefault="002227E6" w:rsidP="004341A8">
            <w:pPr>
              <w:spacing w:before="40" w:after="40" w:line="220" w:lineRule="exact"/>
              <w:ind w:right="113"/>
              <w:rPr>
                <w:sz w:val="18"/>
              </w:rPr>
            </w:pPr>
            <w:r w:rsidRPr="004341A8">
              <w:rPr>
                <w:sz w:val="18"/>
              </w:rPr>
              <w:t>Sexual exploitation</w:t>
            </w:r>
          </w:p>
        </w:tc>
        <w:tc>
          <w:tcPr>
            <w:tcW w:w="1418" w:type="dxa"/>
            <w:shd w:val="clear" w:color="auto" w:fill="auto"/>
            <w:vAlign w:val="bottom"/>
          </w:tcPr>
          <w:p w14:paraId="32B4F434" w14:textId="77777777" w:rsidR="002227E6" w:rsidRPr="004341A8" w:rsidRDefault="002227E6" w:rsidP="004341A8">
            <w:pPr>
              <w:spacing w:before="40" w:after="40" w:line="220" w:lineRule="exact"/>
              <w:ind w:right="113"/>
              <w:jc w:val="right"/>
              <w:rPr>
                <w:sz w:val="18"/>
              </w:rPr>
            </w:pPr>
            <w:r w:rsidRPr="004341A8">
              <w:rPr>
                <w:sz w:val="18"/>
              </w:rPr>
              <w:t>8</w:t>
            </w:r>
          </w:p>
        </w:tc>
        <w:tc>
          <w:tcPr>
            <w:tcW w:w="1559" w:type="dxa"/>
            <w:shd w:val="clear" w:color="auto" w:fill="auto"/>
            <w:vAlign w:val="bottom"/>
          </w:tcPr>
          <w:p w14:paraId="63092D74" w14:textId="77777777" w:rsidR="002227E6" w:rsidRPr="004341A8" w:rsidRDefault="002227E6" w:rsidP="004341A8">
            <w:pPr>
              <w:spacing w:before="40" w:after="40" w:line="220" w:lineRule="exact"/>
              <w:ind w:right="113"/>
              <w:jc w:val="right"/>
              <w:rPr>
                <w:sz w:val="18"/>
              </w:rPr>
            </w:pPr>
            <w:r w:rsidRPr="004341A8">
              <w:rPr>
                <w:sz w:val="18"/>
              </w:rPr>
              <w:t>17</w:t>
            </w:r>
          </w:p>
        </w:tc>
        <w:tc>
          <w:tcPr>
            <w:tcW w:w="1001" w:type="dxa"/>
            <w:shd w:val="clear" w:color="auto" w:fill="auto"/>
            <w:vAlign w:val="bottom"/>
          </w:tcPr>
          <w:p w14:paraId="7221AEAD" w14:textId="77777777" w:rsidR="002227E6" w:rsidRPr="004341A8" w:rsidRDefault="002227E6" w:rsidP="004341A8">
            <w:pPr>
              <w:spacing w:before="40" w:after="40" w:line="220" w:lineRule="exact"/>
              <w:ind w:right="113"/>
              <w:jc w:val="right"/>
              <w:rPr>
                <w:sz w:val="18"/>
              </w:rPr>
            </w:pPr>
            <w:r w:rsidRPr="004341A8">
              <w:rPr>
                <w:sz w:val="18"/>
              </w:rPr>
              <w:t>9</w:t>
            </w:r>
          </w:p>
        </w:tc>
        <w:tc>
          <w:tcPr>
            <w:tcW w:w="982" w:type="dxa"/>
            <w:shd w:val="clear" w:color="auto" w:fill="auto"/>
            <w:vAlign w:val="bottom"/>
          </w:tcPr>
          <w:p w14:paraId="11372680" w14:textId="77777777" w:rsidR="002227E6" w:rsidRPr="004341A8" w:rsidRDefault="002227E6" w:rsidP="004341A8">
            <w:pPr>
              <w:spacing w:before="40" w:after="40" w:line="220" w:lineRule="exact"/>
              <w:ind w:right="113"/>
              <w:jc w:val="right"/>
              <w:rPr>
                <w:sz w:val="18"/>
              </w:rPr>
            </w:pPr>
            <w:r w:rsidRPr="004341A8">
              <w:rPr>
                <w:sz w:val="18"/>
              </w:rPr>
              <w:t>1</w:t>
            </w:r>
          </w:p>
        </w:tc>
        <w:tc>
          <w:tcPr>
            <w:tcW w:w="709" w:type="dxa"/>
            <w:shd w:val="clear" w:color="auto" w:fill="auto"/>
            <w:vAlign w:val="bottom"/>
          </w:tcPr>
          <w:p w14:paraId="0BCCB586" w14:textId="77777777" w:rsidR="002227E6" w:rsidRPr="004341A8" w:rsidRDefault="002227E6" w:rsidP="004341A8">
            <w:pPr>
              <w:spacing w:before="40" w:after="40" w:line="220" w:lineRule="exact"/>
              <w:ind w:right="113"/>
              <w:jc w:val="right"/>
              <w:rPr>
                <w:sz w:val="18"/>
              </w:rPr>
            </w:pPr>
            <w:r w:rsidRPr="004341A8">
              <w:rPr>
                <w:sz w:val="18"/>
              </w:rPr>
              <w:t>35</w:t>
            </w:r>
          </w:p>
        </w:tc>
      </w:tr>
    </w:tbl>
    <w:p w14:paraId="4556E612" w14:textId="1B36547E" w:rsidR="002227E6" w:rsidRPr="00CE58B7" w:rsidRDefault="002227E6" w:rsidP="00CE58B7">
      <w:pPr>
        <w:pStyle w:val="SingleTxtG"/>
        <w:spacing w:before="120" w:after="240"/>
        <w:ind w:firstLine="170"/>
        <w:jc w:val="left"/>
        <w:rPr>
          <w:sz w:val="18"/>
        </w:rPr>
      </w:pPr>
      <w:r w:rsidRPr="00CE58B7">
        <w:rPr>
          <w:i/>
          <w:iCs/>
          <w:sz w:val="18"/>
        </w:rPr>
        <w:t>Source</w:t>
      </w:r>
      <w:r w:rsidRPr="00CE58B7">
        <w:rPr>
          <w:sz w:val="18"/>
        </w:rPr>
        <w:t xml:space="preserve">: Public Prosecution Service </w:t>
      </w:r>
      <w:r w:rsidR="0077508E">
        <w:rPr>
          <w:sz w:val="18"/>
        </w:rPr>
        <w:t>–</w:t>
      </w:r>
      <w:r w:rsidRPr="00CE58B7">
        <w:rPr>
          <w:sz w:val="18"/>
        </w:rPr>
        <w:t xml:space="preserve"> Attorney General</w:t>
      </w:r>
      <w:r w:rsidR="008D6E06">
        <w:rPr>
          <w:sz w:val="18"/>
        </w:rPr>
        <w:t>’</w:t>
      </w:r>
      <w:r w:rsidRPr="00CE58B7">
        <w:rPr>
          <w:sz w:val="18"/>
        </w:rPr>
        <w:t xml:space="preserve">s Office </w:t>
      </w:r>
      <w:r w:rsidR="0077508E">
        <w:rPr>
          <w:sz w:val="18"/>
        </w:rPr>
        <w:t>–</w:t>
      </w:r>
      <w:r w:rsidRPr="00CE58B7">
        <w:rPr>
          <w:sz w:val="18"/>
        </w:rPr>
        <w:t xml:space="preserve"> Office of the Special Prosecutor for Violent Offences.</w:t>
      </w:r>
    </w:p>
    <w:p w14:paraId="31C52A7D" w14:textId="4FA0180C" w:rsidR="002227E6" w:rsidRPr="00D470FC" w:rsidRDefault="002227E6" w:rsidP="00E66B89">
      <w:pPr>
        <w:pStyle w:val="SingleTxtG"/>
      </w:pPr>
      <w:r w:rsidRPr="00D470FC">
        <w:t>149.</w:t>
      </w:r>
      <w:r w:rsidRPr="00D470FC">
        <w:tab/>
        <w:t>The Public Prosecutor</w:t>
      </w:r>
      <w:r w:rsidR="008D6E06">
        <w:t>’</w:t>
      </w:r>
      <w:r w:rsidRPr="00D470FC">
        <w:t xml:space="preserve">s Office, in accordance with the Constitution and Act No. 260, provides protection measures for direct and indirect victims, as appropriate, and thus safeguards the right to life and physical, emotional, sexual, property, economic and labour integrity, as well as dignity. </w:t>
      </w:r>
      <w:r w:rsidRPr="00D470FC">
        <w:rPr>
          <w:iCs/>
        </w:rPr>
        <w:t>I</w:t>
      </w:r>
      <w:r w:rsidRPr="00D470FC">
        <w:t>t provides support and protection to victims who have suffered violence as a result of child labour and/or sexual exploitation and seeks to prevent the continuation of such acts. The Office also exercises its right to bring a criminal action when it becomes aware of an act of violence by means of a written or oral complaint.</w:t>
      </w:r>
    </w:p>
    <w:p w14:paraId="73FBD11A" w14:textId="34E3C153" w:rsidR="002227E6" w:rsidRPr="00D470FC" w:rsidRDefault="00621CA6" w:rsidP="00621CA6">
      <w:pPr>
        <w:pStyle w:val="H23G"/>
      </w:pPr>
      <w:r>
        <w:tab/>
      </w:r>
      <w:r w:rsidR="002227E6" w:rsidRPr="00D470FC">
        <w:t>19.</w:t>
      </w:r>
      <w:r w:rsidR="002227E6" w:rsidRPr="00D470FC">
        <w:tab/>
        <w:t>Replies to the issues raised in paragraph 18 of the list of issues</w:t>
      </w:r>
    </w:p>
    <w:p w14:paraId="1E91CE87" w14:textId="207C5636" w:rsidR="002227E6" w:rsidRPr="00D470FC" w:rsidRDefault="002227E6" w:rsidP="00E66B89">
      <w:pPr>
        <w:pStyle w:val="SingleTxtG"/>
      </w:pPr>
      <w:r w:rsidRPr="00D470FC">
        <w:t>150.</w:t>
      </w:r>
      <w:r w:rsidRPr="00D470FC">
        <w:tab/>
        <w:t>(a) The Plurinational State of Bolivia promoted the signing of bilateral agreements with Peru and Argentina on the protection of victims of human trafficking and smuggling and related offences, pursuant to article 45 of Act No. 263 on human trafficking and smuggling.</w:t>
      </w:r>
    </w:p>
    <w:p w14:paraId="5AACE317" w14:textId="77777777" w:rsidR="002227E6" w:rsidRPr="00D470FC" w:rsidRDefault="002227E6" w:rsidP="00E66B89">
      <w:pPr>
        <w:pStyle w:val="SingleTxtG"/>
      </w:pPr>
      <w:r w:rsidRPr="00D470FC">
        <w:t>151.</w:t>
      </w:r>
      <w:r w:rsidRPr="00D470FC">
        <w:tab/>
        <w:t>The agreement signed with Peru was ratified by Act No. 765 of 11 December 2015 and is currently in force.</w:t>
      </w:r>
    </w:p>
    <w:p w14:paraId="3590BF39" w14:textId="3D07DE96" w:rsidR="002227E6" w:rsidRPr="00D470FC" w:rsidRDefault="002227E6" w:rsidP="00E66B89">
      <w:pPr>
        <w:pStyle w:val="SingleTxtG"/>
      </w:pPr>
      <w:r w:rsidRPr="00D470FC">
        <w:t>152.</w:t>
      </w:r>
      <w:r w:rsidRPr="00D470FC">
        <w:tab/>
        <w:t>In connection with the agreement signed with Argentina, an experts</w:t>
      </w:r>
      <w:r w:rsidR="008D6E06">
        <w:t>’</w:t>
      </w:r>
      <w:r w:rsidRPr="00D470FC">
        <w:t xml:space="preserve"> meeting was held in June 2021 to determine what actions would be carried out by the two countries in the areas of prevention, support, protection, reintegration, punishment and criminal prosecution of trafficking and smuggling offences.</w:t>
      </w:r>
    </w:p>
    <w:p w14:paraId="0D04CDB2" w14:textId="6C5975E1" w:rsidR="002227E6" w:rsidRPr="00D470FC" w:rsidRDefault="002227E6" w:rsidP="00E66B89">
      <w:pPr>
        <w:pStyle w:val="SingleTxtG"/>
      </w:pPr>
      <w:r w:rsidRPr="00D470FC">
        <w:t>153.</w:t>
      </w:r>
      <w:r w:rsidRPr="00D470FC">
        <w:tab/>
        <w:t>In addition, the technical secretariat of the Plurinational Council on Human Trafficking and Smuggling has worked on eight international instruments on human trafficking and smuggling with Paraguay, Uruguay, Brazil and Chile, as well as with Spain, the Bolivarian Republic of Venezuela and the United States of America. Among these instruments is the Protocol against the Smuggling of Migrants by Land, Sea and Air, supplementing the United Nations Convention against Transnational Organized Crime, and the Protocol of 2014 to the International Labour Organization (ILO) Forced Labour Convention, 1930 (No. 29).</w:t>
      </w:r>
    </w:p>
    <w:p w14:paraId="0C53CCEE" w14:textId="76EEEC8C" w:rsidR="002227E6" w:rsidRPr="00D470FC" w:rsidRDefault="002227E6" w:rsidP="00E66B89">
      <w:pPr>
        <w:pStyle w:val="SingleTxtG"/>
      </w:pPr>
      <w:r w:rsidRPr="00D470FC">
        <w:t>154.</w:t>
      </w:r>
      <w:r w:rsidRPr="00D470FC">
        <w:tab/>
        <w:t>These instruments are in the process of being negotiated, ratified or signed.</w:t>
      </w:r>
    </w:p>
    <w:p w14:paraId="05E980D5" w14:textId="0BC91487" w:rsidR="002227E6" w:rsidRPr="00D470FC" w:rsidRDefault="002227E6" w:rsidP="00E66B89">
      <w:pPr>
        <w:pStyle w:val="SingleTxtG"/>
      </w:pPr>
      <w:r w:rsidRPr="00D470FC">
        <w:t>155.</w:t>
      </w:r>
      <w:r w:rsidRPr="00D470FC">
        <w:tab/>
        <w:t>(b) Execution of the National Plan to Combat Human Trafficking and Smuggling 2015–2019, from which the Comprehensive Multisectoral Development Plan to Combat Human Trafficking and Smuggling 2016–2020 was derived. The latter was used as a reference to prepare reports on the implementation of the Plurinational Policy on Combating Human Trafficking and Smuggling and Related Offences, as well as the annual plan of activities issued each year by the Plurinational Council on Human Trafficking and Smuggling. In preparation for the 2021</w:t>
      </w:r>
      <w:r w:rsidR="009D73DB" w:rsidRPr="00D470FC">
        <w:t>–</w:t>
      </w:r>
      <w:r w:rsidRPr="00D470FC">
        <w:t>2025 plan, on 16 December 2020, an inter-institutional agreement between the Ministry of Justice and Institutional Transparency and the International Organization for Migration (IOM) was signed, as was the charter for the expert committee for project PX 0.205 on strengthening the Bolivian Government</w:t>
      </w:r>
      <w:r w:rsidR="008D6E06">
        <w:t>’</w:t>
      </w:r>
      <w:r w:rsidRPr="00D470FC">
        <w:t>s capacity to effectively combat human trafficking and smuggling of migrants. Project PX 0205 will involve developing (1) a comprehensive policy proposal; (2) a multisectoral plan; and (3) a departmental plan template.</w:t>
      </w:r>
    </w:p>
    <w:p w14:paraId="6A0031F6" w14:textId="77777777" w:rsidR="002227E6" w:rsidRPr="00D470FC" w:rsidRDefault="002227E6" w:rsidP="00E66B89">
      <w:pPr>
        <w:pStyle w:val="SingleTxtG"/>
      </w:pPr>
      <w:r w:rsidRPr="00D470FC">
        <w:t>156.</w:t>
      </w:r>
      <w:r w:rsidRPr="00D470FC">
        <w:tab/>
        <w:t>(c) Launch of a workforce reinsertion programme for victims of trafficking and smuggling, under Act No. 263, by the Ministry of Labour, Employment and Social Welfare.</w:t>
      </w:r>
    </w:p>
    <w:p w14:paraId="24898841" w14:textId="14B9700D" w:rsidR="002227E6" w:rsidRPr="00D470FC" w:rsidRDefault="002227E6" w:rsidP="00E66B89">
      <w:pPr>
        <w:pStyle w:val="SingleTxtG"/>
      </w:pPr>
      <w:r w:rsidRPr="00D470FC">
        <w:t>157.</w:t>
      </w:r>
      <w:r w:rsidRPr="00D470FC">
        <w:tab/>
        <w:t xml:space="preserve">(d) The Standardized Protocol for the Specialist Care of Victims of Human Trafficking and Smuggling 2012 was introduced and is currently being further developed by </w:t>
      </w:r>
      <w:r w:rsidRPr="00D470FC">
        <w:lastRenderedPageBreak/>
        <w:t>the Ministry of Justice and Institutional Transparency in coordination with the Public Prosecution Service, under Acts No. 263 and No. 1173.</w:t>
      </w:r>
    </w:p>
    <w:p w14:paraId="4B3CEFF1" w14:textId="030618E5" w:rsidR="002227E6" w:rsidRPr="00D470FC" w:rsidRDefault="002227E6" w:rsidP="00E66B89">
      <w:pPr>
        <w:pStyle w:val="SingleTxtG"/>
      </w:pPr>
      <w:r w:rsidRPr="00D470FC">
        <w:t>158.</w:t>
      </w:r>
      <w:r w:rsidRPr="00D470FC">
        <w:tab/>
        <w:t>(e) Development of the 2015 Guide for the Formulation of Departmental Plans against Human Trafficking and Smuggling, by the Plurinational Council against Human Trafficking and Smuggling, in application of article 10 (4) and article 15 of Act No. 263, to enhance the process of developing departmental plans to combat human trafficking and smuggling. This document covers the lessons learned in the process of developing the Plurinational Policy and the National Plan to Combat Human Trafficking and Smuggling and Related Offences 2013–2017 and proposes priority actions for the departmental governments and municipal governments of capital, intermediate and border cities, so that they can in turn elaborate and adopt departmental plans. The governments are to indicate four major stages of elaboration for their departmental plans and must propose actions to be carried out at each stage, indicating those responsible for its execution and the expected outcome. On 16 December 2020, an inter-institutional agreement between the Ministry of Justice and Institutional Transparency and IOM was signed, with the aim of promoting the elaboration and implementation of a multisectoral plan. A template will also be developed for departmental plans to combat human trafficking and human smuggling.</w:t>
      </w:r>
    </w:p>
    <w:p w14:paraId="7BCDD194" w14:textId="1BF5B27B" w:rsidR="002227E6" w:rsidRPr="00D470FC" w:rsidRDefault="002227E6" w:rsidP="00E66B89">
      <w:pPr>
        <w:pStyle w:val="SingleTxtG"/>
      </w:pPr>
      <w:r w:rsidRPr="00D470FC">
        <w:t>159.</w:t>
      </w:r>
      <w:r w:rsidRPr="00D470FC">
        <w:tab/>
        <w:t>(f) Development of the Protocol for the Repatriation of Bolivian Victims of Trafficking and Smuggling Abroad, which establishes the procedures to be followed by consulates or consular sections, directorates of the Ministry of Foreign Affairs, the General Directorate to Combat Trafficking and Smuggling of Persons of the Ministry of Foreign Affairs, and the Directorate General for Combatting Human Trafficking and Smuggling of the Ministry of the Interior, in order to repatriate Bolivian citizens who are victims of trafficking in persons and smuggling of migrants.</w:t>
      </w:r>
    </w:p>
    <w:p w14:paraId="21EE2396" w14:textId="77777777" w:rsidR="002227E6" w:rsidRPr="00D470FC" w:rsidRDefault="002227E6" w:rsidP="00E66B89">
      <w:pPr>
        <w:pStyle w:val="SingleTxtG"/>
      </w:pPr>
      <w:r w:rsidRPr="00D470FC">
        <w:t>160.</w:t>
      </w:r>
      <w:r w:rsidRPr="00D470FC">
        <w:tab/>
        <w:t>In terms of prevention, several campaigns against trafficking in persons and smuggling of migrants were carried out between 2013 and 2020.</w:t>
      </w:r>
    </w:p>
    <w:p w14:paraId="47D7FF0B" w14:textId="77777777" w:rsidR="002227E6" w:rsidRPr="00D470FC" w:rsidRDefault="002227E6" w:rsidP="00E66B89">
      <w:pPr>
        <w:pStyle w:val="SingleTxtG"/>
      </w:pPr>
      <w:r w:rsidRPr="00D470FC">
        <w:t>161.</w:t>
      </w:r>
      <w:r w:rsidRPr="00D470FC">
        <w:tab/>
        <w:t>Nine human trafficking and smuggling divisions have been created at the national level; they report to the Bolivian Police Crime Squad, which is in charge of preventing, investigating and suppressing criminal acts such as pimping, trafficking in persons, people smuggling and pornography.</w:t>
      </w:r>
    </w:p>
    <w:p w14:paraId="446022C3" w14:textId="7E58D211" w:rsidR="002227E6" w:rsidRPr="00D470FC" w:rsidRDefault="002227E6" w:rsidP="00E66B89">
      <w:pPr>
        <w:pStyle w:val="SingleTxtG"/>
      </w:pPr>
      <w:r w:rsidRPr="00D470FC">
        <w:t>162.</w:t>
      </w:r>
      <w:r w:rsidRPr="00D470FC">
        <w:tab/>
        <w:t>The Ministry of Justice, to which the Plurinational Council against Human Trafficking and Smuggling reports, issued, jointly with the Public Prosecution Service, an update of the Standardized Protocol for the Specialist Care of Victims of Human Trafficking and Smuggling. The Standardized Protocol was approved by decision No. FGE/JLP/DAJ/2017/2020 of 27 November 2020, pursuant to Act No. 263 and Act No. 1173.</w:t>
      </w:r>
    </w:p>
    <w:p w14:paraId="37225D8B" w14:textId="77777777" w:rsidR="002227E6" w:rsidRPr="00D470FC" w:rsidRDefault="002227E6" w:rsidP="00E66B89">
      <w:pPr>
        <w:pStyle w:val="SingleTxtG"/>
        <w:rPr>
          <w:shd w:val="clear" w:color="auto" w:fill="FFFFFF"/>
        </w:rPr>
      </w:pPr>
      <w:r w:rsidRPr="00D470FC">
        <w:t>163.</w:t>
      </w:r>
      <w:r w:rsidRPr="00D470FC">
        <w:tab/>
        <w:t>Regarding the number of reports of human trafficking and smuggling and related crimes, the available data are captured in the table below.</w:t>
      </w:r>
    </w:p>
    <w:p w14:paraId="3C6B7B02" w14:textId="77777777" w:rsidR="002227E6" w:rsidRPr="00D470FC" w:rsidRDefault="002227E6" w:rsidP="002227E6">
      <w:pPr>
        <w:pStyle w:val="H23G"/>
      </w:pPr>
      <w:r w:rsidRPr="00D470FC">
        <w:tab/>
      </w:r>
      <w:r w:rsidRPr="00D470FC">
        <w:tab/>
      </w:r>
      <w:r w:rsidRPr="00D470FC">
        <w:rPr>
          <w:bCs/>
        </w:rPr>
        <w:t>Number of reported cases of trafficking in persons, 2019–2021</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25"/>
        <w:gridCol w:w="1615"/>
        <w:gridCol w:w="1615"/>
        <w:gridCol w:w="1615"/>
      </w:tblGrid>
      <w:tr w:rsidR="00A51557" w:rsidRPr="00A51557" w14:paraId="09F5DE6A" w14:textId="77777777" w:rsidTr="00A51557">
        <w:trPr>
          <w:tblHeader/>
        </w:trPr>
        <w:tc>
          <w:tcPr>
            <w:tcW w:w="2525" w:type="dxa"/>
            <w:tcBorders>
              <w:top w:val="single" w:sz="4" w:space="0" w:color="auto"/>
              <w:bottom w:val="single" w:sz="12" w:space="0" w:color="auto"/>
            </w:tcBorders>
            <w:shd w:val="clear" w:color="auto" w:fill="auto"/>
            <w:noWrap/>
            <w:vAlign w:val="bottom"/>
            <w:hideMark/>
          </w:tcPr>
          <w:p w14:paraId="025AC995" w14:textId="77777777" w:rsidR="002227E6" w:rsidRPr="00A51557" w:rsidRDefault="002227E6" w:rsidP="00A51557">
            <w:pPr>
              <w:spacing w:before="80" w:after="80" w:line="200" w:lineRule="exact"/>
              <w:ind w:right="113"/>
              <w:rPr>
                <w:bCs/>
                <w:i/>
                <w:sz w:val="16"/>
              </w:rPr>
            </w:pPr>
            <w:r w:rsidRPr="00A51557">
              <w:rPr>
                <w:i/>
                <w:iCs/>
                <w:sz w:val="16"/>
              </w:rPr>
              <w:t>Department</w:t>
            </w:r>
          </w:p>
        </w:tc>
        <w:tc>
          <w:tcPr>
            <w:tcW w:w="1615" w:type="dxa"/>
            <w:tcBorders>
              <w:top w:val="single" w:sz="4" w:space="0" w:color="auto"/>
              <w:bottom w:val="single" w:sz="12" w:space="0" w:color="auto"/>
            </w:tcBorders>
            <w:shd w:val="clear" w:color="auto" w:fill="auto"/>
            <w:noWrap/>
            <w:vAlign w:val="bottom"/>
            <w:hideMark/>
          </w:tcPr>
          <w:p w14:paraId="6FF4020A" w14:textId="77777777" w:rsidR="002227E6" w:rsidRPr="00A51557" w:rsidRDefault="002227E6" w:rsidP="00A51557">
            <w:pPr>
              <w:spacing w:before="80" w:after="80" w:line="200" w:lineRule="exact"/>
              <w:ind w:right="113"/>
              <w:jc w:val="right"/>
              <w:rPr>
                <w:bCs/>
                <w:i/>
                <w:sz w:val="16"/>
              </w:rPr>
            </w:pPr>
            <w:r w:rsidRPr="00A51557">
              <w:rPr>
                <w:i/>
                <w:iCs/>
                <w:sz w:val="16"/>
              </w:rPr>
              <w:t>2019</w:t>
            </w:r>
          </w:p>
        </w:tc>
        <w:tc>
          <w:tcPr>
            <w:tcW w:w="1615" w:type="dxa"/>
            <w:tcBorders>
              <w:top w:val="single" w:sz="4" w:space="0" w:color="auto"/>
              <w:bottom w:val="single" w:sz="12" w:space="0" w:color="auto"/>
            </w:tcBorders>
            <w:shd w:val="clear" w:color="auto" w:fill="auto"/>
            <w:noWrap/>
            <w:vAlign w:val="bottom"/>
            <w:hideMark/>
          </w:tcPr>
          <w:p w14:paraId="7EFF1A37" w14:textId="77777777" w:rsidR="002227E6" w:rsidRPr="00A51557" w:rsidRDefault="002227E6" w:rsidP="00A51557">
            <w:pPr>
              <w:spacing w:before="80" w:after="80" w:line="200" w:lineRule="exact"/>
              <w:ind w:right="113"/>
              <w:jc w:val="right"/>
              <w:rPr>
                <w:bCs/>
                <w:i/>
                <w:sz w:val="16"/>
              </w:rPr>
            </w:pPr>
            <w:r w:rsidRPr="00A51557">
              <w:rPr>
                <w:i/>
                <w:iCs/>
                <w:sz w:val="16"/>
              </w:rPr>
              <w:t>2020</w:t>
            </w:r>
          </w:p>
        </w:tc>
        <w:tc>
          <w:tcPr>
            <w:tcW w:w="1615" w:type="dxa"/>
            <w:tcBorders>
              <w:top w:val="single" w:sz="4" w:space="0" w:color="auto"/>
              <w:bottom w:val="single" w:sz="12" w:space="0" w:color="auto"/>
            </w:tcBorders>
            <w:shd w:val="clear" w:color="auto" w:fill="auto"/>
            <w:noWrap/>
            <w:vAlign w:val="bottom"/>
            <w:hideMark/>
          </w:tcPr>
          <w:p w14:paraId="1B9DA5FF" w14:textId="77777777" w:rsidR="002227E6" w:rsidRPr="00A51557" w:rsidRDefault="002227E6" w:rsidP="00A51557">
            <w:pPr>
              <w:spacing w:before="80" w:after="80" w:line="200" w:lineRule="exact"/>
              <w:ind w:right="113"/>
              <w:jc w:val="right"/>
              <w:rPr>
                <w:bCs/>
                <w:i/>
                <w:sz w:val="16"/>
              </w:rPr>
            </w:pPr>
            <w:r w:rsidRPr="00A51557">
              <w:rPr>
                <w:i/>
                <w:iCs/>
                <w:sz w:val="16"/>
              </w:rPr>
              <w:t>2021</w:t>
            </w:r>
          </w:p>
        </w:tc>
      </w:tr>
      <w:tr w:rsidR="002227E6" w:rsidRPr="00A51557" w14:paraId="5F2A9ABC" w14:textId="77777777" w:rsidTr="00A51557">
        <w:tc>
          <w:tcPr>
            <w:tcW w:w="2525" w:type="dxa"/>
            <w:tcBorders>
              <w:top w:val="single" w:sz="12" w:space="0" w:color="auto"/>
            </w:tcBorders>
            <w:shd w:val="clear" w:color="auto" w:fill="auto"/>
            <w:noWrap/>
            <w:hideMark/>
          </w:tcPr>
          <w:p w14:paraId="38623384" w14:textId="77777777" w:rsidR="002227E6" w:rsidRPr="00A51557" w:rsidRDefault="002227E6" w:rsidP="00A51557">
            <w:pPr>
              <w:spacing w:before="40" w:after="40" w:line="220" w:lineRule="exact"/>
              <w:ind w:right="113"/>
              <w:rPr>
                <w:sz w:val="18"/>
                <w:lang w:eastAsia="es-BO"/>
              </w:rPr>
            </w:pPr>
            <w:r w:rsidRPr="00A51557">
              <w:rPr>
                <w:sz w:val="18"/>
                <w:lang w:eastAsia="es-BO"/>
              </w:rPr>
              <w:t>La Paz</w:t>
            </w:r>
          </w:p>
        </w:tc>
        <w:tc>
          <w:tcPr>
            <w:tcW w:w="1615" w:type="dxa"/>
            <w:tcBorders>
              <w:top w:val="single" w:sz="12" w:space="0" w:color="auto"/>
            </w:tcBorders>
            <w:shd w:val="clear" w:color="auto" w:fill="auto"/>
            <w:noWrap/>
            <w:vAlign w:val="bottom"/>
            <w:hideMark/>
          </w:tcPr>
          <w:p w14:paraId="2A5F32D6" w14:textId="77777777" w:rsidR="002227E6" w:rsidRPr="00A51557" w:rsidRDefault="002227E6" w:rsidP="00A51557">
            <w:pPr>
              <w:spacing w:before="40" w:after="40" w:line="220" w:lineRule="exact"/>
              <w:ind w:right="113"/>
              <w:jc w:val="right"/>
              <w:rPr>
                <w:sz w:val="18"/>
              </w:rPr>
            </w:pPr>
            <w:r w:rsidRPr="00A51557">
              <w:rPr>
                <w:sz w:val="18"/>
              </w:rPr>
              <w:t>167</w:t>
            </w:r>
          </w:p>
        </w:tc>
        <w:tc>
          <w:tcPr>
            <w:tcW w:w="1615" w:type="dxa"/>
            <w:tcBorders>
              <w:top w:val="single" w:sz="12" w:space="0" w:color="auto"/>
            </w:tcBorders>
            <w:shd w:val="clear" w:color="auto" w:fill="auto"/>
            <w:noWrap/>
            <w:vAlign w:val="bottom"/>
            <w:hideMark/>
          </w:tcPr>
          <w:p w14:paraId="212DF417" w14:textId="77777777" w:rsidR="002227E6" w:rsidRPr="00A51557" w:rsidRDefault="002227E6" w:rsidP="00A51557">
            <w:pPr>
              <w:spacing w:before="40" w:after="40" w:line="220" w:lineRule="exact"/>
              <w:ind w:right="113"/>
              <w:jc w:val="right"/>
              <w:rPr>
                <w:sz w:val="18"/>
              </w:rPr>
            </w:pPr>
            <w:r w:rsidRPr="00A51557">
              <w:rPr>
                <w:sz w:val="18"/>
              </w:rPr>
              <w:t>175</w:t>
            </w:r>
          </w:p>
        </w:tc>
        <w:tc>
          <w:tcPr>
            <w:tcW w:w="1615" w:type="dxa"/>
            <w:tcBorders>
              <w:top w:val="single" w:sz="12" w:space="0" w:color="auto"/>
            </w:tcBorders>
            <w:shd w:val="clear" w:color="auto" w:fill="auto"/>
            <w:noWrap/>
            <w:vAlign w:val="bottom"/>
            <w:hideMark/>
          </w:tcPr>
          <w:p w14:paraId="7AF9E09B" w14:textId="77777777" w:rsidR="002227E6" w:rsidRPr="00A51557" w:rsidRDefault="002227E6" w:rsidP="00A51557">
            <w:pPr>
              <w:spacing w:before="40" w:after="40" w:line="220" w:lineRule="exact"/>
              <w:ind w:right="113"/>
              <w:jc w:val="right"/>
              <w:rPr>
                <w:sz w:val="18"/>
              </w:rPr>
            </w:pPr>
            <w:r w:rsidRPr="00A51557">
              <w:rPr>
                <w:sz w:val="18"/>
              </w:rPr>
              <w:t>114</w:t>
            </w:r>
          </w:p>
        </w:tc>
      </w:tr>
      <w:tr w:rsidR="002227E6" w:rsidRPr="00A51557" w14:paraId="717CE7D9" w14:textId="77777777" w:rsidTr="00A51557">
        <w:tc>
          <w:tcPr>
            <w:tcW w:w="2525" w:type="dxa"/>
            <w:shd w:val="clear" w:color="auto" w:fill="auto"/>
            <w:noWrap/>
            <w:hideMark/>
          </w:tcPr>
          <w:p w14:paraId="007F0507" w14:textId="77777777" w:rsidR="002227E6" w:rsidRPr="00A51557" w:rsidRDefault="002227E6" w:rsidP="00A51557">
            <w:pPr>
              <w:spacing w:before="40" w:after="40" w:line="220" w:lineRule="exact"/>
              <w:ind w:right="113"/>
              <w:rPr>
                <w:sz w:val="18"/>
                <w:lang w:eastAsia="es-BO"/>
              </w:rPr>
            </w:pPr>
            <w:r w:rsidRPr="00A51557">
              <w:rPr>
                <w:sz w:val="18"/>
                <w:lang w:eastAsia="es-BO"/>
              </w:rPr>
              <w:t>Santa Cruz</w:t>
            </w:r>
          </w:p>
        </w:tc>
        <w:tc>
          <w:tcPr>
            <w:tcW w:w="1615" w:type="dxa"/>
            <w:shd w:val="clear" w:color="auto" w:fill="auto"/>
            <w:noWrap/>
            <w:vAlign w:val="bottom"/>
            <w:hideMark/>
          </w:tcPr>
          <w:p w14:paraId="23F09225" w14:textId="77777777" w:rsidR="002227E6" w:rsidRPr="00A51557" w:rsidRDefault="002227E6" w:rsidP="00A51557">
            <w:pPr>
              <w:spacing w:before="40" w:after="40" w:line="220" w:lineRule="exact"/>
              <w:ind w:right="113"/>
              <w:jc w:val="right"/>
              <w:rPr>
                <w:sz w:val="18"/>
              </w:rPr>
            </w:pPr>
            <w:r w:rsidRPr="00A51557">
              <w:rPr>
                <w:sz w:val="18"/>
              </w:rPr>
              <w:t>49</w:t>
            </w:r>
          </w:p>
        </w:tc>
        <w:tc>
          <w:tcPr>
            <w:tcW w:w="1615" w:type="dxa"/>
            <w:shd w:val="clear" w:color="auto" w:fill="auto"/>
            <w:noWrap/>
            <w:vAlign w:val="bottom"/>
            <w:hideMark/>
          </w:tcPr>
          <w:p w14:paraId="5F235C8C" w14:textId="77777777" w:rsidR="002227E6" w:rsidRPr="00A51557" w:rsidRDefault="002227E6" w:rsidP="00A51557">
            <w:pPr>
              <w:spacing w:before="40" w:after="40" w:line="220" w:lineRule="exact"/>
              <w:ind w:right="113"/>
              <w:jc w:val="right"/>
              <w:rPr>
                <w:sz w:val="18"/>
              </w:rPr>
            </w:pPr>
            <w:r w:rsidRPr="00A51557">
              <w:rPr>
                <w:sz w:val="18"/>
              </w:rPr>
              <w:t>50</w:t>
            </w:r>
          </w:p>
        </w:tc>
        <w:tc>
          <w:tcPr>
            <w:tcW w:w="1615" w:type="dxa"/>
            <w:shd w:val="clear" w:color="auto" w:fill="auto"/>
            <w:noWrap/>
            <w:vAlign w:val="bottom"/>
            <w:hideMark/>
          </w:tcPr>
          <w:p w14:paraId="6AA25AA9" w14:textId="77777777" w:rsidR="002227E6" w:rsidRPr="00A51557" w:rsidRDefault="002227E6" w:rsidP="00A51557">
            <w:pPr>
              <w:spacing w:before="40" w:after="40" w:line="220" w:lineRule="exact"/>
              <w:ind w:right="113"/>
              <w:jc w:val="right"/>
              <w:rPr>
                <w:sz w:val="18"/>
              </w:rPr>
            </w:pPr>
            <w:r w:rsidRPr="00A51557">
              <w:rPr>
                <w:sz w:val="18"/>
              </w:rPr>
              <w:t>73</w:t>
            </w:r>
          </w:p>
        </w:tc>
      </w:tr>
      <w:tr w:rsidR="002227E6" w:rsidRPr="00A51557" w14:paraId="21EB0DFF" w14:textId="77777777" w:rsidTr="00A51557">
        <w:tc>
          <w:tcPr>
            <w:tcW w:w="2525" w:type="dxa"/>
            <w:shd w:val="clear" w:color="auto" w:fill="auto"/>
            <w:noWrap/>
            <w:hideMark/>
          </w:tcPr>
          <w:p w14:paraId="5FD76398" w14:textId="77777777" w:rsidR="002227E6" w:rsidRPr="00A51557" w:rsidRDefault="002227E6" w:rsidP="00A51557">
            <w:pPr>
              <w:spacing w:before="40" w:after="40" w:line="220" w:lineRule="exact"/>
              <w:ind w:right="113"/>
              <w:rPr>
                <w:sz w:val="18"/>
                <w:lang w:eastAsia="es-BO"/>
              </w:rPr>
            </w:pPr>
            <w:r w:rsidRPr="00A51557">
              <w:rPr>
                <w:sz w:val="18"/>
                <w:lang w:eastAsia="es-BO"/>
              </w:rPr>
              <w:t>Cochabamba</w:t>
            </w:r>
          </w:p>
        </w:tc>
        <w:tc>
          <w:tcPr>
            <w:tcW w:w="1615" w:type="dxa"/>
            <w:shd w:val="clear" w:color="auto" w:fill="auto"/>
            <w:noWrap/>
            <w:vAlign w:val="bottom"/>
            <w:hideMark/>
          </w:tcPr>
          <w:p w14:paraId="6514B07C" w14:textId="77777777" w:rsidR="002227E6" w:rsidRPr="00A51557" w:rsidRDefault="002227E6" w:rsidP="00A51557">
            <w:pPr>
              <w:spacing w:before="40" w:after="40" w:line="220" w:lineRule="exact"/>
              <w:ind w:right="113"/>
              <w:jc w:val="right"/>
              <w:rPr>
                <w:sz w:val="18"/>
              </w:rPr>
            </w:pPr>
            <w:r w:rsidRPr="00A51557">
              <w:rPr>
                <w:sz w:val="18"/>
              </w:rPr>
              <w:t>56</w:t>
            </w:r>
          </w:p>
        </w:tc>
        <w:tc>
          <w:tcPr>
            <w:tcW w:w="1615" w:type="dxa"/>
            <w:shd w:val="clear" w:color="auto" w:fill="auto"/>
            <w:noWrap/>
            <w:vAlign w:val="bottom"/>
            <w:hideMark/>
          </w:tcPr>
          <w:p w14:paraId="65C35EF5" w14:textId="77777777" w:rsidR="002227E6" w:rsidRPr="00A51557" w:rsidRDefault="002227E6" w:rsidP="00A51557">
            <w:pPr>
              <w:spacing w:before="40" w:after="40" w:line="220" w:lineRule="exact"/>
              <w:ind w:right="113"/>
              <w:jc w:val="right"/>
              <w:rPr>
                <w:sz w:val="18"/>
              </w:rPr>
            </w:pPr>
            <w:r w:rsidRPr="00A51557">
              <w:rPr>
                <w:sz w:val="18"/>
              </w:rPr>
              <w:t>41</w:t>
            </w:r>
          </w:p>
        </w:tc>
        <w:tc>
          <w:tcPr>
            <w:tcW w:w="1615" w:type="dxa"/>
            <w:shd w:val="clear" w:color="auto" w:fill="auto"/>
            <w:noWrap/>
            <w:vAlign w:val="bottom"/>
            <w:hideMark/>
          </w:tcPr>
          <w:p w14:paraId="131EDC03" w14:textId="77777777" w:rsidR="002227E6" w:rsidRPr="00A51557" w:rsidRDefault="002227E6" w:rsidP="00A51557">
            <w:pPr>
              <w:spacing w:before="40" w:after="40" w:line="220" w:lineRule="exact"/>
              <w:ind w:right="113"/>
              <w:jc w:val="right"/>
              <w:rPr>
                <w:sz w:val="18"/>
              </w:rPr>
            </w:pPr>
            <w:r w:rsidRPr="00A51557">
              <w:rPr>
                <w:sz w:val="18"/>
              </w:rPr>
              <w:t>64</w:t>
            </w:r>
          </w:p>
        </w:tc>
      </w:tr>
      <w:tr w:rsidR="002227E6" w:rsidRPr="00A51557" w14:paraId="14D18FE6" w14:textId="77777777" w:rsidTr="00A51557">
        <w:tc>
          <w:tcPr>
            <w:tcW w:w="2525" w:type="dxa"/>
            <w:shd w:val="clear" w:color="auto" w:fill="auto"/>
            <w:noWrap/>
            <w:hideMark/>
          </w:tcPr>
          <w:p w14:paraId="5184BE3C" w14:textId="77777777" w:rsidR="002227E6" w:rsidRPr="00A51557" w:rsidRDefault="002227E6" w:rsidP="00A51557">
            <w:pPr>
              <w:spacing w:before="40" w:after="40" w:line="220" w:lineRule="exact"/>
              <w:ind w:right="113"/>
              <w:rPr>
                <w:sz w:val="18"/>
                <w:lang w:eastAsia="es-BO"/>
              </w:rPr>
            </w:pPr>
            <w:r w:rsidRPr="00A51557">
              <w:rPr>
                <w:sz w:val="18"/>
                <w:lang w:eastAsia="es-BO"/>
              </w:rPr>
              <w:t>Beni</w:t>
            </w:r>
          </w:p>
        </w:tc>
        <w:tc>
          <w:tcPr>
            <w:tcW w:w="1615" w:type="dxa"/>
            <w:shd w:val="clear" w:color="auto" w:fill="auto"/>
            <w:noWrap/>
            <w:vAlign w:val="bottom"/>
            <w:hideMark/>
          </w:tcPr>
          <w:p w14:paraId="6C82F263" w14:textId="77777777" w:rsidR="002227E6" w:rsidRPr="00A51557" w:rsidRDefault="002227E6" w:rsidP="00A51557">
            <w:pPr>
              <w:spacing w:before="40" w:after="40" w:line="220" w:lineRule="exact"/>
              <w:ind w:right="113"/>
              <w:jc w:val="right"/>
              <w:rPr>
                <w:sz w:val="18"/>
              </w:rPr>
            </w:pPr>
            <w:r w:rsidRPr="00A51557">
              <w:rPr>
                <w:sz w:val="18"/>
              </w:rPr>
              <w:t>11</w:t>
            </w:r>
          </w:p>
        </w:tc>
        <w:tc>
          <w:tcPr>
            <w:tcW w:w="1615" w:type="dxa"/>
            <w:shd w:val="clear" w:color="auto" w:fill="auto"/>
            <w:noWrap/>
            <w:vAlign w:val="bottom"/>
            <w:hideMark/>
          </w:tcPr>
          <w:p w14:paraId="7699C40F" w14:textId="77777777" w:rsidR="002227E6" w:rsidRPr="00A51557" w:rsidRDefault="002227E6" w:rsidP="00A51557">
            <w:pPr>
              <w:spacing w:before="40" w:after="40" w:line="220" w:lineRule="exact"/>
              <w:ind w:right="113"/>
              <w:jc w:val="right"/>
              <w:rPr>
                <w:sz w:val="18"/>
              </w:rPr>
            </w:pPr>
            <w:r w:rsidRPr="00A51557">
              <w:rPr>
                <w:sz w:val="18"/>
              </w:rPr>
              <w:t>4</w:t>
            </w:r>
          </w:p>
        </w:tc>
        <w:tc>
          <w:tcPr>
            <w:tcW w:w="1615" w:type="dxa"/>
            <w:shd w:val="clear" w:color="auto" w:fill="auto"/>
            <w:noWrap/>
            <w:vAlign w:val="bottom"/>
            <w:hideMark/>
          </w:tcPr>
          <w:p w14:paraId="04037CA6" w14:textId="77777777" w:rsidR="002227E6" w:rsidRPr="00A51557" w:rsidRDefault="002227E6" w:rsidP="00A51557">
            <w:pPr>
              <w:spacing w:before="40" w:after="40" w:line="220" w:lineRule="exact"/>
              <w:ind w:right="113"/>
              <w:jc w:val="right"/>
              <w:rPr>
                <w:sz w:val="18"/>
              </w:rPr>
            </w:pPr>
            <w:r w:rsidRPr="00A51557">
              <w:rPr>
                <w:sz w:val="18"/>
              </w:rPr>
              <w:t>10</w:t>
            </w:r>
          </w:p>
        </w:tc>
      </w:tr>
      <w:tr w:rsidR="002227E6" w:rsidRPr="00A51557" w14:paraId="02045900" w14:textId="77777777" w:rsidTr="00A51557">
        <w:tc>
          <w:tcPr>
            <w:tcW w:w="2525" w:type="dxa"/>
            <w:shd w:val="clear" w:color="auto" w:fill="auto"/>
            <w:noWrap/>
            <w:hideMark/>
          </w:tcPr>
          <w:p w14:paraId="468A28BF" w14:textId="77777777" w:rsidR="002227E6" w:rsidRPr="00A51557" w:rsidRDefault="002227E6" w:rsidP="00A51557">
            <w:pPr>
              <w:spacing w:before="40" w:after="40" w:line="220" w:lineRule="exact"/>
              <w:ind w:right="113"/>
              <w:rPr>
                <w:sz w:val="18"/>
                <w:lang w:eastAsia="es-BO"/>
              </w:rPr>
            </w:pPr>
            <w:r w:rsidRPr="00A51557">
              <w:rPr>
                <w:sz w:val="18"/>
                <w:lang w:eastAsia="es-BO"/>
              </w:rPr>
              <w:t>Oruro</w:t>
            </w:r>
          </w:p>
        </w:tc>
        <w:tc>
          <w:tcPr>
            <w:tcW w:w="1615" w:type="dxa"/>
            <w:shd w:val="clear" w:color="auto" w:fill="auto"/>
            <w:noWrap/>
            <w:vAlign w:val="bottom"/>
            <w:hideMark/>
          </w:tcPr>
          <w:p w14:paraId="3D49F816" w14:textId="77777777" w:rsidR="002227E6" w:rsidRPr="00A51557" w:rsidRDefault="002227E6" w:rsidP="00A51557">
            <w:pPr>
              <w:spacing w:before="40" w:after="40" w:line="220" w:lineRule="exact"/>
              <w:ind w:right="113"/>
              <w:jc w:val="right"/>
              <w:rPr>
                <w:sz w:val="18"/>
              </w:rPr>
            </w:pPr>
            <w:r w:rsidRPr="00A51557">
              <w:rPr>
                <w:sz w:val="18"/>
              </w:rPr>
              <w:t>41</w:t>
            </w:r>
          </w:p>
        </w:tc>
        <w:tc>
          <w:tcPr>
            <w:tcW w:w="1615" w:type="dxa"/>
            <w:shd w:val="clear" w:color="auto" w:fill="auto"/>
            <w:noWrap/>
            <w:vAlign w:val="bottom"/>
            <w:hideMark/>
          </w:tcPr>
          <w:p w14:paraId="59BF2F85" w14:textId="77777777" w:rsidR="002227E6" w:rsidRPr="00A51557" w:rsidRDefault="002227E6" w:rsidP="00A51557">
            <w:pPr>
              <w:spacing w:before="40" w:after="40" w:line="220" w:lineRule="exact"/>
              <w:ind w:right="113"/>
              <w:jc w:val="right"/>
              <w:rPr>
                <w:sz w:val="18"/>
              </w:rPr>
            </w:pPr>
            <w:r w:rsidRPr="00A51557">
              <w:rPr>
                <w:sz w:val="18"/>
              </w:rPr>
              <w:t>6</w:t>
            </w:r>
          </w:p>
        </w:tc>
        <w:tc>
          <w:tcPr>
            <w:tcW w:w="1615" w:type="dxa"/>
            <w:shd w:val="clear" w:color="auto" w:fill="auto"/>
            <w:noWrap/>
            <w:vAlign w:val="bottom"/>
            <w:hideMark/>
          </w:tcPr>
          <w:p w14:paraId="168EDEC1" w14:textId="77777777" w:rsidR="002227E6" w:rsidRPr="00A51557" w:rsidRDefault="002227E6" w:rsidP="00A51557">
            <w:pPr>
              <w:spacing w:before="40" w:after="40" w:line="220" w:lineRule="exact"/>
              <w:ind w:right="113"/>
              <w:jc w:val="right"/>
              <w:rPr>
                <w:sz w:val="18"/>
              </w:rPr>
            </w:pPr>
            <w:r w:rsidRPr="00A51557">
              <w:rPr>
                <w:sz w:val="18"/>
              </w:rPr>
              <w:t>8</w:t>
            </w:r>
          </w:p>
        </w:tc>
      </w:tr>
      <w:tr w:rsidR="002227E6" w:rsidRPr="00A51557" w14:paraId="6E3A73F7" w14:textId="77777777" w:rsidTr="00A51557">
        <w:tc>
          <w:tcPr>
            <w:tcW w:w="2525" w:type="dxa"/>
            <w:shd w:val="clear" w:color="auto" w:fill="auto"/>
            <w:noWrap/>
            <w:hideMark/>
          </w:tcPr>
          <w:p w14:paraId="7BD70207" w14:textId="77777777" w:rsidR="002227E6" w:rsidRPr="00A51557" w:rsidRDefault="002227E6" w:rsidP="00A51557">
            <w:pPr>
              <w:spacing w:before="40" w:after="40" w:line="220" w:lineRule="exact"/>
              <w:ind w:right="113"/>
              <w:rPr>
                <w:sz w:val="18"/>
                <w:lang w:eastAsia="es-BO"/>
              </w:rPr>
            </w:pPr>
            <w:r w:rsidRPr="00A51557">
              <w:rPr>
                <w:sz w:val="18"/>
                <w:lang w:eastAsia="es-BO"/>
              </w:rPr>
              <w:t>Tarija</w:t>
            </w:r>
          </w:p>
        </w:tc>
        <w:tc>
          <w:tcPr>
            <w:tcW w:w="1615" w:type="dxa"/>
            <w:shd w:val="clear" w:color="auto" w:fill="auto"/>
            <w:noWrap/>
            <w:vAlign w:val="bottom"/>
            <w:hideMark/>
          </w:tcPr>
          <w:p w14:paraId="0275CD1F" w14:textId="77777777" w:rsidR="002227E6" w:rsidRPr="00A51557" w:rsidRDefault="002227E6" w:rsidP="00A51557">
            <w:pPr>
              <w:spacing w:before="40" w:after="40" w:line="220" w:lineRule="exact"/>
              <w:ind w:right="113"/>
              <w:jc w:val="right"/>
              <w:rPr>
                <w:sz w:val="18"/>
              </w:rPr>
            </w:pPr>
            <w:r w:rsidRPr="00A51557">
              <w:rPr>
                <w:sz w:val="18"/>
              </w:rPr>
              <w:t>23</w:t>
            </w:r>
          </w:p>
        </w:tc>
        <w:tc>
          <w:tcPr>
            <w:tcW w:w="1615" w:type="dxa"/>
            <w:shd w:val="clear" w:color="auto" w:fill="auto"/>
            <w:noWrap/>
            <w:vAlign w:val="bottom"/>
            <w:hideMark/>
          </w:tcPr>
          <w:p w14:paraId="7C4ACB24" w14:textId="77777777" w:rsidR="002227E6" w:rsidRPr="00A51557" w:rsidRDefault="002227E6" w:rsidP="00A51557">
            <w:pPr>
              <w:spacing w:before="40" w:after="40" w:line="220" w:lineRule="exact"/>
              <w:ind w:right="113"/>
              <w:jc w:val="right"/>
              <w:rPr>
                <w:sz w:val="18"/>
              </w:rPr>
            </w:pPr>
            <w:r w:rsidRPr="00A51557">
              <w:rPr>
                <w:sz w:val="18"/>
              </w:rPr>
              <w:t>15</w:t>
            </w:r>
          </w:p>
        </w:tc>
        <w:tc>
          <w:tcPr>
            <w:tcW w:w="1615" w:type="dxa"/>
            <w:shd w:val="clear" w:color="auto" w:fill="auto"/>
            <w:noWrap/>
            <w:vAlign w:val="bottom"/>
            <w:hideMark/>
          </w:tcPr>
          <w:p w14:paraId="5C601CB7" w14:textId="77777777" w:rsidR="002227E6" w:rsidRPr="00A51557" w:rsidRDefault="002227E6" w:rsidP="00A51557">
            <w:pPr>
              <w:spacing w:before="40" w:after="40" w:line="220" w:lineRule="exact"/>
              <w:ind w:right="113"/>
              <w:jc w:val="right"/>
              <w:rPr>
                <w:sz w:val="18"/>
              </w:rPr>
            </w:pPr>
            <w:r w:rsidRPr="00A51557">
              <w:rPr>
                <w:sz w:val="18"/>
              </w:rPr>
              <w:t>7</w:t>
            </w:r>
          </w:p>
        </w:tc>
      </w:tr>
      <w:tr w:rsidR="002227E6" w:rsidRPr="00A51557" w14:paraId="13F1C2DD" w14:textId="77777777" w:rsidTr="00A51557">
        <w:tc>
          <w:tcPr>
            <w:tcW w:w="2525" w:type="dxa"/>
            <w:shd w:val="clear" w:color="auto" w:fill="auto"/>
            <w:noWrap/>
            <w:hideMark/>
          </w:tcPr>
          <w:p w14:paraId="537FC29D" w14:textId="77777777" w:rsidR="002227E6" w:rsidRPr="00A51557" w:rsidRDefault="002227E6" w:rsidP="00A51557">
            <w:pPr>
              <w:spacing w:before="40" w:after="40" w:line="220" w:lineRule="exact"/>
              <w:ind w:right="113"/>
              <w:rPr>
                <w:sz w:val="18"/>
                <w:lang w:eastAsia="es-BO"/>
              </w:rPr>
            </w:pPr>
            <w:r w:rsidRPr="00A51557">
              <w:rPr>
                <w:sz w:val="18"/>
                <w:lang w:eastAsia="es-BO"/>
              </w:rPr>
              <w:t>Chuquisaca</w:t>
            </w:r>
          </w:p>
        </w:tc>
        <w:tc>
          <w:tcPr>
            <w:tcW w:w="1615" w:type="dxa"/>
            <w:shd w:val="clear" w:color="auto" w:fill="auto"/>
            <w:noWrap/>
            <w:vAlign w:val="bottom"/>
            <w:hideMark/>
          </w:tcPr>
          <w:p w14:paraId="6759F2D9" w14:textId="77777777" w:rsidR="002227E6" w:rsidRPr="00A51557" w:rsidRDefault="002227E6" w:rsidP="00A51557">
            <w:pPr>
              <w:spacing w:before="40" w:after="40" w:line="220" w:lineRule="exact"/>
              <w:ind w:right="113"/>
              <w:jc w:val="right"/>
              <w:rPr>
                <w:sz w:val="18"/>
              </w:rPr>
            </w:pPr>
            <w:r w:rsidRPr="00A51557">
              <w:rPr>
                <w:sz w:val="18"/>
              </w:rPr>
              <w:t>5</w:t>
            </w:r>
          </w:p>
        </w:tc>
        <w:tc>
          <w:tcPr>
            <w:tcW w:w="1615" w:type="dxa"/>
            <w:shd w:val="clear" w:color="auto" w:fill="auto"/>
            <w:noWrap/>
            <w:vAlign w:val="bottom"/>
            <w:hideMark/>
          </w:tcPr>
          <w:p w14:paraId="00C66BAB" w14:textId="77777777" w:rsidR="002227E6" w:rsidRPr="00A51557" w:rsidRDefault="002227E6" w:rsidP="00A51557">
            <w:pPr>
              <w:spacing w:before="40" w:after="40" w:line="220" w:lineRule="exact"/>
              <w:ind w:right="113"/>
              <w:jc w:val="right"/>
              <w:rPr>
                <w:sz w:val="18"/>
              </w:rPr>
            </w:pPr>
            <w:r w:rsidRPr="00A51557">
              <w:rPr>
                <w:sz w:val="18"/>
              </w:rPr>
              <w:t>4</w:t>
            </w:r>
          </w:p>
        </w:tc>
        <w:tc>
          <w:tcPr>
            <w:tcW w:w="1615" w:type="dxa"/>
            <w:shd w:val="clear" w:color="auto" w:fill="auto"/>
            <w:noWrap/>
            <w:vAlign w:val="bottom"/>
            <w:hideMark/>
          </w:tcPr>
          <w:p w14:paraId="571D23C3" w14:textId="77777777" w:rsidR="002227E6" w:rsidRPr="00A51557" w:rsidRDefault="002227E6" w:rsidP="00A51557">
            <w:pPr>
              <w:spacing w:before="40" w:after="40" w:line="220" w:lineRule="exact"/>
              <w:ind w:right="113"/>
              <w:jc w:val="right"/>
              <w:rPr>
                <w:sz w:val="18"/>
              </w:rPr>
            </w:pPr>
            <w:r w:rsidRPr="00A51557">
              <w:rPr>
                <w:sz w:val="18"/>
              </w:rPr>
              <w:t>7</w:t>
            </w:r>
          </w:p>
        </w:tc>
      </w:tr>
      <w:tr w:rsidR="002227E6" w:rsidRPr="00A51557" w14:paraId="605A620F" w14:textId="77777777" w:rsidTr="00A51557">
        <w:tc>
          <w:tcPr>
            <w:tcW w:w="2525" w:type="dxa"/>
            <w:shd w:val="clear" w:color="auto" w:fill="auto"/>
            <w:noWrap/>
            <w:hideMark/>
          </w:tcPr>
          <w:p w14:paraId="3CCD611E" w14:textId="77777777" w:rsidR="002227E6" w:rsidRPr="00A51557" w:rsidRDefault="002227E6" w:rsidP="00A51557">
            <w:pPr>
              <w:spacing w:before="40" w:after="40" w:line="220" w:lineRule="exact"/>
              <w:ind w:right="113"/>
              <w:rPr>
                <w:sz w:val="18"/>
                <w:lang w:eastAsia="es-BO"/>
              </w:rPr>
            </w:pPr>
            <w:r w:rsidRPr="00A51557">
              <w:rPr>
                <w:sz w:val="18"/>
                <w:lang w:eastAsia="es-BO"/>
              </w:rPr>
              <w:t>Potosí</w:t>
            </w:r>
          </w:p>
        </w:tc>
        <w:tc>
          <w:tcPr>
            <w:tcW w:w="1615" w:type="dxa"/>
            <w:shd w:val="clear" w:color="auto" w:fill="auto"/>
            <w:noWrap/>
            <w:vAlign w:val="bottom"/>
            <w:hideMark/>
          </w:tcPr>
          <w:p w14:paraId="2E1384A8" w14:textId="77777777" w:rsidR="002227E6" w:rsidRPr="00A51557" w:rsidRDefault="002227E6" w:rsidP="00A51557">
            <w:pPr>
              <w:spacing w:before="40" w:after="40" w:line="220" w:lineRule="exact"/>
              <w:ind w:right="113"/>
              <w:jc w:val="right"/>
              <w:rPr>
                <w:sz w:val="18"/>
              </w:rPr>
            </w:pPr>
            <w:r w:rsidRPr="00A51557">
              <w:rPr>
                <w:sz w:val="18"/>
              </w:rPr>
              <w:t>17</w:t>
            </w:r>
          </w:p>
        </w:tc>
        <w:tc>
          <w:tcPr>
            <w:tcW w:w="1615" w:type="dxa"/>
            <w:shd w:val="clear" w:color="auto" w:fill="auto"/>
            <w:noWrap/>
            <w:vAlign w:val="bottom"/>
            <w:hideMark/>
          </w:tcPr>
          <w:p w14:paraId="3DD4E2D2" w14:textId="77777777" w:rsidR="002227E6" w:rsidRPr="00A51557" w:rsidRDefault="002227E6" w:rsidP="00A51557">
            <w:pPr>
              <w:spacing w:before="40" w:after="40" w:line="220" w:lineRule="exact"/>
              <w:ind w:right="113"/>
              <w:jc w:val="right"/>
              <w:rPr>
                <w:sz w:val="18"/>
              </w:rPr>
            </w:pPr>
            <w:r w:rsidRPr="00A51557">
              <w:rPr>
                <w:sz w:val="18"/>
              </w:rPr>
              <w:t>4</w:t>
            </w:r>
          </w:p>
        </w:tc>
        <w:tc>
          <w:tcPr>
            <w:tcW w:w="1615" w:type="dxa"/>
            <w:shd w:val="clear" w:color="auto" w:fill="auto"/>
            <w:noWrap/>
            <w:vAlign w:val="bottom"/>
            <w:hideMark/>
          </w:tcPr>
          <w:p w14:paraId="2B0E5833" w14:textId="77777777" w:rsidR="002227E6" w:rsidRPr="00A51557" w:rsidRDefault="002227E6" w:rsidP="00A51557">
            <w:pPr>
              <w:spacing w:before="40" w:after="40" w:line="220" w:lineRule="exact"/>
              <w:ind w:right="113"/>
              <w:jc w:val="right"/>
              <w:rPr>
                <w:sz w:val="18"/>
              </w:rPr>
            </w:pPr>
            <w:r w:rsidRPr="00A51557">
              <w:rPr>
                <w:sz w:val="18"/>
              </w:rPr>
              <w:t>5</w:t>
            </w:r>
          </w:p>
        </w:tc>
      </w:tr>
      <w:tr w:rsidR="002227E6" w:rsidRPr="00A51557" w14:paraId="2DABBE62" w14:textId="77777777" w:rsidTr="00A51557">
        <w:tc>
          <w:tcPr>
            <w:tcW w:w="2525" w:type="dxa"/>
            <w:tcBorders>
              <w:bottom w:val="single" w:sz="4" w:space="0" w:color="auto"/>
            </w:tcBorders>
            <w:shd w:val="clear" w:color="auto" w:fill="auto"/>
            <w:noWrap/>
            <w:hideMark/>
          </w:tcPr>
          <w:p w14:paraId="0670C8DF" w14:textId="77777777" w:rsidR="002227E6" w:rsidRPr="00A51557" w:rsidRDefault="002227E6" w:rsidP="00A51557">
            <w:pPr>
              <w:spacing w:before="40" w:after="40" w:line="220" w:lineRule="exact"/>
              <w:ind w:right="113"/>
              <w:rPr>
                <w:sz w:val="18"/>
                <w:lang w:eastAsia="es-BO"/>
              </w:rPr>
            </w:pPr>
            <w:r w:rsidRPr="00A51557">
              <w:rPr>
                <w:sz w:val="18"/>
                <w:lang w:eastAsia="es-BO"/>
              </w:rPr>
              <w:t>Pando</w:t>
            </w:r>
          </w:p>
        </w:tc>
        <w:tc>
          <w:tcPr>
            <w:tcW w:w="1615" w:type="dxa"/>
            <w:tcBorders>
              <w:bottom w:val="single" w:sz="4" w:space="0" w:color="auto"/>
            </w:tcBorders>
            <w:shd w:val="clear" w:color="auto" w:fill="auto"/>
            <w:noWrap/>
            <w:vAlign w:val="bottom"/>
            <w:hideMark/>
          </w:tcPr>
          <w:p w14:paraId="2FD6CA4F" w14:textId="77777777" w:rsidR="002227E6" w:rsidRPr="00A51557" w:rsidRDefault="002227E6" w:rsidP="00A51557">
            <w:pPr>
              <w:spacing w:before="40" w:after="40" w:line="220" w:lineRule="exact"/>
              <w:ind w:right="113"/>
              <w:jc w:val="right"/>
              <w:rPr>
                <w:sz w:val="18"/>
              </w:rPr>
            </w:pPr>
            <w:r w:rsidRPr="00A51557">
              <w:rPr>
                <w:sz w:val="18"/>
              </w:rPr>
              <w:t>4</w:t>
            </w:r>
          </w:p>
        </w:tc>
        <w:tc>
          <w:tcPr>
            <w:tcW w:w="1615" w:type="dxa"/>
            <w:tcBorders>
              <w:bottom w:val="single" w:sz="4" w:space="0" w:color="auto"/>
            </w:tcBorders>
            <w:shd w:val="clear" w:color="auto" w:fill="auto"/>
            <w:noWrap/>
            <w:vAlign w:val="bottom"/>
            <w:hideMark/>
          </w:tcPr>
          <w:p w14:paraId="5E1C147C" w14:textId="77777777" w:rsidR="002227E6" w:rsidRPr="00A51557" w:rsidRDefault="002227E6" w:rsidP="00A51557">
            <w:pPr>
              <w:spacing w:before="40" w:after="40" w:line="220" w:lineRule="exact"/>
              <w:ind w:right="113"/>
              <w:jc w:val="right"/>
              <w:rPr>
                <w:sz w:val="18"/>
              </w:rPr>
            </w:pPr>
            <w:r w:rsidRPr="00A51557">
              <w:rPr>
                <w:sz w:val="18"/>
              </w:rPr>
              <w:t>6</w:t>
            </w:r>
          </w:p>
        </w:tc>
        <w:tc>
          <w:tcPr>
            <w:tcW w:w="1615" w:type="dxa"/>
            <w:tcBorders>
              <w:bottom w:val="single" w:sz="4" w:space="0" w:color="auto"/>
            </w:tcBorders>
            <w:shd w:val="clear" w:color="auto" w:fill="auto"/>
            <w:noWrap/>
            <w:vAlign w:val="bottom"/>
            <w:hideMark/>
          </w:tcPr>
          <w:p w14:paraId="764AC670" w14:textId="77777777" w:rsidR="002227E6" w:rsidRPr="00A51557" w:rsidRDefault="002227E6" w:rsidP="00A51557">
            <w:pPr>
              <w:spacing w:before="40" w:after="40" w:line="220" w:lineRule="exact"/>
              <w:ind w:right="113"/>
              <w:jc w:val="right"/>
              <w:rPr>
                <w:sz w:val="18"/>
              </w:rPr>
            </w:pPr>
            <w:r w:rsidRPr="00A51557">
              <w:rPr>
                <w:sz w:val="18"/>
              </w:rPr>
              <w:t>1</w:t>
            </w:r>
          </w:p>
        </w:tc>
      </w:tr>
      <w:tr w:rsidR="002227E6" w:rsidRPr="00A51557" w14:paraId="41318FF7" w14:textId="77777777" w:rsidTr="00A51557">
        <w:tc>
          <w:tcPr>
            <w:tcW w:w="2525" w:type="dxa"/>
            <w:tcBorders>
              <w:top w:val="single" w:sz="4" w:space="0" w:color="auto"/>
              <w:bottom w:val="single" w:sz="12" w:space="0" w:color="auto"/>
            </w:tcBorders>
            <w:shd w:val="clear" w:color="auto" w:fill="auto"/>
            <w:noWrap/>
            <w:hideMark/>
          </w:tcPr>
          <w:p w14:paraId="30B38DA5" w14:textId="77777777" w:rsidR="002227E6" w:rsidRPr="00A51557" w:rsidRDefault="002227E6" w:rsidP="00A51557">
            <w:pPr>
              <w:spacing w:before="80" w:after="80" w:line="220" w:lineRule="exact"/>
              <w:ind w:left="282" w:right="113"/>
              <w:rPr>
                <w:b/>
                <w:sz w:val="18"/>
                <w:lang w:eastAsia="es-BO"/>
              </w:rPr>
            </w:pPr>
            <w:r w:rsidRPr="00A51557">
              <w:rPr>
                <w:b/>
                <w:sz w:val="18"/>
                <w:lang w:eastAsia="es-BO"/>
              </w:rPr>
              <w:t>Total</w:t>
            </w:r>
          </w:p>
        </w:tc>
        <w:tc>
          <w:tcPr>
            <w:tcW w:w="1615" w:type="dxa"/>
            <w:tcBorders>
              <w:top w:val="single" w:sz="4" w:space="0" w:color="auto"/>
              <w:bottom w:val="single" w:sz="12" w:space="0" w:color="auto"/>
            </w:tcBorders>
            <w:shd w:val="clear" w:color="auto" w:fill="auto"/>
            <w:noWrap/>
            <w:vAlign w:val="bottom"/>
            <w:hideMark/>
          </w:tcPr>
          <w:p w14:paraId="734DB6D3" w14:textId="77777777" w:rsidR="002227E6" w:rsidRPr="00A51557" w:rsidRDefault="002227E6" w:rsidP="00A51557">
            <w:pPr>
              <w:spacing w:before="80" w:after="80" w:line="220" w:lineRule="exact"/>
              <w:ind w:right="113"/>
              <w:jc w:val="right"/>
              <w:rPr>
                <w:b/>
                <w:sz w:val="18"/>
              </w:rPr>
            </w:pPr>
            <w:r w:rsidRPr="00A51557">
              <w:rPr>
                <w:b/>
                <w:sz w:val="18"/>
              </w:rPr>
              <w:t>373</w:t>
            </w:r>
          </w:p>
        </w:tc>
        <w:tc>
          <w:tcPr>
            <w:tcW w:w="1615" w:type="dxa"/>
            <w:tcBorders>
              <w:top w:val="single" w:sz="4" w:space="0" w:color="auto"/>
              <w:bottom w:val="single" w:sz="12" w:space="0" w:color="auto"/>
            </w:tcBorders>
            <w:shd w:val="clear" w:color="auto" w:fill="auto"/>
            <w:noWrap/>
            <w:vAlign w:val="bottom"/>
            <w:hideMark/>
          </w:tcPr>
          <w:p w14:paraId="076BAC39" w14:textId="77777777" w:rsidR="002227E6" w:rsidRPr="00A51557" w:rsidRDefault="002227E6" w:rsidP="00A51557">
            <w:pPr>
              <w:spacing w:before="80" w:after="80" w:line="220" w:lineRule="exact"/>
              <w:ind w:right="113"/>
              <w:jc w:val="right"/>
              <w:rPr>
                <w:b/>
                <w:sz w:val="18"/>
              </w:rPr>
            </w:pPr>
            <w:r w:rsidRPr="00A51557">
              <w:rPr>
                <w:b/>
                <w:sz w:val="18"/>
              </w:rPr>
              <w:t>305</w:t>
            </w:r>
          </w:p>
        </w:tc>
        <w:tc>
          <w:tcPr>
            <w:tcW w:w="1615" w:type="dxa"/>
            <w:tcBorders>
              <w:top w:val="single" w:sz="4" w:space="0" w:color="auto"/>
              <w:bottom w:val="single" w:sz="12" w:space="0" w:color="auto"/>
            </w:tcBorders>
            <w:shd w:val="clear" w:color="auto" w:fill="auto"/>
            <w:noWrap/>
            <w:vAlign w:val="bottom"/>
            <w:hideMark/>
          </w:tcPr>
          <w:p w14:paraId="48BACC04" w14:textId="77777777" w:rsidR="002227E6" w:rsidRPr="00A51557" w:rsidRDefault="002227E6" w:rsidP="00A51557">
            <w:pPr>
              <w:spacing w:before="80" w:after="80" w:line="220" w:lineRule="exact"/>
              <w:ind w:right="113"/>
              <w:jc w:val="right"/>
              <w:rPr>
                <w:b/>
                <w:sz w:val="18"/>
              </w:rPr>
            </w:pPr>
            <w:r w:rsidRPr="00A51557">
              <w:rPr>
                <w:b/>
                <w:sz w:val="18"/>
              </w:rPr>
              <w:t>289</w:t>
            </w:r>
          </w:p>
        </w:tc>
      </w:tr>
    </w:tbl>
    <w:p w14:paraId="256CE0C2" w14:textId="77777777" w:rsidR="002227E6" w:rsidRPr="00456AD6" w:rsidRDefault="002227E6" w:rsidP="00456AD6">
      <w:pPr>
        <w:pStyle w:val="SingleTxtG"/>
        <w:spacing w:before="120" w:after="0"/>
        <w:ind w:firstLine="170"/>
        <w:jc w:val="left"/>
        <w:rPr>
          <w:sz w:val="18"/>
        </w:rPr>
      </w:pPr>
      <w:r w:rsidRPr="00DF1608">
        <w:rPr>
          <w:i/>
          <w:iCs/>
          <w:sz w:val="18"/>
        </w:rPr>
        <w:t>Source</w:t>
      </w:r>
      <w:r w:rsidRPr="00456AD6">
        <w:rPr>
          <w:sz w:val="18"/>
        </w:rPr>
        <w:t>: Prepared by OBSCD, based on information provided by the Bolivian Police, August 2021.</w:t>
      </w:r>
    </w:p>
    <w:p w14:paraId="5CF726C6" w14:textId="77777777" w:rsidR="002227E6" w:rsidRPr="00D470FC" w:rsidRDefault="002227E6" w:rsidP="002227E6">
      <w:pPr>
        <w:pStyle w:val="H23G"/>
        <w:rPr>
          <w:rFonts w:eastAsia="Calibri"/>
        </w:rPr>
      </w:pPr>
      <w:r w:rsidRPr="00D470FC">
        <w:lastRenderedPageBreak/>
        <w:tab/>
      </w:r>
      <w:r w:rsidRPr="00D470FC">
        <w:tab/>
      </w:r>
      <w:r w:rsidRPr="00D470FC">
        <w:rPr>
          <w:bCs/>
        </w:rPr>
        <w:t>Number of reported cases of trafficking in persons 2019–2021 (Expressed in percentage)</w:t>
      </w:r>
      <w:bookmarkStart w:id="5" w:name="_Hlk93483655"/>
    </w:p>
    <w:bookmarkEnd w:id="5"/>
    <w:p w14:paraId="109771E5" w14:textId="77777777" w:rsidR="002227E6" w:rsidRPr="00D470FC" w:rsidRDefault="002227E6" w:rsidP="002227E6">
      <w:pPr>
        <w:pStyle w:val="SingleTxtG"/>
        <w:spacing w:before="120" w:after="240"/>
        <w:rPr>
          <w:bCs/>
          <w:sz w:val="18"/>
          <w:szCs w:val="18"/>
          <w:lang w:eastAsia="es-BO"/>
        </w:rPr>
      </w:pPr>
      <w:r w:rsidRPr="00D470FC">
        <w:rPr>
          <w:noProof/>
          <w:lang w:eastAsia="en-GB"/>
        </w:rPr>
        <w:drawing>
          <wp:inline distT="0" distB="0" distL="0" distR="0" wp14:anchorId="20579564" wp14:editId="5B0AE51C">
            <wp:extent cx="5129759" cy="1489116"/>
            <wp:effectExtent l="19050" t="19050" r="13970" b="158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8026" r="1326" b="831"/>
                    <a:stretch/>
                  </pic:blipFill>
                  <pic:spPr bwMode="auto">
                    <a:xfrm>
                      <a:off x="0" y="0"/>
                      <a:ext cx="5158980" cy="1497599"/>
                    </a:xfrm>
                    <a:prstGeom prst="rect">
                      <a:avLst/>
                    </a:prstGeom>
                    <a:noFill/>
                    <a:ln w="6350">
                      <a:solidFill>
                        <a:schemeClr val="accent1"/>
                      </a:solidFill>
                    </a:ln>
                    <a:extLst>
                      <a:ext uri="{53640926-AAD7-44D8-BBD7-CCE9431645EC}">
                        <a14:shadowObscured xmlns:a14="http://schemas.microsoft.com/office/drawing/2010/main"/>
                      </a:ext>
                    </a:extLst>
                  </pic:spPr>
                </pic:pic>
              </a:graphicData>
            </a:graphic>
          </wp:inline>
        </w:drawing>
      </w:r>
    </w:p>
    <w:p w14:paraId="1CF90A40" w14:textId="77777777" w:rsidR="002227E6" w:rsidRPr="00DF1608" w:rsidRDefault="002227E6" w:rsidP="00DF1608">
      <w:pPr>
        <w:pStyle w:val="SingleTxtG"/>
        <w:spacing w:before="120" w:after="0"/>
        <w:ind w:firstLine="170"/>
        <w:jc w:val="left"/>
        <w:rPr>
          <w:sz w:val="18"/>
        </w:rPr>
      </w:pPr>
      <w:r w:rsidRPr="00DF1608">
        <w:rPr>
          <w:i/>
          <w:iCs/>
          <w:sz w:val="18"/>
        </w:rPr>
        <w:t>Source</w:t>
      </w:r>
      <w:r w:rsidRPr="00DF1608">
        <w:rPr>
          <w:sz w:val="18"/>
        </w:rPr>
        <w:t>: Prepared by OBSCD, based on information provided by the Bolivian Police, August 2021.</w:t>
      </w:r>
    </w:p>
    <w:p w14:paraId="190B0B99" w14:textId="77777777" w:rsidR="002227E6" w:rsidRPr="00D470FC" w:rsidRDefault="002227E6" w:rsidP="00DF1608">
      <w:pPr>
        <w:pStyle w:val="H23G"/>
      </w:pPr>
      <w:r w:rsidRPr="00D470FC">
        <w:tab/>
      </w:r>
      <w:r w:rsidRPr="00D470FC">
        <w:tab/>
        <w:t>Reported cases of trafficking in persons, by sex and age group, 2019–2021</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22"/>
        <w:gridCol w:w="1034"/>
        <w:gridCol w:w="1238"/>
        <w:gridCol w:w="1238"/>
        <w:gridCol w:w="1238"/>
      </w:tblGrid>
      <w:tr w:rsidR="00586416" w:rsidRPr="00586416" w14:paraId="4842918B" w14:textId="77777777" w:rsidTr="00586416">
        <w:trPr>
          <w:trHeight w:val="240"/>
          <w:tblHeader/>
        </w:trPr>
        <w:tc>
          <w:tcPr>
            <w:tcW w:w="2884" w:type="dxa"/>
            <w:tcBorders>
              <w:top w:val="single" w:sz="4" w:space="0" w:color="auto"/>
              <w:bottom w:val="single" w:sz="12" w:space="0" w:color="auto"/>
            </w:tcBorders>
            <w:shd w:val="clear" w:color="auto" w:fill="auto"/>
            <w:vAlign w:val="bottom"/>
            <w:hideMark/>
          </w:tcPr>
          <w:p w14:paraId="57C8B7F5" w14:textId="77777777" w:rsidR="002227E6" w:rsidRPr="00586416" w:rsidRDefault="002227E6" w:rsidP="00586416">
            <w:pPr>
              <w:spacing w:before="80" w:after="80" w:line="200" w:lineRule="exact"/>
              <w:ind w:right="113"/>
              <w:rPr>
                <w:bCs/>
                <w:i/>
                <w:sz w:val="16"/>
              </w:rPr>
            </w:pPr>
            <w:r w:rsidRPr="00586416">
              <w:rPr>
                <w:i/>
                <w:iCs/>
                <w:sz w:val="16"/>
              </w:rPr>
              <w:t>Sex and age group</w:t>
            </w:r>
          </w:p>
        </w:tc>
        <w:tc>
          <w:tcPr>
            <w:tcW w:w="1136" w:type="dxa"/>
            <w:tcBorders>
              <w:top w:val="single" w:sz="4" w:space="0" w:color="auto"/>
              <w:bottom w:val="single" w:sz="12" w:space="0" w:color="auto"/>
            </w:tcBorders>
            <w:shd w:val="clear" w:color="auto" w:fill="auto"/>
            <w:noWrap/>
            <w:vAlign w:val="bottom"/>
            <w:hideMark/>
          </w:tcPr>
          <w:p w14:paraId="4A4627DE" w14:textId="77777777" w:rsidR="002227E6" w:rsidRPr="00586416" w:rsidRDefault="002227E6" w:rsidP="00586416">
            <w:pPr>
              <w:spacing w:before="80" w:after="80" w:line="200" w:lineRule="exact"/>
              <w:ind w:right="113"/>
              <w:jc w:val="right"/>
              <w:rPr>
                <w:bCs/>
                <w:i/>
                <w:sz w:val="16"/>
              </w:rPr>
            </w:pPr>
            <w:r w:rsidRPr="00586416">
              <w:rPr>
                <w:i/>
                <w:iCs/>
                <w:sz w:val="16"/>
              </w:rPr>
              <w:t>2019</w:t>
            </w:r>
          </w:p>
        </w:tc>
        <w:tc>
          <w:tcPr>
            <w:tcW w:w="1360" w:type="dxa"/>
            <w:tcBorders>
              <w:top w:val="single" w:sz="4" w:space="0" w:color="auto"/>
              <w:bottom w:val="single" w:sz="12" w:space="0" w:color="auto"/>
            </w:tcBorders>
            <w:shd w:val="clear" w:color="auto" w:fill="auto"/>
            <w:noWrap/>
            <w:vAlign w:val="bottom"/>
            <w:hideMark/>
          </w:tcPr>
          <w:p w14:paraId="00743EC7" w14:textId="77777777" w:rsidR="002227E6" w:rsidRPr="00586416" w:rsidRDefault="002227E6" w:rsidP="00586416">
            <w:pPr>
              <w:spacing w:before="80" w:after="80" w:line="200" w:lineRule="exact"/>
              <w:ind w:right="113"/>
              <w:jc w:val="right"/>
              <w:rPr>
                <w:bCs/>
                <w:i/>
                <w:sz w:val="16"/>
              </w:rPr>
            </w:pPr>
            <w:r w:rsidRPr="00586416">
              <w:rPr>
                <w:i/>
                <w:iCs/>
                <w:sz w:val="16"/>
              </w:rPr>
              <w:t>2020</w:t>
            </w:r>
          </w:p>
        </w:tc>
        <w:tc>
          <w:tcPr>
            <w:tcW w:w="1360" w:type="dxa"/>
            <w:tcBorders>
              <w:top w:val="single" w:sz="4" w:space="0" w:color="auto"/>
              <w:bottom w:val="single" w:sz="12" w:space="0" w:color="auto"/>
            </w:tcBorders>
            <w:shd w:val="clear" w:color="auto" w:fill="auto"/>
            <w:noWrap/>
            <w:vAlign w:val="bottom"/>
            <w:hideMark/>
          </w:tcPr>
          <w:p w14:paraId="06990494" w14:textId="77777777" w:rsidR="002227E6" w:rsidRPr="00586416" w:rsidRDefault="002227E6" w:rsidP="00586416">
            <w:pPr>
              <w:spacing w:before="80" w:after="80" w:line="200" w:lineRule="exact"/>
              <w:ind w:right="113"/>
              <w:jc w:val="right"/>
              <w:rPr>
                <w:bCs/>
                <w:i/>
                <w:sz w:val="16"/>
              </w:rPr>
            </w:pPr>
            <w:r w:rsidRPr="00586416">
              <w:rPr>
                <w:i/>
                <w:iCs/>
                <w:sz w:val="16"/>
              </w:rPr>
              <w:t>2021*</w:t>
            </w:r>
          </w:p>
        </w:tc>
        <w:tc>
          <w:tcPr>
            <w:tcW w:w="1360" w:type="dxa"/>
            <w:tcBorders>
              <w:top w:val="single" w:sz="4" w:space="0" w:color="auto"/>
              <w:bottom w:val="single" w:sz="12" w:space="0" w:color="auto"/>
            </w:tcBorders>
            <w:shd w:val="clear" w:color="auto" w:fill="auto"/>
            <w:noWrap/>
            <w:vAlign w:val="bottom"/>
            <w:hideMark/>
          </w:tcPr>
          <w:p w14:paraId="375162A8" w14:textId="77777777" w:rsidR="002227E6" w:rsidRPr="00586416" w:rsidRDefault="002227E6" w:rsidP="00586416">
            <w:pPr>
              <w:spacing w:before="80" w:after="80" w:line="200" w:lineRule="exact"/>
              <w:ind w:right="113"/>
              <w:jc w:val="right"/>
              <w:rPr>
                <w:bCs/>
                <w:i/>
                <w:sz w:val="16"/>
              </w:rPr>
            </w:pPr>
            <w:r w:rsidRPr="00586416">
              <w:rPr>
                <w:i/>
                <w:iCs/>
                <w:sz w:val="16"/>
              </w:rPr>
              <w:t>Total</w:t>
            </w:r>
          </w:p>
        </w:tc>
      </w:tr>
      <w:tr w:rsidR="002227E6" w:rsidRPr="00586416" w14:paraId="51C0177C" w14:textId="77777777" w:rsidTr="00586416">
        <w:trPr>
          <w:trHeight w:val="240"/>
        </w:trPr>
        <w:tc>
          <w:tcPr>
            <w:tcW w:w="2884" w:type="dxa"/>
            <w:tcBorders>
              <w:top w:val="single" w:sz="12" w:space="0" w:color="auto"/>
              <w:bottom w:val="single" w:sz="4" w:space="0" w:color="auto"/>
            </w:tcBorders>
            <w:shd w:val="clear" w:color="auto" w:fill="auto"/>
            <w:noWrap/>
            <w:hideMark/>
          </w:tcPr>
          <w:p w14:paraId="3CD6592A" w14:textId="77777777" w:rsidR="002227E6" w:rsidRPr="00586416" w:rsidRDefault="002227E6" w:rsidP="00586416">
            <w:pPr>
              <w:spacing w:before="40" w:after="40" w:line="220" w:lineRule="exact"/>
              <w:ind w:right="113"/>
              <w:rPr>
                <w:b/>
                <w:bCs/>
                <w:sz w:val="18"/>
              </w:rPr>
            </w:pPr>
            <w:r w:rsidRPr="00586416">
              <w:rPr>
                <w:b/>
                <w:bCs/>
                <w:sz w:val="18"/>
              </w:rPr>
              <w:t>Total</w:t>
            </w:r>
          </w:p>
        </w:tc>
        <w:tc>
          <w:tcPr>
            <w:tcW w:w="1136" w:type="dxa"/>
            <w:tcBorders>
              <w:top w:val="single" w:sz="12" w:space="0" w:color="auto"/>
              <w:bottom w:val="single" w:sz="4" w:space="0" w:color="auto"/>
            </w:tcBorders>
            <w:shd w:val="clear" w:color="auto" w:fill="auto"/>
            <w:noWrap/>
            <w:vAlign w:val="bottom"/>
            <w:hideMark/>
          </w:tcPr>
          <w:p w14:paraId="062767AB" w14:textId="77777777" w:rsidR="002227E6" w:rsidRPr="00586416" w:rsidRDefault="002227E6" w:rsidP="00586416">
            <w:pPr>
              <w:spacing w:before="40" w:after="40" w:line="220" w:lineRule="exact"/>
              <w:ind w:right="113"/>
              <w:jc w:val="right"/>
              <w:rPr>
                <w:b/>
                <w:bCs/>
                <w:sz w:val="18"/>
              </w:rPr>
            </w:pPr>
            <w:r w:rsidRPr="00586416">
              <w:rPr>
                <w:b/>
                <w:bCs/>
                <w:sz w:val="18"/>
              </w:rPr>
              <w:t>373</w:t>
            </w:r>
          </w:p>
        </w:tc>
        <w:tc>
          <w:tcPr>
            <w:tcW w:w="1360" w:type="dxa"/>
            <w:tcBorders>
              <w:top w:val="single" w:sz="12" w:space="0" w:color="auto"/>
              <w:bottom w:val="single" w:sz="4" w:space="0" w:color="auto"/>
            </w:tcBorders>
            <w:shd w:val="clear" w:color="auto" w:fill="auto"/>
            <w:noWrap/>
            <w:vAlign w:val="bottom"/>
            <w:hideMark/>
          </w:tcPr>
          <w:p w14:paraId="30C0C292" w14:textId="77777777" w:rsidR="002227E6" w:rsidRPr="00586416" w:rsidRDefault="002227E6" w:rsidP="00586416">
            <w:pPr>
              <w:spacing w:before="40" w:after="40" w:line="220" w:lineRule="exact"/>
              <w:ind w:right="113"/>
              <w:jc w:val="right"/>
              <w:rPr>
                <w:b/>
                <w:bCs/>
                <w:sz w:val="18"/>
              </w:rPr>
            </w:pPr>
            <w:r w:rsidRPr="00586416">
              <w:rPr>
                <w:b/>
                <w:bCs/>
                <w:sz w:val="18"/>
              </w:rPr>
              <w:t>305</w:t>
            </w:r>
          </w:p>
        </w:tc>
        <w:tc>
          <w:tcPr>
            <w:tcW w:w="1360" w:type="dxa"/>
            <w:tcBorders>
              <w:top w:val="single" w:sz="12" w:space="0" w:color="auto"/>
              <w:bottom w:val="single" w:sz="4" w:space="0" w:color="auto"/>
            </w:tcBorders>
            <w:shd w:val="clear" w:color="auto" w:fill="auto"/>
            <w:noWrap/>
            <w:vAlign w:val="bottom"/>
            <w:hideMark/>
          </w:tcPr>
          <w:p w14:paraId="6DF51E66" w14:textId="77777777" w:rsidR="002227E6" w:rsidRPr="00586416" w:rsidRDefault="002227E6" w:rsidP="00586416">
            <w:pPr>
              <w:spacing w:before="40" w:after="40" w:line="220" w:lineRule="exact"/>
              <w:ind w:right="113"/>
              <w:jc w:val="right"/>
              <w:rPr>
                <w:b/>
                <w:bCs/>
                <w:sz w:val="18"/>
              </w:rPr>
            </w:pPr>
            <w:r w:rsidRPr="00586416">
              <w:rPr>
                <w:b/>
                <w:bCs/>
                <w:sz w:val="18"/>
              </w:rPr>
              <w:t>289</w:t>
            </w:r>
          </w:p>
        </w:tc>
        <w:tc>
          <w:tcPr>
            <w:tcW w:w="1360" w:type="dxa"/>
            <w:tcBorders>
              <w:top w:val="single" w:sz="12" w:space="0" w:color="auto"/>
              <w:bottom w:val="single" w:sz="4" w:space="0" w:color="auto"/>
            </w:tcBorders>
            <w:shd w:val="clear" w:color="auto" w:fill="auto"/>
            <w:noWrap/>
            <w:vAlign w:val="bottom"/>
            <w:hideMark/>
          </w:tcPr>
          <w:p w14:paraId="6F9C1435" w14:textId="77777777" w:rsidR="002227E6" w:rsidRPr="00586416" w:rsidRDefault="002227E6" w:rsidP="00586416">
            <w:pPr>
              <w:spacing w:before="40" w:after="40" w:line="220" w:lineRule="exact"/>
              <w:ind w:right="113"/>
              <w:jc w:val="right"/>
              <w:rPr>
                <w:b/>
                <w:bCs/>
                <w:sz w:val="18"/>
              </w:rPr>
            </w:pPr>
            <w:r w:rsidRPr="00586416">
              <w:rPr>
                <w:b/>
                <w:bCs/>
                <w:sz w:val="18"/>
              </w:rPr>
              <w:t>967</w:t>
            </w:r>
          </w:p>
        </w:tc>
      </w:tr>
      <w:tr w:rsidR="002227E6" w:rsidRPr="00586416" w14:paraId="4CCA55CB" w14:textId="77777777" w:rsidTr="00586416">
        <w:trPr>
          <w:trHeight w:val="240"/>
        </w:trPr>
        <w:tc>
          <w:tcPr>
            <w:tcW w:w="2884" w:type="dxa"/>
            <w:tcBorders>
              <w:top w:val="single" w:sz="4" w:space="0" w:color="auto"/>
            </w:tcBorders>
            <w:shd w:val="clear" w:color="auto" w:fill="auto"/>
            <w:noWrap/>
            <w:hideMark/>
          </w:tcPr>
          <w:p w14:paraId="5151CEFB" w14:textId="77777777" w:rsidR="002227E6" w:rsidRPr="00586416" w:rsidRDefault="002227E6" w:rsidP="00586416">
            <w:pPr>
              <w:spacing w:before="40" w:after="40" w:line="220" w:lineRule="exact"/>
              <w:ind w:right="113"/>
              <w:rPr>
                <w:bCs/>
                <w:sz w:val="18"/>
              </w:rPr>
            </w:pPr>
            <w:r w:rsidRPr="00586416">
              <w:rPr>
                <w:sz w:val="18"/>
              </w:rPr>
              <w:t>Male</w:t>
            </w:r>
          </w:p>
        </w:tc>
        <w:tc>
          <w:tcPr>
            <w:tcW w:w="1136" w:type="dxa"/>
            <w:tcBorders>
              <w:top w:val="single" w:sz="4" w:space="0" w:color="auto"/>
            </w:tcBorders>
            <w:shd w:val="clear" w:color="auto" w:fill="auto"/>
            <w:noWrap/>
            <w:vAlign w:val="bottom"/>
            <w:hideMark/>
          </w:tcPr>
          <w:p w14:paraId="4A7E5258" w14:textId="77777777" w:rsidR="002227E6" w:rsidRPr="00586416" w:rsidRDefault="002227E6" w:rsidP="00586416">
            <w:pPr>
              <w:spacing w:before="40" w:after="40" w:line="220" w:lineRule="exact"/>
              <w:ind w:right="113"/>
              <w:jc w:val="right"/>
              <w:rPr>
                <w:bCs/>
                <w:sz w:val="18"/>
              </w:rPr>
            </w:pPr>
            <w:r w:rsidRPr="00586416">
              <w:rPr>
                <w:sz w:val="18"/>
              </w:rPr>
              <w:t>125</w:t>
            </w:r>
          </w:p>
        </w:tc>
        <w:tc>
          <w:tcPr>
            <w:tcW w:w="1360" w:type="dxa"/>
            <w:tcBorders>
              <w:top w:val="single" w:sz="4" w:space="0" w:color="auto"/>
            </w:tcBorders>
            <w:shd w:val="clear" w:color="auto" w:fill="auto"/>
            <w:noWrap/>
            <w:vAlign w:val="bottom"/>
            <w:hideMark/>
          </w:tcPr>
          <w:p w14:paraId="6B29C7AB" w14:textId="77777777" w:rsidR="002227E6" w:rsidRPr="00586416" w:rsidRDefault="002227E6" w:rsidP="00586416">
            <w:pPr>
              <w:spacing w:before="40" w:after="40" w:line="220" w:lineRule="exact"/>
              <w:ind w:right="113"/>
              <w:jc w:val="right"/>
              <w:rPr>
                <w:bCs/>
                <w:sz w:val="18"/>
              </w:rPr>
            </w:pPr>
            <w:r w:rsidRPr="00586416">
              <w:rPr>
                <w:sz w:val="18"/>
              </w:rPr>
              <w:t>105</w:t>
            </w:r>
          </w:p>
        </w:tc>
        <w:tc>
          <w:tcPr>
            <w:tcW w:w="1360" w:type="dxa"/>
            <w:tcBorders>
              <w:top w:val="single" w:sz="4" w:space="0" w:color="auto"/>
            </w:tcBorders>
            <w:shd w:val="clear" w:color="auto" w:fill="auto"/>
            <w:noWrap/>
            <w:vAlign w:val="bottom"/>
            <w:hideMark/>
          </w:tcPr>
          <w:p w14:paraId="3CDDD2D3" w14:textId="77777777" w:rsidR="002227E6" w:rsidRPr="00586416" w:rsidRDefault="002227E6" w:rsidP="00586416">
            <w:pPr>
              <w:spacing w:before="40" w:after="40" w:line="220" w:lineRule="exact"/>
              <w:ind w:right="113"/>
              <w:jc w:val="right"/>
              <w:rPr>
                <w:bCs/>
                <w:sz w:val="18"/>
              </w:rPr>
            </w:pPr>
            <w:r w:rsidRPr="00586416">
              <w:rPr>
                <w:sz w:val="18"/>
              </w:rPr>
              <w:t>109</w:t>
            </w:r>
          </w:p>
        </w:tc>
        <w:tc>
          <w:tcPr>
            <w:tcW w:w="1360" w:type="dxa"/>
            <w:tcBorders>
              <w:top w:val="single" w:sz="4" w:space="0" w:color="auto"/>
            </w:tcBorders>
            <w:shd w:val="clear" w:color="auto" w:fill="auto"/>
            <w:noWrap/>
            <w:vAlign w:val="bottom"/>
            <w:hideMark/>
          </w:tcPr>
          <w:p w14:paraId="24EDAB1E" w14:textId="77777777" w:rsidR="002227E6" w:rsidRPr="00586416" w:rsidRDefault="002227E6" w:rsidP="00586416">
            <w:pPr>
              <w:spacing w:before="40" w:after="40" w:line="220" w:lineRule="exact"/>
              <w:ind w:right="113"/>
              <w:jc w:val="right"/>
              <w:rPr>
                <w:bCs/>
                <w:sz w:val="18"/>
              </w:rPr>
            </w:pPr>
            <w:r w:rsidRPr="00586416">
              <w:rPr>
                <w:sz w:val="18"/>
              </w:rPr>
              <w:t>339</w:t>
            </w:r>
          </w:p>
        </w:tc>
      </w:tr>
      <w:tr w:rsidR="002227E6" w:rsidRPr="00586416" w14:paraId="20A1ADA0" w14:textId="77777777" w:rsidTr="00586416">
        <w:trPr>
          <w:trHeight w:val="240"/>
        </w:trPr>
        <w:tc>
          <w:tcPr>
            <w:tcW w:w="2884" w:type="dxa"/>
            <w:shd w:val="clear" w:color="auto" w:fill="auto"/>
            <w:noWrap/>
            <w:hideMark/>
          </w:tcPr>
          <w:p w14:paraId="094A39EC" w14:textId="77777777" w:rsidR="002227E6" w:rsidRPr="00586416" w:rsidRDefault="002227E6" w:rsidP="00586416">
            <w:pPr>
              <w:spacing w:before="40" w:after="40" w:line="220" w:lineRule="exact"/>
              <w:ind w:right="113"/>
              <w:rPr>
                <w:sz w:val="18"/>
              </w:rPr>
            </w:pPr>
            <w:r w:rsidRPr="00586416">
              <w:rPr>
                <w:sz w:val="18"/>
              </w:rPr>
              <w:t>1–10</w:t>
            </w:r>
          </w:p>
        </w:tc>
        <w:tc>
          <w:tcPr>
            <w:tcW w:w="1136" w:type="dxa"/>
            <w:shd w:val="clear" w:color="auto" w:fill="auto"/>
            <w:noWrap/>
            <w:vAlign w:val="bottom"/>
            <w:hideMark/>
          </w:tcPr>
          <w:p w14:paraId="7F9CB8CB" w14:textId="77777777" w:rsidR="002227E6" w:rsidRPr="00586416" w:rsidRDefault="002227E6" w:rsidP="00586416">
            <w:pPr>
              <w:spacing w:before="40" w:after="40" w:line="220" w:lineRule="exact"/>
              <w:ind w:right="113"/>
              <w:jc w:val="right"/>
              <w:rPr>
                <w:sz w:val="18"/>
              </w:rPr>
            </w:pPr>
            <w:r w:rsidRPr="00586416">
              <w:rPr>
                <w:sz w:val="18"/>
              </w:rPr>
              <w:t>13</w:t>
            </w:r>
          </w:p>
        </w:tc>
        <w:tc>
          <w:tcPr>
            <w:tcW w:w="1360" w:type="dxa"/>
            <w:shd w:val="clear" w:color="auto" w:fill="auto"/>
            <w:noWrap/>
            <w:vAlign w:val="bottom"/>
            <w:hideMark/>
          </w:tcPr>
          <w:p w14:paraId="3A6A4E70" w14:textId="77777777" w:rsidR="002227E6" w:rsidRPr="00586416" w:rsidRDefault="002227E6" w:rsidP="00586416">
            <w:pPr>
              <w:spacing w:before="40" w:after="40" w:line="220" w:lineRule="exact"/>
              <w:ind w:right="113"/>
              <w:jc w:val="right"/>
              <w:rPr>
                <w:sz w:val="18"/>
              </w:rPr>
            </w:pPr>
            <w:r w:rsidRPr="00586416">
              <w:rPr>
                <w:sz w:val="18"/>
              </w:rPr>
              <w:t>14</w:t>
            </w:r>
          </w:p>
        </w:tc>
        <w:tc>
          <w:tcPr>
            <w:tcW w:w="1360" w:type="dxa"/>
            <w:shd w:val="clear" w:color="auto" w:fill="auto"/>
            <w:noWrap/>
            <w:vAlign w:val="bottom"/>
            <w:hideMark/>
          </w:tcPr>
          <w:p w14:paraId="1B5000EC" w14:textId="77777777" w:rsidR="002227E6" w:rsidRPr="00586416" w:rsidRDefault="002227E6" w:rsidP="00586416">
            <w:pPr>
              <w:spacing w:before="40" w:after="40" w:line="220" w:lineRule="exact"/>
              <w:ind w:right="113"/>
              <w:jc w:val="right"/>
              <w:rPr>
                <w:sz w:val="18"/>
              </w:rPr>
            </w:pPr>
            <w:r w:rsidRPr="00586416">
              <w:rPr>
                <w:sz w:val="18"/>
              </w:rPr>
              <w:t>3</w:t>
            </w:r>
          </w:p>
        </w:tc>
        <w:tc>
          <w:tcPr>
            <w:tcW w:w="1360" w:type="dxa"/>
            <w:shd w:val="clear" w:color="auto" w:fill="auto"/>
            <w:noWrap/>
            <w:vAlign w:val="bottom"/>
            <w:hideMark/>
          </w:tcPr>
          <w:p w14:paraId="6740163A" w14:textId="77777777" w:rsidR="002227E6" w:rsidRPr="00586416" w:rsidRDefault="002227E6" w:rsidP="00586416">
            <w:pPr>
              <w:spacing w:before="40" w:after="40" w:line="220" w:lineRule="exact"/>
              <w:ind w:right="113"/>
              <w:jc w:val="right"/>
              <w:rPr>
                <w:bCs/>
                <w:sz w:val="18"/>
              </w:rPr>
            </w:pPr>
            <w:r w:rsidRPr="00586416">
              <w:rPr>
                <w:sz w:val="18"/>
              </w:rPr>
              <w:t>30</w:t>
            </w:r>
          </w:p>
        </w:tc>
      </w:tr>
      <w:tr w:rsidR="002227E6" w:rsidRPr="00586416" w14:paraId="6F2E3CC6" w14:textId="77777777" w:rsidTr="00586416">
        <w:trPr>
          <w:trHeight w:val="240"/>
        </w:trPr>
        <w:tc>
          <w:tcPr>
            <w:tcW w:w="2884" w:type="dxa"/>
            <w:shd w:val="clear" w:color="auto" w:fill="auto"/>
            <w:noWrap/>
            <w:hideMark/>
          </w:tcPr>
          <w:p w14:paraId="758EA4F2" w14:textId="77777777" w:rsidR="002227E6" w:rsidRPr="00586416" w:rsidRDefault="002227E6" w:rsidP="00586416">
            <w:pPr>
              <w:spacing w:before="40" w:after="40" w:line="220" w:lineRule="exact"/>
              <w:ind w:right="113"/>
              <w:rPr>
                <w:sz w:val="18"/>
              </w:rPr>
            </w:pPr>
            <w:r w:rsidRPr="00586416">
              <w:rPr>
                <w:sz w:val="18"/>
              </w:rPr>
              <w:t>11–18</w:t>
            </w:r>
          </w:p>
        </w:tc>
        <w:tc>
          <w:tcPr>
            <w:tcW w:w="1136" w:type="dxa"/>
            <w:shd w:val="clear" w:color="auto" w:fill="auto"/>
            <w:noWrap/>
            <w:vAlign w:val="bottom"/>
            <w:hideMark/>
          </w:tcPr>
          <w:p w14:paraId="7C5ABF3D" w14:textId="77777777" w:rsidR="002227E6" w:rsidRPr="00586416" w:rsidRDefault="002227E6" w:rsidP="00586416">
            <w:pPr>
              <w:spacing w:before="40" w:after="40" w:line="220" w:lineRule="exact"/>
              <w:ind w:right="113"/>
              <w:jc w:val="right"/>
              <w:rPr>
                <w:sz w:val="18"/>
              </w:rPr>
            </w:pPr>
            <w:r w:rsidRPr="00586416">
              <w:rPr>
                <w:sz w:val="18"/>
              </w:rPr>
              <w:t>24</w:t>
            </w:r>
          </w:p>
        </w:tc>
        <w:tc>
          <w:tcPr>
            <w:tcW w:w="1360" w:type="dxa"/>
            <w:shd w:val="clear" w:color="auto" w:fill="auto"/>
            <w:noWrap/>
            <w:vAlign w:val="bottom"/>
            <w:hideMark/>
          </w:tcPr>
          <w:p w14:paraId="40677395" w14:textId="77777777" w:rsidR="002227E6" w:rsidRPr="00586416" w:rsidRDefault="002227E6" w:rsidP="00586416">
            <w:pPr>
              <w:spacing w:before="40" w:after="40" w:line="220" w:lineRule="exact"/>
              <w:ind w:right="113"/>
              <w:jc w:val="right"/>
              <w:rPr>
                <w:sz w:val="18"/>
              </w:rPr>
            </w:pPr>
            <w:r w:rsidRPr="00586416">
              <w:rPr>
                <w:sz w:val="18"/>
              </w:rPr>
              <w:t>18</w:t>
            </w:r>
          </w:p>
        </w:tc>
        <w:tc>
          <w:tcPr>
            <w:tcW w:w="1360" w:type="dxa"/>
            <w:shd w:val="clear" w:color="auto" w:fill="auto"/>
            <w:noWrap/>
            <w:vAlign w:val="bottom"/>
            <w:hideMark/>
          </w:tcPr>
          <w:p w14:paraId="5BC9EEAC" w14:textId="77777777" w:rsidR="002227E6" w:rsidRPr="00586416" w:rsidRDefault="002227E6" w:rsidP="00586416">
            <w:pPr>
              <w:spacing w:before="40" w:after="40" w:line="220" w:lineRule="exact"/>
              <w:ind w:right="113"/>
              <w:jc w:val="right"/>
              <w:rPr>
                <w:sz w:val="18"/>
              </w:rPr>
            </w:pPr>
            <w:r w:rsidRPr="00586416">
              <w:rPr>
                <w:sz w:val="18"/>
              </w:rPr>
              <w:t>22</w:t>
            </w:r>
          </w:p>
        </w:tc>
        <w:tc>
          <w:tcPr>
            <w:tcW w:w="1360" w:type="dxa"/>
            <w:shd w:val="clear" w:color="auto" w:fill="auto"/>
            <w:noWrap/>
            <w:vAlign w:val="bottom"/>
            <w:hideMark/>
          </w:tcPr>
          <w:p w14:paraId="6CD62AA0" w14:textId="77777777" w:rsidR="002227E6" w:rsidRPr="00586416" w:rsidRDefault="002227E6" w:rsidP="00586416">
            <w:pPr>
              <w:spacing w:before="40" w:after="40" w:line="220" w:lineRule="exact"/>
              <w:ind w:right="113"/>
              <w:jc w:val="right"/>
              <w:rPr>
                <w:bCs/>
                <w:sz w:val="18"/>
              </w:rPr>
            </w:pPr>
            <w:r w:rsidRPr="00586416">
              <w:rPr>
                <w:sz w:val="18"/>
              </w:rPr>
              <w:t>64</w:t>
            </w:r>
          </w:p>
        </w:tc>
      </w:tr>
      <w:tr w:rsidR="002227E6" w:rsidRPr="00586416" w14:paraId="13968FBB" w14:textId="77777777" w:rsidTr="00586416">
        <w:trPr>
          <w:trHeight w:val="240"/>
        </w:trPr>
        <w:tc>
          <w:tcPr>
            <w:tcW w:w="2884" w:type="dxa"/>
            <w:shd w:val="clear" w:color="auto" w:fill="auto"/>
            <w:noWrap/>
            <w:hideMark/>
          </w:tcPr>
          <w:p w14:paraId="5BDE737C" w14:textId="77777777" w:rsidR="002227E6" w:rsidRPr="00586416" w:rsidRDefault="002227E6" w:rsidP="00586416">
            <w:pPr>
              <w:spacing w:before="40" w:after="40" w:line="220" w:lineRule="exact"/>
              <w:ind w:right="113"/>
              <w:rPr>
                <w:sz w:val="18"/>
              </w:rPr>
            </w:pPr>
            <w:r w:rsidRPr="00586416">
              <w:rPr>
                <w:sz w:val="18"/>
              </w:rPr>
              <w:t>19–35</w:t>
            </w:r>
          </w:p>
        </w:tc>
        <w:tc>
          <w:tcPr>
            <w:tcW w:w="1136" w:type="dxa"/>
            <w:shd w:val="clear" w:color="auto" w:fill="auto"/>
            <w:noWrap/>
            <w:vAlign w:val="bottom"/>
            <w:hideMark/>
          </w:tcPr>
          <w:p w14:paraId="00014A1F" w14:textId="77777777" w:rsidR="002227E6" w:rsidRPr="00586416" w:rsidRDefault="002227E6" w:rsidP="00586416">
            <w:pPr>
              <w:spacing w:before="40" w:after="40" w:line="220" w:lineRule="exact"/>
              <w:ind w:right="113"/>
              <w:jc w:val="right"/>
              <w:rPr>
                <w:sz w:val="18"/>
              </w:rPr>
            </w:pPr>
            <w:r w:rsidRPr="00586416">
              <w:rPr>
                <w:sz w:val="18"/>
              </w:rPr>
              <w:t>22</w:t>
            </w:r>
          </w:p>
        </w:tc>
        <w:tc>
          <w:tcPr>
            <w:tcW w:w="1360" w:type="dxa"/>
            <w:shd w:val="clear" w:color="auto" w:fill="auto"/>
            <w:noWrap/>
            <w:vAlign w:val="bottom"/>
            <w:hideMark/>
          </w:tcPr>
          <w:p w14:paraId="4C853438" w14:textId="77777777" w:rsidR="002227E6" w:rsidRPr="00586416" w:rsidRDefault="002227E6" w:rsidP="00586416">
            <w:pPr>
              <w:spacing w:before="40" w:after="40" w:line="220" w:lineRule="exact"/>
              <w:ind w:right="113"/>
              <w:jc w:val="right"/>
              <w:rPr>
                <w:sz w:val="18"/>
              </w:rPr>
            </w:pPr>
            <w:r w:rsidRPr="00586416">
              <w:rPr>
                <w:sz w:val="18"/>
              </w:rPr>
              <w:t>25</w:t>
            </w:r>
          </w:p>
        </w:tc>
        <w:tc>
          <w:tcPr>
            <w:tcW w:w="1360" w:type="dxa"/>
            <w:shd w:val="clear" w:color="auto" w:fill="auto"/>
            <w:noWrap/>
            <w:vAlign w:val="bottom"/>
            <w:hideMark/>
          </w:tcPr>
          <w:p w14:paraId="2D312196" w14:textId="77777777" w:rsidR="002227E6" w:rsidRPr="00586416" w:rsidRDefault="002227E6" w:rsidP="00586416">
            <w:pPr>
              <w:spacing w:before="40" w:after="40" w:line="220" w:lineRule="exact"/>
              <w:ind w:right="113"/>
              <w:jc w:val="right"/>
              <w:rPr>
                <w:sz w:val="18"/>
              </w:rPr>
            </w:pPr>
            <w:r w:rsidRPr="00586416">
              <w:rPr>
                <w:sz w:val="18"/>
              </w:rPr>
              <w:t>23</w:t>
            </w:r>
          </w:p>
        </w:tc>
        <w:tc>
          <w:tcPr>
            <w:tcW w:w="1360" w:type="dxa"/>
            <w:shd w:val="clear" w:color="auto" w:fill="auto"/>
            <w:noWrap/>
            <w:vAlign w:val="bottom"/>
            <w:hideMark/>
          </w:tcPr>
          <w:p w14:paraId="50E245A4" w14:textId="77777777" w:rsidR="002227E6" w:rsidRPr="00586416" w:rsidRDefault="002227E6" w:rsidP="00586416">
            <w:pPr>
              <w:spacing w:before="40" w:after="40" w:line="220" w:lineRule="exact"/>
              <w:ind w:right="113"/>
              <w:jc w:val="right"/>
              <w:rPr>
                <w:bCs/>
                <w:sz w:val="18"/>
              </w:rPr>
            </w:pPr>
            <w:r w:rsidRPr="00586416">
              <w:rPr>
                <w:sz w:val="18"/>
              </w:rPr>
              <w:t>70</w:t>
            </w:r>
          </w:p>
        </w:tc>
      </w:tr>
      <w:tr w:rsidR="002227E6" w:rsidRPr="00586416" w14:paraId="5D92741D" w14:textId="77777777" w:rsidTr="00586416">
        <w:trPr>
          <w:trHeight w:val="240"/>
        </w:trPr>
        <w:tc>
          <w:tcPr>
            <w:tcW w:w="2884" w:type="dxa"/>
            <w:shd w:val="clear" w:color="auto" w:fill="auto"/>
            <w:noWrap/>
            <w:hideMark/>
          </w:tcPr>
          <w:p w14:paraId="1214A2AC" w14:textId="77777777" w:rsidR="002227E6" w:rsidRPr="00586416" w:rsidRDefault="002227E6" w:rsidP="00586416">
            <w:pPr>
              <w:spacing w:before="40" w:after="40" w:line="220" w:lineRule="exact"/>
              <w:ind w:right="113"/>
              <w:rPr>
                <w:sz w:val="18"/>
              </w:rPr>
            </w:pPr>
            <w:r w:rsidRPr="00586416">
              <w:rPr>
                <w:sz w:val="18"/>
              </w:rPr>
              <w:t>36–50</w:t>
            </w:r>
          </w:p>
        </w:tc>
        <w:tc>
          <w:tcPr>
            <w:tcW w:w="1136" w:type="dxa"/>
            <w:shd w:val="clear" w:color="auto" w:fill="auto"/>
            <w:noWrap/>
            <w:vAlign w:val="bottom"/>
            <w:hideMark/>
          </w:tcPr>
          <w:p w14:paraId="3CB15AA1" w14:textId="77777777" w:rsidR="002227E6" w:rsidRPr="00586416" w:rsidRDefault="002227E6" w:rsidP="00586416">
            <w:pPr>
              <w:spacing w:before="40" w:after="40" w:line="220" w:lineRule="exact"/>
              <w:ind w:right="113"/>
              <w:jc w:val="right"/>
              <w:rPr>
                <w:sz w:val="18"/>
              </w:rPr>
            </w:pPr>
            <w:r w:rsidRPr="00586416">
              <w:rPr>
                <w:sz w:val="18"/>
              </w:rPr>
              <w:t>12</w:t>
            </w:r>
          </w:p>
        </w:tc>
        <w:tc>
          <w:tcPr>
            <w:tcW w:w="1360" w:type="dxa"/>
            <w:shd w:val="clear" w:color="auto" w:fill="auto"/>
            <w:noWrap/>
            <w:vAlign w:val="bottom"/>
            <w:hideMark/>
          </w:tcPr>
          <w:p w14:paraId="7AEEAA87" w14:textId="77777777" w:rsidR="002227E6" w:rsidRPr="00586416" w:rsidRDefault="002227E6" w:rsidP="00586416">
            <w:pPr>
              <w:spacing w:before="40" w:after="40" w:line="220" w:lineRule="exact"/>
              <w:ind w:right="113"/>
              <w:jc w:val="right"/>
              <w:rPr>
                <w:sz w:val="18"/>
              </w:rPr>
            </w:pPr>
            <w:r w:rsidRPr="00586416">
              <w:rPr>
                <w:sz w:val="18"/>
              </w:rPr>
              <w:t>23</w:t>
            </w:r>
          </w:p>
        </w:tc>
        <w:tc>
          <w:tcPr>
            <w:tcW w:w="1360" w:type="dxa"/>
            <w:shd w:val="clear" w:color="auto" w:fill="auto"/>
            <w:noWrap/>
            <w:vAlign w:val="bottom"/>
            <w:hideMark/>
          </w:tcPr>
          <w:p w14:paraId="3110E74B" w14:textId="77777777" w:rsidR="002227E6" w:rsidRPr="00586416" w:rsidRDefault="002227E6" w:rsidP="00586416">
            <w:pPr>
              <w:spacing w:before="40" w:after="40" w:line="220" w:lineRule="exact"/>
              <w:ind w:right="113"/>
              <w:jc w:val="right"/>
              <w:rPr>
                <w:sz w:val="18"/>
              </w:rPr>
            </w:pPr>
            <w:r w:rsidRPr="00586416">
              <w:rPr>
                <w:sz w:val="18"/>
              </w:rPr>
              <w:t>18</w:t>
            </w:r>
          </w:p>
        </w:tc>
        <w:tc>
          <w:tcPr>
            <w:tcW w:w="1360" w:type="dxa"/>
            <w:shd w:val="clear" w:color="auto" w:fill="auto"/>
            <w:noWrap/>
            <w:vAlign w:val="bottom"/>
            <w:hideMark/>
          </w:tcPr>
          <w:p w14:paraId="7085F199" w14:textId="77777777" w:rsidR="002227E6" w:rsidRPr="00586416" w:rsidRDefault="002227E6" w:rsidP="00586416">
            <w:pPr>
              <w:spacing w:before="40" w:after="40" w:line="220" w:lineRule="exact"/>
              <w:ind w:right="113"/>
              <w:jc w:val="right"/>
              <w:rPr>
                <w:bCs/>
                <w:sz w:val="18"/>
              </w:rPr>
            </w:pPr>
            <w:r w:rsidRPr="00586416">
              <w:rPr>
                <w:sz w:val="18"/>
              </w:rPr>
              <w:t>53</w:t>
            </w:r>
          </w:p>
        </w:tc>
      </w:tr>
      <w:tr w:rsidR="002227E6" w:rsidRPr="00586416" w14:paraId="0FE70DF2" w14:textId="77777777" w:rsidTr="00586416">
        <w:trPr>
          <w:trHeight w:val="240"/>
        </w:trPr>
        <w:tc>
          <w:tcPr>
            <w:tcW w:w="2884" w:type="dxa"/>
            <w:shd w:val="clear" w:color="auto" w:fill="auto"/>
            <w:noWrap/>
            <w:hideMark/>
          </w:tcPr>
          <w:p w14:paraId="567D6E5A" w14:textId="77777777" w:rsidR="002227E6" w:rsidRPr="00586416" w:rsidRDefault="002227E6" w:rsidP="00586416">
            <w:pPr>
              <w:spacing w:before="40" w:after="40" w:line="220" w:lineRule="exact"/>
              <w:ind w:right="113"/>
              <w:rPr>
                <w:sz w:val="18"/>
              </w:rPr>
            </w:pPr>
            <w:r w:rsidRPr="00586416">
              <w:rPr>
                <w:sz w:val="18"/>
              </w:rPr>
              <w:t>51–60</w:t>
            </w:r>
          </w:p>
        </w:tc>
        <w:tc>
          <w:tcPr>
            <w:tcW w:w="1136" w:type="dxa"/>
            <w:shd w:val="clear" w:color="auto" w:fill="auto"/>
            <w:noWrap/>
            <w:vAlign w:val="bottom"/>
            <w:hideMark/>
          </w:tcPr>
          <w:p w14:paraId="24FF492A" w14:textId="77777777" w:rsidR="002227E6" w:rsidRPr="00586416" w:rsidRDefault="002227E6" w:rsidP="00586416">
            <w:pPr>
              <w:spacing w:before="40" w:after="40" w:line="220" w:lineRule="exact"/>
              <w:ind w:right="113"/>
              <w:jc w:val="right"/>
              <w:rPr>
                <w:sz w:val="18"/>
              </w:rPr>
            </w:pPr>
            <w:r w:rsidRPr="00586416">
              <w:rPr>
                <w:sz w:val="18"/>
              </w:rPr>
              <w:t>6</w:t>
            </w:r>
          </w:p>
        </w:tc>
        <w:tc>
          <w:tcPr>
            <w:tcW w:w="1360" w:type="dxa"/>
            <w:shd w:val="clear" w:color="auto" w:fill="auto"/>
            <w:noWrap/>
            <w:vAlign w:val="bottom"/>
            <w:hideMark/>
          </w:tcPr>
          <w:p w14:paraId="70A69B42" w14:textId="77777777" w:rsidR="002227E6" w:rsidRPr="00586416" w:rsidRDefault="002227E6" w:rsidP="00586416">
            <w:pPr>
              <w:spacing w:before="40" w:after="40" w:line="220" w:lineRule="exact"/>
              <w:ind w:right="113"/>
              <w:jc w:val="right"/>
              <w:rPr>
                <w:sz w:val="18"/>
              </w:rPr>
            </w:pPr>
            <w:r w:rsidRPr="00586416">
              <w:rPr>
                <w:sz w:val="18"/>
              </w:rPr>
              <w:t>8</w:t>
            </w:r>
          </w:p>
        </w:tc>
        <w:tc>
          <w:tcPr>
            <w:tcW w:w="1360" w:type="dxa"/>
            <w:shd w:val="clear" w:color="auto" w:fill="auto"/>
            <w:noWrap/>
            <w:vAlign w:val="bottom"/>
            <w:hideMark/>
          </w:tcPr>
          <w:p w14:paraId="429F2C5C" w14:textId="77777777" w:rsidR="002227E6" w:rsidRPr="00586416" w:rsidRDefault="002227E6" w:rsidP="00586416">
            <w:pPr>
              <w:spacing w:before="40" w:after="40" w:line="220" w:lineRule="exact"/>
              <w:ind w:right="113"/>
              <w:jc w:val="right"/>
              <w:rPr>
                <w:sz w:val="18"/>
              </w:rPr>
            </w:pPr>
            <w:r w:rsidRPr="00586416">
              <w:rPr>
                <w:sz w:val="18"/>
              </w:rPr>
              <w:t>7</w:t>
            </w:r>
          </w:p>
        </w:tc>
        <w:tc>
          <w:tcPr>
            <w:tcW w:w="1360" w:type="dxa"/>
            <w:shd w:val="clear" w:color="auto" w:fill="auto"/>
            <w:noWrap/>
            <w:vAlign w:val="bottom"/>
            <w:hideMark/>
          </w:tcPr>
          <w:p w14:paraId="6F75A926" w14:textId="77777777" w:rsidR="002227E6" w:rsidRPr="00586416" w:rsidRDefault="002227E6" w:rsidP="00586416">
            <w:pPr>
              <w:spacing w:before="40" w:after="40" w:line="220" w:lineRule="exact"/>
              <w:ind w:right="113"/>
              <w:jc w:val="right"/>
              <w:rPr>
                <w:bCs/>
                <w:sz w:val="18"/>
              </w:rPr>
            </w:pPr>
            <w:r w:rsidRPr="00586416">
              <w:rPr>
                <w:sz w:val="18"/>
              </w:rPr>
              <w:t>21</w:t>
            </w:r>
          </w:p>
        </w:tc>
      </w:tr>
      <w:tr w:rsidR="002227E6" w:rsidRPr="00586416" w14:paraId="6C1D9A90" w14:textId="77777777" w:rsidTr="00586416">
        <w:trPr>
          <w:trHeight w:val="240"/>
        </w:trPr>
        <w:tc>
          <w:tcPr>
            <w:tcW w:w="2884" w:type="dxa"/>
            <w:shd w:val="clear" w:color="auto" w:fill="auto"/>
            <w:noWrap/>
            <w:hideMark/>
          </w:tcPr>
          <w:p w14:paraId="2E0EA933" w14:textId="77777777" w:rsidR="002227E6" w:rsidRPr="00586416" w:rsidRDefault="002227E6" w:rsidP="00586416">
            <w:pPr>
              <w:spacing w:before="40" w:after="40" w:line="220" w:lineRule="exact"/>
              <w:ind w:right="113"/>
              <w:rPr>
                <w:sz w:val="18"/>
              </w:rPr>
            </w:pPr>
            <w:r w:rsidRPr="00586416">
              <w:rPr>
                <w:sz w:val="18"/>
              </w:rPr>
              <w:t>61 or older</w:t>
            </w:r>
          </w:p>
        </w:tc>
        <w:tc>
          <w:tcPr>
            <w:tcW w:w="1136" w:type="dxa"/>
            <w:shd w:val="clear" w:color="auto" w:fill="auto"/>
            <w:noWrap/>
            <w:vAlign w:val="bottom"/>
            <w:hideMark/>
          </w:tcPr>
          <w:p w14:paraId="037DCA6B" w14:textId="77777777" w:rsidR="002227E6" w:rsidRPr="00586416" w:rsidRDefault="002227E6" w:rsidP="00586416">
            <w:pPr>
              <w:spacing w:before="40" w:after="40" w:line="220" w:lineRule="exact"/>
              <w:ind w:right="113"/>
              <w:jc w:val="right"/>
              <w:rPr>
                <w:sz w:val="18"/>
              </w:rPr>
            </w:pPr>
            <w:r w:rsidRPr="00586416">
              <w:rPr>
                <w:sz w:val="18"/>
              </w:rPr>
              <w:t>3</w:t>
            </w:r>
          </w:p>
        </w:tc>
        <w:tc>
          <w:tcPr>
            <w:tcW w:w="1360" w:type="dxa"/>
            <w:shd w:val="clear" w:color="auto" w:fill="auto"/>
            <w:noWrap/>
            <w:vAlign w:val="bottom"/>
            <w:hideMark/>
          </w:tcPr>
          <w:p w14:paraId="0BCB29E4" w14:textId="77777777" w:rsidR="002227E6" w:rsidRPr="00586416" w:rsidRDefault="002227E6" w:rsidP="00586416">
            <w:pPr>
              <w:spacing w:before="40" w:after="40" w:line="220" w:lineRule="exact"/>
              <w:ind w:right="113"/>
              <w:jc w:val="right"/>
              <w:rPr>
                <w:sz w:val="18"/>
              </w:rPr>
            </w:pPr>
            <w:r w:rsidRPr="00586416">
              <w:rPr>
                <w:sz w:val="18"/>
              </w:rPr>
              <w:t>8</w:t>
            </w:r>
          </w:p>
        </w:tc>
        <w:tc>
          <w:tcPr>
            <w:tcW w:w="1360" w:type="dxa"/>
            <w:shd w:val="clear" w:color="auto" w:fill="auto"/>
            <w:noWrap/>
            <w:vAlign w:val="bottom"/>
            <w:hideMark/>
          </w:tcPr>
          <w:p w14:paraId="0C12BA17" w14:textId="77777777" w:rsidR="002227E6" w:rsidRPr="00586416" w:rsidRDefault="002227E6" w:rsidP="00586416">
            <w:pPr>
              <w:spacing w:before="40" w:after="40" w:line="220" w:lineRule="exact"/>
              <w:ind w:right="113"/>
              <w:jc w:val="right"/>
              <w:rPr>
                <w:sz w:val="18"/>
              </w:rPr>
            </w:pPr>
            <w:r w:rsidRPr="00586416">
              <w:rPr>
                <w:sz w:val="18"/>
              </w:rPr>
              <w:t>9</w:t>
            </w:r>
          </w:p>
        </w:tc>
        <w:tc>
          <w:tcPr>
            <w:tcW w:w="1360" w:type="dxa"/>
            <w:shd w:val="clear" w:color="auto" w:fill="auto"/>
            <w:noWrap/>
            <w:vAlign w:val="bottom"/>
            <w:hideMark/>
          </w:tcPr>
          <w:p w14:paraId="4579C8EA" w14:textId="77777777" w:rsidR="002227E6" w:rsidRPr="00586416" w:rsidRDefault="002227E6" w:rsidP="00586416">
            <w:pPr>
              <w:spacing w:before="40" w:after="40" w:line="220" w:lineRule="exact"/>
              <w:ind w:right="113"/>
              <w:jc w:val="right"/>
              <w:rPr>
                <w:bCs/>
                <w:sz w:val="18"/>
              </w:rPr>
            </w:pPr>
            <w:r w:rsidRPr="00586416">
              <w:rPr>
                <w:sz w:val="18"/>
              </w:rPr>
              <w:t>20</w:t>
            </w:r>
          </w:p>
        </w:tc>
      </w:tr>
      <w:tr w:rsidR="002227E6" w:rsidRPr="00586416" w14:paraId="04BDD6B9" w14:textId="77777777" w:rsidTr="00586416">
        <w:trPr>
          <w:trHeight w:val="240"/>
        </w:trPr>
        <w:tc>
          <w:tcPr>
            <w:tcW w:w="2884" w:type="dxa"/>
            <w:shd w:val="clear" w:color="auto" w:fill="auto"/>
            <w:noWrap/>
            <w:hideMark/>
          </w:tcPr>
          <w:p w14:paraId="46BF732F" w14:textId="77777777" w:rsidR="002227E6" w:rsidRPr="00586416" w:rsidRDefault="002227E6" w:rsidP="00586416">
            <w:pPr>
              <w:spacing w:before="40" w:after="40" w:line="220" w:lineRule="exact"/>
              <w:ind w:right="113"/>
              <w:rPr>
                <w:sz w:val="18"/>
              </w:rPr>
            </w:pPr>
            <w:r w:rsidRPr="00586416">
              <w:rPr>
                <w:sz w:val="18"/>
              </w:rPr>
              <w:t>Unknown</w:t>
            </w:r>
          </w:p>
        </w:tc>
        <w:tc>
          <w:tcPr>
            <w:tcW w:w="1136" w:type="dxa"/>
            <w:shd w:val="clear" w:color="auto" w:fill="auto"/>
            <w:noWrap/>
            <w:vAlign w:val="bottom"/>
            <w:hideMark/>
          </w:tcPr>
          <w:p w14:paraId="39B2A911" w14:textId="77777777" w:rsidR="002227E6" w:rsidRPr="00586416" w:rsidRDefault="002227E6" w:rsidP="00586416">
            <w:pPr>
              <w:spacing w:before="40" w:after="40" w:line="220" w:lineRule="exact"/>
              <w:ind w:right="113"/>
              <w:jc w:val="right"/>
              <w:rPr>
                <w:sz w:val="18"/>
              </w:rPr>
            </w:pPr>
            <w:r w:rsidRPr="00586416">
              <w:rPr>
                <w:sz w:val="18"/>
              </w:rPr>
              <w:t>45</w:t>
            </w:r>
          </w:p>
        </w:tc>
        <w:tc>
          <w:tcPr>
            <w:tcW w:w="1360" w:type="dxa"/>
            <w:shd w:val="clear" w:color="auto" w:fill="auto"/>
            <w:noWrap/>
            <w:vAlign w:val="bottom"/>
            <w:hideMark/>
          </w:tcPr>
          <w:p w14:paraId="160CC699" w14:textId="77777777" w:rsidR="002227E6" w:rsidRPr="00586416" w:rsidRDefault="002227E6" w:rsidP="00586416">
            <w:pPr>
              <w:spacing w:before="40" w:after="40" w:line="220" w:lineRule="exact"/>
              <w:ind w:right="113"/>
              <w:jc w:val="right"/>
              <w:rPr>
                <w:sz w:val="18"/>
              </w:rPr>
            </w:pPr>
            <w:r w:rsidRPr="00586416">
              <w:rPr>
                <w:sz w:val="18"/>
              </w:rPr>
              <w:t>9</w:t>
            </w:r>
          </w:p>
        </w:tc>
        <w:tc>
          <w:tcPr>
            <w:tcW w:w="1360" w:type="dxa"/>
            <w:shd w:val="clear" w:color="auto" w:fill="auto"/>
            <w:noWrap/>
            <w:vAlign w:val="bottom"/>
            <w:hideMark/>
          </w:tcPr>
          <w:p w14:paraId="032B91C2" w14:textId="77777777" w:rsidR="002227E6" w:rsidRPr="00586416" w:rsidRDefault="002227E6" w:rsidP="00586416">
            <w:pPr>
              <w:spacing w:before="40" w:after="40" w:line="220" w:lineRule="exact"/>
              <w:ind w:right="113"/>
              <w:jc w:val="right"/>
              <w:rPr>
                <w:sz w:val="18"/>
              </w:rPr>
            </w:pPr>
            <w:r w:rsidRPr="00586416">
              <w:rPr>
                <w:sz w:val="18"/>
              </w:rPr>
              <w:t>27</w:t>
            </w:r>
          </w:p>
        </w:tc>
        <w:tc>
          <w:tcPr>
            <w:tcW w:w="1360" w:type="dxa"/>
            <w:shd w:val="clear" w:color="auto" w:fill="auto"/>
            <w:noWrap/>
            <w:vAlign w:val="bottom"/>
            <w:hideMark/>
          </w:tcPr>
          <w:p w14:paraId="39837F77" w14:textId="77777777" w:rsidR="002227E6" w:rsidRPr="00586416" w:rsidRDefault="002227E6" w:rsidP="00586416">
            <w:pPr>
              <w:spacing w:before="40" w:after="40" w:line="220" w:lineRule="exact"/>
              <w:ind w:right="113"/>
              <w:jc w:val="right"/>
              <w:rPr>
                <w:bCs/>
                <w:sz w:val="18"/>
              </w:rPr>
            </w:pPr>
            <w:r w:rsidRPr="00586416">
              <w:rPr>
                <w:sz w:val="18"/>
              </w:rPr>
              <w:t>81</w:t>
            </w:r>
          </w:p>
        </w:tc>
      </w:tr>
      <w:tr w:rsidR="002227E6" w:rsidRPr="00586416" w14:paraId="2FE2317C" w14:textId="77777777" w:rsidTr="00586416">
        <w:trPr>
          <w:trHeight w:val="240"/>
        </w:trPr>
        <w:tc>
          <w:tcPr>
            <w:tcW w:w="2884" w:type="dxa"/>
            <w:shd w:val="clear" w:color="auto" w:fill="auto"/>
            <w:noWrap/>
            <w:hideMark/>
          </w:tcPr>
          <w:p w14:paraId="01E31D33" w14:textId="77777777" w:rsidR="002227E6" w:rsidRPr="00586416" w:rsidRDefault="002227E6" w:rsidP="00586416">
            <w:pPr>
              <w:spacing w:before="40" w:after="40" w:line="220" w:lineRule="exact"/>
              <w:ind w:right="113"/>
              <w:rPr>
                <w:bCs/>
                <w:sz w:val="18"/>
              </w:rPr>
            </w:pPr>
            <w:r w:rsidRPr="00586416">
              <w:rPr>
                <w:sz w:val="18"/>
              </w:rPr>
              <w:t>Female</w:t>
            </w:r>
          </w:p>
        </w:tc>
        <w:tc>
          <w:tcPr>
            <w:tcW w:w="1136" w:type="dxa"/>
            <w:shd w:val="clear" w:color="auto" w:fill="auto"/>
            <w:noWrap/>
            <w:vAlign w:val="bottom"/>
            <w:hideMark/>
          </w:tcPr>
          <w:p w14:paraId="00E3E487" w14:textId="77777777" w:rsidR="002227E6" w:rsidRPr="00586416" w:rsidRDefault="002227E6" w:rsidP="00586416">
            <w:pPr>
              <w:spacing w:before="40" w:after="40" w:line="220" w:lineRule="exact"/>
              <w:ind w:right="113"/>
              <w:jc w:val="right"/>
              <w:rPr>
                <w:bCs/>
                <w:sz w:val="18"/>
              </w:rPr>
            </w:pPr>
            <w:r w:rsidRPr="00586416">
              <w:rPr>
                <w:sz w:val="18"/>
              </w:rPr>
              <w:t>248</w:t>
            </w:r>
          </w:p>
        </w:tc>
        <w:tc>
          <w:tcPr>
            <w:tcW w:w="1360" w:type="dxa"/>
            <w:shd w:val="clear" w:color="auto" w:fill="auto"/>
            <w:noWrap/>
            <w:vAlign w:val="bottom"/>
            <w:hideMark/>
          </w:tcPr>
          <w:p w14:paraId="41C2CEF6" w14:textId="77777777" w:rsidR="002227E6" w:rsidRPr="00586416" w:rsidRDefault="002227E6" w:rsidP="00586416">
            <w:pPr>
              <w:spacing w:before="40" w:after="40" w:line="220" w:lineRule="exact"/>
              <w:ind w:right="113"/>
              <w:jc w:val="right"/>
              <w:rPr>
                <w:bCs/>
                <w:sz w:val="18"/>
              </w:rPr>
            </w:pPr>
            <w:r w:rsidRPr="00586416">
              <w:rPr>
                <w:sz w:val="18"/>
              </w:rPr>
              <w:t>200</w:t>
            </w:r>
          </w:p>
        </w:tc>
        <w:tc>
          <w:tcPr>
            <w:tcW w:w="1360" w:type="dxa"/>
            <w:shd w:val="clear" w:color="auto" w:fill="auto"/>
            <w:noWrap/>
            <w:vAlign w:val="bottom"/>
            <w:hideMark/>
          </w:tcPr>
          <w:p w14:paraId="698A7B84" w14:textId="77777777" w:rsidR="002227E6" w:rsidRPr="00586416" w:rsidRDefault="002227E6" w:rsidP="00586416">
            <w:pPr>
              <w:spacing w:before="40" w:after="40" w:line="220" w:lineRule="exact"/>
              <w:ind w:right="113"/>
              <w:jc w:val="right"/>
              <w:rPr>
                <w:bCs/>
                <w:sz w:val="18"/>
              </w:rPr>
            </w:pPr>
            <w:r w:rsidRPr="00586416">
              <w:rPr>
                <w:sz w:val="18"/>
              </w:rPr>
              <w:t>180</w:t>
            </w:r>
          </w:p>
        </w:tc>
        <w:tc>
          <w:tcPr>
            <w:tcW w:w="1360" w:type="dxa"/>
            <w:shd w:val="clear" w:color="auto" w:fill="auto"/>
            <w:noWrap/>
            <w:vAlign w:val="bottom"/>
            <w:hideMark/>
          </w:tcPr>
          <w:p w14:paraId="00B160FB" w14:textId="77777777" w:rsidR="002227E6" w:rsidRPr="00586416" w:rsidRDefault="002227E6" w:rsidP="00586416">
            <w:pPr>
              <w:spacing w:before="40" w:after="40" w:line="220" w:lineRule="exact"/>
              <w:ind w:right="113"/>
              <w:jc w:val="right"/>
              <w:rPr>
                <w:bCs/>
                <w:sz w:val="18"/>
              </w:rPr>
            </w:pPr>
            <w:r w:rsidRPr="00586416">
              <w:rPr>
                <w:sz w:val="18"/>
              </w:rPr>
              <w:t>628</w:t>
            </w:r>
          </w:p>
        </w:tc>
      </w:tr>
      <w:tr w:rsidR="002227E6" w:rsidRPr="00586416" w14:paraId="0EB8B28A" w14:textId="77777777" w:rsidTr="00586416">
        <w:trPr>
          <w:trHeight w:val="240"/>
        </w:trPr>
        <w:tc>
          <w:tcPr>
            <w:tcW w:w="2884" w:type="dxa"/>
            <w:shd w:val="clear" w:color="auto" w:fill="auto"/>
            <w:noWrap/>
            <w:hideMark/>
          </w:tcPr>
          <w:p w14:paraId="139133A6" w14:textId="77777777" w:rsidR="002227E6" w:rsidRPr="00586416" w:rsidRDefault="002227E6" w:rsidP="00586416">
            <w:pPr>
              <w:spacing w:before="40" w:after="40" w:line="220" w:lineRule="exact"/>
              <w:ind w:right="113"/>
              <w:rPr>
                <w:sz w:val="18"/>
              </w:rPr>
            </w:pPr>
            <w:r w:rsidRPr="00586416">
              <w:rPr>
                <w:sz w:val="18"/>
              </w:rPr>
              <w:t>1–10</w:t>
            </w:r>
          </w:p>
        </w:tc>
        <w:tc>
          <w:tcPr>
            <w:tcW w:w="1136" w:type="dxa"/>
            <w:shd w:val="clear" w:color="auto" w:fill="auto"/>
            <w:noWrap/>
            <w:vAlign w:val="bottom"/>
            <w:hideMark/>
          </w:tcPr>
          <w:p w14:paraId="44771EDD" w14:textId="77777777" w:rsidR="002227E6" w:rsidRPr="00586416" w:rsidRDefault="002227E6" w:rsidP="00586416">
            <w:pPr>
              <w:spacing w:before="40" w:after="40" w:line="220" w:lineRule="exact"/>
              <w:ind w:right="113"/>
              <w:jc w:val="right"/>
              <w:rPr>
                <w:sz w:val="18"/>
              </w:rPr>
            </w:pPr>
            <w:r w:rsidRPr="00586416">
              <w:rPr>
                <w:sz w:val="18"/>
              </w:rPr>
              <w:t>8</w:t>
            </w:r>
          </w:p>
        </w:tc>
        <w:tc>
          <w:tcPr>
            <w:tcW w:w="1360" w:type="dxa"/>
            <w:shd w:val="clear" w:color="auto" w:fill="auto"/>
            <w:noWrap/>
            <w:vAlign w:val="bottom"/>
            <w:hideMark/>
          </w:tcPr>
          <w:p w14:paraId="28E7E548" w14:textId="77777777" w:rsidR="002227E6" w:rsidRPr="00586416" w:rsidRDefault="002227E6" w:rsidP="00586416">
            <w:pPr>
              <w:spacing w:before="40" w:after="40" w:line="220" w:lineRule="exact"/>
              <w:ind w:right="113"/>
              <w:jc w:val="right"/>
              <w:rPr>
                <w:sz w:val="18"/>
              </w:rPr>
            </w:pPr>
            <w:r w:rsidRPr="00586416">
              <w:rPr>
                <w:sz w:val="18"/>
              </w:rPr>
              <w:t>21</w:t>
            </w:r>
          </w:p>
        </w:tc>
        <w:tc>
          <w:tcPr>
            <w:tcW w:w="1360" w:type="dxa"/>
            <w:shd w:val="clear" w:color="auto" w:fill="auto"/>
            <w:noWrap/>
            <w:vAlign w:val="bottom"/>
            <w:hideMark/>
          </w:tcPr>
          <w:p w14:paraId="6353C6FB" w14:textId="77777777" w:rsidR="002227E6" w:rsidRPr="00586416" w:rsidRDefault="002227E6" w:rsidP="00586416">
            <w:pPr>
              <w:spacing w:before="40" w:after="40" w:line="220" w:lineRule="exact"/>
              <w:ind w:right="113"/>
              <w:jc w:val="right"/>
              <w:rPr>
                <w:sz w:val="18"/>
              </w:rPr>
            </w:pPr>
            <w:r w:rsidRPr="00586416">
              <w:rPr>
                <w:sz w:val="18"/>
              </w:rPr>
              <w:t>7</w:t>
            </w:r>
          </w:p>
        </w:tc>
        <w:tc>
          <w:tcPr>
            <w:tcW w:w="1360" w:type="dxa"/>
            <w:shd w:val="clear" w:color="auto" w:fill="auto"/>
            <w:noWrap/>
            <w:vAlign w:val="bottom"/>
            <w:hideMark/>
          </w:tcPr>
          <w:p w14:paraId="2005847F" w14:textId="77777777" w:rsidR="002227E6" w:rsidRPr="00586416" w:rsidRDefault="002227E6" w:rsidP="00586416">
            <w:pPr>
              <w:spacing w:before="40" w:after="40" w:line="220" w:lineRule="exact"/>
              <w:ind w:right="113"/>
              <w:jc w:val="right"/>
              <w:rPr>
                <w:bCs/>
                <w:sz w:val="18"/>
              </w:rPr>
            </w:pPr>
            <w:r w:rsidRPr="00586416">
              <w:rPr>
                <w:sz w:val="18"/>
              </w:rPr>
              <w:t>36</w:t>
            </w:r>
          </w:p>
        </w:tc>
      </w:tr>
      <w:tr w:rsidR="002227E6" w:rsidRPr="00586416" w14:paraId="434604AD" w14:textId="77777777" w:rsidTr="00586416">
        <w:trPr>
          <w:trHeight w:val="240"/>
        </w:trPr>
        <w:tc>
          <w:tcPr>
            <w:tcW w:w="2884" w:type="dxa"/>
            <w:shd w:val="clear" w:color="auto" w:fill="auto"/>
            <w:noWrap/>
            <w:hideMark/>
          </w:tcPr>
          <w:p w14:paraId="5EA606A9" w14:textId="77777777" w:rsidR="002227E6" w:rsidRPr="00586416" w:rsidRDefault="002227E6" w:rsidP="00586416">
            <w:pPr>
              <w:spacing w:before="40" w:after="40" w:line="220" w:lineRule="exact"/>
              <w:ind w:right="113"/>
              <w:rPr>
                <w:sz w:val="18"/>
              </w:rPr>
            </w:pPr>
            <w:r w:rsidRPr="00586416">
              <w:rPr>
                <w:sz w:val="18"/>
              </w:rPr>
              <w:t>11–18</w:t>
            </w:r>
          </w:p>
        </w:tc>
        <w:tc>
          <w:tcPr>
            <w:tcW w:w="1136" w:type="dxa"/>
            <w:shd w:val="clear" w:color="auto" w:fill="auto"/>
            <w:noWrap/>
            <w:vAlign w:val="bottom"/>
            <w:hideMark/>
          </w:tcPr>
          <w:p w14:paraId="225A79E2" w14:textId="77777777" w:rsidR="002227E6" w:rsidRPr="00586416" w:rsidRDefault="002227E6" w:rsidP="00586416">
            <w:pPr>
              <w:spacing w:before="40" w:after="40" w:line="220" w:lineRule="exact"/>
              <w:ind w:right="113"/>
              <w:jc w:val="right"/>
              <w:rPr>
                <w:sz w:val="18"/>
              </w:rPr>
            </w:pPr>
            <w:r w:rsidRPr="00586416">
              <w:rPr>
                <w:sz w:val="18"/>
              </w:rPr>
              <w:t>131</w:t>
            </w:r>
          </w:p>
        </w:tc>
        <w:tc>
          <w:tcPr>
            <w:tcW w:w="1360" w:type="dxa"/>
            <w:shd w:val="clear" w:color="auto" w:fill="auto"/>
            <w:noWrap/>
            <w:vAlign w:val="bottom"/>
            <w:hideMark/>
          </w:tcPr>
          <w:p w14:paraId="04028994" w14:textId="77777777" w:rsidR="002227E6" w:rsidRPr="00586416" w:rsidRDefault="002227E6" w:rsidP="00586416">
            <w:pPr>
              <w:spacing w:before="40" w:after="40" w:line="220" w:lineRule="exact"/>
              <w:ind w:right="113"/>
              <w:jc w:val="right"/>
              <w:rPr>
                <w:sz w:val="18"/>
              </w:rPr>
            </w:pPr>
            <w:r w:rsidRPr="00586416">
              <w:rPr>
                <w:sz w:val="18"/>
              </w:rPr>
              <w:t>98</w:t>
            </w:r>
          </w:p>
        </w:tc>
        <w:tc>
          <w:tcPr>
            <w:tcW w:w="1360" w:type="dxa"/>
            <w:shd w:val="clear" w:color="auto" w:fill="auto"/>
            <w:noWrap/>
            <w:vAlign w:val="bottom"/>
            <w:hideMark/>
          </w:tcPr>
          <w:p w14:paraId="7064A843" w14:textId="77777777" w:rsidR="002227E6" w:rsidRPr="00586416" w:rsidRDefault="002227E6" w:rsidP="00586416">
            <w:pPr>
              <w:spacing w:before="40" w:after="40" w:line="220" w:lineRule="exact"/>
              <w:ind w:right="113"/>
              <w:jc w:val="right"/>
              <w:rPr>
                <w:sz w:val="18"/>
              </w:rPr>
            </w:pPr>
            <w:r w:rsidRPr="00586416">
              <w:rPr>
                <w:sz w:val="18"/>
              </w:rPr>
              <w:t>87</w:t>
            </w:r>
          </w:p>
        </w:tc>
        <w:tc>
          <w:tcPr>
            <w:tcW w:w="1360" w:type="dxa"/>
            <w:shd w:val="clear" w:color="auto" w:fill="auto"/>
            <w:noWrap/>
            <w:vAlign w:val="bottom"/>
            <w:hideMark/>
          </w:tcPr>
          <w:p w14:paraId="609806B4" w14:textId="77777777" w:rsidR="002227E6" w:rsidRPr="00586416" w:rsidRDefault="002227E6" w:rsidP="00586416">
            <w:pPr>
              <w:spacing w:before="40" w:after="40" w:line="220" w:lineRule="exact"/>
              <w:ind w:right="113"/>
              <w:jc w:val="right"/>
              <w:rPr>
                <w:bCs/>
                <w:sz w:val="18"/>
              </w:rPr>
            </w:pPr>
            <w:r w:rsidRPr="00586416">
              <w:rPr>
                <w:sz w:val="18"/>
              </w:rPr>
              <w:t>316</w:t>
            </w:r>
          </w:p>
        </w:tc>
      </w:tr>
      <w:tr w:rsidR="002227E6" w:rsidRPr="00586416" w14:paraId="6756EE50" w14:textId="77777777" w:rsidTr="00586416">
        <w:trPr>
          <w:trHeight w:val="240"/>
        </w:trPr>
        <w:tc>
          <w:tcPr>
            <w:tcW w:w="2884" w:type="dxa"/>
            <w:shd w:val="clear" w:color="auto" w:fill="auto"/>
            <w:noWrap/>
            <w:hideMark/>
          </w:tcPr>
          <w:p w14:paraId="702E4027" w14:textId="77777777" w:rsidR="002227E6" w:rsidRPr="00586416" w:rsidRDefault="002227E6" w:rsidP="00586416">
            <w:pPr>
              <w:spacing w:before="40" w:after="40" w:line="220" w:lineRule="exact"/>
              <w:ind w:right="113"/>
              <w:rPr>
                <w:sz w:val="18"/>
              </w:rPr>
            </w:pPr>
            <w:r w:rsidRPr="00586416">
              <w:rPr>
                <w:sz w:val="18"/>
              </w:rPr>
              <w:t>19–35</w:t>
            </w:r>
          </w:p>
        </w:tc>
        <w:tc>
          <w:tcPr>
            <w:tcW w:w="1136" w:type="dxa"/>
            <w:shd w:val="clear" w:color="auto" w:fill="auto"/>
            <w:noWrap/>
            <w:vAlign w:val="bottom"/>
            <w:hideMark/>
          </w:tcPr>
          <w:p w14:paraId="39601A2B" w14:textId="77777777" w:rsidR="002227E6" w:rsidRPr="00586416" w:rsidRDefault="002227E6" w:rsidP="00586416">
            <w:pPr>
              <w:spacing w:before="40" w:after="40" w:line="220" w:lineRule="exact"/>
              <w:ind w:right="113"/>
              <w:jc w:val="right"/>
              <w:rPr>
                <w:sz w:val="18"/>
              </w:rPr>
            </w:pPr>
            <w:r w:rsidRPr="00586416">
              <w:rPr>
                <w:sz w:val="18"/>
              </w:rPr>
              <w:t>56</w:t>
            </w:r>
          </w:p>
        </w:tc>
        <w:tc>
          <w:tcPr>
            <w:tcW w:w="1360" w:type="dxa"/>
            <w:shd w:val="clear" w:color="auto" w:fill="auto"/>
            <w:noWrap/>
            <w:vAlign w:val="bottom"/>
            <w:hideMark/>
          </w:tcPr>
          <w:p w14:paraId="36D8C328" w14:textId="77777777" w:rsidR="002227E6" w:rsidRPr="00586416" w:rsidRDefault="002227E6" w:rsidP="00586416">
            <w:pPr>
              <w:spacing w:before="40" w:after="40" w:line="220" w:lineRule="exact"/>
              <w:ind w:right="113"/>
              <w:jc w:val="right"/>
              <w:rPr>
                <w:sz w:val="18"/>
              </w:rPr>
            </w:pPr>
            <w:r w:rsidRPr="00586416">
              <w:rPr>
                <w:sz w:val="18"/>
              </w:rPr>
              <w:t>54</w:t>
            </w:r>
          </w:p>
        </w:tc>
        <w:tc>
          <w:tcPr>
            <w:tcW w:w="1360" w:type="dxa"/>
            <w:shd w:val="clear" w:color="auto" w:fill="auto"/>
            <w:noWrap/>
            <w:vAlign w:val="bottom"/>
            <w:hideMark/>
          </w:tcPr>
          <w:p w14:paraId="34C39FB6" w14:textId="77777777" w:rsidR="002227E6" w:rsidRPr="00586416" w:rsidRDefault="002227E6" w:rsidP="00586416">
            <w:pPr>
              <w:spacing w:before="40" w:after="40" w:line="220" w:lineRule="exact"/>
              <w:ind w:right="113"/>
              <w:jc w:val="right"/>
              <w:rPr>
                <w:sz w:val="18"/>
              </w:rPr>
            </w:pPr>
            <w:r w:rsidRPr="00586416">
              <w:rPr>
                <w:sz w:val="18"/>
              </w:rPr>
              <w:t>51</w:t>
            </w:r>
          </w:p>
        </w:tc>
        <w:tc>
          <w:tcPr>
            <w:tcW w:w="1360" w:type="dxa"/>
            <w:shd w:val="clear" w:color="auto" w:fill="auto"/>
            <w:noWrap/>
            <w:vAlign w:val="bottom"/>
            <w:hideMark/>
          </w:tcPr>
          <w:p w14:paraId="4FD2DC36" w14:textId="77777777" w:rsidR="002227E6" w:rsidRPr="00586416" w:rsidRDefault="002227E6" w:rsidP="00586416">
            <w:pPr>
              <w:spacing w:before="40" w:after="40" w:line="220" w:lineRule="exact"/>
              <w:ind w:right="113"/>
              <w:jc w:val="right"/>
              <w:rPr>
                <w:bCs/>
                <w:sz w:val="18"/>
              </w:rPr>
            </w:pPr>
            <w:r w:rsidRPr="00586416">
              <w:rPr>
                <w:sz w:val="18"/>
              </w:rPr>
              <w:t>161</w:t>
            </w:r>
          </w:p>
        </w:tc>
      </w:tr>
      <w:tr w:rsidR="002227E6" w:rsidRPr="00586416" w14:paraId="4E439B6C" w14:textId="77777777" w:rsidTr="00586416">
        <w:trPr>
          <w:trHeight w:val="240"/>
        </w:trPr>
        <w:tc>
          <w:tcPr>
            <w:tcW w:w="2884" w:type="dxa"/>
            <w:shd w:val="clear" w:color="auto" w:fill="auto"/>
            <w:noWrap/>
            <w:hideMark/>
          </w:tcPr>
          <w:p w14:paraId="0D016615" w14:textId="77777777" w:rsidR="002227E6" w:rsidRPr="00586416" w:rsidRDefault="002227E6" w:rsidP="00586416">
            <w:pPr>
              <w:spacing w:before="40" w:after="40" w:line="220" w:lineRule="exact"/>
              <w:ind w:right="113"/>
              <w:rPr>
                <w:sz w:val="18"/>
              </w:rPr>
            </w:pPr>
            <w:r w:rsidRPr="00586416">
              <w:rPr>
                <w:sz w:val="18"/>
              </w:rPr>
              <w:t>36–50</w:t>
            </w:r>
          </w:p>
        </w:tc>
        <w:tc>
          <w:tcPr>
            <w:tcW w:w="1136" w:type="dxa"/>
            <w:shd w:val="clear" w:color="auto" w:fill="auto"/>
            <w:noWrap/>
            <w:vAlign w:val="bottom"/>
            <w:hideMark/>
          </w:tcPr>
          <w:p w14:paraId="09B5E024" w14:textId="77777777" w:rsidR="002227E6" w:rsidRPr="00586416" w:rsidRDefault="002227E6" w:rsidP="00586416">
            <w:pPr>
              <w:spacing w:before="40" w:after="40" w:line="220" w:lineRule="exact"/>
              <w:ind w:right="113"/>
              <w:jc w:val="right"/>
              <w:rPr>
                <w:sz w:val="18"/>
              </w:rPr>
            </w:pPr>
            <w:r w:rsidRPr="00586416">
              <w:rPr>
                <w:sz w:val="18"/>
              </w:rPr>
              <w:t>11</w:t>
            </w:r>
          </w:p>
        </w:tc>
        <w:tc>
          <w:tcPr>
            <w:tcW w:w="1360" w:type="dxa"/>
            <w:shd w:val="clear" w:color="auto" w:fill="auto"/>
            <w:noWrap/>
            <w:vAlign w:val="bottom"/>
            <w:hideMark/>
          </w:tcPr>
          <w:p w14:paraId="21647483" w14:textId="77777777" w:rsidR="002227E6" w:rsidRPr="00586416" w:rsidRDefault="002227E6" w:rsidP="00586416">
            <w:pPr>
              <w:spacing w:before="40" w:after="40" w:line="220" w:lineRule="exact"/>
              <w:ind w:right="113"/>
              <w:jc w:val="right"/>
              <w:rPr>
                <w:sz w:val="18"/>
              </w:rPr>
            </w:pPr>
            <w:r w:rsidRPr="00586416">
              <w:rPr>
                <w:sz w:val="18"/>
              </w:rPr>
              <w:t>14</w:t>
            </w:r>
          </w:p>
        </w:tc>
        <w:tc>
          <w:tcPr>
            <w:tcW w:w="1360" w:type="dxa"/>
            <w:shd w:val="clear" w:color="auto" w:fill="auto"/>
            <w:noWrap/>
            <w:vAlign w:val="bottom"/>
            <w:hideMark/>
          </w:tcPr>
          <w:p w14:paraId="25D6783E" w14:textId="77777777" w:rsidR="002227E6" w:rsidRPr="00586416" w:rsidRDefault="002227E6" w:rsidP="00586416">
            <w:pPr>
              <w:spacing w:before="40" w:after="40" w:line="220" w:lineRule="exact"/>
              <w:ind w:right="113"/>
              <w:jc w:val="right"/>
              <w:rPr>
                <w:sz w:val="18"/>
              </w:rPr>
            </w:pPr>
            <w:r w:rsidRPr="00586416">
              <w:rPr>
                <w:sz w:val="18"/>
              </w:rPr>
              <w:t>21</w:t>
            </w:r>
          </w:p>
        </w:tc>
        <w:tc>
          <w:tcPr>
            <w:tcW w:w="1360" w:type="dxa"/>
            <w:shd w:val="clear" w:color="auto" w:fill="auto"/>
            <w:noWrap/>
            <w:vAlign w:val="bottom"/>
            <w:hideMark/>
          </w:tcPr>
          <w:p w14:paraId="2FCFB446" w14:textId="77777777" w:rsidR="002227E6" w:rsidRPr="00586416" w:rsidRDefault="002227E6" w:rsidP="00586416">
            <w:pPr>
              <w:spacing w:before="40" w:after="40" w:line="220" w:lineRule="exact"/>
              <w:ind w:right="113"/>
              <w:jc w:val="right"/>
              <w:rPr>
                <w:bCs/>
                <w:sz w:val="18"/>
              </w:rPr>
            </w:pPr>
            <w:r w:rsidRPr="00586416">
              <w:rPr>
                <w:sz w:val="18"/>
              </w:rPr>
              <w:t>46</w:t>
            </w:r>
          </w:p>
        </w:tc>
      </w:tr>
      <w:tr w:rsidR="002227E6" w:rsidRPr="00586416" w14:paraId="49FE6057" w14:textId="77777777" w:rsidTr="00586416">
        <w:trPr>
          <w:trHeight w:val="240"/>
        </w:trPr>
        <w:tc>
          <w:tcPr>
            <w:tcW w:w="2884" w:type="dxa"/>
            <w:shd w:val="clear" w:color="auto" w:fill="auto"/>
            <w:noWrap/>
            <w:hideMark/>
          </w:tcPr>
          <w:p w14:paraId="12AE6EB4" w14:textId="77777777" w:rsidR="002227E6" w:rsidRPr="00586416" w:rsidRDefault="002227E6" w:rsidP="00586416">
            <w:pPr>
              <w:spacing w:before="40" w:after="40" w:line="220" w:lineRule="exact"/>
              <w:ind w:right="113"/>
              <w:rPr>
                <w:sz w:val="18"/>
              </w:rPr>
            </w:pPr>
            <w:r w:rsidRPr="00586416">
              <w:rPr>
                <w:sz w:val="18"/>
              </w:rPr>
              <w:t>51–60</w:t>
            </w:r>
          </w:p>
        </w:tc>
        <w:tc>
          <w:tcPr>
            <w:tcW w:w="1136" w:type="dxa"/>
            <w:shd w:val="clear" w:color="auto" w:fill="auto"/>
            <w:noWrap/>
            <w:vAlign w:val="bottom"/>
            <w:hideMark/>
          </w:tcPr>
          <w:p w14:paraId="48D9BB84" w14:textId="77777777" w:rsidR="002227E6" w:rsidRPr="00586416" w:rsidRDefault="002227E6" w:rsidP="00586416">
            <w:pPr>
              <w:spacing w:before="40" w:after="40" w:line="220" w:lineRule="exact"/>
              <w:ind w:right="113"/>
              <w:jc w:val="right"/>
              <w:rPr>
                <w:sz w:val="18"/>
              </w:rPr>
            </w:pPr>
            <w:r w:rsidRPr="00586416">
              <w:rPr>
                <w:sz w:val="18"/>
              </w:rPr>
              <w:t>2</w:t>
            </w:r>
          </w:p>
        </w:tc>
        <w:tc>
          <w:tcPr>
            <w:tcW w:w="1360" w:type="dxa"/>
            <w:shd w:val="clear" w:color="auto" w:fill="auto"/>
            <w:noWrap/>
            <w:vAlign w:val="bottom"/>
            <w:hideMark/>
          </w:tcPr>
          <w:p w14:paraId="63FBA5C5" w14:textId="77777777" w:rsidR="002227E6" w:rsidRPr="00586416" w:rsidRDefault="002227E6" w:rsidP="00586416">
            <w:pPr>
              <w:spacing w:before="40" w:after="40" w:line="220" w:lineRule="exact"/>
              <w:ind w:right="113"/>
              <w:jc w:val="right"/>
              <w:rPr>
                <w:sz w:val="18"/>
              </w:rPr>
            </w:pPr>
            <w:r w:rsidRPr="00586416">
              <w:rPr>
                <w:sz w:val="18"/>
              </w:rPr>
              <w:t>1</w:t>
            </w:r>
          </w:p>
        </w:tc>
        <w:tc>
          <w:tcPr>
            <w:tcW w:w="1360" w:type="dxa"/>
            <w:shd w:val="clear" w:color="auto" w:fill="auto"/>
            <w:noWrap/>
            <w:vAlign w:val="bottom"/>
            <w:hideMark/>
          </w:tcPr>
          <w:p w14:paraId="48136935" w14:textId="77777777" w:rsidR="002227E6" w:rsidRPr="00586416" w:rsidRDefault="002227E6" w:rsidP="00586416">
            <w:pPr>
              <w:spacing w:before="40" w:after="40" w:line="220" w:lineRule="exact"/>
              <w:ind w:right="113"/>
              <w:jc w:val="right"/>
              <w:rPr>
                <w:sz w:val="18"/>
              </w:rPr>
            </w:pPr>
            <w:r w:rsidRPr="00586416">
              <w:rPr>
                <w:sz w:val="18"/>
              </w:rPr>
              <w:t>10</w:t>
            </w:r>
          </w:p>
        </w:tc>
        <w:tc>
          <w:tcPr>
            <w:tcW w:w="1360" w:type="dxa"/>
            <w:shd w:val="clear" w:color="auto" w:fill="auto"/>
            <w:noWrap/>
            <w:vAlign w:val="bottom"/>
            <w:hideMark/>
          </w:tcPr>
          <w:p w14:paraId="2BB7ECA6" w14:textId="77777777" w:rsidR="002227E6" w:rsidRPr="00586416" w:rsidRDefault="002227E6" w:rsidP="00586416">
            <w:pPr>
              <w:spacing w:before="40" w:after="40" w:line="220" w:lineRule="exact"/>
              <w:ind w:right="113"/>
              <w:jc w:val="right"/>
              <w:rPr>
                <w:bCs/>
                <w:sz w:val="18"/>
              </w:rPr>
            </w:pPr>
            <w:r w:rsidRPr="00586416">
              <w:rPr>
                <w:sz w:val="18"/>
              </w:rPr>
              <w:t>13</w:t>
            </w:r>
          </w:p>
        </w:tc>
      </w:tr>
      <w:tr w:rsidR="002227E6" w:rsidRPr="00586416" w14:paraId="1A4D34EA" w14:textId="77777777" w:rsidTr="00586416">
        <w:trPr>
          <w:trHeight w:val="240"/>
        </w:trPr>
        <w:tc>
          <w:tcPr>
            <w:tcW w:w="2884" w:type="dxa"/>
            <w:shd w:val="clear" w:color="auto" w:fill="auto"/>
            <w:noWrap/>
            <w:hideMark/>
          </w:tcPr>
          <w:p w14:paraId="3EC2C0BF" w14:textId="77777777" w:rsidR="002227E6" w:rsidRPr="00586416" w:rsidRDefault="002227E6" w:rsidP="00586416">
            <w:pPr>
              <w:spacing w:before="40" w:after="40" w:line="220" w:lineRule="exact"/>
              <w:ind w:right="113"/>
              <w:rPr>
                <w:sz w:val="18"/>
              </w:rPr>
            </w:pPr>
            <w:r w:rsidRPr="00586416">
              <w:rPr>
                <w:sz w:val="18"/>
              </w:rPr>
              <w:t>61 or older</w:t>
            </w:r>
          </w:p>
        </w:tc>
        <w:tc>
          <w:tcPr>
            <w:tcW w:w="1136" w:type="dxa"/>
            <w:shd w:val="clear" w:color="auto" w:fill="auto"/>
            <w:noWrap/>
            <w:vAlign w:val="bottom"/>
            <w:hideMark/>
          </w:tcPr>
          <w:p w14:paraId="506942BE" w14:textId="77777777" w:rsidR="002227E6" w:rsidRPr="00586416" w:rsidRDefault="002227E6" w:rsidP="00586416">
            <w:pPr>
              <w:spacing w:before="40" w:after="40" w:line="220" w:lineRule="exact"/>
              <w:ind w:right="113"/>
              <w:jc w:val="right"/>
              <w:rPr>
                <w:sz w:val="18"/>
              </w:rPr>
            </w:pPr>
            <w:r w:rsidRPr="00586416">
              <w:rPr>
                <w:sz w:val="18"/>
              </w:rPr>
              <w:t>2</w:t>
            </w:r>
          </w:p>
        </w:tc>
        <w:tc>
          <w:tcPr>
            <w:tcW w:w="1360" w:type="dxa"/>
            <w:shd w:val="clear" w:color="auto" w:fill="auto"/>
            <w:noWrap/>
            <w:vAlign w:val="bottom"/>
            <w:hideMark/>
          </w:tcPr>
          <w:p w14:paraId="71324751" w14:textId="77777777" w:rsidR="002227E6" w:rsidRPr="00586416" w:rsidRDefault="002227E6" w:rsidP="00586416">
            <w:pPr>
              <w:spacing w:before="40" w:after="40" w:line="220" w:lineRule="exact"/>
              <w:ind w:right="113"/>
              <w:jc w:val="right"/>
              <w:rPr>
                <w:sz w:val="18"/>
              </w:rPr>
            </w:pPr>
            <w:r w:rsidRPr="00586416">
              <w:rPr>
                <w:sz w:val="18"/>
              </w:rPr>
              <w:t>10</w:t>
            </w:r>
          </w:p>
        </w:tc>
        <w:tc>
          <w:tcPr>
            <w:tcW w:w="1360" w:type="dxa"/>
            <w:shd w:val="clear" w:color="auto" w:fill="auto"/>
            <w:noWrap/>
            <w:vAlign w:val="bottom"/>
            <w:hideMark/>
          </w:tcPr>
          <w:p w14:paraId="30E6D587" w14:textId="77777777" w:rsidR="002227E6" w:rsidRPr="00586416" w:rsidRDefault="002227E6" w:rsidP="00586416">
            <w:pPr>
              <w:spacing w:before="40" w:after="40" w:line="220" w:lineRule="exact"/>
              <w:ind w:right="113"/>
              <w:jc w:val="right"/>
              <w:rPr>
                <w:sz w:val="18"/>
              </w:rPr>
            </w:pPr>
            <w:r w:rsidRPr="00586416">
              <w:rPr>
                <w:sz w:val="18"/>
              </w:rPr>
              <w:t>4</w:t>
            </w:r>
          </w:p>
        </w:tc>
        <w:tc>
          <w:tcPr>
            <w:tcW w:w="1360" w:type="dxa"/>
            <w:shd w:val="clear" w:color="auto" w:fill="auto"/>
            <w:noWrap/>
            <w:vAlign w:val="bottom"/>
            <w:hideMark/>
          </w:tcPr>
          <w:p w14:paraId="229A737D" w14:textId="77777777" w:rsidR="002227E6" w:rsidRPr="00586416" w:rsidRDefault="002227E6" w:rsidP="00586416">
            <w:pPr>
              <w:spacing w:before="40" w:after="40" w:line="220" w:lineRule="exact"/>
              <w:ind w:right="113"/>
              <w:jc w:val="right"/>
              <w:rPr>
                <w:bCs/>
                <w:sz w:val="18"/>
              </w:rPr>
            </w:pPr>
            <w:r w:rsidRPr="00586416">
              <w:rPr>
                <w:sz w:val="18"/>
              </w:rPr>
              <w:t>16</w:t>
            </w:r>
          </w:p>
        </w:tc>
      </w:tr>
      <w:tr w:rsidR="002227E6" w:rsidRPr="00586416" w14:paraId="1C06F968" w14:textId="77777777" w:rsidTr="00586416">
        <w:trPr>
          <w:trHeight w:val="240"/>
        </w:trPr>
        <w:tc>
          <w:tcPr>
            <w:tcW w:w="2884" w:type="dxa"/>
            <w:shd w:val="clear" w:color="auto" w:fill="auto"/>
            <w:noWrap/>
            <w:hideMark/>
          </w:tcPr>
          <w:p w14:paraId="1EF3B8D2" w14:textId="77777777" w:rsidR="002227E6" w:rsidRPr="00586416" w:rsidRDefault="002227E6" w:rsidP="00586416">
            <w:pPr>
              <w:spacing w:before="40" w:after="40" w:line="220" w:lineRule="exact"/>
              <w:ind w:right="113"/>
              <w:rPr>
                <w:sz w:val="18"/>
              </w:rPr>
            </w:pPr>
            <w:r w:rsidRPr="00586416">
              <w:rPr>
                <w:sz w:val="18"/>
              </w:rPr>
              <w:t xml:space="preserve">Unknown </w:t>
            </w:r>
          </w:p>
        </w:tc>
        <w:tc>
          <w:tcPr>
            <w:tcW w:w="1136" w:type="dxa"/>
            <w:shd w:val="clear" w:color="auto" w:fill="auto"/>
            <w:noWrap/>
            <w:vAlign w:val="bottom"/>
            <w:hideMark/>
          </w:tcPr>
          <w:p w14:paraId="07061288" w14:textId="77777777" w:rsidR="002227E6" w:rsidRPr="00586416" w:rsidRDefault="002227E6" w:rsidP="00586416">
            <w:pPr>
              <w:spacing w:before="40" w:after="40" w:line="220" w:lineRule="exact"/>
              <w:ind w:right="113"/>
              <w:jc w:val="right"/>
              <w:rPr>
                <w:sz w:val="18"/>
              </w:rPr>
            </w:pPr>
            <w:r w:rsidRPr="00586416">
              <w:rPr>
                <w:sz w:val="18"/>
              </w:rPr>
              <w:t>38</w:t>
            </w:r>
          </w:p>
        </w:tc>
        <w:tc>
          <w:tcPr>
            <w:tcW w:w="1360" w:type="dxa"/>
            <w:shd w:val="clear" w:color="auto" w:fill="auto"/>
            <w:noWrap/>
            <w:vAlign w:val="bottom"/>
            <w:hideMark/>
          </w:tcPr>
          <w:p w14:paraId="0F018E67" w14:textId="77777777" w:rsidR="002227E6" w:rsidRPr="00586416" w:rsidRDefault="002227E6" w:rsidP="00586416">
            <w:pPr>
              <w:spacing w:before="40" w:after="40" w:line="220" w:lineRule="exact"/>
              <w:ind w:right="113"/>
              <w:jc w:val="right"/>
              <w:rPr>
                <w:sz w:val="18"/>
              </w:rPr>
            </w:pPr>
            <w:r w:rsidRPr="00586416">
              <w:rPr>
                <w:sz w:val="18"/>
              </w:rPr>
              <w:t>2</w:t>
            </w:r>
          </w:p>
        </w:tc>
        <w:tc>
          <w:tcPr>
            <w:tcW w:w="1360" w:type="dxa"/>
            <w:shd w:val="clear" w:color="auto" w:fill="auto"/>
            <w:noWrap/>
            <w:vAlign w:val="bottom"/>
            <w:hideMark/>
          </w:tcPr>
          <w:p w14:paraId="49C0B23A" w14:textId="77777777" w:rsidR="002227E6" w:rsidRPr="00586416" w:rsidRDefault="002227E6" w:rsidP="00586416">
            <w:pPr>
              <w:spacing w:before="40" w:after="40" w:line="220" w:lineRule="exact"/>
              <w:ind w:right="113"/>
              <w:jc w:val="right"/>
              <w:rPr>
                <w:sz w:val="18"/>
              </w:rPr>
            </w:pPr>
            <w:r w:rsidRPr="00586416">
              <w:rPr>
                <w:sz w:val="18"/>
              </w:rPr>
              <w:t>0</w:t>
            </w:r>
          </w:p>
        </w:tc>
        <w:tc>
          <w:tcPr>
            <w:tcW w:w="1360" w:type="dxa"/>
            <w:shd w:val="clear" w:color="auto" w:fill="auto"/>
            <w:noWrap/>
            <w:vAlign w:val="bottom"/>
            <w:hideMark/>
          </w:tcPr>
          <w:p w14:paraId="00822661" w14:textId="77777777" w:rsidR="002227E6" w:rsidRPr="00586416" w:rsidRDefault="002227E6" w:rsidP="00586416">
            <w:pPr>
              <w:spacing w:before="40" w:after="40" w:line="220" w:lineRule="exact"/>
              <w:ind w:right="113"/>
              <w:jc w:val="right"/>
              <w:rPr>
                <w:bCs/>
                <w:sz w:val="18"/>
              </w:rPr>
            </w:pPr>
            <w:r w:rsidRPr="00586416">
              <w:rPr>
                <w:sz w:val="18"/>
              </w:rPr>
              <w:t>40</w:t>
            </w:r>
          </w:p>
        </w:tc>
      </w:tr>
    </w:tbl>
    <w:p w14:paraId="529ADE07" w14:textId="77777777" w:rsidR="002227E6" w:rsidRPr="00C83E95" w:rsidRDefault="002227E6" w:rsidP="00C83E95">
      <w:pPr>
        <w:spacing w:before="120" w:line="240" w:lineRule="atLeast"/>
        <w:ind w:left="1134" w:right="1134" w:firstLine="170"/>
        <w:rPr>
          <w:sz w:val="18"/>
        </w:rPr>
      </w:pPr>
      <w:r w:rsidRPr="00C83E95">
        <w:rPr>
          <w:i/>
          <w:iCs/>
          <w:sz w:val="18"/>
        </w:rPr>
        <w:t>Source</w:t>
      </w:r>
      <w:r w:rsidRPr="00C83E95">
        <w:rPr>
          <w:sz w:val="18"/>
        </w:rPr>
        <w:t>: Prepared by OBSCD, based on information provided by the Bolivian Police, August 2021.</w:t>
      </w:r>
    </w:p>
    <w:p w14:paraId="1A449051" w14:textId="77777777" w:rsidR="002227E6" w:rsidRPr="00D470FC" w:rsidRDefault="002227E6" w:rsidP="002227E6">
      <w:pPr>
        <w:pStyle w:val="H23G"/>
      </w:pPr>
      <w:r w:rsidRPr="00D470FC">
        <w:lastRenderedPageBreak/>
        <w:tab/>
      </w:r>
      <w:r w:rsidRPr="00D470FC">
        <w:tab/>
      </w:r>
      <w:r w:rsidRPr="00D470FC">
        <w:rPr>
          <w:bCs/>
        </w:rPr>
        <w:t>Reported cases of trafficking in persons, by sex and age, 2019–2021</w:t>
      </w:r>
      <w:r w:rsidRPr="00D470FC">
        <w:t xml:space="preserve"> (Percentage)</w:t>
      </w:r>
    </w:p>
    <w:p w14:paraId="53614672" w14:textId="77777777" w:rsidR="002227E6" w:rsidRPr="00D470FC" w:rsidRDefault="002227E6" w:rsidP="002227E6">
      <w:pPr>
        <w:keepNext/>
        <w:keepLines/>
        <w:spacing w:line="259" w:lineRule="auto"/>
        <w:ind w:right="49"/>
        <w:jc w:val="center"/>
        <w:rPr>
          <w:b/>
          <w:bCs/>
          <w:color w:val="F79646"/>
        </w:rPr>
      </w:pPr>
      <w:r w:rsidRPr="00D470FC">
        <w:rPr>
          <w:rFonts w:eastAsia="Calibri"/>
          <w:noProof/>
          <w:color w:val="F79646"/>
          <w:lang w:eastAsia="en-GB"/>
        </w:rPr>
        <w:drawing>
          <wp:inline distT="0" distB="0" distL="0" distR="0" wp14:anchorId="4C0448F6" wp14:editId="5B6FE92C">
            <wp:extent cx="4625439" cy="2707574"/>
            <wp:effectExtent l="0" t="0" r="381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D86725" w14:textId="77777777" w:rsidR="002227E6" w:rsidRPr="00E024CC" w:rsidRDefault="002227E6" w:rsidP="00E024CC">
      <w:pPr>
        <w:spacing w:before="120" w:after="240" w:line="240" w:lineRule="atLeast"/>
        <w:ind w:left="1134" w:right="1134" w:firstLine="170"/>
        <w:rPr>
          <w:sz w:val="18"/>
        </w:rPr>
      </w:pPr>
      <w:r w:rsidRPr="00E024CC">
        <w:rPr>
          <w:i/>
          <w:iCs/>
          <w:sz w:val="18"/>
        </w:rPr>
        <w:t>Source</w:t>
      </w:r>
      <w:r w:rsidRPr="00E024CC">
        <w:rPr>
          <w:sz w:val="18"/>
        </w:rPr>
        <w:t>: Prepared by OBSCD, based on information provided by the Bolivian Police, 2021.</w:t>
      </w:r>
    </w:p>
    <w:p w14:paraId="69F9C736" w14:textId="77777777" w:rsidR="002227E6" w:rsidRPr="00D470FC" w:rsidRDefault="002227E6" w:rsidP="00E66B89">
      <w:pPr>
        <w:pStyle w:val="SingleTxtG"/>
        <w:rPr>
          <w:shd w:val="clear" w:color="auto" w:fill="FFFFFF"/>
        </w:rPr>
      </w:pPr>
      <w:r w:rsidRPr="00D470FC">
        <w:t>164.</w:t>
      </w:r>
      <w:r w:rsidRPr="00D470FC">
        <w:tab/>
        <w:t>With regard to protection, assistance, including free legal assistance, and rehabilitation measures, six shelters have been set up for victims of human trafficking, four of which are State-run and two of which are managed by NGOs. These shelters provide mental health services. They have trained professionals who can provide emotional and psychological support, analysis and supervision in order to facilitate family and social reintegration. In addition, the Ministry of Health provides support and laboratory services for the medical evaluation of victims.</w:t>
      </w:r>
    </w:p>
    <w:p w14:paraId="2E5C5B7A" w14:textId="007B3315" w:rsidR="002227E6" w:rsidRPr="00D470FC" w:rsidRDefault="002227E6" w:rsidP="00E66B89">
      <w:pPr>
        <w:pStyle w:val="SingleTxtG"/>
        <w:rPr>
          <w:shd w:val="clear" w:color="auto" w:fill="FFFFFF"/>
        </w:rPr>
      </w:pPr>
      <w:r w:rsidRPr="00D470FC">
        <w:t>165.</w:t>
      </w:r>
      <w:r w:rsidRPr="00D470FC">
        <w:tab/>
        <w:t xml:space="preserve">The Telecommunications and Transport Regulatory and Supervisory Authority re-established the </w:t>
      </w:r>
      <w:r w:rsidR="008D6E06">
        <w:t>“</w:t>
      </w:r>
      <w:r w:rsidRPr="00D470FC">
        <w:t>122</w:t>
      </w:r>
      <w:r w:rsidR="008D6E06">
        <w:t>”</w:t>
      </w:r>
      <w:r w:rsidRPr="00D470FC">
        <w:t xml:space="preserve"> toll-free hotline for reporting and seeking support in relation to cases of human trafficking and smuggling. The hotline is currently available in the municipalities of La Paz, El Alto, Oruro, Cochabamba and Santa Cruz de la Sierra.</w:t>
      </w:r>
    </w:p>
    <w:p w14:paraId="282E30A3" w14:textId="152E419A" w:rsidR="002227E6" w:rsidRPr="00D470FC" w:rsidRDefault="002227E6" w:rsidP="00E66B89">
      <w:pPr>
        <w:pStyle w:val="SingleTxtG"/>
        <w:rPr>
          <w:shd w:val="clear" w:color="auto" w:fill="FFFFFF"/>
        </w:rPr>
      </w:pPr>
      <w:r w:rsidRPr="00D470FC">
        <w:t>166.</w:t>
      </w:r>
      <w:r w:rsidRPr="00D470FC">
        <w:tab/>
        <w:t>Legal services are being provided through the coordination of the Ministry of Justice and Institutional Transparency, through the Plurinational Comprehensive Judicial Services and the Plurinational Victim Assistance Service; the Ministry of Foreign Affairs; the Ministry of the Interior, through the Directorate General for Combatting Human Trafficking and Smuggling and the Directorate General of Migration; and other lower-level government authorities. Repatriation is also carried out in a coordinated manner, thus guaranteeing victims</w:t>
      </w:r>
      <w:r w:rsidR="008D6E06">
        <w:t>’</w:t>
      </w:r>
      <w:r w:rsidRPr="00D470FC">
        <w:t xml:space="preserve"> safety and basic rights.</w:t>
      </w:r>
    </w:p>
    <w:p w14:paraId="0F0CA47A" w14:textId="77777777" w:rsidR="002227E6" w:rsidRPr="00D470FC" w:rsidRDefault="002227E6" w:rsidP="00851C23">
      <w:pPr>
        <w:pStyle w:val="H1G"/>
      </w:pPr>
      <w:r w:rsidRPr="00D470FC">
        <w:tab/>
      </w:r>
      <w:r w:rsidRPr="00D470FC">
        <w:tab/>
        <w:t>Independence of the judiciary and administration of justice (arts. 2 and 14)</w:t>
      </w:r>
    </w:p>
    <w:p w14:paraId="730E85D4" w14:textId="0ED55C1D" w:rsidR="002227E6" w:rsidRPr="00D470FC" w:rsidRDefault="00851C23" w:rsidP="00851C23">
      <w:pPr>
        <w:pStyle w:val="H23G"/>
      </w:pPr>
      <w:r>
        <w:tab/>
      </w:r>
      <w:r w:rsidR="002227E6" w:rsidRPr="00D470FC">
        <w:t>20.</w:t>
      </w:r>
      <w:r w:rsidR="002227E6" w:rsidRPr="00D470FC">
        <w:tab/>
        <w:t>Replies to the issues raised in paragraph 20 of the list of issues</w:t>
      </w:r>
    </w:p>
    <w:p w14:paraId="0F3107FC" w14:textId="77777777" w:rsidR="002227E6" w:rsidRPr="00D470FC" w:rsidRDefault="002227E6" w:rsidP="00E66B89">
      <w:pPr>
        <w:pStyle w:val="SingleTxtG"/>
      </w:pPr>
      <w:r w:rsidRPr="00D470FC">
        <w:t>167.</w:t>
      </w:r>
      <w:r w:rsidRPr="00D470FC">
        <w:tab/>
        <w:t>The State has introduced training for judges, prosecutors and police officers to help ensure that public servants are committed to their work and will avoid corruption and political interference in the performance of their duties. The leadership of the Ministry of Justice and Institutional Transparency is working on reforms to the judicial system, specifically regarding the independence of its bodies.</w:t>
      </w:r>
    </w:p>
    <w:p w14:paraId="670C0CA9" w14:textId="77777777" w:rsidR="002227E6" w:rsidRPr="00D470FC" w:rsidRDefault="002227E6" w:rsidP="00E66B89">
      <w:pPr>
        <w:pStyle w:val="SingleTxtG"/>
      </w:pPr>
      <w:r w:rsidRPr="00D470FC">
        <w:t>168.</w:t>
      </w:r>
      <w:r w:rsidRPr="00D470FC">
        <w:tab/>
        <w:t xml:space="preserve">Regarding the implementation of Act No. 898 and its results, on 6 September 2021, the Commission for Follow-Up on the Conclusions of the Summit on Justice held its fifth meeting, in accordance with article 3 of Act No. 898. At the meeting, the Commission discussed the main aspects of the judicial system reform, which is now under way; the subcommission on the interoperability of Act No. 1173, which has been working on </w:t>
      </w:r>
      <w:r w:rsidRPr="00D470FC">
        <w:lastRenderedPageBreak/>
        <w:t>interoperability issues; and the subcommission on judicial careers, specifically regarding the election of judges and members of the court.</w:t>
      </w:r>
    </w:p>
    <w:p w14:paraId="544E9F7D" w14:textId="77777777" w:rsidR="002227E6" w:rsidRPr="00D470FC" w:rsidRDefault="002227E6" w:rsidP="00E66B89">
      <w:pPr>
        <w:pStyle w:val="SingleTxtG"/>
      </w:pPr>
      <w:r w:rsidRPr="00D470FC">
        <w:t>169.</w:t>
      </w:r>
      <w:r w:rsidRPr="00D470FC">
        <w:tab/>
        <w:t>Likewise, the subcommittee assigned to prepare a preliminary draft of the agro-environmental code of procedure has concluded its work and submitted its draft to the technical secretariat of the Social and Economic Policy Analysis Unit.</w:t>
      </w:r>
    </w:p>
    <w:p w14:paraId="67494E0F" w14:textId="77777777" w:rsidR="002227E6" w:rsidRPr="00D470FC" w:rsidRDefault="002227E6" w:rsidP="00E66B89">
      <w:pPr>
        <w:pStyle w:val="SingleTxtG"/>
      </w:pPr>
      <w:r w:rsidRPr="00D470FC">
        <w:t>170.</w:t>
      </w:r>
      <w:r w:rsidRPr="00D470FC">
        <w:tab/>
        <w:t>One of the key issues identified by the Commission for Follow-Up on the Conclusions of the Summit on Justice is how to make progress in the reform of the judicial system. Six priority areas have been defined and awareness-raising campaigns have begun so as to gather concerns, observations and suggestions from the judicial bodies throughout the country. In parallel, suggestions will be invited from the most representative sectors of society, including social sectors, bar associations and universities. The priority areas are: conflict management, judicial independence, access to justice, information and communications technology, regulatory development and transparency.</w:t>
      </w:r>
    </w:p>
    <w:p w14:paraId="02447284" w14:textId="77777777" w:rsidR="002227E6" w:rsidRPr="00D470FC" w:rsidRDefault="002227E6" w:rsidP="00E66B89">
      <w:pPr>
        <w:pStyle w:val="SingleTxtG"/>
      </w:pPr>
      <w:r w:rsidRPr="00D470FC">
        <w:t>171.</w:t>
      </w:r>
      <w:r w:rsidRPr="00D470FC">
        <w:tab/>
        <w:t>Act No. 929 amended Act No. 025 of 24 June 2010 (arts. 20, 34, 134–135, 166, 174 and 182); Act No. 027 of 6 July 2010 (arts. 13, 19–20 and 26); and Act No. 026, the Electoral Act (arts. 50, 76–77, 79–82, 84, 94 and 139).</w:t>
      </w:r>
    </w:p>
    <w:p w14:paraId="16E9D5FF" w14:textId="46020210" w:rsidR="002227E6" w:rsidRPr="00D470FC" w:rsidRDefault="002227E6" w:rsidP="00E66B89">
      <w:pPr>
        <w:pStyle w:val="SingleTxtG"/>
      </w:pPr>
      <w:r w:rsidRPr="00D470FC">
        <w:t>172.</w:t>
      </w:r>
      <w:r w:rsidRPr="00D470FC">
        <w:tab/>
        <w:t>A number of courts specializing in cases of violence against women were established pursuant to Act No. 348, within the judicial resources available. These include 18 courts of investigation, 2 trial courts for less serious offences and 1 tribunal for more serious offences. Subsequently, in 2019, an additional six publicly funded courts were established with funds from the National Treasury. To date, there are a total of 27 courts and tribunals specializing in cases involving violence and corruption.</w:t>
      </w:r>
    </w:p>
    <w:p w14:paraId="23C35947" w14:textId="042EA430" w:rsidR="002227E6" w:rsidRPr="00D470FC" w:rsidRDefault="002227E6" w:rsidP="00E66B89">
      <w:pPr>
        <w:pStyle w:val="SingleTxtG"/>
      </w:pPr>
      <w:r w:rsidRPr="00D470FC">
        <w:t>173.</w:t>
      </w:r>
      <w:r w:rsidRPr="00D470FC">
        <w:tab/>
        <w:t>In 2018, 27 courts of first instance were established with the judicial branch</w:t>
      </w:r>
      <w:r w:rsidR="008D6E06">
        <w:t>’</w:t>
      </w:r>
      <w:r w:rsidRPr="00D470FC">
        <w:t>s own resources and 25 with additional resources from the National Treasury; in 2019, a regional court specializing in labour and social welfare cases was established and, under Act No. 1173, 41 trial courts for less serious offences were established with additional resources from the National Treasury. In total, 94 courts were established in 2018 and 2019.</w:t>
      </w:r>
    </w:p>
    <w:p w14:paraId="1844C7C5" w14:textId="77777777" w:rsidR="002227E6" w:rsidRPr="00D470FC" w:rsidRDefault="002227E6" w:rsidP="00E66B89">
      <w:pPr>
        <w:pStyle w:val="SingleTxtG"/>
      </w:pPr>
      <w:r w:rsidRPr="00D470FC">
        <w:t>174.</w:t>
      </w:r>
      <w:r w:rsidRPr="00D470FC">
        <w:tab/>
        <w:t>Act No. 1173 on Summary Criminal Procedure and Strengthening Measures to Combat Violence against Children, Adolescents and Women was promulgated with the aim of, inter alia, achieving the prompt and timely resolution of criminal cases, providing protection to women, child and adolescent victims of violence, avoiding re-victimization, reducing recourse to pretrial detention and guaranteeing favourable treatment to pregnant women, nursing mothers with children under 1 year of age, children with disabilities under 6 years of age who are in the care of the accused person, and older persons, as well as upholding the right to technology.</w:t>
      </w:r>
    </w:p>
    <w:p w14:paraId="21B09547" w14:textId="77777777" w:rsidR="002227E6" w:rsidRPr="00D470FC" w:rsidRDefault="002227E6" w:rsidP="00E66B89">
      <w:pPr>
        <w:pStyle w:val="SingleTxtG"/>
        <w:rPr>
          <w:spacing w:val="-4"/>
        </w:rPr>
      </w:pPr>
      <w:r w:rsidRPr="00D470FC">
        <w:t>175.</w:t>
      </w:r>
      <w:r w:rsidRPr="00D470FC">
        <w:tab/>
        <w:t>Act No. 586 of 30 October 2014 on Streamlining and Reducing the Workload in the Criminal Justice System was promulgated. The Act introduces procedures to expedite the processing of criminal cases for purposes of lightening the workload in the criminal justice system and reducing judicial delays and thereby guaranteeing prompt, timely and effective justice within the framework of the Constitution. The Act also establishes timeliness principles and a maximum duration for proceedings in compliance with the relevant treaties and partially amends the Code of Criminal Procedure, introducing a requirement that tribunals for more serious offences be composed of three expert judges competent to rule on the continuance or resolution of trials for all publicly actionable offences. This requirement supersedes the previous one – for three lay judges – provided for in article 60 of Act No. 025 of 24 June 2010. In addition, Act No. 586 provides for the termination of pretrial detention when its duration exceeds the minimum legal term of imprisonment prescribed for the most serious offence being tried; when its duration exceeds 12 months without charges having been brought or 24 months without a sentence having been passed, except in cases involving national security offences or the offences of corruption, femicide, murder, child or adolescent rape and infanticide; or when the person deprived of liberty certifies that he or she has a terminal illness.</w:t>
      </w:r>
    </w:p>
    <w:p w14:paraId="0E5B8DED" w14:textId="77777777" w:rsidR="002227E6" w:rsidRPr="00D470FC" w:rsidRDefault="002227E6" w:rsidP="00851C23">
      <w:pPr>
        <w:pStyle w:val="H1G"/>
      </w:pPr>
      <w:r w:rsidRPr="00D470FC">
        <w:lastRenderedPageBreak/>
        <w:tab/>
      </w:r>
      <w:r w:rsidRPr="00D470FC">
        <w:tab/>
        <w:t>Freedom of expression and violence against human rights defenders and journalists (arts. 6–7, 9, 17, 19 and 22)</w:t>
      </w:r>
    </w:p>
    <w:p w14:paraId="69607B5C" w14:textId="561608B6" w:rsidR="002227E6" w:rsidRPr="00D470FC" w:rsidRDefault="00851C23" w:rsidP="00851C23">
      <w:pPr>
        <w:pStyle w:val="H23G"/>
      </w:pPr>
      <w:r>
        <w:tab/>
      </w:r>
      <w:r w:rsidR="002227E6" w:rsidRPr="00D470FC">
        <w:t>21.</w:t>
      </w:r>
      <w:r w:rsidR="002227E6" w:rsidRPr="00D470FC">
        <w:tab/>
        <w:t>Replies to the issues raised in paragraph 21 of the list of issues</w:t>
      </w:r>
    </w:p>
    <w:p w14:paraId="35697674" w14:textId="77DAC75A" w:rsidR="002227E6" w:rsidRPr="00D470FC" w:rsidRDefault="002227E6" w:rsidP="00E66B89">
      <w:pPr>
        <w:pStyle w:val="SingleTxtG"/>
      </w:pPr>
      <w:r w:rsidRPr="00D470FC">
        <w:t>176.</w:t>
      </w:r>
      <w:r w:rsidRPr="00D470FC">
        <w:tab/>
        <w:t xml:space="preserve">On the protection of journalists, the Bolivian Police issued General Memorandum Fax No. 196/2019 of 4 November 2019, which provides for </w:t>
      </w:r>
      <w:r w:rsidR="008D6E06">
        <w:t>“</w:t>
      </w:r>
      <w:r w:rsidRPr="00D470FC">
        <w:t>taking the precautions necessary to provide constitutional guarantees to members of the press in their journalistic coverage and protect the public</w:t>
      </w:r>
      <w:r w:rsidR="008D6E06">
        <w:t>’</w:t>
      </w:r>
      <w:r w:rsidRPr="00D470FC">
        <w:t>s right to information</w:t>
      </w:r>
      <w:r w:rsidR="008D6E06">
        <w:t>”</w:t>
      </w:r>
      <w:r w:rsidRPr="00D470FC">
        <w:t>.</w:t>
      </w:r>
    </w:p>
    <w:p w14:paraId="29F2078D" w14:textId="77777777" w:rsidR="002227E6" w:rsidRPr="00D470FC" w:rsidRDefault="002227E6" w:rsidP="00E66B89">
      <w:pPr>
        <w:pStyle w:val="SingleTxtG"/>
        <w:rPr>
          <w:b/>
        </w:rPr>
      </w:pPr>
      <w:r w:rsidRPr="00D470FC">
        <w:t>177.</w:t>
      </w:r>
      <w:r w:rsidRPr="00D470FC">
        <w:tab/>
        <w:t>In relation to human rights defenders, it should be noted that, on 9 December 2020, the Ministry of Justice and Institutional Transparency issued Ministerial Decision No. 143/2020, in compliance with the precepts set out in the Constitution, providing for the promotion and dissemination of the Declaration on the Right and Responsibility of Individuals, Groups and Organs of Society to Promote and Protect Universally Recognized Human Rights and Fundamental Freedoms, adopted at the fifty-third session of the United Nations General Assembly by resolution 53/144 of 8 March 1999, by the Office of the Deputy Minister of Justice and Fundamental Rights, under the authority of the Ministry of Justice and Institutional Transparency.</w:t>
      </w:r>
    </w:p>
    <w:p w14:paraId="451863AB" w14:textId="1CCC29F5" w:rsidR="002227E6" w:rsidRPr="003367CE" w:rsidRDefault="002227E6" w:rsidP="00E66B89">
      <w:pPr>
        <w:pStyle w:val="SingleTxtG"/>
        <w:rPr>
          <w:iCs/>
        </w:rPr>
      </w:pPr>
      <w:r w:rsidRPr="00D470FC">
        <w:t>178.</w:t>
      </w:r>
      <w:r w:rsidRPr="00D470FC">
        <w:tab/>
        <w:t>Between March and May 2020, the interim Government issued supreme decrees that limited freedom of expression, causing alarm among members of the press. On 14 May 2021, the Ombudsman</w:t>
      </w:r>
      <w:r w:rsidR="008D6E06">
        <w:t>’</w:t>
      </w:r>
      <w:r w:rsidRPr="00D470FC">
        <w:t xml:space="preserve">s Office filed an application for the constitutional review of Supreme Decree No. 4231 of 7 May 2020 and related norms that seriously deny freedom of expression. The single supplementary provision of Supreme Decree No. 4231, the scope of which was considered unconstitutional, contained the following language: </w:t>
      </w:r>
      <w:r w:rsidR="008D6E06">
        <w:t>“</w:t>
      </w:r>
      <w:r w:rsidRPr="00D470FC">
        <w:t>SINGLE SUPPLEMENTARY PROVISION: Article 7 (II) of Supreme Decree No. 4199 of 21 March 2020 and article 13 (II) of Supreme Decree No. 4200 of 25 March 2020 are to be replaced with the following: II. Persons who encourage non-compliance with this Supreme Decree or who disseminate information of any kind, whether in written, printed, artistic or any other form, that endangers or affects public health and gives rise to uncertainty among the public, shall be liable to prosecution for the commission of offences under the Criminal Code</w:t>
      </w:r>
      <w:r w:rsidR="008D6E06">
        <w:t>”</w:t>
      </w:r>
      <w:r w:rsidRPr="00D470FC">
        <w:t>.</w:t>
      </w:r>
    </w:p>
    <w:p w14:paraId="53B480D8" w14:textId="59BCA918" w:rsidR="002227E6" w:rsidRPr="00D470FC" w:rsidRDefault="002227E6" w:rsidP="00E66B89">
      <w:pPr>
        <w:pStyle w:val="SingleTxtG"/>
        <w:rPr>
          <w:bCs/>
        </w:rPr>
      </w:pPr>
      <w:r w:rsidRPr="00D470FC">
        <w:t>179.</w:t>
      </w:r>
      <w:r w:rsidRPr="00D470FC">
        <w:tab/>
        <w:t>The requirements for granting legal status to NGOs are established in Act No. 351 on the Granting of Legal Status of 19 March 2013 and Supreme Decree No. 1987 of 30 April 2014, setting out partial implementing regulations of Act No. 351.</w:t>
      </w:r>
    </w:p>
    <w:p w14:paraId="4EBFC39F" w14:textId="77777777" w:rsidR="002227E6" w:rsidRPr="00D470FC" w:rsidRDefault="002227E6" w:rsidP="00851C23">
      <w:pPr>
        <w:pStyle w:val="H1G"/>
      </w:pPr>
      <w:r w:rsidRPr="00D470FC">
        <w:tab/>
      </w:r>
      <w:r w:rsidRPr="00D470FC">
        <w:tab/>
        <w:t>Rights of the child and birth certificates (arts. 16 and 23–24)</w:t>
      </w:r>
    </w:p>
    <w:p w14:paraId="2DC08CD8" w14:textId="26591359" w:rsidR="002227E6" w:rsidRPr="00D470FC" w:rsidRDefault="00851C23" w:rsidP="00851C23">
      <w:pPr>
        <w:pStyle w:val="H23G"/>
      </w:pPr>
      <w:r>
        <w:tab/>
      </w:r>
      <w:r w:rsidR="002227E6" w:rsidRPr="00D470FC">
        <w:t>22.</w:t>
      </w:r>
      <w:r w:rsidR="002227E6" w:rsidRPr="00D470FC">
        <w:tab/>
        <w:t>Replies to the issues raised in paragraph 22 of the list of issues</w:t>
      </w:r>
    </w:p>
    <w:p w14:paraId="4EE80B64" w14:textId="77777777" w:rsidR="002227E6" w:rsidRPr="00D470FC" w:rsidRDefault="002227E6" w:rsidP="00E66B89">
      <w:pPr>
        <w:pStyle w:val="SingleTxtG"/>
      </w:pPr>
      <w:r w:rsidRPr="00D470FC">
        <w:t>180.</w:t>
      </w:r>
      <w:r w:rsidRPr="00D470FC">
        <w:tab/>
        <w:t>Under article 142 of the Constitution, Bolivian nationality is automatically granted to persons born in the Plurinational State of Bolivia, with the exception of children born to foreign personnel on diplomatic missions; the same article provides for the possibility of acquiring Bolivian nationality by naturalization. With Bolivian citizenship comes recognition of the rights and duties established in the Constitution and the domestic legal order as a whole.</w:t>
      </w:r>
    </w:p>
    <w:p w14:paraId="3709DBC3" w14:textId="59A9FEE8" w:rsidR="002227E6" w:rsidRPr="00D470FC" w:rsidRDefault="002227E6" w:rsidP="00E66B89">
      <w:pPr>
        <w:pStyle w:val="SingleTxtG"/>
      </w:pPr>
      <w:r w:rsidRPr="00D470FC">
        <w:t>181.</w:t>
      </w:r>
      <w:r w:rsidRPr="00D470FC">
        <w:tab/>
        <w:t xml:space="preserve">Furthermore, article 108 of the Children and Adolescents Code establishes that </w:t>
      </w:r>
      <w:r w:rsidR="008D6E06">
        <w:t>“</w:t>
      </w:r>
      <w:r w:rsidRPr="00D470FC">
        <w:t>children and adolescents born in Bolivian territory and children born abroad to a Bolivian mother or father acquire Bolivian nationality from birth, in accordance with the provisions of the Constitution, without any other prerequisites</w:t>
      </w:r>
      <w:r w:rsidR="008D6E06">
        <w:t>”</w:t>
      </w:r>
      <w:r w:rsidRPr="00D470FC">
        <w:t>.</w:t>
      </w:r>
    </w:p>
    <w:p w14:paraId="104098EA" w14:textId="203C0003" w:rsidR="002227E6" w:rsidRPr="00D470FC" w:rsidRDefault="002227E6" w:rsidP="00E66B89">
      <w:pPr>
        <w:pStyle w:val="SingleTxtG"/>
      </w:pPr>
      <w:r w:rsidRPr="00D470FC">
        <w:t>182.</w:t>
      </w:r>
      <w:r w:rsidRPr="00D470FC">
        <w:tab/>
        <w:t xml:space="preserve">As for the registration of births, article 113 states that </w:t>
      </w:r>
      <w:r w:rsidR="008D6E06">
        <w:t>“</w:t>
      </w:r>
      <w:r w:rsidRPr="00D470FC">
        <w:t>the civil registration official, at the time of registration, may help the mother, father, guardian or tutor to choose a name for their child that will not be cause for discrimination</w:t>
      </w:r>
      <w:r w:rsidR="008D6E06">
        <w:t>”</w:t>
      </w:r>
      <w:r w:rsidRPr="00D470FC">
        <w:t xml:space="preserve">. It further states that </w:t>
      </w:r>
      <w:r w:rsidR="008D6E06">
        <w:t>“</w:t>
      </w:r>
      <w:r w:rsidRPr="00D470FC">
        <w:t>the civil registration officer must respect the original names and surnames chosen by the mother, father or authority of an indigenous or aboriginal campesino nation or people</w:t>
      </w:r>
      <w:r w:rsidR="008D6E06">
        <w:t>”</w:t>
      </w:r>
      <w:r w:rsidRPr="00D470FC">
        <w:t>. Article 5 of the Civil Registry regulations governing the registration of births establishes that civil registration officials, when registering the births of persons belonging to an indigenous or aboriginal people, must record their names and surnames, while respecting their cultural identity, in accordance with the current legal regulations in force. Thus, the right to identity is guaranteed, and cultural identity is respected.</w:t>
      </w:r>
    </w:p>
    <w:p w14:paraId="19371104" w14:textId="1ED06794" w:rsidR="002227E6" w:rsidRPr="00D470FC" w:rsidRDefault="002227E6" w:rsidP="00E66B89">
      <w:pPr>
        <w:pStyle w:val="SingleTxtG"/>
      </w:pPr>
      <w:r w:rsidRPr="00D470FC">
        <w:lastRenderedPageBreak/>
        <w:t>183.</w:t>
      </w:r>
      <w:r w:rsidRPr="00D470FC">
        <w:tab/>
        <w:t>Article 114 of the Children and Adolescents Code provides for registration in the Civil Registry, as well as the right to receive a child</w:t>
      </w:r>
      <w:r w:rsidR="008D6E06">
        <w:t>’</w:t>
      </w:r>
      <w:r w:rsidRPr="00D470FC">
        <w:t>s birth certificate, free of charge.</w:t>
      </w:r>
    </w:p>
    <w:p w14:paraId="70948F48" w14:textId="77777777" w:rsidR="002227E6" w:rsidRPr="00D470FC" w:rsidRDefault="002227E6" w:rsidP="00E66B89">
      <w:pPr>
        <w:pStyle w:val="SingleTxtG"/>
      </w:pPr>
      <w:r w:rsidRPr="00D470FC">
        <w:t>184.</w:t>
      </w:r>
      <w:r w:rsidRPr="00D470FC">
        <w:tab/>
        <w:t>Article 120 of the Code provides that children and adolescents have the right to the recognition of, respect for and promotion of the knowledge and experience of the culture to which they belong or with which they identify; they also have the right to participate freely and fully in cultural and artistic life in accordance with their identity and community.</w:t>
      </w:r>
    </w:p>
    <w:p w14:paraId="0E49AC47" w14:textId="77777777" w:rsidR="002227E6" w:rsidRPr="00D470FC" w:rsidRDefault="002227E6" w:rsidP="00E66B89">
      <w:pPr>
        <w:pStyle w:val="SingleTxtG"/>
      </w:pPr>
      <w:r w:rsidRPr="00D470FC">
        <w:t>185.</w:t>
      </w:r>
      <w:r w:rsidRPr="00D470FC">
        <w:tab/>
        <w:t>In that connection, the following measures have been taken:</w:t>
      </w:r>
    </w:p>
    <w:p w14:paraId="3B62E1A8" w14:textId="0B16FF72" w:rsidR="002227E6" w:rsidRPr="00D470FC" w:rsidRDefault="002227E6" w:rsidP="00851C23">
      <w:pPr>
        <w:pStyle w:val="SingleTxtG"/>
        <w:ind w:left="1701"/>
      </w:pPr>
      <w:r w:rsidRPr="00D470FC">
        <w:t>1.</w:t>
      </w:r>
      <w:r w:rsidRPr="00D470FC">
        <w:tab/>
        <w:t>The registration and the first birth certificate for children and adolescents are free of charge;</w:t>
      </w:r>
    </w:p>
    <w:p w14:paraId="5B77B6E8" w14:textId="77777777" w:rsidR="002227E6" w:rsidRPr="00D470FC" w:rsidRDefault="002227E6" w:rsidP="00851C23">
      <w:pPr>
        <w:pStyle w:val="SingleTxtG"/>
        <w:ind w:left="1701"/>
      </w:pPr>
      <w:r w:rsidRPr="00D470FC">
        <w:t>2.</w:t>
      </w:r>
      <w:r w:rsidRPr="00D470FC">
        <w:tab/>
        <w:t>The deadline for birth registration is 12 years;</w:t>
      </w:r>
    </w:p>
    <w:p w14:paraId="1AB0CA0F" w14:textId="4C18C749" w:rsidR="002227E6" w:rsidRPr="00D470FC" w:rsidRDefault="002227E6" w:rsidP="00851C23">
      <w:pPr>
        <w:pStyle w:val="SingleTxtG"/>
        <w:ind w:left="1701"/>
      </w:pPr>
      <w:r w:rsidRPr="00D470FC">
        <w:t>3.</w:t>
      </w:r>
      <w:r w:rsidRPr="00D470FC">
        <w:tab/>
        <w:t>The following documents are accepted as proof of the birth of a child: a certificate of live birth, a school record book or any document where the child</w:t>
      </w:r>
      <w:r w:rsidR="008D6E06">
        <w:t>’</w:t>
      </w:r>
      <w:r w:rsidRPr="00D470FC">
        <w:t>s name appears, or the affidavit of two witnesses of legal age, together with their identity documents;</w:t>
      </w:r>
    </w:p>
    <w:p w14:paraId="0B446AE2" w14:textId="77777777" w:rsidR="002227E6" w:rsidRPr="00D470FC" w:rsidRDefault="002227E6" w:rsidP="00851C23">
      <w:pPr>
        <w:pStyle w:val="SingleTxtG"/>
        <w:ind w:left="1701"/>
      </w:pPr>
      <w:r w:rsidRPr="00D470FC">
        <w:t>4.</w:t>
      </w:r>
      <w:r w:rsidRPr="00D470FC">
        <w:tab/>
        <w:t>Applications may be submitted by parents or guardians or, in their absence, blood relatives up to the third degree of kinship or, in their absence, municipal, religious, administrative or judicial authorities, community-based organizations, or directors of public or private foster homes in the case of abandoned children;</w:t>
      </w:r>
    </w:p>
    <w:p w14:paraId="5AC513E0" w14:textId="77777777" w:rsidR="002227E6" w:rsidRPr="00D470FC" w:rsidRDefault="002227E6" w:rsidP="00851C23">
      <w:pPr>
        <w:pStyle w:val="SingleTxtG"/>
        <w:ind w:left="1701"/>
      </w:pPr>
      <w:r w:rsidRPr="00D470FC">
        <w:t>5.</w:t>
      </w:r>
      <w:r w:rsidRPr="00D470FC">
        <w:tab/>
        <w:t>Once the deadline for registration has expired, a birth may be registered by means of an administrative procedure;</w:t>
      </w:r>
    </w:p>
    <w:p w14:paraId="559865EB" w14:textId="77777777" w:rsidR="002227E6" w:rsidRPr="00D470FC" w:rsidRDefault="002227E6" w:rsidP="00851C23">
      <w:pPr>
        <w:pStyle w:val="SingleTxtG"/>
        <w:ind w:left="1701"/>
      </w:pPr>
      <w:r w:rsidRPr="00D470FC">
        <w:t>6.</w:t>
      </w:r>
      <w:r w:rsidRPr="00D470FC">
        <w:tab/>
        <w:t>Registration of the cultural identity of an indigenous or aboriginal campesino nation or people became possible with the adoption of decision No. TSE-RSP-ADM No. 055/2019 of 23 January 2019;</w:t>
      </w:r>
    </w:p>
    <w:p w14:paraId="528AD7A4" w14:textId="77777777" w:rsidR="002227E6" w:rsidRPr="00D470FC" w:rsidRDefault="002227E6" w:rsidP="00851C23">
      <w:pPr>
        <w:pStyle w:val="SingleTxtG"/>
        <w:ind w:left="1701"/>
      </w:pPr>
      <w:r w:rsidRPr="00D470FC">
        <w:t>7.</w:t>
      </w:r>
      <w:r w:rsidRPr="00D470FC">
        <w:tab/>
        <w:t>The Civil Registry covers the entire national territory.</w:t>
      </w:r>
    </w:p>
    <w:p w14:paraId="337F7E4E" w14:textId="77777777" w:rsidR="002227E6" w:rsidRPr="00D470FC" w:rsidRDefault="002227E6" w:rsidP="002227E6">
      <w:pPr>
        <w:pStyle w:val="H1G"/>
      </w:pPr>
      <w:r w:rsidRPr="00D470FC">
        <w:tab/>
      </w:r>
      <w:r w:rsidRPr="00D470FC">
        <w:tab/>
      </w:r>
      <w:r w:rsidRPr="00D470FC">
        <w:rPr>
          <w:bCs/>
        </w:rPr>
        <w:t>Migrants, asylum seekers and refugees (arts. 2, 9–10, 12–13 and 26)</w:t>
      </w:r>
    </w:p>
    <w:p w14:paraId="3D1D3401" w14:textId="42480005" w:rsidR="002227E6" w:rsidRPr="00D470FC" w:rsidRDefault="00851C23" w:rsidP="00851C23">
      <w:pPr>
        <w:pStyle w:val="H23G"/>
      </w:pPr>
      <w:r>
        <w:tab/>
      </w:r>
      <w:r w:rsidR="002227E6" w:rsidRPr="00D470FC">
        <w:t>23.</w:t>
      </w:r>
      <w:r w:rsidR="002227E6" w:rsidRPr="00D470FC">
        <w:tab/>
        <w:t>Replies to the issues raised in paragraph 23 of the list of issues</w:t>
      </w:r>
    </w:p>
    <w:p w14:paraId="2460D0A6" w14:textId="77777777" w:rsidR="002227E6" w:rsidRPr="00D470FC" w:rsidRDefault="002227E6" w:rsidP="002227E6">
      <w:pPr>
        <w:pStyle w:val="H23G"/>
      </w:pPr>
      <w:r w:rsidRPr="00D470FC">
        <w:tab/>
      </w:r>
      <w:r w:rsidRPr="00D470FC">
        <w:tab/>
      </w:r>
      <w:r w:rsidRPr="00D470FC">
        <w:rPr>
          <w:bCs/>
        </w:rPr>
        <w:t>Statistical data on the number of refugees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27"/>
        <w:gridCol w:w="2092"/>
        <w:gridCol w:w="2151"/>
      </w:tblGrid>
      <w:tr w:rsidR="002F50B0" w:rsidRPr="00D659DD" w14:paraId="0DC3F5D9" w14:textId="77777777" w:rsidTr="00D659DD">
        <w:trPr>
          <w:trHeight w:val="240"/>
          <w:tblHeader/>
        </w:trPr>
        <w:tc>
          <w:tcPr>
            <w:tcW w:w="3127" w:type="dxa"/>
            <w:tcBorders>
              <w:top w:val="single" w:sz="4" w:space="0" w:color="auto"/>
              <w:bottom w:val="single" w:sz="12" w:space="0" w:color="auto"/>
            </w:tcBorders>
            <w:shd w:val="clear" w:color="auto" w:fill="auto"/>
            <w:vAlign w:val="bottom"/>
          </w:tcPr>
          <w:p w14:paraId="31313251" w14:textId="77777777" w:rsidR="002227E6" w:rsidRPr="00D659DD" w:rsidRDefault="002227E6" w:rsidP="00D659DD">
            <w:pPr>
              <w:spacing w:before="80" w:after="80" w:line="200" w:lineRule="exact"/>
              <w:ind w:right="113"/>
              <w:rPr>
                <w:bCs/>
                <w:i/>
                <w:sz w:val="16"/>
              </w:rPr>
            </w:pPr>
            <w:r w:rsidRPr="00D659DD">
              <w:rPr>
                <w:i/>
                <w:iCs/>
                <w:sz w:val="16"/>
              </w:rPr>
              <w:t>Year</w:t>
            </w:r>
          </w:p>
        </w:tc>
        <w:tc>
          <w:tcPr>
            <w:tcW w:w="2092" w:type="dxa"/>
            <w:tcBorders>
              <w:top w:val="single" w:sz="4" w:space="0" w:color="auto"/>
              <w:bottom w:val="single" w:sz="12" w:space="0" w:color="auto"/>
            </w:tcBorders>
            <w:shd w:val="clear" w:color="auto" w:fill="auto"/>
            <w:noWrap/>
            <w:vAlign w:val="bottom"/>
            <w:hideMark/>
          </w:tcPr>
          <w:p w14:paraId="4764283D" w14:textId="77777777" w:rsidR="002227E6" w:rsidRPr="00D659DD" w:rsidRDefault="002227E6" w:rsidP="00D659DD">
            <w:pPr>
              <w:spacing w:before="80" w:after="80" w:line="200" w:lineRule="exact"/>
              <w:ind w:right="113"/>
              <w:jc w:val="right"/>
              <w:rPr>
                <w:bCs/>
                <w:i/>
                <w:sz w:val="16"/>
              </w:rPr>
            </w:pPr>
            <w:r w:rsidRPr="00D659DD">
              <w:rPr>
                <w:i/>
                <w:iCs/>
                <w:sz w:val="16"/>
              </w:rPr>
              <w:t>Asylum seekers</w:t>
            </w:r>
          </w:p>
        </w:tc>
        <w:tc>
          <w:tcPr>
            <w:tcW w:w="2151" w:type="dxa"/>
            <w:tcBorders>
              <w:top w:val="single" w:sz="4" w:space="0" w:color="auto"/>
              <w:bottom w:val="single" w:sz="12" w:space="0" w:color="auto"/>
            </w:tcBorders>
            <w:shd w:val="clear" w:color="auto" w:fill="auto"/>
            <w:noWrap/>
            <w:vAlign w:val="bottom"/>
            <w:hideMark/>
          </w:tcPr>
          <w:p w14:paraId="68688BB1" w14:textId="77777777" w:rsidR="002227E6" w:rsidRPr="00D659DD" w:rsidRDefault="002227E6" w:rsidP="00D659DD">
            <w:pPr>
              <w:spacing w:before="80" w:after="80" w:line="200" w:lineRule="exact"/>
              <w:ind w:right="113"/>
              <w:jc w:val="right"/>
              <w:rPr>
                <w:bCs/>
                <w:i/>
                <w:sz w:val="16"/>
              </w:rPr>
            </w:pPr>
            <w:r w:rsidRPr="00D659DD">
              <w:rPr>
                <w:i/>
                <w:iCs/>
                <w:sz w:val="16"/>
              </w:rPr>
              <w:t>Refugees</w:t>
            </w:r>
          </w:p>
        </w:tc>
      </w:tr>
      <w:tr w:rsidR="002227E6" w:rsidRPr="00D659DD" w14:paraId="5AE3DFF8" w14:textId="77777777" w:rsidTr="00D659DD">
        <w:trPr>
          <w:trHeight w:val="240"/>
        </w:trPr>
        <w:tc>
          <w:tcPr>
            <w:tcW w:w="3127" w:type="dxa"/>
            <w:tcBorders>
              <w:top w:val="single" w:sz="12" w:space="0" w:color="auto"/>
            </w:tcBorders>
            <w:shd w:val="clear" w:color="auto" w:fill="auto"/>
          </w:tcPr>
          <w:p w14:paraId="31BB3291" w14:textId="77777777" w:rsidR="002227E6" w:rsidRPr="00D659DD" w:rsidRDefault="002227E6" w:rsidP="00D659DD">
            <w:pPr>
              <w:spacing w:before="40" w:after="40" w:line="220" w:lineRule="exact"/>
              <w:ind w:right="113"/>
              <w:rPr>
                <w:sz w:val="18"/>
              </w:rPr>
            </w:pPr>
            <w:r w:rsidRPr="00D659DD">
              <w:rPr>
                <w:sz w:val="18"/>
              </w:rPr>
              <w:t>2014</w:t>
            </w:r>
          </w:p>
        </w:tc>
        <w:tc>
          <w:tcPr>
            <w:tcW w:w="2092" w:type="dxa"/>
            <w:tcBorders>
              <w:top w:val="single" w:sz="12" w:space="0" w:color="auto"/>
            </w:tcBorders>
            <w:shd w:val="clear" w:color="auto" w:fill="auto"/>
            <w:noWrap/>
            <w:vAlign w:val="bottom"/>
            <w:hideMark/>
          </w:tcPr>
          <w:p w14:paraId="758FA902" w14:textId="77777777" w:rsidR="002227E6" w:rsidRPr="00D659DD" w:rsidRDefault="002227E6" w:rsidP="00D659DD">
            <w:pPr>
              <w:spacing w:before="40" w:after="40" w:line="220" w:lineRule="exact"/>
              <w:ind w:right="113"/>
              <w:jc w:val="right"/>
              <w:rPr>
                <w:sz w:val="18"/>
              </w:rPr>
            </w:pPr>
            <w:r w:rsidRPr="00D659DD">
              <w:rPr>
                <w:sz w:val="18"/>
              </w:rPr>
              <w:t>29</w:t>
            </w:r>
          </w:p>
        </w:tc>
        <w:tc>
          <w:tcPr>
            <w:tcW w:w="2151" w:type="dxa"/>
            <w:tcBorders>
              <w:top w:val="single" w:sz="12" w:space="0" w:color="auto"/>
            </w:tcBorders>
            <w:shd w:val="clear" w:color="auto" w:fill="auto"/>
            <w:noWrap/>
            <w:vAlign w:val="bottom"/>
            <w:hideMark/>
          </w:tcPr>
          <w:p w14:paraId="2353A4BE" w14:textId="77777777" w:rsidR="002227E6" w:rsidRPr="00D659DD" w:rsidRDefault="002227E6" w:rsidP="00D659DD">
            <w:pPr>
              <w:spacing w:before="40" w:after="40" w:line="220" w:lineRule="exact"/>
              <w:ind w:right="113"/>
              <w:jc w:val="right"/>
              <w:rPr>
                <w:sz w:val="18"/>
              </w:rPr>
            </w:pPr>
            <w:r w:rsidRPr="00D659DD">
              <w:rPr>
                <w:sz w:val="18"/>
              </w:rPr>
              <w:t>18</w:t>
            </w:r>
          </w:p>
        </w:tc>
      </w:tr>
      <w:tr w:rsidR="002227E6" w:rsidRPr="00D659DD" w14:paraId="269C2E0C" w14:textId="77777777" w:rsidTr="00D659DD">
        <w:trPr>
          <w:trHeight w:val="240"/>
        </w:trPr>
        <w:tc>
          <w:tcPr>
            <w:tcW w:w="3127" w:type="dxa"/>
            <w:shd w:val="clear" w:color="auto" w:fill="auto"/>
          </w:tcPr>
          <w:p w14:paraId="731409DA" w14:textId="77777777" w:rsidR="002227E6" w:rsidRPr="00D659DD" w:rsidRDefault="002227E6" w:rsidP="00D659DD">
            <w:pPr>
              <w:spacing w:before="40" w:after="40" w:line="220" w:lineRule="exact"/>
              <w:ind w:right="113"/>
              <w:rPr>
                <w:sz w:val="18"/>
              </w:rPr>
            </w:pPr>
            <w:r w:rsidRPr="00D659DD">
              <w:rPr>
                <w:sz w:val="18"/>
              </w:rPr>
              <w:t>2015</w:t>
            </w:r>
          </w:p>
        </w:tc>
        <w:tc>
          <w:tcPr>
            <w:tcW w:w="2092" w:type="dxa"/>
            <w:shd w:val="clear" w:color="auto" w:fill="auto"/>
            <w:noWrap/>
            <w:vAlign w:val="bottom"/>
            <w:hideMark/>
          </w:tcPr>
          <w:p w14:paraId="62CAEB73" w14:textId="77777777" w:rsidR="002227E6" w:rsidRPr="00D659DD" w:rsidRDefault="002227E6" w:rsidP="00D659DD">
            <w:pPr>
              <w:spacing w:before="40" w:after="40" w:line="220" w:lineRule="exact"/>
              <w:ind w:right="113"/>
              <w:jc w:val="right"/>
              <w:rPr>
                <w:sz w:val="18"/>
              </w:rPr>
            </w:pPr>
            <w:r w:rsidRPr="00D659DD">
              <w:rPr>
                <w:sz w:val="18"/>
              </w:rPr>
              <w:t>47</w:t>
            </w:r>
          </w:p>
        </w:tc>
        <w:tc>
          <w:tcPr>
            <w:tcW w:w="2151" w:type="dxa"/>
            <w:shd w:val="clear" w:color="auto" w:fill="auto"/>
            <w:noWrap/>
            <w:vAlign w:val="bottom"/>
            <w:hideMark/>
          </w:tcPr>
          <w:p w14:paraId="1DB79357" w14:textId="77777777" w:rsidR="002227E6" w:rsidRPr="00D659DD" w:rsidRDefault="002227E6" w:rsidP="00D659DD">
            <w:pPr>
              <w:spacing w:before="40" w:after="40" w:line="220" w:lineRule="exact"/>
              <w:ind w:right="113"/>
              <w:jc w:val="right"/>
              <w:rPr>
                <w:sz w:val="18"/>
              </w:rPr>
            </w:pPr>
            <w:r w:rsidRPr="00D659DD">
              <w:rPr>
                <w:sz w:val="18"/>
              </w:rPr>
              <w:t>7</w:t>
            </w:r>
          </w:p>
        </w:tc>
      </w:tr>
      <w:tr w:rsidR="002227E6" w:rsidRPr="00D659DD" w14:paraId="6F021AEB" w14:textId="77777777" w:rsidTr="00D659DD">
        <w:trPr>
          <w:trHeight w:val="240"/>
        </w:trPr>
        <w:tc>
          <w:tcPr>
            <w:tcW w:w="3127" w:type="dxa"/>
            <w:shd w:val="clear" w:color="auto" w:fill="auto"/>
          </w:tcPr>
          <w:p w14:paraId="509F5A1A" w14:textId="77777777" w:rsidR="002227E6" w:rsidRPr="00D659DD" w:rsidRDefault="002227E6" w:rsidP="00D659DD">
            <w:pPr>
              <w:spacing w:before="40" w:after="40" w:line="220" w:lineRule="exact"/>
              <w:ind w:right="113"/>
              <w:rPr>
                <w:sz w:val="18"/>
              </w:rPr>
            </w:pPr>
            <w:r w:rsidRPr="00D659DD">
              <w:rPr>
                <w:sz w:val="18"/>
              </w:rPr>
              <w:t>2016</w:t>
            </w:r>
          </w:p>
        </w:tc>
        <w:tc>
          <w:tcPr>
            <w:tcW w:w="2092" w:type="dxa"/>
            <w:shd w:val="clear" w:color="auto" w:fill="auto"/>
            <w:noWrap/>
            <w:vAlign w:val="bottom"/>
            <w:hideMark/>
          </w:tcPr>
          <w:p w14:paraId="0C5065D3" w14:textId="77777777" w:rsidR="002227E6" w:rsidRPr="00D659DD" w:rsidRDefault="002227E6" w:rsidP="00D659DD">
            <w:pPr>
              <w:spacing w:before="40" w:after="40" w:line="220" w:lineRule="exact"/>
              <w:ind w:right="113"/>
              <w:jc w:val="right"/>
              <w:rPr>
                <w:sz w:val="18"/>
              </w:rPr>
            </w:pPr>
            <w:r w:rsidRPr="00D659DD">
              <w:rPr>
                <w:sz w:val="18"/>
              </w:rPr>
              <w:t>17</w:t>
            </w:r>
          </w:p>
        </w:tc>
        <w:tc>
          <w:tcPr>
            <w:tcW w:w="2151" w:type="dxa"/>
            <w:shd w:val="clear" w:color="auto" w:fill="auto"/>
            <w:noWrap/>
            <w:vAlign w:val="bottom"/>
            <w:hideMark/>
          </w:tcPr>
          <w:p w14:paraId="035F02FB" w14:textId="77777777" w:rsidR="002227E6" w:rsidRPr="00D659DD" w:rsidRDefault="002227E6" w:rsidP="00D659DD">
            <w:pPr>
              <w:spacing w:before="40" w:after="40" w:line="220" w:lineRule="exact"/>
              <w:ind w:right="113"/>
              <w:jc w:val="right"/>
              <w:rPr>
                <w:sz w:val="18"/>
              </w:rPr>
            </w:pPr>
            <w:r w:rsidRPr="00D659DD">
              <w:rPr>
                <w:sz w:val="18"/>
              </w:rPr>
              <w:t>9</w:t>
            </w:r>
          </w:p>
        </w:tc>
      </w:tr>
      <w:tr w:rsidR="002227E6" w:rsidRPr="00D659DD" w14:paraId="2185FAA3" w14:textId="77777777" w:rsidTr="00D659DD">
        <w:trPr>
          <w:trHeight w:val="240"/>
        </w:trPr>
        <w:tc>
          <w:tcPr>
            <w:tcW w:w="3127" w:type="dxa"/>
            <w:shd w:val="clear" w:color="auto" w:fill="auto"/>
          </w:tcPr>
          <w:p w14:paraId="3ECF8B01" w14:textId="77777777" w:rsidR="002227E6" w:rsidRPr="00D659DD" w:rsidRDefault="002227E6" w:rsidP="00D659DD">
            <w:pPr>
              <w:spacing w:before="40" w:after="40" w:line="220" w:lineRule="exact"/>
              <w:ind w:right="113"/>
              <w:rPr>
                <w:sz w:val="18"/>
              </w:rPr>
            </w:pPr>
            <w:r w:rsidRPr="00D659DD">
              <w:rPr>
                <w:sz w:val="18"/>
              </w:rPr>
              <w:t>2017</w:t>
            </w:r>
          </w:p>
        </w:tc>
        <w:tc>
          <w:tcPr>
            <w:tcW w:w="2092" w:type="dxa"/>
            <w:shd w:val="clear" w:color="auto" w:fill="auto"/>
            <w:noWrap/>
            <w:vAlign w:val="bottom"/>
            <w:hideMark/>
          </w:tcPr>
          <w:p w14:paraId="3B1472EA" w14:textId="77777777" w:rsidR="002227E6" w:rsidRPr="00D659DD" w:rsidRDefault="002227E6" w:rsidP="00D659DD">
            <w:pPr>
              <w:spacing w:before="40" w:after="40" w:line="220" w:lineRule="exact"/>
              <w:ind w:right="113"/>
              <w:jc w:val="right"/>
              <w:rPr>
                <w:sz w:val="18"/>
              </w:rPr>
            </w:pPr>
            <w:r w:rsidRPr="00D659DD">
              <w:rPr>
                <w:sz w:val="18"/>
              </w:rPr>
              <w:t>22</w:t>
            </w:r>
          </w:p>
        </w:tc>
        <w:tc>
          <w:tcPr>
            <w:tcW w:w="2151" w:type="dxa"/>
            <w:shd w:val="clear" w:color="auto" w:fill="auto"/>
            <w:noWrap/>
            <w:vAlign w:val="bottom"/>
            <w:hideMark/>
          </w:tcPr>
          <w:p w14:paraId="1A8954C6" w14:textId="77777777" w:rsidR="002227E6" w:rsidRPr="00D659DD" w:rsidRDefault="002227E6" w:rsidP="00D659DD">
            <w:pPr>
              <w:spacing w:before="40" w:after="40" w:line="220" w:lineRule="exact"/>
              <w:ind w:right="113"/>
              <w:jc w:val="right"/>
              <w:rPr>
                <w:sz w:val="18"/>
              </w:rPr>
            </w:pPr>
            <w:r w:rsidRPr="00D659DD">
              <w:rPr>
                <w:sz w:val="18"/>
              </w:rPr>
              <w:t>16</w:t>
            </w:r>
          </w:p>
        </w:tc>
      </w:tr>
      <w:tr w:rsidR="002227E6" w:rsidRPr="00D659DD" w14:paraId="44E69AFE" w14:textId="77777777" w:rsidTr="00D659DD">
        <w:trPr>
          <w:trHeight w:val="240"/>
        </w:trPr>
        <w:tc>
          <w:tcPr>
            <w:tcW w:w="3127" w:type="dxa"/>
            <w:shd w:val="clear" w:color="auto" w:fill="auto"/>
          </w:tcPr>
          <w:p w14:paraId="2BECF65D" w14:textId="77777777" w:rsidR="002227E6" w:rsidRPr="00D659DD" w:rsidRDefault="002227E6" w:rsidP="00D659DD">
            <w:pPr>
              <w:spacing w:before="40" w:after="40" w:line="220" w:lineRule="exact"/>
              <w:ind w:right="113"/>
              <w:rPr>
                <w:sz w:val="18"/>
              </w:rPr>
            </w:pPr>
            <w:r w:rsidRPr="00D659DD">
              <w:rPr>
                <w:sz w:val="18"/>
              </w:rPr>
              <w:t>2018</w:t>
            </w:r>
          </w:p>
        </w:tc>
        <w:tc>
          <w:tcPr>
            <w:tcW w:w="2092" w:type="dxa"/>
            <w:shd w:val="clear" w:color="auto" w:fill="auto"/>
            <w:noWrap/>
            <w:vAlign w:val="bottom"/>
            <w:hideMark/>
          </w:tcPr>
          <w:p w14:paraId="3CB41BA3" w14:textId="77777777" w:rsidR="002227E6" w:rsidRPr="00D659DD" w:rsidRDefault="002227E6" w:rsidP="00D659DD">
            <w:pPr>
              <w:spacing w:before="40" w:after="40" w:line="220" w:lineRule="exact"/>
              <w:ind w:right="113"/>
              <w:jc w:val="right"/>
              <w:rPr>
                <w:sz w:val="18"/>
              </w:rPr>
            </w:pPr>
            <w:r w:rsidRPr="00D659DD">
              <w:rPr>
                <w:sz w:val="18"/>
              </w:rPr>
              <w:t>544</w:t>
            </w:r>
          </w:p>
        </w:tc>
        <w:tc>
          <w:tcPr>
            <w:tcW w:w="2151" w:type="dxa"/>
            <w:shd w:val="clear" w:color="auto" w:fill="auto"/>
            <w:noWrap/>
            <w:vAlign w:val="bottom"/>
            <w:hideMark/>
          </w:tcPr>
          <w:p w14:paraId="64950B7D" w14:textId="77777777" w:rsidR="002227E6" w:rsidRPr="00D659DD" w:rsidRDefault="002227E6" w:rsidP="00D659DD">
            <w:pPr>
              <w:spacing w:before="40" w:after="40" w:line="220" w:lineRule="exact"/>
              <w:ind w:right="113"/>
              <w:jc w:val="right"/>
              <w:rPr>
                <w:sz w:val="18"/>
              </w:rPr>
            </w:pPr>
            <w:r w:rsidRPr="00D659DD">
              <w:rPr>
                <w:sz w:val="18"/>
              </w:rPr>
              <w:t>22</w:t>
            </w:r>
          </w:p>
        </w:tc>
      </w:tr>
      <w:tr w:rsidR="002227E6" w:rsidRPr="00D659DD" w14:paraId="22C4CE29" w14:textId="77777777" w:rsidTr="00D659DD">
        <w:trPr>
          <w:trHeight w:val="240"/>
        </w:trPr>
        <w:tc>
          <w:tcPr>
            <w:tcW w:w="3127" w:type="dxa"/>
            <w:shd w:val="clear" w:color="auto" w:fill="auto"/>
          </w:tcPr>
          <w:p w14:paraId="5DD4E148" w14:textId="77777777" w:rsidR="002227E6" w:rsidRPr="00D659DD" w:rsidRDefault="002227E6" w:rsidP="00D659DD">
            <w:pPr>
              <w:spacing w:before="40" w:after="40" w:line="220" w:lineRule="exact"/>
              <w:ind w:right="113"/>
              <w:rPr>
                <w:sz w:val="18"/>
              </w:rPr>
            </w:pPr>
            <w:r w:rsidRPr="00D659DD">
              <w:rPr>
                <w:sz w:val="18"/>
              </w:rPr>
              <w:t>2019</w:t>
            </w:r>
          </w:p>
        </w:tc>
        <w:tc>
          <w:tcPr>
            <w:tcW w:w="2092" w:type="dxa"/>
            <w:shd w:val="clear" w:color="auto" w:fill="auto"/>
            <w:noWrap/>
            <w:vAlign w:val="bottom"/>
          </w:tcPr>
          <w:p w14:paraId="4AD36D48" w14:textId="77777777" w:rsidR="002227E6" w:rsidRPr="00D659DD" w:rsidRDefault="002227E6" w:rsidP="00D659DD">
            <w:pPr>
              <w:spacing w:before="40" w:after="40" w:line="220" w:lineRule="exact"/>
              <w:ind w:right="113"/>
              <w:jc w:val="right"/>
              <w:rPr>
                <w:sz w:val="18"/>
              </w:rPr>
            </w:pPr>
            <w:r w:rsidRPr="00D659DD">
              <w:rPr>
                <w:sz w:val="18"/>
              </w:rPr>
              <w:t>908</w:t>
            </w:r>
          </w:p>
        </w:tc>
        <w:tc>
          <w:tcPr>
            <w:tcW w:w="2151" w:type="dxa"/>
            <w:shd w:val="clear" w:color="auto" w:fill="auto"/>
            <w:noWrap/>
            <w:vAlign w:val="bottom"/>
          </w:tcPr>
          <w:p w14:paraId="2C14531A" w14:textId="77777777" w:rsidR="002227E6" w:rsidRPr="00D659DD" w:rsidRDefault="002227E6" w:rsidP="00D659DD">
            <w:pPr>
              <w:spacing w:before="40" w:after="40" w:line="220" w:lineRule="exact"/>
              <w:ind w:right="113"/>
              <w:jc w:val="right"/>
              <w:rPr>
                <w:sz w:val="18"/>
              </w:rPr>
            </w:pPr>
            <w:r w:rsidRPr="00D659DD">
              <w:rPr>
                <w:sz w:val="18"/>
              </w:rPr>
              <w:t>4</w:t>
            </w:r>
          </w:p>
        </w:tc>
      </w:tr>
      <w:tr w:rsidR="002227E6" w:rsidRPr="00D659DD" w14:paraId="2B0FAA5A" w14:textId="77777777" w:rsidTr="00D659DD">
        <w:trPr>
          <w:trHeight w:val="240"/>
        </w:trPr>
        <w:tc>
          <w:tcPr>
            <w:tcW w:w="3127" w:type="dxa"/>
            <w:shd w:val="clear" w:color="auto" w:fill="auto"/>
          </w:tcPr>
          <w:p w14:paraId="7325B9D5" w14:textId="77777777" w:rsidR="002227E6" w:rsidRPr="00D659DD" w:rsidRDefault="002227E6" w:rsidP="00D659DD">
            <w:pPr>
              <w:spacing w:before="40" w:after="40" w:line="220" w:lineRule="exact"/>
              <w:ind w:right="113"/>
              <w:rPr>
                <w:sz w:val="18"/>
              </w:rPr>
            </w:pPr>
            <w:r w:rsidRPr="00D659DD">
              <w:rPr>
                <w:sz w:val="18"/>
              </w:rPr>
              <w:t>2020</w:t>
            </w:r>
          </w:p>
        </w:tc>
        <w:tc>
          <w:tcPr>
            <w:tcW w:w="2092" w:type="dxa"/>
            <w:shd w:val="clear" w:color="auto" w:fill="auto"/>
            <w:noWrap/>
            <w:vAlign w:val="bottom"/>
          </w:tcPr>
          <w:p w14:paraId="09571066" w14:textId="77777777" w:rsidR="002227E6" w:rsidRPr="00D659DD" w:rsidRDefault="002227E6" w:rsidP="00D659DD">
            <w:pPr>
              <w:spacing w:before="40" w:after="40" w:line="220" w:lineRule="exact"/>
              <w:ind w:right="113"/>
              <w:jc w:val="right"/>
              <w:rPr>
                <w:sz w:val="18"/>
              </w:rPr>
            </w:pPr>
            <w:r w:rsidRPr="00D659DD">
              <w:rPr>
                <w:sz w:val="18"/>
              </w:rPr>
              <w:t>926</w:t>
            </w:r>
          </w:p>
        </w:tc>
        <w:tc>
          <w:tcPr>
            <w:tcW w:w="2151" w:type="dxa"/>
            <w:shd w:val="clear" w:color="auto" w:fill="auto"/>
            <w:noWrap/>
            <w:vAlign w:val="bottom"/>
          </w:tcPr>
          <w:p w14:paraId="6C1CE1CF" w14:textId="77777777" w:rsidR="002227E6" w:rsidRPr="00D659DD" w:rsidRDefault="002227E6" w:rsidP="00D659DD">
            <w:pPr>
              <w:spacing w:before="40" w:after="40" w:line="220" w:lineRule="exact"/>
              <w:ind w:right="113"/>
              <w:jc w:val="right"/>
              <w:rPr>
                <w:sz w:val="18"/>
              </w:rPr>
            </w:pPr>
            <w:r w:rsidRPr="00D659DD">
              <w:rPr>
                <w:sz w:val="18"/>
              </w:rPr>
              <w:t>253</w:t>
            </w:r>
          </w:p>
        </w:tc>
      </w:tr>
      <w:tr w:rsidR="002227E6" w:rsidRPr="00D659DD" w14:paraId="7EB408BE" w14:textId="77777777" w:rsidTr="00D659DD">
        <w:trPr>
          <w:trHeight w:val="240"/>
        </w:trPr>
        <w:tc>
          <w:tcPr>
            <w:tcW w:w="3127" w:type="dxa"/>
            <w:tcBorders>
              <w:bottom w:val="single" w:sz="4" w:space="0" w:color="auto"/>
            </w:tcBorders>
            <w:shd w:val="clear" w:color="auto" w:fill="auto"/>
          </w:tcPr>
          <w:p w14:paraId="130704C2" w14:textId="77777777" w:rsidR="002227E6" w:rsidRPr="00D659DD" w:rsidRDefault="002227E6" w:rsidP="00D659DD">
            <w:pPr>
              <w:spacing w:before="40" w:after="40" w:line="220" w:lineRule="exact"/>
              <w:ind w:right="113"/>
              <w:rPr>
                <w:sz w:val="18"/>
              </w:rPr>
            </w:pPr>
            <w:r w:rsidRPr="00D659DD">
              <w:rPr>
                <w:sz w:val="18"/>
              </w:rPr>
              <w:t>January–October 2021</w:t>
            </w:r>
          </w:p>
        </w:tc>
        <w:tc>
          <w:tcPr>
            <w:tcW w:w="2092" w:type="dxa"/>
            <w:tcBorders>
              <w:bottom w:val="single" w:sz="4" w:space="0" w:color="auto"/>
            </w:tcBorders>
            <w:shd w:val="clear" w:color="auto" w:fill="auto"/>
            <w:noWrap/>
            <w:vAlign w:val="bottom"/>
          </w:tcPr>
          <w:p w14:paraId="0F4E3396" w14:textId="77777777" w:rsidR="002227E6" w:rsidRPr="00D659DD" w:rsidRDefault="002227E6" w:rsidP="00D659DD">
            <w:pPr>
              <w:spacing w:before="40" w:after="40" w:line="220" w:lineRule="exact"/>
              <w:ind w:right="113"/>
              <w:jc w:val="right"/>
              <w:rPr>
                <w:sz w:val="18"/>
              </w:rPr>
            </w:pPr>
            <w:r w:rsidRPr="00D659DD">
              <w:rPr>
                <w:sz w:val="18"/>
              </w:rPr>
              <w:t>40</w:t>
            </w:r>
          </w:p>
        </w:tc>
        <w:tc>
          <w:tcPr>
            <w:tcW w:w="2151" w:type="dxa"/>
            <w:tcBorders>
              <w:bottom w:val="single" w:sz="4" w:space="0" w:color="auto"/>
            </w:tcBorders>
            <w:shd w:val="clear" w:color="auto" w:fill="auto"/>
            <w:noWrap/>
            <w:vAlign w:val="bottom"/>
          </w:tcPr>
          <w:p w14:paraId="461DC24E" w14:textId="77777777" w:rsidR="002227E6" w:rsidRPr="00D659DD" w:rsidRDefault="002227E6" w:rsidP="00D659DD">
            <w:pPr>
              <w:spacing w:before="40" w:after="40" w:line="220" w:lineRule="exact"/>
              <w:ind w:right="113"/>
              <w:jc w:val="right"/>
              <w:rPr>
                <w:sz w:val="18"/>
              </w:rPr>
            </w:pPr>
            <w:r w:rsidRPr="00D659DD">
              <w:rPr>
                <w:sz w:val="18"/>
              </w:rPr>
              <w:t>2</w:t>
            </w:r>
          </w:p>
        </w:tc>
      </w:tr>
      <w:tr w:rsidR="002227E6" w:rsidRPr="00D659DD" w14:paraId="55B38DFC" w14:textId="77777777" w:rsidTr="00D659DD">
        <w:trPr>
          <w:trHeight w:val="240"/>
        </w:trPr>
        <w:tc>
          <w:tcPr>
            <w:tcW w:w="3127" w:type="dxa"/>
            <w:tcBorders>
              <w:top w:val="single" w:sz="4" w:space="0" w:color="auto"/>
              <w:bottom w:val="single" w:sz="12" w:space="0" w:color="auto"/>
            </w:tcBorders>
            <w:shd w:val="clear" w:color="auto" w:fill="auto"/>
          </w:tcPr>
          <w:p w14:paraId="5BC05C21" w14:textId="77777777" w:rsidR="002227E6" w:rsidRPr="00D659DD" w:rsidRDefault="002227E6" w:rsidP="00D659DD">
            <w:pPr>
              <w:spacing w:before="80" w:after="80" w:line="220" w:lineRule="exact"/>
              <w:ind w:left="282" w:right="113"/>
              <w:rPr>
                <w:b/>
                <w:sz w:val="18"/>
              </w:rPr>
            </w:pPr>
            <w:r w:rsidRPr="00D659DD">
              <w:rPr>
                <w:b/>
                <w:bCs/>
                <w:sz w:val="18"/>
              </w:rPr>
              <w:t>Total</w:t>
            </w:r>
          </w:p>
        </w:tc>
        <w:tc>
          <w:tcPr>
            <w:tcW w:w="2092" w:type="dxa"/>
            <w:tcBorders>
              <w:top w:val="single" w:sz="4" w:space="0" w:color="auto"/>
              <w:bottom w:val="single" w:sz="12" w:space="0" w:color="auto"/>
            </w:tcBorders>
            <w:shd w:val="clear" w:color="auto" w:fill="auto"/>
            <w:noWrap/>
            <w:vAlign w:val="bottom"/>
          </w:tcPr>
          <w:p w14:paraId="7D9B489C" w14:textId="41811BD1" w:rsidR="002227E6" w:rsidRPr="00D659DD" w:rsidRDefault="002227E6" w:rsidP="00D659DD">
            <w:pPr>
              <w:spacing w:before="80" w:after="80" w:line="220" w:lineRule="exact"/>
              <w:ind w:right="113"/>
              <w:jc w:val="right"/>
              <w:rPr>
                <w:b/>
                <w:sz w:val="18"/>
              </w:rPr>
            </w:pPr>
            <w:r w:rsidRPr="00D659DD">
              <w:rPr>
                <w:b/>
                <w:bCs/>
                <w:sz w:val="18"/>
              </w:rPr>
              <w:t>2</w:t>
            </w:r>
            <w:r w:rsidR="00D659DD" w:rsidRPr="00D659DD">
              <w:rPr>
                <w:b/>
                <w:bCs/>
                <w:sz w:val="18"/>
              </w:rPr>
              <w:t xml:space="preserve"> </w:t>
            </w:r>
            <w:r w:rsidRPr="00D659DD">
              <w:rPr>
                <w:b/>
                <w:bCs/>
                <w:sz w:val="18"/>
              </w:rPr>
              <w:t>533</w:t>
            </w:r>
          </w:p>
        </w:tc>
        <w:tc>
          <w:tcPr>
            <w:tcW w:w="2151" w:type="dxa"/>
            <w:tcBorders>
              <w:top w:val="single" w:sz="4" w:space="0" w:color="auto"/>
              <w:bottom w:val="single" w:sz="12" w:space="0" w:color="auto"/>
            </w:tcBorders>
            <w:shd w:val="clear" w:color="auto" w:fill="auto"/>
            <w:noWrap/>
            <w:vAlign w:val="bottom"/>
          </w:tcPr>
          <w:p w14:paraId="493D74B8" w14:textId="77777777" w:rsidR="002227E6" w:rsidRPr="00D659DD" w:rsidRDefault="002227E6" w:rsidP="00D659DD">
            <w:pPr>
              <w:spacing w:before="80" w:after="80" w:line="220" w:lineRule="exact"/>
              <w:ind w:right="113"/>
              <w:jc w:val="right"/>
              <w:rPr>
                <w:b/>
                <w:sz w:val="18"/>
              </w:rPr>
            </w:pPr>
            <w:r w:rsidRPr="00D659DD">
              <w:rPr>
                <w:b/>
                <w:bCs/>
                <w:sz w:val="18"/>
              </w:rPr>
              <w:t>327</w:t>
            </w:r>
          </w:p>
        </w:tc>
      </w:tr>
    </w:tbl>
    <w:p w14:paraId="645ADFE6" w14:textId="77777777" w:rsidR="002227E6" w:rsidRPr="00D659DD" w:rsidRDefault="002227E6" w:rsidP="00D659DD">
      <w:pPr>
        <w:spacing w:before="120" w:line="240" w:lineRule="atLeast"/>
        <w:ind w:left="1134" w:right="1134" w:firstLine="170"/>
        <w:rPr>
          <w:sz w:val="18"/>
        </w:rPr>
      </w:pPr>
      <w:r w:rsidRPr="00D659DD">
        <w:rPr>
          <w:i/>
          <w:iCs/>
          <w:sz w:val="18"/>
        </w:rPr>
        <w:t>Source</w:t>
      </w:r>
      <w:r w:rsidRPr="00D659DD">
        <w:rPr>
          <w:sz w:val="18"/>
        </w:rPr>
        <w:t>: National Refugee Commission – 2021.</w:t>
      </w:r>
    </w:p>
    <w:p w14:paraId="0D4C7537" w14:textId="77777777" w:rsidR="002227E6" w:rsidRPr="00D470FC" w:rsidRDefault="002227E6" w:rsidP="002227E6">
      <w:pPr>
        <w:pStyle w:val="H23G"/>
        <w:rPr>
          <w:rFonts w:eastAsia="Calibri"/>
        </w:rPr>
      </w:pPr>
      <w:r w:rsidRPr="00D470FC">
        <w:tab/>
      </w:r>
      <w:r w:rsidRPr="00D470FC">
        <w:tab/>
      </w:r>
      <w:r w:rsidRPr="00D470FC">
        <w:rPr>
          <w:bCs/>
        </w:rPr>
        <w:t>Number of asylum seekers by sex</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69"/>
        <w:gridCol w:w="1581"/>
        <w:gridCol w:w="1560"/>
        <w:gridCol w:w="1560"/>
      </w:tblGrid>
      <w:tr w:rsidR="002F50B0" w:rsidRPr="00073AB1" w14:paraId="1B9CBB88" w14:textId="77777777" w:rsidTr="00073AB1">
        <w:trPr>
          <w:trHeight w:val="240"/>
          <w:tblHeader/>
        </w:trPr>
        <w:tc>
          <w:tcPr>
            <w:tcW w:w="2669" w:type="dxa"/>
            <w:tcBorders>
              <w:top w:val="single" w:sz="4" w:space="0" w:color="auto"/>
              <w:bottom w:val="single" w:sz="12" w:space="0" w:color="auto"/>
            </w:tcBorders>
            <w:shd w:val="clear" w:color="auto" w:fill="auto"/>
            <w:vAlign w:val="bottom"/>
          </w:tcPr>
          <w:p w14:paraId="49397FB8" w14:textId="77777777" w:rsidR="002227E6" w:rsidRPr="00073AB1" w:rsidRDefault="002227E6" w:rsidP="00073AB1">
            <w:pPr>
              <w:spacing w:before="80" w:after="80" w:line="200" w:lineRule="exact"/>
              <w:ind w:right="113"/>
              <w:rPr>
                <w:bCs/>
                <w:i/>
                <w:sz w:val="16"/>
              </w:rPr>
            </w:pPr>
            <w:r w:rsidRPr="00073AB1">
              <w:rPr>
                <w:i/>
                <w:iCs/>
                <w:sz w:val="16"/>
              </w:rPr>
              <w:t>Year</w:t>
            </w:r>
            <w:r w:rsidRPr="00073AB1">
              <w:rPr>
                <w:i/>
                <w:sz w:val="16"/>
              </w:rPr>
              <w:t xml:space="preserve"> </w:t>
            </w:r>
          </w:p>
        </w:tc>
        <w:tc>
          <w:tcPr>
            <w:tcW w:w="1581" w:type="dxa"/>
            <w:tcBorders>
              <w:top w:val="single" w:sz="4" w:space="0" w:color="auto"/>
              <w:bottom w:val="single" w:sz="12" w:space="0" w:color="auto"/>
            </w:tcBorders>
            <w:shd w:val="clear" w:color="auto" w:fill="auto"/>
            <w:vAlign w:val="bottom"/>
          </w:tcPr>
          <w:p w14:paraId="3DE58D49" w14:textId="77777777" w:rsidR="002227E6" w:rsidRPr="00073AB1" w:rsidRDefault="002227E6" w:rsidP="00073AB1">
            <w:pPr>
              <w:spacing w:before="80" w:after="80" w:line="200" w:lineRule="exact"/>
              <w:ind w:right="113"/>
              <w:jc w:val="right"/>
              <w:rPr>
                <w:bCs/>
                <w:i/>
                <w:sz w:val="16"/>
              </w:rPr>
            </w:pPr>
            <w:r w:rsidRPr="00073AB1">
              <w:rPr>
                <w:i/>
                <w:iCs/>
                <w:sz w:val="16"/>
              </w:rPr>
              <w:t>Female</w:t>
            </w:r>
            <w:r w:rsidRPr="00073AB1">
              <w:rPr>
                <w:i/>
                <w:sz w:val="16"/>
              </w:rPr>
              <w:t xml:space="preserve"> </w:t>
            </w:r>
          </w:p>
        </w:tc>
        <w:tc>
          <w:tcPr>
            <w:tcW w:w="1560" w:type="dxa"/>
            <w:tcBorders>
              <w:top w:val="single" w:sz="4" w:space="0" w:color="auto"/>
              <w:bottom w:val="single" w:sz="12" w:space="0" w:color="auto"/>
            </w:tcBorders>
            <w:shd w:val="clear" w:color="auto" w:fill="auto"/>
            <w:vAlign w:val="bottom"/>
          </w:tcPr>
          <w:p w14:paraId="2A6A0263" w14:textId="77777777" w:rsidR="002227E6" w:rsidRPr="00073AB1" w:rsidRDefault="002227E6" w:rsidP="00073AB1">
            <w:pPr>
              <w:spacing w:before="80" w:after="80" w:line="200" w:lineRule="exact"/>
              <w:ind w:right="113"/>
              <w:jc w:val="right"/>
              <w:rPr>
                <w:bCs/>
                <w:i/>
                <w:sz w:val="16"/>
              </w:rPr>
            </w:pPr>
            <w:r w:rsidRPr="00073AB1">
              <w:rPr>
                <w:i/>
                <w:iCs/>
                <w:sz w:val="16"/>
              </w:rPr>
              <w:t>Male</w:t>
            </w:r>
          </w:p>
        </w:tc>
        <w:tc>
          <w:tcPr>
            <w:tcW w:w="1560" w:type="dxa"/>
            <w:tcBorders>
              <w:top w:val="single" w:sz="4" w:space="0" w:color="auto"/>
              <w:bottom w:val="single" w:sz="12" w:space="0" w:color="auto"/>
            </w:tcBorders>
            <w:shd w:val="clear" w:color="auto" w:fill="auto"/>
            <w:vAlign w:val="bottom"/>
          </w:tcPr>
          <w:p w14:paraId="3FEA53C6" w14:textId="77777777" w:rsidR="002227E6" w:rsidRPr="00073AB1" w:rsidRDefault="002227E6" w:rsidP="00073AB1">
            <w:pPr>
              <w:spacing w:before="80" w:after="80" w:line="200" w:lineRule="exact"/>
              <w:ind w:right="113"/>
              <w:jc w:val="right"/>
              <w:rPr>
                <w:bCs/>
                <w:i/>
                <w:sz w:val="16"/>
              </w:rPr>
            </w:pPr>
            <w:r w:rsidRPr="00073AB1">
              <w:rPr>
                <w:i/>
                <w:iCs/>
                <w:sz w:val="16"/>
              </w:rPr>
              <w:t>Total</w:t>
            </w:r>
          </w:p>
        </w:tc>
      </w:tr>
      <w:tr w:rsidR="002227E6" w:rsidRPr="00073AB1" w14:paraId="25E00FF4" w14:textId="77777777" w:rsidTr="00073AB1">
        <w:trPr>
          <w:trHeight w:val="240"/>
        </w:trPr>
        <w:tc>
          <w:tcPr>
            <w:tcW w:w="2669" w:type="dxa"/>
            <w:tcBorders>
              <w:top w:val="single" w:sz="12" w:space="0" w:color="auto"/>
            </w:tcBorders>
            <w:shd w:val="clear" w:color="auto" w:fill="auto"/>
          </w:tcPr>
          <w:p w14:paraId="66D319C2" w14:textId="77777777" w:rsidR="002227E6" w:rsidRPr="00073AB1" w:rsidRDefault="002227E6" w:rsidP="00073AB1">
            <w:pPr>
              <w:spacing w:before="40" w:after="40" w:line="220" w:lineRule="exact"/>
              <w:ind w:right="113"/>
              <w:rPr>
                <w:bCs/>
                <w:sz w:val="18"/>
              </w:rPr>
            </w:pPr>
            <w:r w:rsidRPr="00073AB1">
              <w:rPr>
                <w:sz w:val="18"/>
              </w:rPr>
              <w:t>2018</w:t>
            </w:r>
          </w:p>
        </w:tc>
        <w:tc>
          <w:tcPr>
            <w:tcW w:w="1581" w:type="dxa"/>
            <w:tcBorders>
              <w:top w:val="single" w:sz="12" w:space="0" w:color="auto"/>
            </w:tcBorders>
            <w:shd w:val="clear" w:color="auto" w:fill="auto"/>
            <w:vAlign w:val="bottom"/>
          </w:tcPr>
          <w:p w14:paraId="4B902103" w14:textId="77777777" w:rsidR="002227E6" w:rsidRPr="00073AB1" w:rsidRDefault="002227E6" w:rsidP="00073AB1">
            <w:pPr>
              <w:spacing w:before="40" w:after="40" w:line="220" w:lineRule="exact"/>
              <w:ind w:right="113"/>
              <w:jc w:val="right"/>
              <w:rPr>
                <w:bCs/>
                <w:sz w:val="18"/>
              </w:rPr>
            </w:pPr>
            <w:r w:rsidRPr="00073AB1">
              <w:rPr>
                <w:sz w:val="18"/>
              </w:rPr>
              <w:t>208</w:t>
            </w:r>
          </w:p>
        </w:tc>
        <w:tc>
          <w:tcPr>
            <w:tcW w:w="1560" w:type="dxa"/>
            <w:tcBorders>
              <w:top w:val="single" w:sz="12" w:space="0" w:color="auto"/>
            </w:tcBorders>
            <w:shd w:val="clear" w:color="auto" w:fill="auto"/>
            <w:vAlign w:val="bottom"/>
          </w:tcPr>
          <w:p w14:paraId="734F3B64" w14:textId="77777777" w:rsidR="002227E6" w:rsidRPr="00073AB1" w:rsidRDefault="002227E6" w:rsidP="00073AB1">
            <w:pPr>
              <w:spacing w:before="40" w:after="40" w:line="220" w:lineRule="exact"/>
              <w:ind w:right="113"/>
              <w:jc w:val="right"/>
              <w:rPr>
                <w:bCs/>
                <w:sz w:val="18"/>
              </w:rPr>
            </w:pPr>
            <w:r w:rsidRPr="00073AB1">
              <w:rPr>
                <w:sz w:val="18"/>
              </w:rPr>
              <w:t>336</w:t>
            </w:r>
          </w:p>
        </w:tc>
        <w:tc>
          <w:tcPr>
            <w:tcW w:w="1560" w:type="dxa"/>
            <w:tcBorders>
              <w:top w:val="single" w:sz="12" w:space="0" w:color="auto"/>
            </w:tcBorders>
            <w:shd w:val="clear" w:color="auto" w:fill="auto"/>
            <w:vAlign w:val="bottom"/>
          </w:tcPr>
          <w:p w14:paraId="41A65A39" w14:textId="77777777" w:rsidR="002227E6" w:rsidRPr="00073AB1" w:rsidRDefault="002227E6" w:rsidP="00073AB1">
            <w:pPr>
              <w:spacing w:before="40" w:after="40" w:line="220" w:lineRule="exact"/>
              <w:ind w:right="113"/>
              <w:jc w:val="right"/>
              <w:rPr>
                <w:bCs/>
                <w:sz w:val="18"/>
              </w:rPr>
            </w:pPr>
            <w:r w:rsidRPr="00073AB1">
              <w:rPr>
                <w:sz w:val="18"/>
              </w:rPr>
              <w:t>544</w:t>
            </w:r>
          </w:p>
        </w:tc>
      </w:tr>
      <w:tr w:rsidR="002227E6" w:rsidRPr="00073AB1" w14:paraId="7A60A4D8" w14:textId="77777777" w:rsidTr="007A3ED8">
        <w:trPr>
          <w:trHeight w:val="240"/>
        </w:trPr>
        <w:tc>
          <w:tcPr>
            <w:tcW w:w="2669" w:type="dxa"/>
            <w:tcBorders>
              <w:bottom w:val="nil"/>
            </w:tcBorders>
            <w:shd w:val="clear" w:color="auto" w:fill="auto"/>
          </w:tcPr>
          <w:p w14:paraId="1FD0D5EA" w14:textId="77777777" w:rsidR="002227E6" w:rsidRPr="00073AB1" w:rsidRDefault="002227E6" w:rsidP="00073AB1">
            <w:pPr>
              <w:spacing w:before="40" w:after="40" w:line="220" w:lineRule="exact"/>
              <w:ind w:right="113"/>
              <w:rPr>
                <w:bCs/>
                <w:sz w:val="18"/>
              </w:rPr>
            </w:pPr>
            <w:r w:rsidRPr="00073AB1">
              <w:rPr>
                <w:sz w:val="18"/>
              </w:rPr>
              <w:t>2019</w:t>
            </w:r>
          </w:p>
        </w:tc>
        <w:tc>
          <w:tcPr>
            <w:tcW w:w="1581" w:type="dxa"/>
            <w:tcBorders>
              <w:bottom w:val="nil"/>
            </w:tcBorders>
            <w:shd w:val="clear" w:color="auto" w:fill="auto"/>
            <w:vAlign w:val="bottom"/>
          </w:tcPr>
          <w:p w14:paraId="29AB366B" w14:textId="77777777" w:rsidR="002227E6" w:rsidRPr="00073AB1" w:rsidRDefault="002227E6" w:rsidP="00073AB1">
            <w:pPr>
              <w:spacing w:before="40" w:after="40" w:line="220" w:lineRule="exact"/>
              <w:ind w:right="113"/>
              <w:jc w:val="right"/>
              <w:rPr>
                <w:bCs/>
                <w:sz w:val="18"/>
              </w:rPr>
            </w:pPr>
            <w:r w:rsidRPr="00073AB1">
              <w:rPr>
                <w:sz w:val="18"/>
              </w:rPr>
              <w:t>390</w:t>
            </w:r>
          </w:p>
        </w:tc>
        <w:tc>
          <w:tcPr>
            <w:tcW w:w="1560" w:type="dxa"/>
            <w:tcBorders>
              <w:bottom w:val="nil"/>
            </w:tcBorders>
            <w:shd w:val="clear" w:color="auto" w:fill="auto"/>
            <w:vAlign w:val="bottom"/>
          </w:tcPr>
          <w:p w14:paraId="28537A7E" w14:textId="77777777" w:rsidR="002227E6" w:rsidRPr="00073AB1" w:rsidRDefault="002227E6" w:rsidP="00073AB1">
            <w:pPr>
              <w:spacing w:before="40" w:after="40" w:line="220" w:lineRule="exact"/>
              <w:ind w:right="113"/>
              <w:jc w:val="right"/>
              <w:rPr>
                <w:bCs/>
                <w:sz w:val="18"/>
              </w:rPr>
            </w:pPr>
            <w:r w:rsidRPr="00073AB1">
              <w:rPr>
                <w:sz w:val="18"/>
              </w:rPr>
              <w:t>518</w:t>
            </w:r>
          </w:p>
        </w:tc>
        <w:tc>
          <w:tcPr>
            <w:tcW w:w="1560" w:type="dxa"/>
            <w:tcBorders>
              <w:bottom w:val="nil"/>
            </w:tcBorders>
            <w:shd w:val="clear" w:color="auto" w:fill="auto"/>
            <w:vAlign w:val="bottom"/>
          </w:tcPr>
          <w:p w14:paraId="258F0286" w14:textId="77777777" w:rsidR="002227E6" w:rsidRPr="00073AB1" w:rsidRDefault="002227E6" w:rsidP="00073AB1">
            <w:pPr>
              <w:spacing w:before="40" w:after="40" w:line="220" w:lineRule="exact"/>
              <w:ind w:right="113"/>
              <w:jc w:val="right"/>
              <w:rPr>
                <w:bCs/>
                <w:sz w:val="18"/>
              </w:rPr>
            </w:pPr>
            <w:r w:rsidRPr="00073AB1">
              <w:rPr>
                <w:sz w:val="18"/>
              </w:rPr>
              <w:t>908</w:t>
            </w:r>
          </w:p>
        </w:tc>
      </w:tr>
      <w:tr w:rsidR="002227E6" w:rsidRPr="00073AB1" w14:paraId="1BB93163" w14:textId="77777777" w:rsidTr="007A3ED8">
        <w:trPr>
          <w:trHeight w:val="240"/>
        </w:trPr>
        <w:tc>
          <w:tcPr>
            <w:tcW w:w="2669" w:type="dxa"/>
            <w:tcBorders>
              <w:top w:val="nil"/>
              <w:bottom w:val="nil"/>
            </w:tcBorders>
            <w:shd w:val="clear" w:color="auto" w:fill="auto"/>
          </w:tcPr>
          <w:p w14:paraId="68A0EE53" w14:textId="77777777" w:rsidR="002227E6" w:rsidRPr="00073AB1" w:rsidRDefault="002227E6" w:rsidP="00073AB1">
            <w:pPr>
              <w:spacing w:before="40" w:after="40" w:line="220" w:lineRule="exact"/>
              <w:ind w:right="113"/>
              <w:rPr>
                <w:bCs/>
                <w:sz w:val="18"/>
              </w:rPr>
            </w:pPr>
            <w:r w:rsidRPr="00073AB1">
              <w:rPr>
                <w:sz w:val="18"/>
              </w:rPr>
              <w:t>2020</w:t>
            </w:r>
          </w:p>
        </w:tc>
        <w:tc>
          <w:tcPr>
            <w:tcW w:w="1581" w:type="dxa"/>
            <w:tcBorders>
              <w:top w:val="nil"/>
              <w:bottom w:val="nil"/>
            </w:tcBorders>
            <w:shd w:val="clear" w:color="auto" w:fill="auto"/>
            <w:vAlign w:val="bottom"/>
          </w:tcPr>
          <w:p w14:paraId="00E3C9BC" w14:textId="77777777" w:rsidR="002227E6" w:rsidRPr="00073AB1" w:rsidRDefault="002227E6" w:rsidP="00073AB1">
            <w:pPr>
              <w:spacing w:before="40" w:after="40" w:line="220" w:lineRule="exact"/>
              <w:ind w:right="113"/>
              <w:jc w:val="right"/>
              <w:rPr>
                <w:bCs/>
                <w:sz w:val="18"/>
              </w:rPr>
            </w:pPr>
            <w:r w:rsidRPr="00073AB1">
              <w:rPr>
                <w:sz w:val="18"/>
              </w:rPr>
              <w:t>435</w:t>
            </w:r>
          </w:p>
        </w:tc>
        <w:tc>
          <w:tcPr>
            <w:tcW w:w="1560" w:type="dxa"/>
            <w:tcBorders>
              <w:top w:val="nil"/>
              <w:bottom w:val="nil"/>
            </w:tcBorders>
            <w:shd w:val="clear" w:color="auto" w:fill="auto"/>
            <w:vAlign w:val="bottom"/>
          </w:tcPr>
          <w:p w14:paraId="3DBEF422" w14:textId="77777777" w:rsidR="002227E6" w:rsidRPr="00073AB1" w:rsidRDefault="002227E6" w:rsidP="00073AB1">
            <w:pPr>
              <w:spacing w:before="40" w:after="40" w:line="220" w:lineRule="exact"/>
              <w:ind w:right="113"/>
              <w:jc w:val="right"/>
              <w:rPr>
                <w:bCs/>
                <w:sz w:val="18"/>
              </w:rPr>
            </w:pPr>
            <w:r w:rsidRPr="00073AB1">
              <w:rPr>
                <w:sz w:val="18"/>
              </w:rPr>
              <w:t>491</w:t>
            </w:r>
          </w:p>
        </w:tc>
        <w:tc>
          <w:tcPr>
            <w:tcW w:w="1560" w:type="dxa"/>
            <w:tcBorders>
              <w:top w:val="nil"/>
              <w:bottom w:val="nil"/>
            </w:tcBorders>
            <w:shd w:val="clear" w:color="auto" w:fill="auto"/>
            <w:vAlign w:val="bottom"/>
          </w:tcPr>
          <w:p w14:paraId="61A89717" w14:textId="77777777" w:rsidR="002227E6" w:rsidRPr="00073AB1" w:rsidRDefault="002227E6" w:rsidP="00073AB1">
            <w:pPr>
              <w:spacing w:before="40" w:after="40" w:line="220" w:lineRule="exact"/>
              <w:ind w:right="113"/>
              <w:jc w:val="right"/>
              <w:rPr>
                <w:bCs/>
                <w:sz w:val="18"/>
              </w:rPr>
            </w:pPr>
            <w:r w:rsidRPr="00073AB1">
              <w:rPr>
                <w:sz w:val="18"/>
              </w:rPr>
              <w:t>926</w:t>
            </w:r>
          </w:p>
        </w:tc>
      </w:tr>
      <w:tr w:rsidR="002227E6" w:rsidRPr="00073AB1" w14:paraId="4CDD81A5" w14:textId="77777777" w:rsidTr="007A3ED8">
        <w:trPr>
          <w:trHeight w:val="240"/>
        </w:trPr>
        <w:tc>
          <w:tcPr>
            <w:tcW w:w="2669" w:type="dxa"/>
            <w:tcBorders>
              <w:top w:val="nil"/>
              <w:bottom w:val="single" w:sz="4" w:space="0" w:color="auto"/>
            </w:tcBorders>
            <w:shd w:val="clear" w:color="auto" w:fill="auto"/>
          </w:tcPr>
          <w:p w14:paraId="2AA86940" w14:textId="77777777" w:rsidR="002227E6" w:rsidRPr="00073AB1" w:rsidRDefault="002227E6" w:rsidP="00073AB1">
            <w:pPr>
              <w:spacing w:before="40" w:after="40" w:line="220" w:lineRule="exact"/>
              <w:ind w:right="113"/>
              <w:rPr>
                <w:bCs/>
                <w:sz w:val="18"/>
              </w:rPr>
            </w:pPr>
            <w:r w:rsidRPr="00073AB1">
              <w:rPr>
                <w:sz w:val="18"/>
              </w:rPr>
              <w:lastRenderedPageBreak/>
              <w:t>January–June 2021</w:t>
            </w:r>
          </w:p>
        </w:tc>
        <w:tc>
          <w:tcPr>
            <w:tcW w:w="1581" w:type="dxa"/>
            <w:tcBorders>
              <w:top w:val="nil"/>
              <w:bottom w:val="single" w:sz="4" w:space="0" w:color="auto"/>
            </w:tcBorders>
            <w:shd w:val="clear" w:color="auto" w:fill="auto"/>
            <w:vAlign w:val="bottom"/>
          </w:tcPr>
          <w:p w14:paraId="19DA7E44" w14:textId="77777777" w:rsidR="002227E6" w:rsidRPr="00073AB1" w:rsidRDefault="002227E6" w:rsidP="00073AB1">
            <w:pPr>
              <w:spacing w:before="40" w:after="40" w:line="220" w:lineRule="exact"/>
              <w:ind w:right="113"/>
              <w:jc w:val="right"/>
              <w:rPr>
                <w:bCs/>
                <w:sz w:val="18"/>
              </w:rPr>
            </w:pPr>
            <w:r w:rsidRPr="00073AB1">
              <w:rPr>
                <w:sz w:val="18"/>
              </w:rPr>
              <w:t>11</w:t>
            </w:r>
          </w:p>
        </w:tc>
        <w:tc>
          <w:tcPr>
            <w:tcW w:w="1560" w:type="dxa"/>
            <w:tcBorders>
              <w:top w:val="nil"/>
              <w:bottom w:val="single" w:sz="4" w:space="0" w:color="auto"/>
            </w:tcBorders>
            <w:shd w:val="clear" w:color="auto" w:fill="auto"/>
            <w:vAlign w:val="bottom"/>
          </w:tcPr>
          <w:p w14:paraId="6E2AAB27" w14:textId="77777777" w:rsidR="002227E6" w:rsidRPr="00073AB1" w:rsidRDefault="002227E6" w:rsidP="00073AB1">
            <w:pPr>
              <w:spacing w:before="40" w:after="40" w:line="220" w:lineRule="exact"/>
              <w:ind w:right="113"/>
              <w:jc w:val="right"/>
              <w:rPr>
                <w:bCs/>
                <w:sz w:val="18"/>
              </w:rPr>
            </w:pPr>
            <w:r w:rsidRPr="00073AB1">
              <w:rPr>
                <w:sz w:val="18"/>
              </w:rPr>
              <w:t>4</w:t>
            </w:r>
          </w:p>
        </w:tc>
        <w:tc>
          <w:tcPr>
            <w:tcW w:w="1560" w:type="dxa"/>
            <w:tcBorders>
              <w:top w:val="nil"/>
              <w:bottom w:val="single" w:sz="4" w:space="0" w:color="auto"/>
            </w:tcBorders>
            <w:shd w:val="clear" w:color="auto" w:fill="auto"/>
            <w:vAlign w:val="bottom"/>
          </w:tcPr>
          <w:p w14:paraId="75F4D6B3" w14:textId="77777777" w:rsidR="002227E6" w:rsidRPr="00073AB1" w:rsidRDefault="002227E6" w:rsidP="00073AB1">
            <w:pPr>
              <w:spacing w:before="40" w:after="40" w:line="220" w:lineRule="exact"/>
              <w:ind w:right="113"/>
              <w:jc w:val="right"/>
              <w:rPr>
                <w:bCs/>
                <w:sz w:val="18"/>
              </w:rPr>
            </w:pPr>
            <w:r w:rsidRPr="00073AB1">
              <w:rPr>
                <w:sz w:val="18"/>
              </w:rPr>
              <w:t>15</w:t>
            </w:r>
          </w:p>
        </w:tc>
      </w:tr>
      <w:tr w:rsidR="002227E6" w:rsidRPr="00073AB1" w14:paraId="21C73775" w14:textId="77777777" w:rsidTr="00073AB1">
        <w:trPr>
          <w:trHeight w:val="240"/>
        </w:trPr>
        <w:tc>
          <w:tcPr>
            <w:tcW w:w="2669" w:type="dxa"/>
            <w:tcBorders>
              <w:top w:val="single" w:sz="4" w:space="0" w:color="auto"/>
              <w:bottom w:val="single" w:sz="12" w:space="0" w:color="auto"/>
            </w:tcBorders>
            <w:shd w:val="clear" w:color="auto" w:fill="auto"/>
          </w:tcPr>
          <w:p w14:paraId="68C37114" w14:textId="77777777" w:rsidR="002227E6" w:rsidRPr="00073AB1" w:rsidRDefault="002227E6" w:rsidP="00073AB1">
            <w:pPr>
              <w:spacing w:before="80" w:after="80" w:line="220" w:lineRule="exact"/>
              <w:ind w:left="282" w:right="113"/>
              <w:rPr>
                <w:b/>
                <w:sz w:val="18"/>
              </w:rPr>
            </w:pPr>
            <w:r w:rsidRPr="00073AB1">
              <w:rPr>
                <w:b/>
                <w:sz w:val="18"/>
              </w:rPr>
              <w:t>Total</w:t>
            </w:r>
          </w:p>
        </w:tc>
        <w:tc>
          <w:tcPr>
            <w:tcW w:w="1581" w:type="dxa"/>
            <w:tcBorders>
              <w:top w:val="single" w:sz="4" w:space="0" w:color="auto"/>
              <w:bottom w:val="single" w:sz="12" w:space="0" w:color="auto"/>
            </w:tcBorders>
            <w:shd w:val="clear" w:color="auto" w:fill="auto"/>
            <w:vAlign w:val="bottom"/>
          </w:tcPr>
          <w:p w14:paraId="2CD5F9D0" w14:textId="4FB34CB7" w:rsidR="002227E6" w:rsidRPr="00073AB1" w:rsidRDefault="002227E6" w:rsidP="00073AB1">
            <w:pPr>
              <w:spacing w:before="80" w:after="80" w:line="220" w:lineRule="exact"/>
              <w:ind w:right="113"/>
              <w:jc w:val="right"/>
              <w:rPr>
                <w:b/>
                <w:bCs/>
                <w:sz w:val="18"/>
              </w:rPr>
            </w:pPr>
            <w:r w:rsidRPr="00073AB1">
              <w:rPr>
                <w:b/>
                <w:bCs/>
                <w:sz w:val="18"/>
              </w:rPr>
              <w:t>1</w:t>
            </w:r>
            <w:r w:rsidR="00073AB1" w:rsidRPr="00073AB1">
              <w:rPr>
                <w:b/>
                <w:bCs/>
                <w:sz w:val="18"/>
              </w:rPr>
              <w:t xml:space="preserve"> </w:t>
            </w:r>
            <w:r w:rsidRPr="00073AB1">
              <w:rPr>
                <w:b/>
                <w:bCs/>
                <w:sz w:val="18"/>
              </w:rPr>
              <w:t>044</w:t>
            </w:r>
          </w:p>
        </w:tc>
        <w:tc>
          <w:tcPr>
            <w:tcW w:w="1560" w:type="dxa"/>
            <w:tcBorders>
              <w:top w:val="single" w:sz="4" w:space="0" w:color="auto"/>
              <w:bottom w:val="single" w:sz="12" w:space="0" w:color="auto"/>
            </w:tcBorders>
            <w:shd w:val="clear" w:color="auto" w:fill="auto"/>
            <w:vAlign w:val="bottom"/>
          </w:tcPr>
          <w:p w14:paraId="27DD6978" w14:textId="1857C89B" w:rsidR="002227E6" w:rsidRPr="00073AB1" w:rsidRDefault="002227E6" w:rsidP="00073AB1">
            <w:pPr>
              <w:spacing w:before="80" w:after="80" w:line="220" w:lineRule="exact"/>
              <w:ind w:right="113"/>
              <w:jc w:val="right"/>
              <w:rPr>
                <w:b/>
                <w:bCs/>
                <w:sz w:val="18"/>
              </w:rPr>
            </w:pPr>
            <w:r w:rsidRPr="00073AB1">
              <w:rPr>
                <w:b/>
                <w:bCs/>
                <w:sz w:val="18"/>
              </w:rPr>
              <w:t>1</w:t>
            </w:r>
            <w:r w:rsidR="00073AB1" w:rsidRPr="00073AB1">
              <w:rPr>
                <w:b/>
                <w:bCs/>
                <w:sz w:val="18"/>
              </w:rPr>
              <w:t xml:space="preserve"> </w:t>
            </w:r>
            <w:r w:rsidRPr="00073AB1">
              <w:rPr>
                <w:b/>
                <w:bCs/>
                <w:sz w:val="18"/>
              </w:rPr>
              <w:t>349</w:t>
            </w:r>
          </w:p>
        </w:tc>
        <w:tc>
          <w:tcPr>
            <w:tcW w:w="1560" w:type="dxa"/>
            <w:tcBorders>
              <w:top w:val="single" w:sz="4" w:space="0" w:color="auto"/>
              <w:bottom w:val="single" w:sz="12" w:space="0" w:color="auto"/>
            </w:tcBorders>
            <w:shd w:val="clear" w:color="auto" w:fill="auto"/>
            <w:vAlign w:val="bottom"/>
          </w:tcPr>
          <w:p w14:paraId="7423F051" w14:textId="6F535931" w:rsidR="002227E6" w:rsidRPr="00073AB1" w:rsidRDefault="002227E6" w:rsidP="00073AB1">
            <w:pPr>
              <w:spacing w:before="80" w:after="80" w:line="220" w:lineRule="exact"/>
              <w:ind w:right="113"/>
              <w:jc w:val="right"/>
              <w:rPr>
                <w:b/>
                <w:bCs/>
                <w:sz w:val="18"/>
              </w:rPr>
            </w:pPr>
            <w:r w:rsidRPr="00073AB1">
              <w:rPr>
                <w:b/>
                <w:bCs/>
                <w:sz w:val="18"/>
              </w:rPr>
              <w:t>2</w:t>
            </w:r>
            <w:r w:rsidR="00073AB1" w:rsidRPr="00073AB1">
              <w:rPr>
                <w:b/>
                <w:bCs/>
                <w:sz w:val="18"/>
              </w:rPr>
              <w:t xml:space="preserve"> </w:t>
            </w:r>
            <w:r w:rsidRPr="00073AB1">
              <w:rPr>
                <w:b/>
                <w:bCs/>
                <w:sz w:val="18"/>
              </w:rPr>
              <w:t>393</w:t>
            </w:r>
          </w:p>
        </w:tc>
      </w:tr>
    </w:tbl>
    <w:p w14:paraId="72A749DC" w14:textId="77777777" w:rsidR="002227E6" w:rsidRPr="007A3ED8" w:rsidRDefault="002227E6" w:rsidP="00073AB1">
      <w:pPr>
        <w:spacing w:before="120" w:line="240" w:lineRule="atLeast"/>
        <w:ind w:left="1134" w:right="1134" w:firstLine="170"/>
        <w:rPr>
          <w:sz w:val="18"/>
        </w:rPr>
      </w:pPr>
      <w:r w:rsidRPr="00073AB1">
        <w:rPr>
          <w:i/>
          <w:iCs/>
          <w:sz w:val="18"/>
        </w:rPr>
        <w:t>Source</w:t>
      </w:r>
      <w:r w:rsidRPr="007A3ED8">
        <w:rPr>
          <w:sz w:val="18"/>
        </w:rPr>
        <w:t>: National Refugee Commission – 2021.</w:t>
      </w:r>
    </w:p>
    <w:p w14:paraId="16C96C45" w14:textId="77777777" w:rsidR="002227E6" w:rsidRPr="00D470FC" w:rsidRDefault="002227E6" w:rsidP="00073AB1">
      <w:pPr>
        <w:pStyle w:val="H23G"/>
        <w:rPr>
          <w:rFonts w:eastAsia="Calibri"/>
        </w:rPr>
      </w:pPr>
      <w:r w:rsidRPr="00D470FC">
        <w:tab/>
      </w:r>
      <w:r w:rsidRPr="00D470FC">
        <w:tab/>
        <w:t>Number of refugees by age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1002"/>
        <w:gridCol w:w="1003"/>
        <w:gridCol w:w="1003"/>
        <w:gridCol w:w="1003"/>
        <w:gridCol w:w="1204"/>
        <w:gridCol w:w="595"/>
      </w:tblGrid>
      <w:tr w:rsidR="002F50B0" w:rsidRPr="00F8409B" w14:paraId="50EED6E3" w14:textId="77777777" w:rsidTr="00F8409B">
        <w:trPr>
          <w:trHeight w:val="240"/>
          <w:tblHeader/>
        </w:trPr>
        <w:tc>
          <w:tcPr>
            <w:tcW w:w="1560" w:type="dxa"/>
            <w:tcBorders>
              <w:top w:val="single" w:sz="4" w:space="0" w:color="auto"/>
              <w:bottom w:val="single" w:sz="12" w:space="0" w:color="auto"/>
            </w:tcBorders>
            <w:shd w:val="clear" w:color="auto" w:fill="auto"/>
            <w:vAlign w:val="bottom"/>
          </w:tcPr>
          <w:p w14:paraId="484B438B" w14:textId="77777777" w:rsidR="002227E6" w:rsidRPr="00F8409B" w:rsidRDefault="002227E6" w:rsidP="00F8409B">
            <w:pPr>
              <w:spacing w:before="80" w:after="80" w:line="200" w:lineRule="exact"/>
              <w:ind w:right="113"/>
              <w:rPr>
                <w:i/>
                <w:sz w:val="16"/>
              </w:rPr>
            </w:pPr>
            <w:r w:rsidRPr="00F8409B">
              <w:rPr>
                <w:i/>
                <w:iCs/>
                <w:sz w:val="16"/>
              </w:rPr>
              <w:t>Year</w:t>
            </w:r>
            <w:r w:rsidRPr="00F8409B">
              <w:rPr>
                <w:i/>
                <w:sz w:val="16"/>
              </w:rPr>
              <w:t xml:space="preserve"> </w:t>
            </w:r>
          </w:p>
        </w:tc>
        <w:tc>
          <w:tcPr>
            <w:tcW w:w="1002" w:type="dxa"/>
            <w:tcBorders>
              <w:top w:val="single" w:sz="4" w:space="0" w:color="auto"/>
              <w:bottom w:val="single" w:sz="12" w:space="0" w:color="auto"/>
            </w:tcBorders>
            <w:shd w:val="clear" w:color="auto" w:fill="auto"/>
            <w:vAlign w:val="bottom"/>
          </w:tcPr>
          <w:p w14:paraId="0A6B1958" w14:textId="77777777" w:rsidR="002227E6" w:rsidRPr="00F8409B" w:rsidRDefault="002227E6" w:rsidP="00F8409B">
            <w:pPr>
              <w:spacing w:before="80" w:after="80" w:line="200" w:lineRule="exact"/>
              <w:ind w:right="113"/>
              <w:jc w:val="right"/>
              <w:rPr>
                <w:i/>
                <w:sz w:val="16"/>
              </w:rPr>
            </w:pPr>
            <w:r w:rsidRPr="00F8409B">
              <w:rPr>
                <w:i/>
                <w:iCs/>
                <w:sz w:val="16"/>
              </w:rPr>
              <w:t>0–13 years</w:t>
            </w:r>
          </w:p>
        </w:tc>
        <w:tc>
          <w:tcPr>
            <w:tcW w:w="1003" w:type="dxa"/>
            <w:tcBorders>
              <w:top w:val="single" w:sz="4" w:space="0" w:color="auto"/>
              <w:bottom w:val="single" w:sz="12" w:space="0" w:color="auto"/>
            </w:tcBorders>
            <w:shd w:val="clear" w:color="auto" w:fill="auto"/>
            <w:vAlign w:val="bottom"/>
          </w:tcPr>
          <w:p w14:paraId="49B80362" w14:textId="77777777" w:rsidR="002227E6" w:rsidRPr="00F8409B" w:rsidRDefault="002227E6" w:rsidP="00F8409B">
            <w:pPr>
              <w:spacing w:before="80" w:after="80" w:line="200" w:lineRule="exact"/>
              <w:ind w:right="113"/>
              <w:jc w:val="right"/>
              <w:rPr>
                <w:i/>
                <w:sz w:val="16"/>
              </w:rPr>
            </w:pPr>
            <w:r w:rsidRPr="00F8409B">
              <w:rPr>
                <w:i/>
                <w:iCs/>
                <w:sz w:val="16"/>
              </w:rPr>
              <w:t>14–17 years</w:t>
            </w:r>
          </w:p>
        </w:tc>
        <w:tc>
          <w:tcPr>
            <w:tcW w:w="1003" w:type="dxa"/>
            <w:tcBorders>
              <w:top w:val="single" w:sz="4" w:space="0" w:color="auto"/>
              <w:bottom w:val="single" w:sz="12" w:space="0" w:color="auto"/>
            </w:tcBorders>
            <w:shd w:val="clear" w:color="auto" w:fill="auto"/>
            <w:vAlign w:val="bottom"/>
          </w:tcPr>
          <w:p w14:paraId="3366AC35" w14:textId="77777777" w:rsidR="002227E6" w:rsidRPr="00F8409B" w:rsidRDefault="002227E6" w:rsidP="00F8409B">
            <w:pPr>
              <w:spacing w:before="80" w:after="80" w:line="200" w:lineRule="exact"/>
              <w:ind w:right="113"/>
              <w:jc w:val="right"/>
              <w:rPr>
                <w:i/>
                <w:sz w:val="16"/>
              </w:rPr>
            </w:pPr>
            <w:r w:rsidRPr="00F8409B">
              <w:rPr>
                <w:i/>
                <w:iCs/>
                <w:sz w:val="16"/>
              </w:rPr>
              <w:t>18–30 years</w:t>
            </w:r>
          </w:p>
        </w:tc>
        <w:tc>
          <w:tcPr>
            <w:tcW w:w="1003" w:type="dxa"/>
            <w:tcBorders>
              <w:top w:val="single" w:sz="4" w:space="0" w:color="auto"/>
              <w:bottom w:val="single" w:sz="12" w:space="0" w:color="auto"/>
            </w:tcBorders>
            <w:shd w:val="clear" w:color="auto" w:fill="auto"/>
            <w:vAlign w:val="bottom"/>
          </w:tcPr>
          <w:p w14:paraId="04E92C6C" w14:textId="77777777" w:rsidR="002227E6" w:rsidRPr="00F8409B" w:rsidRDefault="002227E6" w:rsidP="00F8409B">
            <w:pPr>
              <w:spacing w:before="80" w:after="80" w:line="200" w:lineRule="exact"/>
              <w:ind w:right="113"/>
              <w:jc w:val="right"/>
              <w:rPr>
                <w:i/>
                <w:sz w:val="16"/>
              </w:rPr>
            </w:pPr>
            <w:r w:rsidRPr="00F8409B">
              <w:rPr>
                <w:i/>
                <w:iCs/>
                <w:sz w:val="16"/>
              </w:rPr>
              <w:t>31–60 years</w:t>
            </w:r>
          </w:p>
        </w:tc>
        <w:tc>
          <w:tcPr>
            <w:tcW w:w="1204" w:type="dxa"/>
            <w:tcBorders>
              <w:top w:val="single" w:sz="4" w:space="0" w:color="auto"/>
              <w:bottom w:val="single" w:sz="12" w:space="0" w:color="auto"/>
            </w:tcBorders>
            <w:shd w:val="clear" w:color="auto" w:fill="auto"/>
            <w:vAlign w:val="bottom"/>
          </w:tcPr>
          <w:p w14:paraId="0059E36F" w14:textId="77777777" w:rsidR="002227E6" w:rsidRPr="00F8409B" w:rsidRDefault="002227E6" w:rsidP="00F8409B">
            <w:pPr>
              <w:spacing w:before="80" w:after="80" w:line="200" w:lineRule="exact"/>
              <w:ind w:right="113"/>
              <w:jc w:val="right"/>
              <w:rPr>
                <w:i/>
                <w:sz w:val="16"/>
              </w:rPr>
            </w:pPr>
            <w:r w:rsidRPr="00F8409B">
              <w:rPr>
                <w:i/>
                <w:iCs/>
                <w:sz w:val="16"/>
              </w:rPr>
              <w:t>Over 60 years</w:t>
            </w:r>
          </w:p>
        </w:tc>
        <w:tc>
          <w:tcPr>
            <w:tcW w:w="595" w:type="dxa"/>
            <w:tcBorders>
              <w:top w:val="single" w:sz="4" w:space="0" w:color="auto"/>
              <w:bottom w:val="single" w:sz="12" w:space="0" w:color="auto"/>
            </w:tcBorders>
            <w:shd w:val="clear" w:color="auto" w:fill="auto"/>
            <w:vAlign w:val="bottom"/>
          </w:tcPr>
          <w:p w14:paraId="1376D5A5" w14:textId="77777777" w:rsidR="002227E6" w:rsidRPr="00F8409B" w:rsidRDefault="002227E6" w:rsidP="00F8409B">
            <w:pPr>
              <w:spacing w:before="80" w:after="80" w:line="200" w:lineRule="exact"/>
              <w:ind w:right="113"/>
              <w:jc w:val="right"/>
              <w:rPr>
                <w:i/>
                <w:sz w:val="16"/>
              </w:rPr>
            </w:pPr>
            <w:r w:rsidRPr="00F8409B">
              <w:rPr>
                <w:i/>
                <w:iCs/>
                <w:sz w:val="16"/>
              </w:rPr>
              <w:t>Total</w:t>
            </w:r>
          </w:p>
        </w:tc>
      </w:tr>
      <w:tr w:rsidR="002227E6" w:rsidRPr="00F8409B" w14:paraId="12635D32" w14:textId="77777777" w:rsidTr="00F8409B">
        <w:trPr>
          <w:trHeight w:val="240"/>
        </w:trPr>
        <w:tc>
          <w:tcPr>
            <w:tcW w:w="1560" w:type="dxa"/>
            <w:tcBorders>
              <w:top w:val="single" w:sz="12" w:space="0" w:color="auto"/>
            </w:tcBorders>
            <w:shd w:val="clear" w:color="auto" w:fill="auto"/>
          </w:tcPr>
          <w:p w14:paraId="75B6904B" w14:textId="77777777" w:rsidR="002227E6" w:rsidRPr="00F8409B" w:rsidRDefault="002227E6" w:rsidP="00F8409B">
            <w:pPr>
              <w:spacing w:before="40" w:after="40" w:line="220" w:lineRule="exact"/>
              <w:ind w:right="113"/>
              <w:rPr>
                <w:sz w:val="18"/>
              </w:rPr>
            </w:pPr>
            <w:r w:rsidRPr="00F8409B">
              <w:rPr>
                <w:sz w:val="18"/>
              </w:rPr>
              <w:t>2018</w:t>
            </w:r>
          </w:p>
        </w:tc>
        <w:tc>
          <w:tcPr>
            <w:tcW w:w="1002" w:type="dxa"/>
            <w:tcBorders>
              <w:top w:val="single" w:sz="12" w:space="0" w:color="auto"/>
            </w:tcBorders>
            <w:shd w:val="clear" w:color="auto" w:fill="auto"/>
            <w:vAlign w:val="bottom"/>
          </w:tcPr>
          <w:p w14:paraId="77CA8ABF" w14:textId="77777777" w:rsidR="002227E6" w:rsidRPr="00F8409B" w:rsidRDefault="002227E6" w:rsidP="00F8409B">
            <w:pPr>
              <w:spacing w:before="40" w:after="40" w:line="220" w:lineRule="exact"/>
              <w:ind w:right="113"/>
              <w:jc w:val="right"/>
              <w:rPr>
                <w:sz w:val="18"/>
              </w:rPr>
            </w:pPr>
            <w:r w:rsidRPr="00F8409B">
              <w:rPr>
                <w:sz w:val="18"/>
              </w:rPr>
              <w:t>1</w:t>
            </w:r>
          </w:p>
        </w:tc>
        <w:tc>
          <w:tcPr>
            <w:tcW w:w="1003" w:type="dxa"/>
            <w:tcBorders>
              <w:top w:val="single" w:sz="12" w:space="0" w:color="auto"/>
            </w:tcBorders>
            <w:shd w:val="clear" w:color="auto" w:fill="auto"/>
            <w:vAlign w:val="bottom"/>
          </w:tcPr>
          <w:p w14:paraId="3039CB2E" w14:textId="77777777" w:rsidR="002227E6" w:rsidRPr="00F8409B" w:rsidRDefault="002227E6" w:rsidP="00F8409B">
            <w:pPr>
              <w:spacing w:before="40" w:after="40" w:line="220" w:lineRule="exact"/>
              <w:ind w:right="113"/>
              <w:jc w:val="right"/>
              <w:rPr>
                <w:sz w:val="18"/>
                <w:lang w:eastAsia="es-BO"/>
              </w:rPr>
            </w:pPr>
            <w:r w:rsidRPr="00F8409B">
              <w:rPr>
                <w:sz w:val="18"/>
                <w:lang w:eastAsia="es-BO"/>
              </w:rPr>
              <w:t>-</w:t>
            </w:r>
          </w:p>
        </w:tc>
        <w:tc>
          <w:tcPr>
            <w:tcW w:w="1003" w:type="dxa"/>
            <w:tcBorders>
              <w:top w:val="single" w:sz="12" w:space="0" w:color="auto"/>
            </w:tcBorders>
            <w:shd w:val="clear" w:color="auto" w:fill="auto"/>
            <w:vAlign w:val="bottom"/>
          </w:tcPr>
          <w:p w14:paraId="34347F0D" w14:textId="77777777" w:rsidR="002227E6" w:rsidRPr="00F8409B" w:rsidRDefault="002227E6" w:rsidP="00F8409B">
            <w:pPr>
              <w:spacing w:before="40" w:after="40" w:line="220" w:lineRule="exact"/>
              <w:ind w:right="113"/>
              <w:jc w:val="right"/>
              <w:rPr>
                <w:sz w:val="18"/>
              </w:rPr>
            </w:pPr>
            <w:r w:rsidRPr="00F8409B">
              <w:rPr>
                <w:sz w:val="18"/>
              </w:rPr>
              <w:t>2</w:t>
            </w:r>
          </w:p>
        </w:tc>
        <w:tc>
          <w:tcPr>
            <w:tcW w:w="1003" w:type="dxa"/>
            <w:tcBorders>
              <w:top w:val="single" w:sz="12" w:space="0" w:color="auto"/>
            </w:tcBorders>
            <w:shd w:val="clear" w:color="auto" w:fill="auto"/>
            <w:vAlign w:val="bottom"/>
          </w:tcPr>
          <w:p w14:paraId="5CFAD94E" w14:textId="77777777" w:rsidR="002227E6" w:rsidRPr="00F8409B" w:rsidRDefault="002227E6" w:rsidP="00F8409B">
            <w:pPr>
              <w:spacing w:before="40" w:after="40" w:line="220" w:lineRule="exact"/>
              <w:ind w:right="113"/>
              <w:jc w:val="right"/>
              <w:rPr>
                <w:sz w:val="18"/>
              </w:rPr>
            </w:pPr>
            <w:r w:rsidRPr="00F8409B">
              <w:rPr>
                <w:sz w:val="18"/>
              </w:rPr>
              <w:t>8</w:t>
            </w:r>
          </w:p>
        </w:tc>
        <w:tc>
          <w:tcPr>
            <w:tcW w:w="1204" w:type="dxa"/>
            <w:tcBorders>
              <w:top w:val="single" w:sz="12" w:space="0" w:color="auto"/>
            </w:tcBorders>
            <w:shd w:val="clear" w:color="auto" w:fill="auto"/>
            <w:vAlign w:val="bottom"/>
          </w:tcPr>
          <w:p w14:paraId="1E6F7F66" w14:textId="77777777" w:rsidR="002227E6" w:rsidRPr="00F8409B" w:rsidRDefault="002227E6" w:rsidP="00F8409B">
            <w:pPr>
              <w:spacing w:before="40" w:after="40" w:line="220" w:lineRule="exact"/>
              <w:ind w:right="113"/>
              <w:jc w:val="right"/>
              <w:rPr>
                <w:sz w:val="18"/>
                <w:lang w:eastAsia="es-BO"/>
              </w:rPr>
            </w:pPr>
            <w:r w:rsidRPr="00F8409B">
              <w:rPr>
                <w:sz w:val="18"/>
                <w:lang w:eastAsia="es-BO"/>
              </w:rPr>
              <w:t>-</w:t>
            </w:r>
          </w:p>
        </w:tc>
        <w:tc>
          <w:tcPr>
            <w:tcW w:w="595" w:type="dxa"/>
            <w:tcBorders>
              <w:top w:val="single" w:sz="12" w:space="0" w:color="auto"/>
            </w:tcBorders>
            <w:shd w:val="clear" w:color="auto" w:fill="auto"/>
            <w:vAlign w:val="bottom"/>
          </w:tcPr>
          <w:p w14:paraId="36771B69" w14:textId="77777777" w:rsidR="002227E6" w:rsidRPr="00F8409B" w:rsidRDefault="002227E6" w:rsidP="00F8409B">
            <w:pPr>
              <w:spacing w:before="40" w:after="40" w:line="220" w:lineRule="exact"/>
              <w:ind w:right="113"/>
              <w:jc w:val="right"/>
              <w:rPr>
                <w:sz w:val="18"/>
              </w:rPr>
            </w:pPr>
            <w:r w:rsidRPr="00F8409B">
              <w:rPr>
                <w:sz w:val="18"/>
              </w:rPr>
              <w:t>11</w:t>
            </w:r>
          </w:p>
        </w:tc>
      </w:tr>
      <w:tr w:rsidR="002227E6" w:rsidRPr="00F8409B" w14:paraId="15A08BF0" w14:textId="77777777" w:rsidTr="00F8409B">
        <w:trPr>
          <w:trHeight w:val="240"/>
        </w:trPr>
        <w:tc>
          <w:tcPr>
            <w:tcW w:w="1560" w:type="dxa"/>
            <w:shd w:val="clear" w:color="auto" w:fill="auto"/>
          </w:tcPr>
          <w:p w14:paraId="08FAF6AC" w14:textId="77777777" w:rsidR="002227E6" w:rsidRPr="00F8409B" w:rsidRDefault="002227E6" w:rsidP="00F8409B">
            <w:pPr>
              <w:spacing w:before="40" w:after="40" w:line="220" w:lineRule="exact"/>
              <w:ind w:right="113"/>
              <w:rPr>
                <w:sz w:val="18"/>
              </w:rPr>
            </w:pPr>
            <w:r w:rsidRPr="00F8409B">
              <w:rPr>
                <w:sz w:val="18"/>
              </w:rPr>
              <w:t>2019</w:t>
            </w:r>
          </w:p>
        </w:tc>
        <w:tc>
          <w:tcPr>
            <w:tcW w:w="1002" w:type="dxa"/>
            <w:shd w:val="clear" w:color="auto" w:fill="auto"/>
            <w:vAlign w:val="bottom"/>
          </w:tcPr>
          <w:p w14:paraId="1ED5DE1B" w14:textId="77777777" w:rsidR="002227E6" w:rsidRPr="00F8409B" w:rsidRDefault="002227E6" w:rsidP="00F8409B">
            <w:pPr>
              <w:spacing w:before="40" w:after="40" w:line="220" w:lineRule="exact"/>
              <w:ind w:right="113"/>
              <w:jc w:val="right"/>
              <w:rPr>
                <w:sz w:val="18"/>
                <w:lang w:eastAsia="es-BO"/>
              </w:rPr>
            </w:pPr>
            <w:r w:rsidRPr="00F8409B">
              <w:rPr>
                <w:sz w:val="18"/>
                <w:lang w:eastAsia="es-BO"/>
              </w:rPr>
              <w:t>-</w:t>
            </w:r>
          </w:p>
        </w:tc>
        <w:tc>
          <w:tcPr>
            <w:tcW w:w="1003" w:type="dxa"/>
            <w:shd w:val="clear" w:color="auto" w:fill="auto"/>
            <w:vAlign w:val="bottom"/>
          </w:tcPr>
          <w:p w14:paraId="0DB67F70" w14:textId="77777777" w:rsidR="002227E6" w:rsidRPr="00F8409B" w:rsidRDefault="002227E6" w:rsidP="00F8409B">
            <w:pPr>
              <w:spacing w:before="40" w:after="40" w:line="220" w:lineRule="exact"/>
              <w:ind w:right="113"/>
              <w:jc w:val="right"/>
              <w:rPr>
                <w:sz w:val="18"/>
                <w:lang w:eastAsia="es-BO"/>
              </w:rPr>
            </w:pPr>
            <w:r w:rsidRPr="00F8409B">
              <w:rPr>
                <w:sz w:val="18"/>
                <w:lang w:eastAsia="es-BO"/>
              </w:rPr>
              <w:t>-</w:t>
            </w:r>
          </w:p>
        </w:tc>
        <w:tc>
          <w:tcPr>
            <w:tcW w:w="1003" w:type="dxa"/>
            <w:shd w:val="clear" w:color="auto" w:fill="auto"/>
            <w:vAlign w:val="bottom"/>
          </w:tcPr>
          <w:p w14:paraId="2D43A60F" w14:textId="77777777" w:rsidR="002227E6" w:rsidRPr="00F8409B" w:rsidRDefault="002227E6" w:rsidP="00F8409B">
            <w:pPr>
              <w:spacing w:before="40" w:after="40" w:line="220" w:lineRule="exact"/>
              <w:ind w:right="113"/>
              <w:jc w:val="right"/>
              <w:rPr>
                <w:sz w:val="18"/>
                <w:lang w:eastAsia="es-BO"/>
              </w:rPr>
            </w:pPr>
            <w:r w:rsidRPr="00F8409B">
              <w:rPr>
                <w:sz w:val="18"/>
                <w:lang w:eastAsia="es-BO"/>
              </w:rPr>
              <w:t>-</w:t>
            </w:r>
          </w:p>
        </w:tc>
        <w:tc>
          <w:tcPr>
            <w:tcW w:w="1003" w:type="dxa"/>
            <w:shd w:val="clear" w:color="auto" w:fill="auto"/>
            <w:vAlign w:val="bottom"/>
          </w:tcPr>
          <w:p w14:paraId="17465409" w14:textId="77777777" w:rsidR="002227E6" w:rsidRPr="00F8409B" w:rsidRDefault="002227E6" w:rsidP="00F8409B">
            <w:pPr>
              <w:spacing w:before="40" w:after="40" w:line="220" w:lineRule="exact"/>
              <w:ind w:right="113"/>
              <w:jc w:val="right"/>
              <w:rPr>
                <w:sz w:val="18"/>
              </w:rPr>
            </w:pPr>
            <w:r w:rsidRPr="00F8409B">
              <w:rPr>
                <w:sz w:val="18"/>
              </w:rPr>
              <w:t>4</w:t>
            </w:r>
          </w:p>
        </w:tc>
        <w:tc>
          <w:tcPr>
            <w:tcW w:w="1204" w:type="dxa"/>
            <w:shd w:val="clear" w:color="auto" w:fill="auto"/>
            <w:vAlign w:val="bottom"/>
          </w:tcPr>
          <w:p w14:paraId="001294CC" w14:textId="77777777" w:rsidR="002227E6" w:rsidRPr="00F8409B" w:rsidRDefault="002227E6" w:rsidP="00F8409B">
            <w:pPr>
              <w:spacing w:before="40" w:after="40" w:line="220" w:lineRule="exact"/>
              <w:ind w:right="113"/>
              <w:jc w:val="right"/>
              <w:rPr>
                <w:sz w:val="18"/>
                <w:lang w:eastAsia="es-BO"/>
              </w:rPr>
            </w:pPr>
            <w:r w:rsidRPr="00F8409B">
              <w:rPr>
                <w:sz w:val="18"/>
                <w:lang w:eastAsia="es-BO"/>
              </w:rPr>
              <w:t>-</w:t>
            </w:r>
          </w:p>
        </w:tc>
        <w:tc>
          <w:tcPr>
            <w:tcW w:w="595" w:type="dxa"/>
            <w:shd w:val="clear" w:color="auto" w:fill="auto"/>
            <w:vAlign w:val="bottom"/>
          </w:tcPr>
          <w:p w14:paraId="63E2FA13" w14:textId="77777777" w:rsidR="002227E6" w:rsidRPr="00F8409B" w:rsidRDefault="002227E6" w:rsidP="00F8409B">
            <w:pPr>
              <w:spacing w:before="40" w:after="40" w:line="220" w:lineRule="exact"/>
              <w:ind w:right="113"/>
              <w:jc w:val="right"/>
              <w:rPr>
                <w:sz w:val="18"/>
              </w:rPr>
            </w:pPr>
            <w:r w:rsidRPr="00F8409B">
              <w:rPr>
                <w:sz w:val="18"/>
              </w:rPr>
              <w:t>4</w:t>
            </w:r>
          </w:p>
        </w:tc>
      </w:tr>
      <w:tr w:rsidR="002227E6" w:rsidRPr="00F8409B" w14:paraId="09D62F09" w14:textId="77777777" w:rsidTr="00F8409B">
        <w:trPr>
          <w:trHeight w:val="240"/>
        </w:trPr>
        <w:tc>
          <w:tcPr>
            <w:tcW w:w="1560" w:type="dxa"/>
            <w:shd w:val="clear" w:color="auto" w:fill="auto"/>
          </w:tcPr>
          <w:p w14:paraId="4B253FEB" w14:textId="77777777" w:rsidR="002227E6" w:rsidRPr="00F8409B" w:rsidRDefault="002227E6" w:rsidP="00F8409B">
            <w:pPr>
              <w:spacing w:before="40" w:after="40" w:line="220" w:lineRule="exact"/>
              <w:ind w:right="113"/>
              <w:rPr>
                <w:sz w:val="18"/>
              </w:rPr>
            </w:pPr>
            <w:r w:rsidRPr="00F8409B">
              <w:rPr>
                <w:sz w:val="18"/>
              </w:rPr>
              <w:t>2020</w:t>
            </w:r>
          </w:p>
        </w:tc>
        <w:tc>
          <w:tcPr>
            <w:tcW w:w="1002" w:type="dxa"/>
            <w:shd w:val="clear" w:color="auto" w:fill="auto"/>
            <w:vAlign w:val="bottom"/>
          </w:tcPr>
          <w:p w14:paraId="6F11EA04" w14:textId="77777777" w:rsidR="002227E6" w:rsidRPr="00F8409B" w:rsidRDefault="002227E6" w:rsidP="00F8409B">
            <w:pPr>
              <w:spacing w:before="40" w:after="40" w:line="220" w:lineRule="exact"/>
              <w:ind w:right="113"/>
              <w:jc w:val="right"/>
              <w:rPr>
                <w:sz w:val="18"/>
              </w:rPr>
            </w:pPr>
            <w:r w:rsidRPr="00F8409B">
              <w:rPr>
                <w:sz w:val="18"/>
              </w:rPr>
              <w:t>10</w:t>
            </w:r>
          </w:p>
        </w:tc>
        <w:tc>
          <w:tcPr>
            <w:tcW w:w="1003" w:type="dxa"/>
            <w:shd w:val="clear" w:color="auto" w:fill="auto"/>
            <w:vAlign w:val="bottom"/>
          </w:tcPr>
          <w:p w14:paraId="1D4B9EE1" w14:textId="77777777" w:rsidR="002227E6" w:rsidRPr="00F8409B" w:rsidRDefault="002227E6" w:rsidP="00F8409B">
            <w:pPr>
              <w:spacing w:before="40" w:after="40" w:line="220" w:lineRule="exact"/>
              <w:ind w:right="113"/>
              <w:jc w:val="right"/>
              <w:rPr>
                <w:sz w:val="18"/>
              </w:rPr>
            </w:pPr>
            <w:r w:rsidRPr="00F8409B">
              <w:rPr>
                <w:sz w:val="18"/>
              </w:rPr>
              <w:t>4</w:t>
            </w:r>
          </w:p>
        </w:tc>
        <w:tc>
          <w:tcPr>
            <w:tcW w:w="1003" w:type="dxa"/>
            <w:shd w:val="clear" w:color="auto" w:fill="auto"/>
            <w:vAlign w:val="bottom"/>
          </w:tcPr>
          <w:p w14:paraId="791AE84A" w14:textId="77777777" w:rsidR="002227E6" w:rsidRPr="00F8409B" w:rsidRDefault="002227E6" w:rsidP="00F8409B">
            <w:pPr>
              <w:spacing w:before="40" w:after="40" w:line="220" w:lineRule="exact"/>
              <w:ind w:right="113"/>
              <w:jc w:val="right"/>
              <w:rPr>
                <w:sz w:val="18"/>
              </w:rPr>
            </w:pPr>
            <w:r w:rsidRPr="00F8409B">
              <w:rPr>
                <w:sz w:val="18"/>
              </w:rPr>
              <w:t>152</w:t>
            </w:r>
          </w:p>
        </w:tc>
        <w:tc>
          <w:tcPr>
            <w:tcW w:w="1003" w:type="dxa"/>
            <w:shd w:val="clear" w:color="auto" w:fill="auto"/>
            <w:vAlign w:val="bottom"/>
          </w:tcPr>
          <w:p w14:paraId="184E54D3" w14:textId="77777777" w:rsidR="002227E6" w:rsidRPr="00F8409B" w:rsidRDefault="002227E6" w:rsidP="00F8409B">
            <w:pPr>
              <w:spacing w:before="40" w:after="40" w:line="220" w:lineRule="exact"/>
              <w:ind w:right="113"/>
              <w:jc w:val="right"/>
              <w:rPr>
                <w:sz w:val="18"/>
              </w:rPr>
            </w:pPr>
            <w:r w:rsidRPr="00F8409B">
              <w:rPr>
                <w:sz w:val="18"/>
              </w:rPr>
              <w:t>87</w:t>
            </w:r>
          </w:p>
        </w:tc>
        <w:tc>
          <w:tcPr>
            <w:tcW w:w="1204" w:type="dxa"/>
            <w:shd w:val="clear" w:color="auto" w:fill="auto"/>
            <w:vAlign w:val="bottom"/>
          </w:tcPr>
          <w:p w14:paraId="1018D289" w14:textId="77777777" w:rsidR="002227E6" w:rsidRPr="00F8409B" w:rsidRDefault="002227E6" w:rsidP="00F8409B">
            <w:pPr>
              <w:spacing w:before="40" w:after="40" w:line="220" w:lineRule="exact"/>
              <w:ind w:right="113"/>
              <w:jc w:val="right"/>
              <w:rPr>
                <w:sz w:val="18"/>
                <w:lang w:eastAsia="es-BO"/>
              </w:rPr>
            </w:pPr>
            <w:r w:rsidRPr="00F8409B">
              <w:rPr>
                <w:sz w:val="18"/>
                <w:lang w:eastAsia="es-BO"/>
              </w:rPr>
              <w:t>-</w:t>
            </w:r>
          </w:p>
        </w:tc>
        <w:tc>
          <w:tcPr>
            <w:tcW w:w="595" w:type="dxa"/>
            <w:shd w:val="clear" w:color="auto" w:fill="auto"/>
            <w:vAlign w:val="bottom"/>
          </w:tcPr>
          <w:p w14:paraId="235187DF" w14:textId="77777777" w:rsidR="002227E6" w:rsidRPr="00F8409B" w:rsidRDefault="002227E6" w:rsidP="00F8409B">
            <w:pPr>
              <w:spacing w:before="40" w:after="40" w:line="220" w:lineRule="exact"/>
              <w:ind w:right="113"/>
              <w:jc w:val="right"/>
              <w:rPr>
                <w:sz w:val="18"/>
              </w:rPr>
            </w:pPr>
            <w:r w:rsidRPr="00F8409B">
              <w:rPr>
                <w:sz w:val="18"/>
              </w:rPr>
              <w:t>253</w:t>
            </w:r>
          </w:p>
        </w:tc>
      </w:tr>
      <w:tr w:rsidR="002227E6" w:rsidRPr="00F8409B" w14:paraId="3A12DB5A" w14:textId="77777777" w:rsidTr="00F8409B">
        <w:trPr>
          <w:trHeight w:val="240"/>
        </w:trPr>
        <w:tc>
          <w:tcPr>
            <w:tcW w:w="1560" w:type="dxa"/>
            <w:tcBorders>
              <w:bottom w:val="single" w:sz="4" w:space="0" w:color="auto"/>
            </w:tcBorders>
            <w:shd w:val="clear" w:color="auto" w:fill="auto"/>
          </w:tcPr>
          <w:p w14:paraId="78D72882" w14:textId="77777777" w:rsidR="002227E6" w:rsidRPr="00F8409B" w:rsidRDefault="002227E6" w:rsidP="00F8409B">
            <w:pPr>
              <w:spacing w:before="40" w:after="40" w:line="220" w:lineRule="exact"/>
              <w:ind w:right="113"/>
              <w:rPr>
                <w:sz w:val="18"/>
              </w:rPr>
            </w:pPr>
            <w:r w:rsidRPr="00F8409B">
              <w:rPr>
                <w:sz w:val="18"/>
              </w:rPr>
              <w:t>January–June 2021</w:t>
            </w:r>
          </w:p>
        </w:tc>
        <w:tc>
          <w:tcPr>
            <w:tcW w:w="1002" w:type="dxa"/>
            <w:tcBorders>
              <w:bottom w:val="single" w:sz="4" w:space="0" w:color="auto"/>
            </w:tcBorders>
            <w:shd w:val="clear" w:color="auto" w:fill="auto"/>
            <w:vAlign w:val="bottom"/>
          </w:tcPr>
          <w:p w14:paraId="713A04ED" w14:textId="77777777" w:rsidR="002227E6" w:rsidRPr="00F8409B" w:rsidRDefault="002227E6" w:rsidP="00F8409B">
            <w:pPr>
              <w:spacing w:before="40" w:after="40" w:line="220" w:lineRule="exact"/>
              <w:ind w:right="113"/>
              <w:jc w:val="right"/>
              <w:rPr>
                <w:sz w:val="18"/>
                <w:lang w:eastAsia="es-BO"/>
              </w:rPr>
            </w:pPr>
            <w:r w:rsidRPr="00F8409B">
              <w:rPr>
                <w:sz w:val="18"/>
                <w:lang w:eastAsia="es-BO"/>
              </w:rPr>
              <w:t>-</w:t>
            </w:r>
          </w:p>
        </w:tc>
        <w:tc>
          <w:tcPr>
            <w:tcW w:w="1003" w:type="dxa"/>
            <w:tcBorders>
              <w:bottom w:val="single" w:sz="4" w:space="0" w:color="auto"/>
            </w:tcBorders>
            <w:shd w:val="clear" w:color="auto" w:fill="auto"/>
            <w:vAlign w:val="bottom"/>
          </w:tcPr>
          <w:p w14:paraId="59DBE21F" w14:textId="77777777" w:rsidR="002227E6" w:rsidRPr="00F8409B" w:rsidRDefault="002227E6" w:rsidP="00F8409B">
            <w:pPr>
              <w:spacing w:before="40" w:after="40" w:line="220" w:lineRule="exact"/>
              <w:ind w:right="113"/>
              <w:jc w:val="right"/>
              <w:rPr>
                <w:sz w:val="18"/>
                <w:lang w:eastAsia="es-BO"/>
              </w:rPr>
            </w:pPr>
            <w:r w:rsidRPr="00F8409B">
              <w:rPr>
                <w:sz w:val="18"/>
                <w:lang w:eastAsia="es-BO"/>
              </w:rPr>
              <w:t>-</w:t>
            </w:r>
          </w:p>
        </w:tc>
        <w:tc>
          <w:tcPr>
            <w:tcW w:w="1003" w:type="dxa"/>
            <w:tcBorders>
              <w:bottom w:val="single" w:sz="4" w:space="0" w:color="auto"/>
            </w:tcBorders>
            <w:shd w:val="clear" w:color="auto" w:fill="auto"/>
            <w:vAlign w:val="bottom"/>
          </w:tcPr>
          <w:p w14:paraId="637E99FF" w14:textId="77777777" w:rsidR="002227E6" w:rsidRPr="00F8409B" w:rsidRDefault="002227E6" w:rsidP="00F8409B">
            <w:pPr>
              <w:spacing w:before="40" w:after="40" w:line="220" w:lineRule="exact"/>
              <w:ind w:right="113"/>
              <w:jc w:val="right"/>
              <w:rPr>
                <w:sz w:val="18"/>
                <w:lang w:eastAsia="es-BO"/>
              </w:rPr>
            </w:pPr>
            <w:r w:rsidRPr="00F8409B">
              <w:rPr>
                <w:sz w:val="18"/>
                <w:lang w:eastAsia="es-BO"/>
              </w:rPr>
              <w:t>-</w:t>
            </w:r>
          </w:p>
        </w:tc>
        <w:tc>
          <w:tcPr>
            <w:tcW w:w="1003" w:type="dxa"/>
            <w:tcBorders>
              <w:bottom w:val="single" w:sz="4" w:space="0" w:color="auto"/>
            </w:tcBorders>
            <w:shd w:val="clear" w:color="auto" w:fill="auto"/>
            <w:vAlign w:val="bottom"/>
          </w:tcPr>
          <w:p w14:paraId="0AE6CA92" w14:textId="77777777" w:rsidR="002227E6" w:rsidRPr="00F8409B" w:rsidRDefault="002227E6" w:rsidP="00F8409B">
            <w:pPr>
              <w:spacing w:before="40" w:after="40" w:line="220" w:lineRule="exact"/>
              <w:ind w:right="113"/>
              <w:jc w:val="right"/>
              <w:rPr>
                <w:sz w:val="18"/>
                <w:lang w:eastAsia="es-BO"/>
              </w:rPr>
            </w:pPr>
            <w:r w:rsidRPr="00F8409B">
              <w:rPr>
                <w:sz w:val="18"/>
                <w:lang w:eastAsia="es-BO"/>
              </w:rPr>
              <w:t>-</w:t>
            </w:r>
          </w:p>
        </w:tc>
        <w:tc>
          <w:tcPr>
            <w:tcW w:w="1204" w:type="dxa"/>
            <w:tcBorders>
              <w:bottom w:val="single" w:sz="4" w:space="0" w:color="auto"/>
            </w:tcBorders>
            <w:shd w:val="clear" w:color="auto" w:fill="auto"/>
            <w:vAlign w:val="bottom"/>
          </w:tcPr>
          <w:p w14:paraId="52F5EAFA" w14:textId="77777777" w:rsidR="002227E6" w:rsidRPr="00F8409B" w:rsidRDefault="002227E6" w:rsidP="00F8409B">
            <w:pPr>
              <w:spacing w:before="40" w:after="40" w:line="220" w:lineRule="exact"/>
              <w:ind w:right="113"/>
              <w:jc w:val="right"/>
              <w:rPr>
                <w:sz w:val="18"/>
              </w:rPr>
            </w:pPr>
            <w:r w:rsidRPr="00F8409B">
              <w:rPr>
                <w:sz w:val="18"/>
              </w:rPr>
              <w:t>1</w:t>
            </w:r>
          </w:p>
        </w:tc>
        <w:tc>
          <w:tcPr>
            <w:tcW w:w="595" w:type="dxa"/>
            <w:tcBorders>
              <w:bottom w:val="single" w:sz="4" w:space="0" w:color="auto"/>
            </w:tcBorders>
            <w:shd w:val="clear" w:color="auto" w:fill="auto"/>
            <w:vAlign w:val="bottom"/>
          </w:tcPr>
          <w:p w14:paraId="3F444B8B" w14:textId="77777777" w:rsidR="002227E6" w:rsidRPr="00F8409B" w:rsidRDefault="002227E6" w:rsidP="00F8409B">
            <w:pPr>
              <w:spacing w:before="40" w:after="40" w:line="220" w:lineRule="exact"/>
              <w:ind w:right="113"/>
              <w:jc w:val="right"/>
              <w:rPr>
                <w:sz w:val="18"/>
              </w:rPr>
            </w:pPr>
            <w:r w:rsidRPr="00F8409B">
              <w:rPr>
                <w:sz w:val="18"/>
              </w:rPr>
              <w:t>1</w:t>
            </w:r>
          </w:p>
        </w:tc>
      </w:tr>
      <w:tr w:rsidR="002227E6" w:rsidRPr="00F8409B" w14:paraId="7821DF7C" w14:textId="77777777" w:rsidTr="00F8409B">
        <w:trPr>
          <w:trHeight w:val="240"/>
        </w:trPr>
        <w:tc>
          <w:tcPr>
            <w:tcW w:w="1560" w:type="dxa"/>
            <w:tcBorders>
              <w:top w:val="single" w:sz="4" w:space="0" w:color="auto"/>
              <w:bottom w:val="single" w:sz="12" w:space="0" w:color="auto"/>
            </w:tcBorders>
            <w:shd w:val="clear" w:color="auto" w:fill="auto"/>
          </w:tcPr>
          <w:p w14:paraId="0075ECF5" w14:textId="77777777" w:rsidR="002227E6" w:rsidRPr="00F8409B" w:rsidRDefault="002227E6" w:rsidP="00F8409B">
            <w:pPr>
              <w:spacing w:before="80" w:after="80" w:line="220" w:lineRule="exact"/>
              <w:ind w:left="282" w:right="113"/>
              <w:rPr>
                <w:b/>
                <w:sz w:val="18"/>
              </w:rPr>
            </w:pPr>
            <w:r w:rsidRPr="00F8409B">
              <w:rPr>
                <w:b/>
                <w:bCs/>
                <w:sz w:val="18"/>
              </w:rPr>
              <w:t>Total</w:t>
            </w:r>
          </w:p>
        </w:tc>
        <w:tc>
          <w:tcPr>
            <w:tcW w:w="1002" w:type="dxa"/>
            <w:tcBorders>
              <w:top w:val="single" w:sz="4" w:space="0" w:color="auto"/>
              <w:bottom w:val="single" w:sz="12" w:space="0" w:color="auto"/>
            </w:tcBorders>
            <w:shd w:val="clear" w:color="auto" w:fill="auto"/>
            <w:vAlign w:val="bottom"/>
          </w:tcPr>
          <w:p w14:paraId="47101DA3" w14:textId="77777777" w:rsidR="002227E6" w:rsidRPr="00F8409B" w:rsidRDefault="002227E6" w:rsidP="00F8409B">
            <w:pPr>
              <w:spacing w:before="80" w:after="80" w:line="220" w:lineRule="exact"/>
              <w:ind w:right="113"/>
              <w:jc w:val="right"/>
              <w:rPr>
                <w:b/>
                <w:sz w:val="18"/>
              </w:rPr>
            </w:pPr>
            <w:r w:rsidRPr="00F8409B">
              <w:rPr>
                <w:b/>
                <w:bCs/>
                <w:sz w:val="18"/>
              </w:rPr>
              <w:t>11</w:t>
            </w:r>
          </w:p>
        </w:tc>
        <w:tc>
          <w:tcPr>
            <w:tcW w:w="1003" w:type="dxa"/>
            <w:tcBorders>
              <w:top w:val="single" w:sz="4" w:space="0" w:color="auto"/>
              <w:bottom w:val="single" w:sz="12" w:space="0" w:color="auto"/>
            </w:tcBorders>
            <w:shd w:val="clear" w:color="auto" w:fill="auto"/>
            <w:vAlign w:val="bottom"/>
          </w:tcPr>
          <w:p w14:paraId="504DDD9E" w14:textId="77777777" w:rsidR="002227E6" w:rsidRPr="00F8409B" w:rsidRDefault="002227E6" w:rsidP="00F8409B">
            <w:pPr>
              <w:spacing w:before="80" w:after="80" w:line="220" w:lineRule="exact"/>
              <w:ind w:right="113"/>
              <w:jc w:val="right"/>
              <w:rPr>
                <w:b/>
                <w:sz w:val="18"/>
              </w:rPr>
            </w:pPr>
            <w:r w:rsidRPr="00F8409B">
              <w:rPr>
                <w:b/>
                <w:bCs/>
                <w:sz w:val="18"/>
              </w:rPr>
              <w:t>4</w:t>
            </w:r>
          </w:p>
        </w:tc>
        <w:tc>
          <w:tcPr>
            <w:tcW w:w="1003" w:type="dxa"/>
            <w:tcBorders>
              <w:top w:val="single" w:sz="4" w:space="0" w:color="auto"/>
              <w:bottom w:val="single" w:sz="12" w:space="0" w:color="auto"/>
            </w:tcBorders>
            <w:shd w:val="clear" w:color="auto" w:fill="auto"/>
            <w:vAlign w:val="bottom"/>
          </w:tcPr>
          <w:p w14:paraId="563BCED0" w14:textId="77777777" w:rsidR="002227E6" w:rsidRPr="00F8409B" w:rsidRDefault="002227E6" w:rsidP="00F8409B">
            <w:pPr>
              <w:spacing w:before="80" w:after="80" w:line="220" w:lineRule="exact"/>
              <w:ind w:right="113"/>
              <w:jc w:val="right"/>
              <w:rPr>
                <w:b/>
                <w:sz w:val="18"/>
              </w:rPr>
            </w:pPr>
            <w:r w:rsidRPr="00F8409B">
              <w:rPr>
                <w:b/>
                <w:bCs/>
                <w:sz w:val="18"/>
              </w:rPr>
              <w:t>154</w:t>
            </w:r>
          </w:p>
        </w:tc>
        <w:tc>
          <w:tcPr>
            <w:tcW w:w="1003" w:type="dxa"/>
            <w:tcBorders>
              <w:top w:val="single" w:sz="4" w:space="0" w:color="auto"/>
              <w:bottom w:val="single" w:sz="12" w:space="0" w:color="auto"/>
            </w:tcBorders>
            <w:shd w:val="clear" w:color="auto" w:fill="auto"/>
            <w:vAlign w:val="bottom"/>
          </w:tcPr>
          <w:p w14:paraId="4F79E84A" w14:textId="77777777" w:rsidR="002227E6" w:rsidRPr="00F8409B" w:rsidRDefault="002227E6" w:rsidP="00F8409B">
            <w:pPr>
              <w:spacing w:before="80" w:after="80" w:line="220" w:lineRule="exact"/>
              <w:ind w:right="113"/>
              <w:jc w:val="right"/>
              <w:rPr>
                <w:b/>
                <w:sz w:val="18"/>
              </w:rPr>
            </w:pPr>
            <w:r w:rsidRPr="00F8409B">
              <w:rPr>
                <w:b/>
                <w:bCs/>
                <w:sz w:val="18"/>
              </w:rPr>
              <w:t>99</w:t>
            </w:r>
          </w:p>
        </w:tc>
        <w:tc>
          <w:tcPr>
            <w:tcW w:w="1204" w:type="dxa"/>
            <w:tcBorders>
              <w:top w:val="single" w:sz="4" w:space="0" w:color="auto"/>
              <w:bottom w:val="single" w:sz="12" w:space="0" w:color="auto"/>
            </w:tcBorders>
            <w:shd w:val="clear" w:color="auto" w:fill="auto"/>
            <w:vAlign w:val="bottom"/>
          </w:tcPr>
          <w:p w14:paraId="12D139D9" w14:textId="77777777" w:rsidR="002227E6" w:rsidRPr="00F8409B" w:rsidRDefault="002227E6" w:rsidP="00F8409B">
            <w:pPr>
              <w:spacing w:before="80" w:after="80" w:line="220" w:lineRule="exact"/>
              <w:ind w:right="113"/>
              <w:jc w:val="right"/>
              <w:rPr>
                <w:b/>
                <w:sz w:val="18"/>
              </w:rPr>
            </w:pPr>
            <w:r w:rsidRPr="00F8409B">
              <w:rPr>
                <w:b/>
                <w:bCs/>
                <w:sz w:val="18"/>
              </w:rPr>
              <w:t>1</w:t>
            </w:r>
          </w:p>
        </w:tc>
        <w:tc>
          <w:tcPr>
            <w:tcW w:w="595" w:type="dxa"/>
            <w:tcBorders>
              <w:top w:val="single" w:sz="4" w:space="0" w:color="auto"/>
              <w:bottom w:val="single" w:sz="12" w:space="0" w:color="auto"/>
            </w:tcBorders>
            <w:shd w:val="clear" w:color="auto" w:fill="auto"/>
            <w:vAlign w:val="bottom"/>
          </w:tcPr>
          <w:p w14:paraId="7FA500EF" w14:textId="77777777" w:rsidR="002227E6" w:rsidRPr="00F8409B" w:rsidRDefault="002227E6" w:rsidP="00F8409B">
            <w:pPr>
              <w:spacing w:before="80" w:after="80" w:line="220" w:lineRule="exact"/>
              <w:ind w:right="113"/>
              <w:jc w:val="right"/>
              <w:rPr>
                <w:b/>
                <w:sz w:val="18"/>
              </w:rPr>
            </w:pPr>
            <w:r w:rsidRPr="00F8409B">
              <w:rPr>
                <w:b/>
                <w:bCs/>
                <w:sz w:val="18"/>
              </w:rPr>
              <w:t>269</w:t>
            </w:r>
          </w:p>
        </w:tc>
      </w:tr>
    </w:tbl>
    <w:p w14:paraId="46879241" w14:textId="77777777" w:rsidR="002227E6" w:rsidRPr="00F8409B" w:rsidRDefault="002227E6" w:rsidP="00F8409B">
      <w:pPr>
        <w:spacing w:before="120" w:line="240" w:lineRule="atLeast"/>
        <w:ind w:left="1134" w:right="1134" w:firstLine="170"/>
        <w:rPr>
          <w:sz w:val="18"/>
        </w:rPr>
      </w:pPr>
      <w:r w:rsidRPr="00F8409B">
        <w:rPr>
          <w:i/>
          <w:iCs/>
          <w:sz w:val="18"/>
        </w:rPr>
        <w:t>Source</w:t>
      </w:r>
      <w:r w:rsidRPr="00F8409B">
        <w:rPr>
          <w:sz w:val="18"/>
        </w:rPr>
        <w:t>: National Refugee Commission – 2021.</w:t>
      </w:r>
    </w:p>
    <w:p w14:paraId="5A02AB57" w14:textId="77777777" w:rsidR="002227E6" w:rsidRPr="00D470FC" w:rsidRDefault="002227E6" w:rsidP="002227E6">
      <w:pPr>
        <w:pStyle w:val="H23G"/>
        <w:rPr>
          <w:rFonts w:eastAsia="Calibri"/>
        </w:rPr>
      </w:pPr>
      <w:r w:rsidRPr="00D470FC">
        <w:tab/>
      </w:r>
      <w:r w:rsidRPr="00D470FC">
        <w:tab/>
      </w:r>
      <w:r w:rsidRPr="00D470FC">
        <w:rPr>
          <w:bCs/>
        </w:rPr>
        <w:t>Number of refugees by sex</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27"/>
        <w:gridCol w:w="1521"/>
        <w:gridCol w:w="1711"/>
        <w:gridCol w:w="1711"/>
      </w:tblGrid>
      <w:tr w:rsidR="002F50B0" w:rsidRPr="00F8409B" w14:paraId="25EF1D0C" w14:textId="77777777" w:rsidTr="00F8409B">
        <w:trPr>
          <w:trHeight w:val="240"/>
          <w:tblHeader/>
        </w:trPr>
        <w:tc>
          <w:tcPr>
            <w:tcW w:w="1809" w:type="dxa"/>
            <w:tcBorders>
              <w:top w:val="single" w:sz="4" w:space="0" w:color="auto"/>
              <w:bottom w:val="single" w:sz="12" w:space="0" w:color="auto"/>
            </w:tcBorders>
            <w:shd w:val="clear" w:color="auto" w:fill="auto"/>
            <w:vAlign w:val="bottom"/>
          </w:tcPr>
          <w:p w14:paraId="33741FBE" w14:textId="77777777" w:rsidR="002227E6" w:rsidRPr="00F8409B" w:rsidRDefault="002227E6" w:rsidP="00F8409B">
            <w:pPr>
              <w:spacing w:before="80" w:after="80" w:line="200" w:lineRule="exact"/>
              <w:ind w:right="113"/>
              <w:rPr>
                <w:bCs/>
                <w:i/>
                <w:sz w:val="16"/>
              </w:rPr>
            </w:pPr>
            <w:r w:rsidRPr="00F8409B">
              <w:rPr>
                <w:i/>
                <w:iCs/>
                <w:sz w:val="16"/>
              </w:rPr>
              <w:t>Year</w:t>
            </w:r>
            <w:r w:rsidRPr="00F8409B">
              <w:rPr>
                <w:i/>
                <w:sz w:val="16"/>
              </w:rPr>
              <w:t xml:space="preserve"> </w:t>
            </w:r>
          </w:p>
        </w:tc>
        <w:tc>
          <w:tcPr>
            <w:tcW w:w="1134" w:type="dxa"/>
            <w:tcBorders>
              <w:top w:val="single" w:sz="4" w:space="0" w:color="auto"/>
              <w:bottom w:val="single" w:sz="12" w:space="0" w:color="auto"/>
            </w:tcBorders>
            <w:shd w:val="clear" w:color="auto" w:fill="auto"/>
            <w:vAlign w:val="bottom"/>
          </w:tcPr>
          <w:p w14:paraId="08F28E86" w14:textId="77777777" w:rsidR="002227E6" w:rsidRPr="00F8409B" w:rsidRDefault="002227E6" w:rsidP="00F8409B">
            <w:pPr>
              <w:spacing w:before="80" w:after="80" w:line="200" w:lineRule="exact"/>
              <w:ind w:right="113"/>
              <w:jc w:val="right"/>
              <w:rPr>
                <w:bCs/>
                <w:i/>
                <w:sz w:val="16"/>
              </w:rPr>
            </w:pPr>
            <w:r w:rsidRPr="00F8409B">
              <w:rPr>
                <w:i/>
                <w:iCs/>
                <w:sz w:val="16"/>
              </w:rPr>
              <w:t>Female</w:t>
            </w:r>
            <w:r w:rsidRPr="00F8409B">
              <w:rPr>
                <w:i/>
                <w:sz w:val="16"/>
              </w:rPr>
              <w:t xml:space="preserve"> </w:t>
            </w:r>
          </w:p>
        </w:tc>
        <w:tc>
          <w:tcPr>
            <w:tcW w:w="1276" w:type="dxa"/>
            <w:tcBorders>
              <w:top w:val="single" w:sz="4" w:space="0" w:color="auto"/>
              <w:bottom w:val="single" w:sz="12" w:space="0" w:color="auto"/>
            </w:tcBorders>
            <w:shd w:val="clear" w:color="auto" w:fill="auto"/>
            <w:vAlign w:val="bottom"/>
          </w:tcPr>
          <w:p w14:paraId="5C525DA1" w14:textId="77777777" w:rsidR="002227E6" w:rsidRPr="00F8409B" w:rsidRDefault="002227E6" w:rsidP="00F8409B">
            <w:pPr>
              <w:spacing w:before="80" w:after="80" w:line="200" w:lineRule="exact"/>
              <w:ind w:right="113"/>
              <w:jc w:val="right"/>
              <w:rPr>
                <w:bCs/>
                <w:i/>
                <w:sz w:val="16"/>
              </w:rPr>
            </w:pPr>
            <w:r w:rsidRPr="00F8409B">
              <w:rPr>
                <w:i/>
                <w:iCs/>
                <w:sz w:val="16"/>
              </w:rPr>
              <w:t>Male</w:t>
            </w:r>
          </w:p>
        </w:tc>
        <w:tc>
          <w:tcPr>
            <w:tcW w:w="1276" w:type="dxa"/>
            <w:tcBorders>
              <w:top w:val="single" w:sz="4" w:space="0" w:color="auto"/>
              <w:bottom w:val="single" w:sz="12" w:space="0" w:color="auto"/>
            </w:tcBorders>
            <w:shd w:val="clear" w:color="auto" w:fill="auto"/>
            <w:vAlign w:val="bottom"/>
          </w:tcPr>
          <w:p w14:paraId="5EDED71B" w14:textId="77777777" w:rsidR="002227E6" w:rsidRPr="00F8409B" w:rsidRDefault="002227E6" w:rsidP="00F8409B">
            <w:pPr>
              <w:spacing w:before="80" w:after="80" w:line="200" w:lineRule="exact"/>
              <w:ind w:right="113"/>
              <w:jc w:val="right"/>
              <w:rPr>
                <w:bCs/>
                <w:i/>
                <w:sz w:val="16"/>
              </w:rPr>
            </w:pPr>
            <w:r w:rsidRPr="00F8409B">
              <w:rPr>
                <w:i/>
                <w:iCs/>
                <w:sz w:val="16"/>
              </w:rPr>
              <w:t>Total</w:t>
            </w:r>
          </w:p>
        </w:tc>
      </w:tr>
      <w:tr w:rsidR="002227E6" w:rsidRPr="00F8409B" w14:paraId="46528460" w14:textId="77777777" w:rsidTr="00F8409B">
        <w:trPr>
          <w:trHeight w:val="240"/>
        </w:trPr>
        <w:tc>
          <w:tcPr>
            <w:tcW w:w="1809" w:type="dxa"/>
            <w:tcBorders>
              <w:top w:val="single" w:sz="12" w:space="0" w:color="auto"/>
            </w:tcBorders>
            <w:shd w:val="clear" w:color="auto" w:fill="auto"/>
          </w:tcPr>
          <w:p w14:paraId="613A20F6" w14:textId="77777777" w:rsidR="002227E6" w:rsidRPr="00F8409B" w:rsidRDefault="002227E6" w:rsidP="00F8409B">
            <w:pPr>
              <w:spacing w:before="40" w:after="40" w:line="220" w:lineRule="exact"/>
              <w:ind w:right="113"/>
              <w:rPr>
                <w:bCs/>
                <w:sz w:val="18"/>
              </w:rPr>
            </w:pPr>
            <w:r w:rsidRPr="00F8409B">
              <w:rPr>
                <w:sz w:val="18"/>
              </w:rPr>
              <w:t>2018</w:t>
            </w:r>
          </w:p>
        </w:tc>
        <w:tc>
          <w:tcPr>
            <w:tcW w:w="1134" w:type="dxa"/>
            <w:tcBorders>
              <w:top w:val="single" w:sz="12" w:space="0" w:color="auto"/>
            </w:tcBorders>
            <w:shd w:val="clear" w:color="auto" w:fill="auto"/>
            <w:vAlign w:val="bottom"/>
          </w:tcPr>
          <w:p w14:paraId="0E0F61C6" w14:textId="77777777" w:rsidR="002227E6" w:rsidRPr="00F8409B" w:rsidRDefault="002227E6" w:rsidP="00F8409B">
            <w:pPr>
              <w:spacing w:before="40" w:after="40" w:line="220" w:lineRule="exact"/>
              <w:ind w:right="113"/>
              <w:jc w:val="right"/>
              <w:rPr>
                <w:bCs/>
                <w:sz w:val="18"/>
              </w:rPr>
            </w:pPr>
            <w:r w:rsidRPr="00F8409B">
              <w:rPr>
                <w:sz w:val="18"/>
              </w:rPr>
              <w:t>9</w:t>
            </w:r>
          </w:p>
        </w:tc>
        <w:tc>
          <w:tcPr>
            <w:tcW w:w="1276" w:type="dxa"/>
            <w:tcBorders>
              <w:top w:val="single" w:sz="12" w:space="0" w:color="auto"/>
            </w:tcBorders>
            <w:shd w:val="clear" w:color="auto" w:fill="auto"/>
            <w:vAlign w:val="bottom"/>
          </w:tcPr>
          <w:p w14:paraId="7F26ABB0" w14:textId="77777777" w:rsidR="002227E6" w:rsidRPr="00F8409B" w:rsidRDefault="002227E6" w:rsidP="00F8409B">
            <w:pPr>
              <w:spacing w:before="40" w:after="40" w:line="220" w:lineRule="exact"/>
              <w:ind w:right="113"/>
              <w:jc w:val="right"/>
              <w:rPr>
                <w:bCs/>
                <w:sz w:val="18"/>
              </w:rPr>
            </w:pPr>
            <w:r w:rsidRPr="00F8409B">
              <w:rPr>
                <w:sz w:val="18"/>
              </w:rPr>
              <w:t>2</w:t>
            </w:r>
          </w:p>
        </w:tc>
        <w:tc>
          <w:tcPr>
            <w:tcW w:w="1276" w:type="dxa"/>
            <w:tcBorders>
              <w:top w:val="single" w:sz="12" w:space="0" w:color="auto"/>
            </w:tcBorders>
            <w:shd w:val="clear" w:color="auto" w:fill="auto"/>
            <w:vAlign w:val="bottom"/>
          </w:tcPr>
          <w:p w14:paraId="09957913" w14:textId="77777777" w:rsidR="002227E6" w:rsidRPr="00F8409B" w:rsidRDefault="002227E6" w:rsidP="00F8409B">
            <w:pPr>
              <w:spacing w:before="40" w:after="40" w:line="220" w:lineRule="exact"/>
              <w:ind w:right="113"/>
              <w:jc w:val="right"/>
              <w:rPr>
                <w:bCs/>
                <w:sz w:val="18"/>
              </w:rPr>
            </w:pPr>
            <w:r w:rsidRPr="00F8409B">
              <w:rPr>
                <w:sz w:val="18"/>
              </w:rPr>
              <w:t>11</w:t>
            </w:r>
          </w:p>
        </w:tc>
      </w:tr>
      <w:tr w:rsidR="002227E6" w:rsidRPr="00F8409B" w14:paraId="6FA96C0F" w14:textId="77777777" w:rsidTr="00F8409B">
        <w:trPr>
          <w:trHeight w:val="240"/>
        </w:trPr>
        <w:tc>
          <w:tcPr>
            <w:tcW w:w="1809" w:type="dxa"/>
            <w:shd w:val="clear" w:color="auto" w:fill="auto"/>
          </w:tcPr>
          <w:p w14:paraId="66AD32BC" w14:textId="77777777" w:rsidR="002227E6" w:rsidRPr="00F8409B" w:rsidRDefault="002227E6" w:rsidP="00F8409B">
            <w:pPr>
              <w:spacing w:before="40" w:after="40" w:line="220" w:lineRule="exact"/>
              <w:ind w:right="113"/>
              <w:rPr>
                <w:bCs/>
                <w:sz w:val="18"/>
              </w:rPr>
            </w:pPr>
            <w:r w:rsidRPr="00F8409B">
              <w:rPr>
                <w:sz w:val="18"/>
              </w:rPr>
              <w:t>2019</w:t>
            </w:r>
          </w:p>
        </w:tc>
        <w:tc>
          <w:tcPr>
            <w:tcW w:w="1134" w:type="dxa"/>
            <w:shd w:val="clear" w:color="auto" w:fill="auto"/>
            <w:vAlign w:val="bottom"/>
          </w:tcPr>
          <w:p w14:paraId="1D804AAA" w14:textId="77777777" w:rsidR="002227E6" w:rsidRPr="00F8409B" w:rsidRDefault="002227E6" w:rsidP="00F8409B">
            <w:pPr>
              <w:spacing w:before="40" w:after="40" w:line="220" w:lineRule="exact"/>
              <w:ind w:right="113"/>
              <w:jc w:val="right"/>
              <w:rPr>
                <w:bCs/>
                <w:sz w:val="18"/>
              </w:rPr>
            </w:pPr>
            <w:r w:rsidRPr="00F8409B">
              <w:rPr>
                <w:sz w:val="18"/>
              </w:rPr>
              <w:t>2</w:t>
            </w:r>
          </w:p>
        </w:tc>
        <w:tc>
          <w:tcPr>
            <w:tcW w:w="1276" w:type="dxa"/>
            <w:shd w:val="clear" w:color="auto" w:fill="auto"/>
            <w:vAlign w:val="bottom"/>
          </w:tcPr>
          <w:p w14:paraId="5DBD129B" w14:textId="77777777" w:rsidR="002227E6" w:rsidRPr="00F8409B" w:rsidRDefault="002227E6" w:rsidP="00F8409B">
            <w:pPr>
              <w:spacing w:before="40" w:after="40" w:line="220" w:lineRule="exact"/>
              <w:ind w:right="113"/>
              <w:jc w:val="right"/>
              <w:rPr>
                <w:bCs/>
                <w:sz w:val="18"/>
              </w:rPr>
            </w:pPr>
            <w:r w:rsidRPr="00F8409B">
              <w:rPr>
                <w:sz w:val="18"/>
              </w:rPr>
              <w:t>2</w:t>
            </w:r>
          </w:p>
        </w:tc>
        <w:tc>
          <w:tcPr>
            <w:tcW w:w="1276" w:type="dxa"/>
            <w:shd w:val="clear" w:color="auto" w:fill="auto"/>
            <w:vAlign w:val="bottom"/>
          </w:tcPr>
          <w:p w14:paraId="397F9CA6" w14:textId="77777777" w:rsidR="002227E6" w:rsidRPr="00F8409B" w:rsidRDefault="002227E6" w:rsidP="00F8409B">
            <w:pPr>
              <w:spacing w:before="40" w:after="40" w:line="220" w:lineRule="exact"/>
              <w:ind w:right="113"/>
              <w:jc w:val="right"/>
              <w:rPr>
                <w:bCs/>
                <w:sz w:val="18"/>
              </w:rPr>
            </w:pPr>
            <w:r w:rsidRPr="00F8409B">
              <w:rPr>
                <w:sz w:val="18"/>
              </w:rPr>
              <w:t>4</w:t>
            </w:r>
          </w:p>
        </w:tc>
      </w:tr>
      <w:tr w:rsidR="002227E6" w:rsidRPr="00F8409B" w14:paraId="5133A712" w14:textId="77777777" w:rsidTr="00F8409B">
        <w:trPr>
          <w:trHeight w:val="240"/>
        </w:trPr>
        <w:tc>
          <w:tcPr>
            <w:tcW w:w="1809" w:type="dxa"/>
            <w:shd w:val="clear" w:color="auto" w:fill="auto"/>
          </w:tcPr>
          <w:p w14:paraId="51A380E5" w14:textId="77777777" w:rsidR="002227E6" w:rsidRPr="00F8409B" w:rsidRDefault="002227E6" w:rsidP="00F8409B">
            <w:pPr>
              <w:spacing w:before="40" w:after="40" w:line="220" w:lineRule="exact"/>
              <w:ind w:right="113"/>
              <w:rPr>
                <w:bCs/>
                <w:sz w:val="18"/>
              </w:rPr>
            </w:pPr>
            <w:r w:rsidRPr="00F8409B">
              <w:rPr>
                <w:sz w:val="18"/>
              </w:rPr>
              <w:t>2020</w:t>
            </w:r>
          </w:p>
        </w:tc>
        <w:tc>
          <w:tcPr>
            <w:tcW w:w="1134" w:type="dxa"/>
            <w:shd w:val="clear" w:color="auto" w:fill="auto"/>
            <w:vAlign w:val="bottom"/>
          </w:tcPr>
          <w:p w14:paraId="0894BE5E" w14:textId="77777777" w:rsidR="002227E6" w:rsidRPr="00F8409B" w:rsidRDefault="002227E6" w:rsidP="00F8409B">
            <w:pPr>
              <w:spacing w:before="40" w:after="40" w:line="220" w:lineRule="exact"/>
              <w:ind w:right="113"/>
              <w:jc w:val="right"/>
              <w:rPr>
                <w:bCs/>
                <w:sz w:val="18"/>
              </w:rPr>
            </w:pPr>
            <w:r w:rsidRPr="00F8409B">
              <w:rPr>
                <w:sz w:val="18"/>
              </w:rPr>
              <w:t>134</w:t>
            </w:r>
          </w:p>
        </w:tc>
        <w:tc>
          <w:tcPr>
            <w:tcW w:w="1276" w:type="dxa"/>
            <w:shd w:val="clear" w:color="auto" w:fill="auto"/>
            <w:vAlign w:val="bottom"/>
          </w:tcPr>
          <w:p w14:paraId="4D57C236" w14:textId="77777777" w:rsidR="002227E6" w:rsidRPr="00F8409B" w:rsidRDefault="002227E6" w:rsidP="00F8409B">
            <w:pPr>
              <w:spacing w:before="40" w:after="40" w:line="220" w:lineRule="exact"/>
              <w:ind w:right="113"/>
              <w:jc w:val="right"/>
              <w:rPr>
                <w:bCs/>
                <w:sz w:val="18"/>
              </w:rPr>
            </w:pPr>
            <w:r w:rsidRPr="00F8409B">
              <w:rPr>
                <w:sz w:val="18"/>
              </w:rPr>
              <w:t>119</w:t>
            </w:r>
          </w:p>
        </w:tc>
        <w:tc>
          <w:tcPr>
            <w:tcW w:w="1276" w:type="dxa"/>
            <w:shd w:val="clear" w:color="auto" w:fill="auto"/>
            <w:vAlign w:val="bottom"/>
          </w:tcPr>
          <w:p w14:paraId="3AC275F2" w14:textId="77777777" w:rsidR="002227E6" w:rsidRPr="00F8409B" w:rsidRDefault="002227E6" w:rsidP="00F8409B">
            <w:pPr>
              <w:spacing w:before="40" w:after="40" w:line="220" w:lineRule="exact"/>
              <w:ind w:right="113"/>
              <w:jc w:val="right"/>
              <w:rPr>
                <w:bCs/>
                <w:sz w:val="18"/>
              </w:rPr>
            </w:pPr>
            <w:r w:rsidRPr="00F8409B">
              <w:rPr>
                <w:sz w:val="18"/>
              </w:rPr>
              <w:t>253</w:t>
            </w:r>
          </w:p>
        </w:tc>
      </w:tr>
      <w:tr w:rsidR="002227E6" w:rsidRPr="00F8409B" w14:paraId="3F40AC4C" w14:textId="77777777" w:rsidTr="00F8409B">
        <w:trPr>
          <w:trHeight w:val="240"/>
        </w:trPr>
        <w:tc>
          <w:tcPr>
            <w:tcW w:w="1809" w:type="dxa"/>
            <w:tcBorders>
              <w:bottom w:val="single" w:sz="2" w:space="0" w:color="auto"/>
            </w:tcBorders>
            <w:shd w:val="clear" w:color="auto" w:fill="auto"/>
          </w:tcPr>
          <w:p w14:paraId="459D356E" w14:textId="77777777" w:rsidR="002227E6" w:rsidRPr="00F8409B" w:rsidRDefault="002227E6" w:rsidP="00F8409B">
            <w:pPr>
              <w:spacing w:before="40" w:after="40" w:line="220" w:lineRule="exact"/>
              <w:ind w:right="113"/>
              <w:rPr>
                <w:bCs/>
                <w:sz w:val="18"/>
              </w:rPr>
            </w:pPr>
            <w:r w:rsidRPr="00F8409B">
              <w:rPr>
                <w:sz w:val="18"/>
              </w:rPr>
              <w:t>January–June 2021</w:t>
            </w:r>
          </w:p>
        </w:tc>
        <w:tc>
          <w:tcPr>
            <w:tcW w:w="1134" w:type="dxa"/>
            <w:tcBorders>
              <w:bottom w:val="single" w:sz="2" w:space="0" w:color="auto"/>
            </w:tcBorders>
            <w:shd w:val="clear" w:color="auto" w:fill="auto"/>
            <w:vAlign w:val="bottom"/>
          </w:tcPr>
          <w:p w14:paraId="3B179946" w14:textId="77777777" w:rsidR="002227E6" w:rsidRPr="00F8409B" w:rsidRDefault="002227E6" w:rsidP="00F8409B">
            <w:pPr>
              <w:spacing w:before="40" w:after="40" w:line="220" w:lineRule="exact"/>
              <w:ind w:right="113"/>
              <w:jc w:val="right"/>
              <w:rPr>
                <w:bCs/>
                <w:sz w:val="18"/>
                <w:lang w:eastAsia="es-BO"/>
              </w:rPr>
            </w:pPr>
            <w:r w:rsidRPr="00F8409B">
              <w:rPr>
                <w:bCs/>
                <w:sz w:val="18"/>
                <w:lang w:eastAsia="es-BO"/>
              </w:rPr>
              <w:t>-</w:t>
            </w:r>
          </w:p>
        </w:tc>
        <w:tc>
          <w:tcPr>
            <w:tcW w:w="1276" w:type="dxa"/>
            <w:tcBorders>
              <w:bottom w:val="single" w:sz="2" w:space="0" w:color="auto"/>
            </w:tcBorders>
            <w:shd w:val="clear" w:color="auto" w:fill="auto"/>
            <w:vAlign w:val="bottom"/>
          </w:tcPr>
          <w:p w14:paraId="135FE3E1" w14:textId="77777777" w:rsidR="002227E6" w:rsidRPr="00F8409B" w:rsidRDefault="002227E6" w:rsidP="00F8409B">
            <w:pPr>
              <w:spacing w:before="40" w:after="40" w:line="220" w:lineRule="exact"/>
              <w:ind w:right="113"/>
              <w:jc w:val="right"/>
              <w:rPr>
                <w:bCs/>
                <w:sz w:val="18"/>
              </w:rPr>
            </w:pPr>
            <w:r w:rsidRPr="00F8409B">
              <w:rPr>
                <w:sz w:val="18"/>
              </w:rPr>
              <w:t>1</w:t>
            </w:r>
          </w:p>
        </w:tc>
        <w:tc>
          <w:tcPr>
            <w:tcW w:w="1276" w:type="dxa"/>
            <w:tcBorders>
              <w:bottom w:val="single" w:sz="2" w:space="0" w:color="auto"/>
            </w:tcBorders>
            <w:shd w:val="clear" w:color="auto" w:fill="auto"/>
            <w:vAlign w:val="bottom"/>
          </w:tcPr>
          <w:p w14:paraId="60B5F339" w14:textId="77777777" w:rsidR="002227E6" w:rsidRPr="00F8409B" w:rsidRDefault="002227E6" w:rsidP="00F8409B">
            <w:pPr>
              <w:spacing w:before="40" w:after="40" w:line="220" w:lineRule="exact"/>
              <w:ind w:right="113"/>
              <w:jc w:val="right"/>
              <w:rPr>
                <w:bCs/>
                <w:sz w:val="18"/>
              </w:rPr>
            </w:pPr>
            <w:r w:rsidRPr="00F8409B">
              <w:rPr>
                <w:sz w:val="18"/>
              </w:rPr>
              <w:t>1</w:t>
            </w:r>
          </w:p>
        </w:tc>
      </w:tr>
      <w:tr w:rsidR="002227E6" w:rsidRPr="00F8409B" w14:paraId="635C32AD" w14:textId="77777777" w:rsidTr="00F8409B">
        <w:trPr>
          <w:trHeight w:val="240"/>
        </w:trPr>
        <w:tc>
          <w:tcPr>
            <w:tcW w:w="1809" w:type="dxa"/>
            <w:tcBorders>
              <w:top w:val="single" w:sz="2" w:space="0" w:color="auto"/>
              <w:bottom w:val="single" w:sz="12" w:space="0" w:color="auto"/>
            </w:tcBorders>
            <w:shd w:val="clear" w:color="auto" w:fill="auto"/>
          </w:tcPr>
          <w:p w14:paraId="2F1EAA3D" w14:textId="77777777" w:rsidR="002227E6" w:rsidRPr="00F8409B" w:rsidRDefault="002227E6" w:rsidP="00F8409B">
            <w:pPr>
              <w:spacing w:before="80" w:after="80" w:line="220" w:lineRule="exact"/>
              <w:ind w:left="282" w:right="113"/>
              <w:rPr>
                <w:b/>
                <w:sz w:val="18"/>
              </w:rPr>
            </w:pPr>
            <w:r w:rsidRPr="00F8409B">
              <w:rPr>
                <w:b/>
                <w:bCs/>
                <w:sz w:val="18"/>
              </w:rPr>
              <w:t>Total</w:t>
            </w:r>
          </w:p>
        </w:tc>
        <w:tc>
          <w:tcPr>
            <w:tcW w:w="1134" w:type="dxa"/>
            <w:tcBorders>
              <w:top w:val="single" w:sz="2" w:space="0" w:color="auto"/>
              <w:bottom w:val="single" w:sz="12" w:space="0" w:color="auto"/>
            </w:tcBorders>
            <w:shd w:val="clear" w:color="auto" w:fill="auto"/>
            <w:vAlign w:val="bottom"/>
          </w:tcPr>
          <w:p w14:paraId="4675BCB4" w14:textId="77777777" w:rsidR="002227E6" w:rsidRPr="00F8409B" w:rsidRDefault="002227E6" w:rsidP="00F8409B">
            <w:pPr>
              <w:spacing w:before="80" w:after="80" w:line="220" w:lineRule="exact"/>
              <w:ind w:right="113"/>
              <w:jc w:val="right"/>
              <w:rPr>
                <w:b/>
                <w:sz w:val="18"/>
              </w:rPr>
            </w:pPr>
            <w:r w:rsidRPr="00F8409B">
              <w:rPr>
                <w:b/>
                <w:bCs/>
                <w:sz w:val="18"/>
              </w:rPr>
              <w:t>145</w:t>
            </w:r>
          </w:p>
        </w:tc>
        <w:tc>
          <w:tcPr>
            <w:tcW w:w="1276" w:type="dxa"/>
            <w:tcBorders>
              <w:top w:val="single" w:sz="2" w:space="0" w:color="auto"/>
              <w:bottom w:val="single" w:sz="12" w:space="0" w:color="auto"/>
            </w:tcBorders>
            <w:shd w:val="clear" w:color="auto" w:fill="auto"/>
            <w:vAlign w:val="bottom"/>
          </w:tcPr>
          <w:p w14:paraId="2DD5175D" w14:textId="77777777" w:rsidR="002227E6" w:rsidRPr="00F8409B" w:rsidRDefault="002227E6" w:rsidP="00F8409B">
            <w:pPr>
              <w:spacing w:before="80" w:after="80" w:line="220" w:lineRule="exact"/>
              <w:ind w:right="113"/>
              <w:jc w:val="right"/>
              <w:rPr>
                <w:b/>
                <w:sz w:val="18"/>
              </w:rPr>
            </w:pPr>
            <w:r w:rsidRPr="00F8409B">
              <w:rPr>
                <w:b/>
                <w:bCs/>
                <w:sz w:val="18"/>
              </w:rPr>
              <w:t>124</w:t>
            </w:r>
          </w:p>
        </w:tc>
        <w:tc>
          <w:tcPr>
            <w:tcW w:w="1276" w:type="dxa"/>
            <w:tcBorders>
              <w:top w:val="single" w:sz="2" w:space="0" w:color="auto"/>
              <w:bottom w:val="single" w:sz="12" w:space="0" w:color="auto"/>
            </w:tcBorders>
            <w:shd w:val="clear" w:color="auto" w:fill="auto"/>
            <w:vAlign w:val="bottom"/>
          </w:tcPr>
          <w:p w14:paraId="62EE19AF" w14:textId="77777777" w:rsidR="002227E6" w:rsidRPr="00F8409B" w:rsidRDefault="002227E6" w:rsidP="00F8409B">
            <w:pPr>
              <w:spacing w:before="80" w:after="80" w:line="220" w:lineRule="exact"/>
              <w:ind w:right="113"/>
              <w:jc w:val="right"/>
              <w:rPr>
                <w:b/>
                <w:sz w:val="18"/>
              </w:rPr>
            </w:pPr>
            <w:r w:rsidRPr="00F8409B">
              <w:rPr>
                <w:b/>
                <w:bCs/>
                <w:sz w:val="18"/>
              </w:rPr>
              <w:t>269</w:t>
            </w:r>
          </w:p>
        </w:tc>
      </w:tr>
    </w:tbl>
    <w:p w14:paraId="63110A76" w14:textId="77777777" w:rsidR="002227E6" w:rsidRPr="00F8409B" w:rsidRDefault="002227E6" w:rsidP="00F8409B">
      <w:pPr>
        <w:spacing w:before="120" w:after="240" w:line="240" w:lineRule="atLeast"/>
        <w:ind w:left="1134" w:right="1134" w:firstLine="170"/>
        <w:rPr>
          <w:sz w:val="18"/>
        </w:rPr>
      </w:pPr>
      <w:r w:rsidRPr="00F8409B">
        <w:rPr>
          <w:i/>
          <w:iCs/>
          <w:sz w:val="18"/>
        </w:rPr>
        <w:t>Source</w:t>
      </w:r>
      <w:r w:rsidRPr="00F8409B">
        <w:rPr>
          <w:sz w:val="18"/>
        </w:rPr>
        <w:t>: National Refugee Commission – 2021.</w:t>
      </w:r>
    </w:p>
    <w:p w14:paraId="1FCB3520" w14:textId="77777777" w:rsidR="002227E6" w:rsidRPr="00D470FC" w:rsidRDefault="002227E6" w:rsidP="00E66B89">
      <w:pPr>
        <w:pStyle w:val="SingleTxtG"/>
      </w:pPr>
      <w:r w:rsidRPr="00D470FC">
        <w:t>186.</w:t>
      </w:r>
      <w:r w:rsidRPr="00D470FC">
        <w:tab/>
        <w:t>The Inspections and Preventive Custody Section of the Directorate General of Migration has been working on a proposal for a supreme decree on regularization, which would ease requirements and streamline costs.</w:t>
      </w:r>
    </w:p>
    <w:p w14:paraId="51C1C173" w14:textId="57ECB4F6" w:rsidR="002227E6" w:rsidRPr="00D470FC" w:rsidRDefault="00F8409B" w:rsidP="00F8409B">
      <w:pPr>
        <w:pStyle w:val="H23G"/>
      </w:pPr>
      <w:r>
        <w:tab/>
      </w:r>
      <w:r w:rsidR="002227E6" w:rsidRPr="00D470FC">
        <w:t>24.</w:t>
      </w:r>
      <w:r w:rsidR="002227E6" w:rsidRPr="00D470FC">
        <w:tab/>
        <w:t>Replies to the issues raised in paragraph 24 of the list of issues</w:t>
      </w:r>
    </w:p>
    <w:p w14:paraId="112734CB" w14:textId="77777777" w:rsidR="002227E6" w:rsidRPr="00D470FC" w:rsidRDefault="002227E6" w:rsidP="00E66B89">
      <w:pPr>
        <w:pStyle w:val="SingleTxtG"/>
      </w:pPr>
      <w:r w:rsidRPr="00D470FC">
        <w:t>187.</w:t>
      </w:r>
      <w:r w:rsidRPr="00D470FC">
        <w:tab/>
        <w:t>(a) No complaints have been received and/or registered regarding alleged unlawful actions on the part of the migration control police unit.</w:t>
      </w:r>
    </w:p>
    <w:p w14:paraId="28210552" w14:textId="77777777" w:rsidR="002227E6" w:rsidRPr="00D470FC" w:rsidRDefault="002227E6" w:rsidP="00E66B89">
      <w:pPr>
        <w:pStyle w:val="SingleTxtG"/>
      </w:pPr>
      <w:r w:rsidRPr="00D470FC">
        <w:t>188.</w:t>
      </w:r>
      <w:r w:rsidRPr="00D470FC">
        <w:tab/>
        <w:t>(b) When people approach migration control services and express a desire to avail themselves of their right to asylum, they are admitted into the country, upon presentation of a passport of other identity document, and they are then instructed to formally submit their application for asylum to the National Refugee Commission, within a reasonable period of time. Therefore, it is not true that asylum seekers have been denied access to the country while democratic Governments were in power; that being said, it cannot be confirmed or denied that, under the interim Government, the authorities having seized power in Bolivia recognized the right to asylum, as it is enshrined in Act No. 251, the Refugee Act.</w:t>
      </w:r>
    </w:p>
    <w:p w14:paraId="15D5EFC3" w14:textId="77777777" w:rsidR="002227E6" w:rsidRPr="00D470FC" w:rsidRDefault="002227E6" w:rsidP="00E66B89">
      <w:pPr>
        <w:pStyle w:val="SingleTxtG"/>
      </w:pPr>
      <w:r w:rsidRPr="00D470FC">
        <w:t>189.</w:t>
      </w:r>
      <w:r w:rsidRPr="00D470FC">
        <w:tab/>
        <w:t>(c) There are no requirements other than the presentation of a passport or other identity document for asylum seekers to be granted entry into the country, whereupon they are requested to formally submit their application to the National Refugee Commission within a reasonable period of time.</w:t>
      </w:r>
    </w:p>
    <w:p w14:paraId="4B5BBE91" w14:textId="1CA2C0E9" w:rsidR="002227E6" w:rsidRPr="00D470FC" w:rsidRDefault="002227E6" w:rsidP="00E66B89">
      <w:pPr>
        <w:pStyle w:val="SingleTxtG"/>
      </w:pPr>
      <w:r w:rsidRPr="00D470FC">
        <w:t>190.</w:t>
      </w:r>
      <w:r w:rsidRPr="00D470FC">
        <w:tab/>
      </w:r>
      <w:r w:rsidR="004A52E3">
        <w:t>(</w:t>
      </w:r>
      <w:r w:rsidRPr="00D470FC">
        <w:t>d) The Directorate General of Migration complies with all the provisions of Act No. 370, the Migration Act, and issues mandatory departure orders in strict compliance with the grounds for issuing such orders as described in the aforementioned Act.</w:t>
      </w:r>
    </w:p>
    <w:p w14:paraId="19AA9965" w14:textId="77777777" w:rsidR="002227E6" w:rsidRPr="00D470FC" w:rsidRDefault="002227E6" w:rsidP="00E66B89">
      <w:pPr>
        <w:pStyle w:val="SingleTxtG"/>
      </w:pPr>
      <w:r w:rsidRPr="00D470FC">
        <w:t>191.</w:t>
      </w:r>
      <w:r w:rsidRPr="00D470FC">
        <w:tab/>
        <w:t xml:space="preserve">Venezuelan nationals in an irregular situation, unlike other non-Bolivian nationals who were found in March 2019, if they were asylum seekers, expressed their consent with </w:t>
      </w:r>
      <w:r w:rsidRPr="00D470FC">
        <w:lastRenderedPageBreak/>
        <w:t>the mandatory departure orders and requested to be transported to the border given their situation of vulnerability and precariousness.</w:t>
      </w:r>
    </w:p>
    <w:p w14:paraId="40CB6D91" w14:textId="77777777" w:rsidR="002227E6" w:rsidRPr="00D470FC" w:rsidRDefault="002227E6" w:rsidP="004A52E3">
      <w:pPr>
        <w:pStyle w:val="H1G"/>
        <w:rPr>
          <w:i/>
        </w:rPr>
      </w:pPr>
      <w:r w:rsidRPr="00D470FC">
        <w:tab/>
      </w:r>
      <w:r w:rsidRPr="00D470FC">
        <w:tab/>
        <w:t>Indigenous peoples (arts. 2 and 25–27)</w:t>
      </w:r>
    </w:p>
    <w:p w14:paraId="57371E27" w14:textId="2ACF7008" w:rsidR="002227E6" w:rsidRPr="00D470FC" w:rsidRDefault="004A52E3" w:rsidP="004A52E3">
      <w:pPr>
        <w:pStyle w:val="H23G"/>
      </w:pPr>
      <w:r>
        <w:tab/>
      </w:r>
      <w:r w:rsidR="002227E6" w:rsidRPr="00D470FC">
        <w:t>25.</w:t>
      </w:r>
      <w:r w:rsidR="002227E6" w:rsidRPr="00D470FC">
        <w:tab/>
        <w:t>Replies to the issues raised in paragraph 25 of the list of issues</w:t>
      </w:r>
    </w:p>
    <w:p w14:paraId="788CAD22" w14:textId="77777777" w:rsidR="002227E6" w:rsidRPr="00D470FC" w:rsidRDefault="002227E6" w:rsidP="00E66B89">
      <w:pPr>
        <w:pStyle w:val="SingleTxtG"/>
      </w:pPr>
      <w:r w:rsidRPr="00D470FC">
        <w:t>192.</w:t>
      </w:r>
      <w:r w:rsidRPr="00D470FC">
        <w:tab/>
        <w:t>The Constitution guarantees the right to prior consultation of indigenous and aboriginal campesino nations and peoples, as do the Electoral Act, the Hydrocarbons Act and the Mining and Metallurgy Act. Furthermore, Supreme Decrees No. 29033, No. 29124 and No. 29574 lay down procedures for the consultation and participation of indigenous and aboriginal campesino nations and peoples prior to the launch of any hydrocarbon-related activity, initiative or project.</w:t>
      </w:r>
    </w:p>
    <w:p w14:paraId="47DAF1EE" w14:textId="77777777" w:rsidR="002227E6" w:rsidRPr="00D470FC" w:rsidRDefault="002227E6" w:rsidP="00E66B89">
      <w:pPr>
        <w:pStyle w:val="SingleTxtG"/>
      </w:pPr>
      <w:r w:rsidRPr="00D470FC">
        <w:t>193.</w:t>
      </w:r>
      <w:r w:rsidRPr="00D470FC">
        <w:tab/>
        <w:t>The Ministry of Mining and Metallurgy, acting under the Mining and Metallurgy Act, issued 90 final administrative decisions on prior consultation and decisions on applications for reconsideration between 2016 and 2019.</w:t>
      </w:r>
    </w:p>
    <w:p w14:paraId="3580059D" w14:textId="77777777" w:rsidR="002227E6" w:rsidRPr="00D470FC" w:rsidRDefault="002227E6" w:rsidP="00E66B89">
      <w:pPr>
        <w:pStyle w:val="SingleTxtG"/>
      </w:pPr>
      <w:r w:rsidRPr="00D470FC">
        <w:t>194.</w:t>
      </w:r>
      <w:r w:rsidRPr="00D470FC">
        <w:tab/>
        <w:t>The Supreme Electoral Court adopted rules for observing and monitoring prior consultation processes to facilitate the verification of documents and information collected during the deliberative meetings that are part of the prior consultation process. The measures introduced under the Electoral Act concern the implementation of projects, initiatives and activities related to the exploitation of natural mineral resources. Between October 2015 and December 2019, the Supreme Electoral Court was notified of and approved 1,236 prior consultation processes, subject to observation and monitoring, initiated by the Administrative Jurisdictional Authority for the Mining Sector.</w:t>
      </w:r>
    </w:p>
    <w:p w14:paraId="0B641CD3" w14:textId="77777777" w:rsidR="002227E6" w:rsidRPr="00D470FC" w:rsidRDefault="002227E6" w:rsidP="00E66B89">
      <w:pPr>
        <w:pStyle w:val="SingleTxtG"/>
      </w:pPr>
      <w:r w:rsidRPr="00D470FC">
        <w:t>195.</w:t>
      </w:r>
      <w:r w:rsidRPr="00D470FC">
        <w:tab/>
        <w:t>The Supreme Electoral Court, in accordance with the rules in force, including on observation and monitoring, registered 753 processes that resulted in a plenary chamber decision and 36 dismissals, for a total of 447 processes during the period from 2015 to 2019.</w:t>
      </w:r>
    </w:p>
    <w:p w14:paraId="1AB27464" w14:textId="77C59BD2" w:rsidR="002227E6" w:rsidRPr="00B16E00" w:rsidRDefault="002227E6" w:rsidP="00E66B89">
      <w:pPr>
        <w:pStyle w:val="SingleTxtG"/>
      </w:pPr>
      <w:r w:rsidRPr="00D470FC">
        <w:t>196.</w:t>
      </w:r>
      <w:r w:rsidRPr="00D470FC">
        <w:tab/>
        <w:t>When it comes to extractive activities, the relevant sectoral legislation establishes, with respect to environmental policies and their effect on the area of influence or implementation of the project, initiative or activity, the deferred effect of the prior consultation, making specific reference to the presence of a number of environmental components, including, at the very least, the vegetation of the territory in which these projects, initiatives or activities are to be carried out.</w:t>
      </w:r>
    </w:p>
    <w:p w14:paraId="1FEA84F6" w14:textId="6AE32DB7" w:rsidR="00A23459" w:rsidRPr="00A23459" w:rsidRDefault="002227E6" w:rsidP="00DE1C20">
      <w:pPr>
        <w:pStyle w:val="SingleTxtG"/>
        <w:spacing w:before="240" w:after="0"/>
        <w:jc w:val="center"/>
        <w:rPr>
          <w:rFonts w:eastAsiaTheme="minorEastAsia"/>
        </w:rPr>
      </w:pPr>
      <w:r w:rsidRPr="00B16E00">
        <w:rPr>
          <w:u w:val="single"/>
        </w:rPr>
        <w:tab/>
      </w:r>
      <w:r w:rsidRPr="00B16E00">
        <w:rPr>
          <w:u w:val="single"/>
        </w:rPr>
        <w:tab/>
      </w:r>
      <w:r w:rsidRPr="00B16E00">
        <w:rPr>
          <w:u w:val="single"/>
        </w:rPr>
        <w:tab/>
      </w:r>
      <w:r w:rsidR="00DE1C20">
        <w:rPr>
          <w:u w:val="single"/>
        </w:rPr>
        <w:tab/>
      </w:r>
    </w:p>
    <w:sectPr w:rsidR="00A23459" w:rsidRPr="00A23459" w:rsidSect="00472FED">
      <w:headerReference w:type="even" r:id="rId18"/>
      <w:headerReference w:type="default" r:id="rId19"/>
      <w:footerReference w:type="even" r:id="rId20"/>
      <w:footerReference w:type="default" r:id="rId21"/>
      <w:footerReference w:type="first" r:id="rId2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8CDB" w14:textId="77777777" w:rsidR="00EB575C" w:rsidRPr="00B903E5" w:rsidRDefault="00EB575C" w:rsidP="00B903E5"/>
  </w:endnote>
  <w:endnote w:type="continuationSeparator" w:id="0">
    <w:p w14:paraId="444628C6" w14:textId="77777777" w:rsidR="00EB575C" w:rsidRPr="00B903E5" w:rsidRDefault="00EB575C" w:rsidP="00B903E5"/>
  </w:endnote>
  <w:endnote w:type="continuationNotice" w:id="1">
    <w:p w14:paraId="088AA9A5" w14:textId="77777777" w:rsidR="00EB575C" w:rsidRDefault="00EB5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re Baskerville">
    <w:altName w:val="Cambria"/>
    <w:charset w:val="00"/>
    <w:family w:val="auto"/>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159D" w14:textId="77777777" w:rsidR="00014538" w:rsidRPr="005649F0" w:rsidRDefault="00014538" w:rsidP="00014538">
    <w:pPr>
      <w:tabs>
        <w:tab w:val="right" w:pos="9638"/>
      </w:tabs>
      <w:rPr>
        <w:sz w:val="16"/>
        <w:szCs w:val="16"/>
      </w:rPr>
    </w:pPr>
    <w:r w:rsidRPr="00014538">
      <w:rPr>
        <w:b/>
        <w:bCs/>
        <w:sz w:val="18"/>
      </w:rPr>
      <w:fldChar w:fldCharType="begin"/>
    </w:r>
    <w:r w:rsidRPr="00014538">
      <w:rPr>
        <w:b/>
        <w:bCs/>
        <w:sz w:val="18"/>
      </w:rPr>
      <w:instrText xml:space="preserve"> PAGE  \* MERGEFORMAT </w:instrText>
    </w:r>
    <w:r w:rsidRPr="00014538">
      <w:rPr>
        <w:b/>
        <w:bCs/>
        <w:sz w:val="18"/>
      </w:rPr>
      <w:fldChar w:fldCharType="separate"/>
    </w:r>
    <w:r w:rsidRPr="00014538">
      <w:rPr>
        <w:b/>
        <w:bCs/>
        <w:noProof/>
        <w:sz w:val="18"/>
      </w:rPr>
      <w:t>2</w:t>
    </w:r>
    <w:r w:rsidRPr="00014538">
      <w:rPr>
        <w:b/>
        <w:bCs/>
        <w:sz w:val="18"/>
      </w:rPr>
      <w:fldChar w:fldCharType="end"/>
    </w:r>
    <w:r>
      <w:tab/>
    </w:r>
    <w:r w:rsidRPr="005649F0">
      <w:rPr>
        <w:sz w:val="16"/>
        <w:szCs w:val="16"/>
      </w:rPr>
      <w:t>GE.22-00627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0877" w14:textId="77777777" w:rsidR="00014538" w:rsidRDefault="00014538" w:rsidP="00014538">
    <w:pPr>
      <w:tabs>
        <w:tab w:val="right" w:pos="9638"/>
      </w:tabs>
    </w:pPr>
    <w:r w:rsidRPr="00CD4884">
      <w:rPr>
        <w:sz w:val="16"/>
        <w:szCs w:val="16"/>
      </w:rPr>
      <w:t>GE.22-00627</w:t>
    </w:r>
    <w:r>
      <w:tab/>
    </w:r>
    <w:r w:rsidRPr="00014538">
      <w:rPr>
        <w:b/>
        <w:bCs/>
        <w:sz w:val="18"/>
      </w:rPr>
      <w:fldChar w:fldCharType="begin"/>
    </w:r>
    <w:r w:rsidRPr="00014538">
      <w:rPr>
        <w:b/>
        <w:bCs/>
        <w:sz w:val="18"/>
      </w:rPr>
      <w:instrText xml:space="preserve"> PAGE  \* MERGEFORMAT </w:instrText>
    </w:r>
    <w:r w:rsidRPr="00014538">
      <w:rPr>
        <w:b/>
        <w:bCs/>
        <w:sz w:val="18"/>
      </w:rPr>
      <w:fldChar w:fldCharType="separate"/>
    </w:r>
    <w:r w:rsidRPr="00014538">
      <w:rPr>
        <w:b/>
        <w:bCs/>
        <w:noProof/>
        <w:sz w:val="18"/>
      </w:rPr>
      <w:t>3</w:t>
    </w:r>
    <w:r w:rsidRPr="0001453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B7CF" w14:textId="154EBAEF" w:rsidR="00014538" w:rsidRPr="00014538" w:rsidRDefault="00014538" w:rsidP="00DE1C20">
    <w:r>
      <w:rPr>
        <w:noProof/>
        <w:lang w:val="en-US"/>
      </w:rPr>
      <w:drawing>
        <wp:anchor distT="0" distB="0" distL="114300" distR="114300" simplePos="0" relativeHeight="251658240" behindDoc="1" locked="1" layoutInCell="1" allowOverlap="1" wp14:anchorId="3EC90736" wp14:editId="4126866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t>GE.22-00627  (E)</w:t>
    </w:r>
    <w:r>
      <w:rPr>
        <w:noProof/>
      </w:rPr>
      <w:drawing>
        <wp:anchor distT="0" distB="0" distL="114300" distR="114300" simplePos="0" relativeHeight="251658241" behindDoc="0" locked="0" layoutInCell="1" allowOverlap="1" wp14:anchorId="7DFFB4F9" wp14:editId="55CEA932">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1DC4">
      <w:t xml:space="preserve">    150222    160222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463C" w14:textId="77777777" w:rsidR="00EB575C" w:rsidRPr="00B903E5" w:rsidRDefault="00EB575C" w:rsidP="00B903E5">
      <w:pPr>
        <w:tabs>
          <w:tab w:val="right" w:pos="2155"/>
        </w:tabs>
        <w:spacing w:after="80"/>
        <w:ind w:left="680"/>
      </w:pPr>
      <w:r>
        <w:rPr>
          <w:u w:val="single"/>
        </w:rPr>
        <w:tab/>
      </w:r>
    </w:p>
  </w:footnote>
  <w:footnote w:type="continuationSeparator" w:id="0">
    <w:p w14:paraId="3A30FF05" w14:textId="77777777" w:rsidR="00EB575C" w:rsidRPr="00B903E5" w:rsidRDefault="00EB575C" w:rsidP="00B903E5">
      <w:pPr>
        <w:tabs>
          <w:tab w:val="right" w:pos="2155"/>
        </w:tabs>
        <w:spacing w:after="80"/>
        <w:ind w:left="680"/>
      </w:pPr>
      <w:r>
        <w:rPr>
          <w:u w:val="single"/>
        </w:rPr>
        <w:tab/>
      </w:r>
    </w:p>
  </w:footnote>
  <w:footnote w:type="continuationNotice" w:id="1">
    <w:p w14:paraId="0EFB4810" w14:textId="77777777" w:rsidR="00EB575C" w:rsidRDefault="00EB575C"/>
  </w:footnote>
  <w:footnote w:id="2">
    <w:p w14:paraId="6F5114B9" w14:textId="77777777" w:rsidR="002227E6" w:rsidRPr="00577191" w:rsidRDefault="002227E6" w:rsidP="00DE1C20">
      <w:pPr>
        <w:pStyle w:val="FootnoteText"/>
        <w:rPr>
          <w:sz w:val="20"/>
          <w:lang w:val="en-US"/>
        </w:rPr>
      </w:pPr>
      <w:r>
        <w:tab/>
        <w:t>*</w:t>
      </w:r>
      <w:r>
        <w:tab/>
        <w:t>The present document is being issued without formal editing.</w:t>
      </w:r>
    </w:p>
  </w:footnote>
  <w:footnote w:id="3">
    <w:p w14:paraId="1494F1F3" w14:textId="014D8E3E" w:rsidR="002227E6" w:rsidRPr="00577191" w:rsidRDefault="002227E6" w:rsidP="00DE1C20">
      <w:pPr>
        <w:pStyle w:val="FootnoteText"/>
        <w:rPr>
          <w:lang w:val="en-US"/>
        </w:rPr>
      </w:pPr>
      <w:r>
        <w:tab/>
      </w:r>
      <w:r w:rsidRPr="008D6E06">
        <w:rPr>
          <w:rStyle w:val="FootnoteReference"/>
        </w:rPr>
        <w:footnoteRef/>
      </w:r>
      <w:r w:rsidRPr="008D6E06">
        <w:rPr>
          <w:rStyle w:val="FootnoteReference"/>
        </w:rPr>
        <w:t xml:space="preserve"> </w:t>
      </w:r>
      <w:r>
        <w:tab/>
        <w:t>Reference was made to the Committee</w:t>
      </w:r>
      <w:r w:rsidR="008D6E06">
        <w:t>’</w:t>
      </w:r>
      <w:r>
        <w:t>s jurisprudence concerning the elements of due process.</w:t>
      </w:r>
    </w:p>
  </w:footnote>
  <w:footnote w:id="4">
    <w:p w14:paraId="3112AAC1" w14:textId="77777777" w:rsidR="002227E6" w:rsidRPr="00577191" w:rsidRDefault="002227E6" w:rsidP="00DE1C20">
      <w:pPr>
        <w:pStyle w:val="FootnoteText"/>
        <w:rPr>
          <w:lang w:val="en-US"/>
        </w:rPr>
      </w:pPr>
      <w:r w:rsidRPr="00B741F1">
        <w:tab/>
      </w:r>
      <w:r w:rsidRPr="008D6E06">
        <w:rPr>
          <w:rStyle w:val="FootnoteReference"/>
        </w:rPr>
        <w:footnoteRef/>
      </w:r>
      <w:r w:rsidRPr="008D6E06">
        <w:rPr>
          <w:rStyle w:val="FootnoteReference"/>
        </w:rPr>
        <w:t xml:space="preserve"> </w:t>
      </w:r>
      <w:r>
        <w:tab/>
        <w:t>Reference was made to general comment No. 32 (2007) on the right to equality before courts and tribunals and to a fair trial.</w:t>
      </w:r>
    </w:p>
  </w:footnote>
  <w:footnote w:id="5">
    <w:p w14:paraId="342D7FC9" w14:textId="77777777" w:rsidR="002227E6" w:rsidRPr="00577191" w:rsidRDefault="002227E6" w:rsidP="00DE1C20">
      <w:pPr>
        <w:pStyle w:val="FootnoteText"/>
        <w:rPr>
          <w:lang w:val="en-US"/>
        </w:rPr>
      </w:pPr>
      <w:r w:rsidRPr="00B741F1">
        <w:tab/>
      </w:r>
      <w:r w:rsidRPr="008D6E06">
        <w:rPr>
          <w:rStyle w:val="FootnoteReference"/>
        </w:rPr>
        <w:footnoteRef/>
      </w:r>
      <w:r w:rsidRPr="008D6E06">
        <w:rPr>
          <w:rStyle w:val="FootnoteReference"/>
        </w:rPr>
        <w:t xml:space="preserve"> </w:t>
      </w:r>
      <w:r>
        <w:tab/>
        <w:t>Reference was made to general comment No. 27 (1999) on freedom of movement. The Plurinational Constitutional Court pointed out that when imposing detention, it is not sufficient simply to invoke pursuit of a legitimate aim; the use of the measure must also be necessary and proportionate with respect to the interest being protected, a principle that must be applied by both judicial and administrative authorities.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A15C" w14:textId="77777777" w:rsidR="00014538" w:rsidRDefault="00014538" w:rsidP="00014538">
    <w:pPr>
      <w:pStyle w:val="Header"/>
    </w:pPr>
    <w:r>
      <w:t>CCPR/C/BOL/RQ/4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1147" w14:textId="77777777" w:rsidR="00014538" w:rsidRDefault="00014538" w:rsidP="00014538">
    <w:pPr>
      <w:pStyle w:val="Header"/>
      <w:jc w:val="right"/>
    </w:pPr>
    <w:r>
      <w:t>CCPR/C/BOL/RQ/4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C11C34"/>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DB323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5233A0"/>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0D461D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1A12325"/>
    <w:multiLevelType w:val="hybridMultilevel"/>
    <w:tmpl w:val="C9405B34"/>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C5726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A7743B"/>
    <w:multiLevelType w:val="hybridMultilevel"/>
    <w:tmpl w:val="0F544D7C"/>
    <w:lvl w:ilvl="0" w:tplc="0E12463C">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172C3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lvlText w:val="%2)"/>
      <w:lvlJc w:val="left"/>
      <w:pPr>
        <w:tabs>
          <w:tab w:val="num" w:pos="1701"/>
        </w:tabs>
        <w:ind w:left="1134" w:firstLine="567"/>
      </w:pPr>
      <w:rPr>
        <w:rFonts w:hint="default"/>
      </w:rPr>
    </w:lvl>
    <w:lvl w:ilvl="2">
      <w:start w:val="1"/>
      <w:numFmt w:val="lowerRoman"/>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E0A4C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DB151B"/>
    <w:multiLevelType w:val="hybridMultilevel"/>
    <w:tmpl w:val="B216A99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FD3DE4"/>
    <w:multiLevelType w:val="hybridMultilevel"/>
    <w:tmpl w:val="8CF0765E"/>
    <w:lvl w:ilvl="0" w:tplc="8CC6182A">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0"/>
  </w:num>
  <w:num w:numId="4">
    <w:abstractNumId w:val="24"/>
  </w:num>
  <w:num w:numId="5">
    <w:abstractNumId w:val="17"/>
  </w:num>
  <w:num w:numId="6">
    <w:abstractNumId w:val="21"/>
  </w:num>
  <w:num w:numId="7">
    <w:abstractNumId w:val="12"/>
  </w:num>
  <w:num w:numId="8">
    <w:abstractNumId w:val="16"/>
  </w:num>
  <w:num w:numId="9">
    <w:abstractNumId w:val="19"/>
  </w:num>
  <w:num w:numId="10">
    <w:abstractNumId w:val="13"/>
  </w:num>
  <w:num w:numId="11">
    <w:abstractNumId w:val="27"/>
  </w:num>
  <w:num w:numId="12">
    <w:abstractNumId w:val="20"/>
  </w:num>
  <w:num w:numId="13">
    <w:abstractNumId w:val="11"/>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5"/>
  </w:num>
  <w:num w:numId="27">
    <w:abstractNumId w:val="10"/>
  </w:num>
  <w:num w:numId="28">
    <w:abstractNumId w:val="14"/>
  </w:num>
  <w:num w:numId="29">
    <w:abstractNumId w:val="26"/>
  </w:num>
  <w:num w:numId="30">
    <w:abstractNumId w:val="23"/>
  </w:num>
  <w:num w:numId="31">
    <w:abstractNumId w:val="2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D2"/>
    <w:rsid w:val="00014538"/>
    <w:rsid w:val="00046E92"/>
    <w:rsid w:val="00054A89"/>
    <w:rsid w:val="0006523D"/>
    <w:rsid w:val="00065BBF"/>
    <w:rsid w:val="00073AB1"/>
    <w:rsid w:val="000820E8"/>
    <w:rsid w:val="00096B0C"/>
    <w:rsid w:val="00097981"/>
    <w:rsid w:val="000B45D9"/>
    <w:rsid w:val="000B4CF9"/>
    <w:rsid w:val="000C726C"/>
    <w:rsid w:val="000D2CC7"/>
    <w:rsid w:val="000D58E5"/>
    <w:rsid w:val="000E0B4F"/>
    <w:rsid w:val="000F0A9B"/>
    <w:rsid w:val="00117237"/>
    <w:rsid w:val="00126023"/>
    <w:rsid w:val="00131D7A"/>
    <w:rsid w:val="00143596"/>
    <w:rsid w:val="00165C15"/>
    <w:rsid w:val="0020300F"/>
    <w:rsid w:val="0020702E"/>
    <w:rsid w:val="002227E6"/>
    <w:rsid w:val="00224382"/>
    <w:rsid w:val="00226D75"/>
    <w:rsid w:val="00241168"/>
    <w:rsid w:val="0024249D"/>
    <w:rsid w:val="00247E2C"/>
    <w:rsid w:val="00261D0C"/>
    <w:rsid w:val="00272027"/>
    <w:rsid w:val="00275B78"/>
    <w:rsid w:val="00275C9E"/>
    <w:rsid w:val="002825D2"/>
    <w:rsid w:val="002839FD"/>
    <w:rsid w:val="002A1D9E"/>
    <w:rsid w:val="002A55E3"/>
    <w:rsid w:val="002C4A33"/>
    <w:rsid w:val="002D5894"/>
    <w:rsid w:val="002D6C53"/>
    <w:rsid w:val="002F50B0"/>
    <w:rsid w:val="002F5595"/>
    <w:rsid w:val="00300C84"/>
    <w:rsid w:val="003174A3"/>
    <w:rsid w:val="00327F07"/>
    <w:rsid w:val="003309C8"/>
    <w:rsid w:val="00334F6A"/>
    <w:rsid w:val="003367CE"/>
    <w:rsid w:val="00342AC8"/>
    <w:rsid w:val="00350BBD"/>
    <w:rsid w:val="00356632"/>
    <w:rsid w:val="00371A24"/>
    <w:rsid w:val="003B4550"/>
    <w:rsid w:val="003C5F70"/>
    <w:rsid w:val="003F2E40"/>
    <w:rsid w:val="00425F47"/>
    <w:rsid w:val="00426C64"/>
    <w:rsid w:val="004341A8"/>
    <w:rsid w:val="00450ADF"/>
    <w:rsid w:val="00456AD6"/>
    <w:rsid w:val="00461253"/>
    <w:rsid w:val="00471556"/>
    <w:rsid w:val="00472FED"/>
    <w:rsid w:val="00473F43"/>
    <w:rsid w:val="00497F60"/>
    <w:rsid w:val="004A2667"/>
    <w:rsid w:val="004A50FD"/>
    <w:rsid w:val="004A52E3"/>
    <w:rsid w:val="004D46FC"/>
    <w:rsid w:val="004E7E6F"/>
    <w:rsid w:val="005042C2"/>
    <w:rsid w:val="00521EED"/>
    <w:rsid w:val="00530933"/>
    <w:rsid w:val="00535017"/>
    <w:rsid w:val="005462C9"/>
    <w:rsid w:val="00546D01"/>
    <w:rsid w:val="005649F0"/>
    <w:rsid w:val="00565FF0"/>
    <w:rsid w:val="005705F1"/>
    <w:rsid w:val="005806BA"/>
    <w:rsid w:val="00586416"/>
    <w:rsid w:val="005C4391"/>
    <w:rsid w:val="005D65FD"/>
    <w:rsid w:val="005E776E"/>
    <w:rsid w:val="00621CA6"/>
    <w:rsid w:val="0064043A"/>
    <w:rsid w:val="00671529"/>
    <w:rsid w:val="00690FEA"/>
    <w:rsid w:val="006A2561"/>
    <w:rsid w:val="006A778B"/>
    <w:rsid w:val="006B464F"/>
    <w:rsid w:val="00703F93"/>
    <w:rsid w:val="007057E9"/>
    <w:rsid w:val="00706459"/>
    <w:rsid w:val="007268F9"/>
    <w:rsid w:val="007327A0"/>
    <w:rsid w:val="007423DF"/>
    <w:rsid w:val="0077508E"/>
    <w:rsid w:val="0077527D"/>
    <w:rsid w:val="007A3ED8"/>
    <w:rsid w:val="007C52B0"/>
    <w:rsid w:val="007F62FB"/>
    <w:rsid w:val="00817E57"/>
    <w:rsid w:val="00851C23"/>
    <w:rsid w:val="008761E0"/>
    <w:rsid w:val="008825A1"/>
    <w:rsid w:val="00892361"/>
    <w:rsid w:val="008B4503"/>
    <w:rsid w:val="008B5060"/>
    <w:rsid w:val="008D3450"/>
    <w:rsid w:val="008D6E06"/>
    <w:rsid w:val="00937E9E"/>
    <w:rsid w:val="009411B4"/>
    <w:rsid w:val="00941F29"/>
    <w:rsid w:val="0099080F"/>
    <w:rsid w:val="009C2ED7"/>
    <w:rsid w:val="009C4F65"/>
    <w:rsid w:val="009C5C7B"/>
    <w:rsid w:val="009D0139"/>
    <w:rsid w:val="009D73DB"/>
    <w:rsid w:val="009F5CDC"/>
    <w:rsid w:val="00A23459"/>
    <w:rsid w:val="00A50692"/>
    <w:rsid w:val="00A51557"/>
    <w:rsid w:val="00A56BC9"/>
    <w:rsid w:val="00A73B76"/>
    <w:rsid w:val="00A775CF"/>
    <w:rsid w:val="00A87755"/>
    <w:rsid w:val="00AB4B6A"/>
    <w:rsid w:val="00AC4838"/>
    <w:rsid w:val="00B06045"/>
    <w:rsid w:val="00B15A40"/>
    <w:rsid w:val="00B53AA5"/>
    <w:rsid w:val="00B64FB6"/>
    <w:rsid w:val="00B70F1B"/>
    <w:rsid w:val="00B80D36"/>
    <w:rsid w:val="00B818B0"/>
    <w:rsid w:val="00B903E5"/>
    <w:rsid w:val="00B91B66"/>
    <w:rsid w:val="00B94D7C"/>
    <w:rsid w:val="00BA1404"/>
    <w:rsid w:val="00BB75CD"/>
    <w:rsid w:val="00BD3D95"/>
    <w:rsid w:val="00BD5446"/>
    <w:rsid w:val="00C12C5B"/>
    <w:rsid w:val="00C35A27"/>
    <w:rsid w:val="00C74437"/>
    <w:rsid w:val="00C83E95"/>
    <w:rsid w:val="00CA1AEA"/>
    <w:rsid w:val="00CD06B1"/>
    <w:rsid w:val="00CD4884"/>
    <w:rsid w:val="00CE58B7"/>
    <w:rsid w:val="00CE6EC9"/>
    <w:rsid w:val="00D16077"/>
    <w:rsid w:val="00D26E28"/>
    <w:rsid w:val="00D327D6"/>
    <w:rsid w:val="00D33B01"/>
    <w:rsid w:val="00D41420"/>
    <w:rsid w:val="00D43239"/>
    <w:rsid w:val="00D43678"/>
    <w:rsid w:val="00D54760"/>
    <w:rsid w:val="00D659DD"/>
    <w:rsid w:val="00D90328"/>
    <w:rsid w:val="00DA044A"/>
    <w:rsid w:val="00DB065A"/>
    <w:rsid w:val="00DB503A"/>
    <w:rsid w:val="00DB6B51"/>
    <w:rsid w:val="00DB79BD"/>
    <w:rsid w:val="00DE1C20"/>
    <w:rsid w:val="00DF1608"/>
    <w:rsid w:val="00E024CC"/>
    <w:rsid w:val="00E02C2B"/>
    <w:rsid w:val="00E05879"/>
    <w:rsid w:val="00E16992"/>
    <w:rsid w:val="00E26F93"/>
    <w:rsid w:val="00E40A72"/>
    <w:rsid w:val="00E66B89"/>
    <w:rsid w:val="00E66D2C"/>
    <w:rsid w:val="00E75B84"/>
    <w:rsid w:val="00E84A5A"/>
    <w:rsid w:val="00EA6D71"/>
    <w:rsid w:val="00EB0CF1"/>
    <w:rsid w:val="00EB1DC4"/>
    <w:rsid w:val="00EB575C"/>
    <w:rsid w:val="00ED6C48"/>
    <w:rsid w:val="00EF1D17"/>
    <w:rsid w:val="00F34D22"/>
    <w:rsid w:val="00F41F0F"/>
    <w:rsid w:val="00F5354C"/>
    <w:rsid w:val="00F65F5D"/>
    <w:rsid w:val="00F67298"/>
    <w:rsid w:val="00F7786B"/>
    <w:rsid w:val="00F8409B"/>
    <w:rsid w:val="00F86A3A"/>
    <w:rsid w:val="00F91191"/>
    <w:rsid w:val="00FC3212"/>
    <w:rsid w:val="00FE5C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8A108"/>
  <w15:docId w15:val="{0E886856-80A6-4440-B43D-960B44D5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C2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DE1C20"/>
    <w:pPr>
      <w:spacing w:after="0"/>
      <w:ind w:right="0"/>
      <w:jc w:val="left"/>
      <w:outlineLvl w:val="0"/>
    </w:pPr>
  </w:style>
  <w:style w:type="paragraph" w:styleId="Heading2">
    <w:name w:val="heading 2"/>
    <w:basedOn w:val="Normal"/>
    <w:next w:val="Normal"/>
    <w:link w:val="Heading2Char"/>
    <w:rsid w:val="00DE1C20"/>
    <w:pPr>
      <w:outlineLvl w:val="1"/>
    </w:pPr>
  </w:style>
  <w:style w:type="paragraph" w:styleId="Heading3">
    <w:name w:val="heading 3"/>
    <w:basedOn w:val="Normal"/>
    <w:next w:val="Normal"/>
    <w:link w:val="Heading3Char"/>
    <w:semiHidden/>
    <w:rsid w:val="00DE1C20"/>
    <w:pPr>
      <w:outlineLvl w:val="2"/>
    </w:pPr>
  </w:style>
  <w:style w:type="paragraph" w:styleId="Heading4">
    <w:name w:val="heading 4"/>
    <w:basedOn w:val="Normal"/>
    <w:next w:val="Normal"/>
    <w:link w:val="Heading4Char"/>
    <w:semiHidden/>
    <w:rsid w:val="00DE1C20"/>
    <w:pPr>
      <w:outlineLvl w:val="3"/>
    </w:pPr>
  </w:style>
  <w:style w:type="paragraph" w:styleId="Heading5">
    <w:name w:val="heading 5"/>
    <w:basedOn w:val="Normal"/>
    <w:next w:val="Normal"/>
    <w:link w:val="Heading5Char"/>
    <w:semiHidden/>
    <w:rsid w:val="00DE1C20"/>
    <w:pPr>
      <w:outlineLvl w:val="4"/>
    </w:pPr>
  </w:style>
  <w:style w:type="paragraph" w:styleId="Heading6">
    <w:name w:val="heading 6"/>
    <w:basedOn w:val="Normal"/>
    <w:next w:val="Normal"/>
    <w:link w:val="Heading6Char"/>
    <w:semiHidden/>
    <w:rsid w:val="00DE1C20"/>
    <w:pPr>
      <w:outlineLvl w:val="5"/>
    </w:pPr>
  </w:style>
  <w:style w:type="paragraph" w:styleId="Heading7">
    <w:name w:val="heading 7"/>
    <w:basedOn w:val="Normal"/>
    <w:next w:val="Normal"/>
    <w:link w:val="Heading7Char"/>
    <w:semiHidden/>
    <w:rsid w:val="00DE1C20"/>
    <w:pPr>
      <w:outlineLvl w:val="6"/>
    </w:pPr>
  </w:style>
  <w:style w:type="paragraph" w:styleId="Heading8">
    <w:name w:val="heading 8"/>
    <w:basedOn w:val="Normal"/>
    <w:next w:val="Normal"/>
    <w:link w:val="Heading8Char"/>
    <w:semiHidden/>
    <w:rsid w:val="00DE1C20"/>
    <w:pPr>
      <w:outlineLvl w:val="7"/>
    </w:pPr>
  </w:style>
  <w:style w:type="paragraph" w:styleId="Heading9">
    <w:name w:val="heading 9"/>
    <w:basedOn w:val="Normal"/>
    <w:next w:val="Normal"/>
    <w:link w:val="Heading9Char"/>
    <w:semiHidden/>
    <w:rsid w:val="00DE1C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E1C20"/>
    <w:pPr>
      <w:pBdr>
        <w:bottom w:val="single" w:sz="4" w:space="4" w:color="auto"/>
      </w:pBdr>
    </w:pPr>
    <w:rPr>
      <w:b/>
      <w:sz w:val="18"/>
    </w:rPr>
  </w:style>
  <w:style w:type="character" w:customStyle="1" w:styleId="HeaderChar">
    <w:name w:val="Header Char"/>
    <w:aliases w:val="6_G Char"/>
    <w:basedOn w:val="DefaultParagraphFont"/>
    <w:link w:val="Header"/>
    <w:rsid w:val="00DE1C20"/>
    <w:rPr>
      <w:rFonts w:ascii="Times New Roman" w:hAnsi="Times New Roman" w:cs="Times New Roman"/>
      <w:b/>
      <w:sz w:val="18"/>
      <w:szCs w:val="20"/>
    </w:rPr>
  </w:style>
  <w:style w:type="numbering" w:styleId="111111">
    <w:name w:val="Outline List 2"/>
    <w:basedOn w:val="NoList"/>
    <w:semiHidden/>
    <w:rsid w:val="00DE1C20"/>
    <w:pPr>
      <w:numPr>
        <w:numId w:val="29"/>
      </w:numPr>
    </w:pPr>
  </w:style>
  <w:style w:type="numbering" w:styleId="1ai">
    <w:name w:val="Outline List 1"/>
    <w:basedOn w:val="NoList"/>
    <w:semiHidden/>
    <w:rsid w:val="00DE1C20"/>
    <w:pPr>
      <w:numPr>
        <w:numId w:val="31"/>
      </w:numPr>
    </w:pPr>
  </w:style>
  <w:style w:type="paragraph" w:customStyle="1" w:styleId="HMG">
    <w:name w:val="_ H __M_G"/>
    <w:basedOn w:val="Normal"/>
    <w:next w:val="Normal"/>
    <w:link w:val="HMGChar"/>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E1C20"/>
    <w:pPr>
      <w:tabs>
        <w:tab w:val="left" w:pos="1701"/>
        <w:tab w:val="left" w:pos="2268"/>
      </w:tabs>
      <w:spacing w:after="120" w:line="240" w:lineRule="atLeast"/>
      <w:ind w:left="1134" w:right="1134"/>
      <w:jc w:val="both"/>
    </w:pPr>
  </w:style>
  <w:style w:type="paragraph" w:customStyle="1" w:styleId="SLG">
    <w:name w:val="__S_L_G"/>
    <w:basedOn w:val="Normal"/>
    <w:next w:val="Normal"/>
    <w:rsid w:val="00DE1C20"/>
    <w:pPr>
      <w:keepNext/>
      <w:keepLines/>
      <w:spacing w:before="240" w:after="240" w:line="580" w:lineRule="exact"/>
      <w:ind w:left="1134" w:right="1134"/>
    </w:pPr>
    <w:rPr>
      <w:b/>
      <w:sz w:val="56"/>
    </w:rPr>
  </w:style>
  <w:style w:type="paragraph" w:customStyle="1" w:styleId="SMG">
    <w:name w:val="__S_M_G"/>
    <w:basedOn w:val="Normal"/>
    <w:next w:val="Normal"/>
    <w:rsid w:val="00DE1C20"/>
    <w:pPr>
      <w:keepNext/>
      <w:keepLines/>
      <w:spacing w:before="240" w:after="240" w:line="420" w:lineRule="exact"/>
      <w:ind w:left="1134" w:right="1134"/>
    </w:pPr>
    <w:rPr>
      <w:b/>
      <w:sz w:val="40"/>
    </w:rPr>
  </w:style>
  <w:style w:type="paragraph" w:customStyle="1" w:styleId="SSG">
    <w:name w:val="__S_S_G"/>
    <w:basedOn w:val="Normal"/>
    <w:next w:val="Normal"/>
    <w:rsid w:val="00DE1C20"/>
    <w:pPr>
      <w:keepNext/>
      <w:keepLines/>
      <w:spacing w:before="240" w:after="240" w:line="300" w:lineRule="exact"/>
      <w:ind w:left="1134" w:right="1134"/>
    </w:pPr>
    <w:rPr>
      <w:b/>
      <w:sz w:val="28"/>
    </w:rPr>
  </w:style>
  <w:style w:type="paragraph" w:customStyle="1" w:styleId="XLargeG">
    <w:name w:val="__XLarge_G"/>
    <w:basedOn w:val="Normal"/>
    <w:next w:val="Normal"/>
    <w:rsid w:val="00DE1C20"/>
    <w:pPr>
      <w:keepNext/>
      <w:keepLines/>
      <w:spacing w:before="240" w:after="240" w:line="420" w:lineRule="exact"/>
      <w:ind w:left="1134" w:right="1134"/>
    </w:pPr>
    <w:rPr>
      <w:b/>
      <w:sz w:val="40"/>
    </w:rPr>
  </w:style>
  <w:style w:type="paragraph" w:customStyle="1" w:styleId="Bullet1G">
    <w:name w:val="_Bullet 1_G"/>
    <w:basedOn w:val="Normal"/>
    <w:qFormat/>
    <w:rsid w:val="00DE1C20"/>
    <w:pPr>
      <w:numPr>
        <w:numId w:val="25"/>
      </w:numPr>
      <w:spacing w:after="120"/>
      <w:ind w:right="1134"/>
      <w:jc w:val="both"/>
    </w:pPr>
  </w:style>
  <w:style w:type="paragraph" w:customStyle="1" w:styleId="Bullet2G">
    <w:name w:val="_Bullet 2_G"/>
    <w:basedOn w:val="Normal"/>
    <w:qFormat/>
    <w:rsid w:val="00DE1C20"/>
    <w:pPr>
      <w:numPr>
        <w:numId w:val="26"/>
      </w:numPr>
      <w:spacing w:after="120"/>
      <w:ind w:right="1134"/>
      <w:jc w:val="both"/>
    </w:pPr>
  </w:style>
  <w:style w:type="paragraph" w:customStyle="1" w:styleId="ParaNoG">
    <w:name w:val="_ParaNo._G"/>
    <w:basedOn w:val="SingleTxtG"/>
    <w:rsid w:val="00DE1C20"/>
    <w:pPr>
      <w:numPr>
        <w:numId w:val="27"/>
      </w:numPr>
    </w:pPr>
  </w:style>
  <w:style w:type="paragraph" w:styleId="BalloonText">
    <w:name w:val="Balloon Text"/>
    <w:basedOn w:val="Normal"/>
    <w:link w:val="BalloonTextChar"/>
    <w:uiPriority w:val="99"/>
    <w:semiHidden/>
    <w:unhideWhenUsed/>
    <w:rsid w:val="00DE1C20"/>
    <w:rPr>
      <w:rFonts w:ascii="Tahoma" w:hAnsi="Tahoma" w:cs="Tahoma"/>
      <w:sz w:val="16"/>
      <w:szCs w:val="16"/>
    </w:rPr>
  </w:style>
  <w:style w:type="character" w:customStyle="1" w:styleId="BalloonTextChar">
    <w:name w:val="Balloon Text Char"/>
    <w:basedOn w:val="DefaultParagraphFont"/>
    <w:link w:val="BalloonText"/>
    <w:uiPriority w:val="99"/>
    <w:semiHidden/>
    <w:rsid w:val="00DE1C20"/>
    <w:rPr>
      <w:rFonts w:ascii="Tahoma" w:hAnsi="Tahoma" w:cs="Tahoma"/>
      <w:sz w:val="16"/>
      <w:szCs w:val="16"/>
    </w:rPr>
  </w:style>
  <w:style w:type="character" w:styleId="EndnoteReference">
    <w:name w:val="endnote reference"/>
    <w:aliases w:val="1_G"/>
    <w:rsid w:val="00DE1C20"/>
    <w:rPr>
      <w:rFonts w:ascii="Times New Roman" w:hAnsi="Times New Roman"/>
      <w:sz w:val="18"/>
      <w:vertAlign w:val="superscript"/>
    </w:rPr>
  </w:style>
  <w:style w:type="paragraph" w:styleId="FootnoteText">
    <w:name w:val="footnote text"/>
    <w:aliases w:val="5_G"/>
    <w:basedOn w:val="Normal"/>
    <w:link w:val="FootnoteTextChar"/>
    <w:rsid w:val="00DE1C2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E1C20"/>
    <w:rPr>
      <w:rFonts w:ascii="Times New Roman" w:hAnsi="Times New Roman" w:cs="Times New Roman"/>
      <w:sz w:val="18"/>
      <w:szCs w:val="20"/>
    </w:rPr>
  </w:style>
  <w:style w:type="paragraph" w:styleId="EndnoteText">
    <w:name w:val="endnote text"/>
    <w:aliases w:val="2_G"/>
    <w:basedOn w:val="FootnoteText"/>
    <w:link w:val="EndnoteTextChar"/>
    <w:rsid w:val="00DE1C20"/>
  </w:style>
  <w:style w:type="character" w:customStyle="1" w:styleId="EndnoteTextChar">
    <w:name w:val="Endnote Text Char"/>
    <w:aliases w:val="2_G Char"/>
    <w:basedOn w:val="DefaultParagraphFont"/>
    <w:link w:val="EndnoteText"/>
    <w:rsid w:val="00DE1C20"/>
    <w:rPr>
      <w:rFonts w:ascii="Times New Roman" w:hAnsi="Times New Roman" w:cs="Times New Roman"/>
      <w:sz w:val="18"/>
      <w:szCs w:val="20"/>
    </w:rPr>
  </w:style>
  <w:style w:type="paragraph" w:styleId="Footer">
    <w:name w:val="footer"/>
    <w:aliases w:val="3_G"/>
    <w:basedOn w:val="Normal"/>
    <w:link w:val="FooterChar"/>
    <w:rsid w:val="00DE1C20"/>
    <w:rPr>
      <w:sz w:val="16"/>
    </w:rPr>
  </w:style>
  <w:style w:type="character" w:customStyle="1" w:styleId="Heading1Char">
    <w:name w:val="Heading 1 Char"/>
    <w:aliases w:val="Table_G Char"/>
    <w:basedOn w:val="DefaultParagraphFont"/>
    <w:link w:val="Heading1"/>
    <w:rsid w:val="00DE1C20"/>
    <w:rPr>
      <w:rFonts w:ascii="Times New Roman" w:hAnsi="Times New Roman" w:cs="Times New Roman"/>
      <w:sz w:val="20"/>
      <w:szCs w:val="20"/>
    </w:rPr>
  </w:style>
  <w:style w:type="character" w:customStyle="1" w:styleId="Heading2Char">
    <w:name w:val="Heading 2 Char"/>
    <w:basedOn w:val="DefaultParagraphFont"/>
    <w:link w:val="Heading2"/>
    <w:rsid w:val="00DE1C20"/>
    <w:rPr>
      <w:rFonts w:ascii="Times New Roman" w:hAnsi="Times New Roman" w:cs="Times New Roman"/>
      <w:sz w:val="20"/>
      <w:szCs w:val="20"/>
    </w:rPr>
  </w:style>
  <w:style w:type="character" w:customStyle="1" w:styleId="Heading3Char">
    <w:name w:val="Heading 3 Char"/>
    <w:basedOn w:val="DefaultParagraphFont"/>
    <w:link w:val="Heading3"/>
    <w:semiHidden/>
    <w:rsid w:val="00DE1C20"/>
    <w:rPr>
      <w:rFonts w:ascii="Times New Roman" w:hAnsi="Times New Roman" w:cs="Times New Roman"/>
      <w:sz w:val="20"/>
      <w:szCs w:val="20"/>
    </w:rPr>
  </w:style>
  <w:style w:type="character" w:customStyle="1" w:styleId="Heading4Char">
    <w:name w:val="Heading 4 Char"/>
    <w:basedOn w:val="DefaultParagraphFont"/>
    <w:link w:val="Heading4"/>
    <w:semiHidden/>
    <w:rsid w:val="00DE1C20"/>
    <w:rPr>
      <w:rFonts w:ascii="Times New Roman" w:hAnsi="Times New Roman" w:cs="Times New Roman"/>
      <w:sz w:val="20"/>
      <w:szCs w:val="20"/>
    </w:rPr>
  </w:style>
  <w:style w:type="character" w:customStyle="1" w:styleId="Heading5Char">
    <w:name w:val="Heading 5 Char"/>
    <w:basedOn w:val="DefaultParagraphFont"/>
    <w:link w:val="Heading5"/>
    <w:semiHidden/>
    <w:rsid w:val="00DE1C20"/>
    <w:rPr>
      <w:rFonts w:ascii="Times New Roman" w:hAnsi="Times New Roman" w:cs="Times New Roman"/>
      <w:sz w:val="20"/>
      <w:szCs w:val="20"/>
    </w:rPr>
  </w:style>
  <w:style w:type="character" w:customStyle="1" w:styleId="Heading6Char">
    <w:name w:val="Heading 6 Char"/>
    <w:basedOn w:val="DefaultParagraphFont"/>
    <w:link w:val="Heading6"/>
    <w:semiHidden/>
    <w:rsid w:val="00DE1C20"/>
    <w:rPr>
      <w:rFonts w:ascii="Times New Roman" w:hAnsi="Times New Roman" w:cs="Times New Roman"/>
      <w:sz w:val="20"/>
      <w:szCs w:val="20"/>
    </w:rPr>
  </w:style>
  <w:style w:type="character" w:customStyle="1" w:styleId="Heading7Char">
    <w:name w:val="Heading 7 Char"/>
    <w:basedOn w:val="DefaultParagraphFont"/>
    <w:link w:val="Heading7"/>
    <w:semiHidden/>
    <w:rsid w:val="00DE1C20"/>
    <w:rPr>
      <w:rFonts w:ascii="Times New Roman" w:hAnsi="Times New Roman" w:cs="Times New Roman"/>
      <w:sz w:val="20"/>
      <w:szCs w:val="20"/>
    </w:rPr>
  </w:style>
  <w:style w:type="character" w:customStyle="1" w:styleId="Heading8Char">
    <w:name w:val="Heading 8 Char"/>
    <w:basedOn w:val="DefaultParagraphFont"/>
    <w:link w:val="Heading8"/>
    <w:semiHidden/>
    <w:rsid w:val="00DE1C20"/>
    <w:rPr>
      <w:rFonts w:ascii="Times New Roman" w:hAnsi="Times New Roman" w:cs="Times New Roman"/>
      <w:sz w:val="20"/>
      <w:szCs w:val="20"/>
    </w:rPr>
  </w:style>
  <w:style w:type="character" w:customStyle="1" w:styleId="Heading9Char">
    <w:name w:val="Heading 9 Char"/>
    <w:basedOn w:val="DefaultParagraphFont"/>
    <w:link w:val="Heading9"/>
    <w:semiHidden/>
    <w:rsid w:val="00DE1C20"/>
    <w:rPr>
      <w:rFonts w:ascii="Times New Roman" w:hAnsi="Times New Roman" w:cs="Times New Roman"/>
      <w:sz w:val="20"/>
      <w:szCs w:val="20"/>
    </w:rPr>
  </w:style>
  <w:style w:type="character" w:customStyle="1" w:styleId="FooterChar">
    <w:name w:val="Footer Char"/>
    <w:aliases w:val="3_G Char"/>
    <w:basedOn w:val="DefaultParagraphFont"/>
    <w:link w:val="Footer"/>
    <w:rsid w:val="00DE1C20"/>
    <w:rPr>
      <w:rFonts w:ascii="Times New Roman" w:hAnsi="Times New Roman" w:cs="Times New Roman"/>
      <w:sz w:val="16"/>
      <w:szCs w:val="20"/>
    </w:rPr>
  </w:style>
  <w:style w:type="character" w:styleId="FootnoteReference">
    <w:name w:val="footnote reference"/>
    <w:aliases w:val="4_G"/>
    <w:rsid w:val="00DE1C20"/>
    <w:rPr>
      <w:rFonts w:ascii="Times New Roman" w:hAnsi="Times New Roman"/>
      <w:sz w:val="18"/>
      <w:vertAlign w:val="superscript"/>
    </w:rPr>
  </w:style>
  <w:style w:type="character" w:styleId="PageNumber">
    <w:name w:val="page number"/>
    <w:aliases w:val="7_G"/>
    <w:semiHidden/>
    <w:rsid w:val="00DE1C20"/>
    <w:rPr>
      <w:rFonts w:ascii="Times New Roman" w:hAnsi="Times New Roman"/>
      <w:b/>
      <w:sz w:val="18"/>
    </w:rPr>
  </w:style>
  <w:style w:type="table" w:styleId="TableGrid">
    <w:name w:val="Table Grid"/>
    <w:basedOn w:val="TableNormal"/>
    <w:rsid w:val="00DE1C2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2227E6"/>
    <w:rPr>
      <w:rFonts w:ascii="Times New Roman" w:hAnsi="Times New Roman" w:cs="Times New Roman"/>
      <w:sz w:val="20"/>
      <w:szCs w:val="20"/>
    </w:rPr>
  </w:style>
  <w:style w:type="character" w:customStyle="1" w:styleId="HMGChar">
    <w:name w:val="_ H __M_G Char"/>
    <w:link w:val="HMG"/>
    <w:rsid w:val="002227E6"/>
    <w:rPr>
      <w:rFonts w:ascii="Times New Roman" w:eastAsia="Times New Roman" w:hAnsi="Times New Roman" w:cs="Times New Roman"/>
      <w:b/>
      <w:sz w:val="34"/>
      <w:szCs w:val="20"/>
      <w:lang w:eastAsia="en-US"/>
    </w:rPr>
  </w:style>
  <w:style w:type="character" w:customStyle="1" w:styleId="HChGChar">
    <w:name w:val="_ H _Ch_G Char"/>
    <w:link w:val="HChG"/>
    <w:rsid w:val="002227E6"/>
    <w:rPr>
      <w:rFonts w:ascii="Times New Roman" w:eastAsia="Times New Roman" w:hAnsi="Times New Roman" w:cs="Times New Roman"/>
      <w:b/>
      <w:sz w:val="28"/>
      <w:szCs w:val="20"/>
      <w:lang w:eastAsia="en-US"/>
    </w:rPr>
  </w:style>
  <w:style w:type="paragraph" w:styleId="Revision">
    <w:name w:val="Revision"/>
    <w:hidden/>
    <w:uiPriority w:val="99"/>
    <w:semiHidden/>
    <w:rsid w:val="002227E6"/>
    <w:pPr>
      <w:spacing w:after="0" w:line="240" w:lineRule="auto"/>
    </w:pPr>
    <w:rPr>
      <w:rFonts w:ascii="Calibri" w:eastAsia="Calibri" w:hAnsi="Calibri" w:cs="Times New Roman"/>
      <w:sz w:val="24"/>
      <w:szCs w:val="24"/>
      <w:lang w:val="es-ES_tradnl" w:eastAsia="en-US"/>
    </w:rPr>
  </w:style>
  <w:style w:type="character" w:customStyle="1" w:styleId="H23GChar">
    <w:name w:val="_ H_2/3_G Char"/>
    <w:link w:val="H23G"/>
    <w:rsid w:val="002227E6"/>
    <w:rPr>
      <w:rFonts w:ascii="Times New Roman" w:eastAsia="Times New Roman" w:hAnsi="Times New Roman" w:cs="Times New Roman"/>
      <w:b/>
      <w:sz w:val="20"/>
      <w:szCs w:val="20"/>
      <w:lang w:eastAsia="en-US"/>
    </w:rPr>
  </w:style>
  <w:style w:type="character" w:styleId="Hyperlink">
    <w:name w:val="Hyperlink"/>
    <w:basedOn w:val="DefaultParagraphFont"/>
    <w:uiPriority w:val="99"/>
    <w:unhideWhenUsed/>
    <w:rsid w:val="00BA1404"/>
    <w:rPr>
      <w:color w:val="0000FF" w:themeColor="hyperlink"/>
      <w:u w:val="none"/>
    </w:rPr>
  </w:style>
  <w:style w:type="character" w:styleId="UnresolvedMention">
    <w:name w:val="Unresolved Mention"/>
    <w:basedOn w:val="DefaultParagraphFont"/>
    <w:uiPriority w:val="99"/>
    <w:semiHidden/>
    <w:unhideWhenUsed/>
    <w:rsid w:val="00BA1404"/>
    <w:rPr>
      <w:color w:val="605E5C"/>
      <w:shd w:val="clear" w:color="auto" w:fill="E1DFDD"/>
    </w:rPr>
  </w:style>
  <w:style w:type="character" w:styleId="CommentReference">
    <w:name w:val="annotation reference"/>
    <w:basedOn w:val="DefaultParagraphFont"/>
    <w:uiPriority w:val="99"/>
    <w:semiHidden/>
    <w:unhideWhenUsed/>
    <w:rsid w:val="00300C84"/>
    <w:rPr>
      <w:sz w:val="16"/>
      <w:szCs w:val="16"/>
    </w:rPr>
  </w:style>
  <w:style w:type="paragraph" w:styleId="CommentText">
    <w:name w:val="annotation text"/>
    <w:basedOn w:val="Normal"/>
    <w:link w:val="CommentTextChar"/>
    <w:uiPriority w:val="99"/>
    <w:semiHidden/>
    <w:unhideWhenUsed/>
    <w:rsid w:val="00300C84"/>
  </w:style>
  <w:style w:type="character" w:customStyle="1" w:styleId="CommentTextChar">
    <w:name w:val="Comment Text Char"/>
    <w:basedOn w:val="DefaultParagraphFont"/>
    <w:link w:val="CommentText"/>
    <w:uiPriority w:val="99"/>
    <w:semiHidden/>
    <w:rsid w:val="00300C8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0C84"/>
    <w:rPr>
      <w:b/>
      <w:bCs/>
    </w:rPr>
  </w:style>
  <w:style w:type="character" w:customStyle="1" w:styleId="CommentSubjectChar">
    <w:name w:val="Comment Subject Char"/>
    <w:basedOn w:val="CommentTextChar"/>
    <w:link w:val="CommentSubject"/>
    <w:uiPriority w:val="99"/>
    <w:semiHidden/>
    <w:rsid w:val="00300C8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docs.org/en/CCPR/C/BOL/Q/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undocs.org/en/CCPR/C/BOL/CO/3" TargetMode="Externa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tif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CARLA_OBSCD_2021\SEGURIDAD%20CIUDADANA\TRATA%20Y%20TR&#193;FICO\1_RESPUESTAS%20A%20REQUERIMIENTO%20DE%20INFORMACI&#211;N\APOYO_INFORMACI&#211;N_GENERAL_TRATA_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8F3A-4DFA-8D81-991218F4403A}"/>
              </c:ext>
            </c:extLst>
          </c:dPt>
          <c:dPt>
            <c:idx val="1"/>
            <c:invertIfNegative val="0"/>
            <c:bubble3D val="0"/>
            <c:spPr>
              <a:solidFill>
                <a:schemeClr val="accent1">
                  <a:lumMod val="75000"/>
                </a:schemeClr>
              </a:solidFill>
              <a:ln>
                <a:noFill/>
              </a:ln>
              <a:effectLst/>
            </c:spPr>
            <c:extLst>
              <c:ext xmlns:c16="http://schemas.microsoft.com/office/drawing/2014/chart" uri="{C3380CC4-5D6E-409C-BE32-E72D297353CC}">
                <c16:uniqueId val="{00000003-8F3A-4DFA-8D81-991218F4403A}"/>
              </c:ext>
            </c:extLst>
          </c:dPt>
          <c:dPt>
            <c:idx val="2"/>
            <c:invertIfNegative val="0"/>
            <c:bubble3D val="0"/>
            <c:spPr>
              <a:solidFill>
                <a:schemeClr val="accent1">
                  <a:lumMod val="75000"/>
                </a:schemeClr>
              </a:solidFill>
              <a:ln>
                <a:noFill/>
              </a:ln>
              <a:effectLst/>
            </c:spPr>
            <c:extLst>
              <c:ext xmlns:c16="http://schemas.microsoft.com/office/drawing/2014/chart" uri="{C3380CC4-5D6E-409C-BE32-E72D297353CC}">
                <c16:uniqueId val="{00000005-8F3A-4DFA-8D81-991218F4403A}"/>
              </c:ext>
            </c:extLst>
          </c:dPt>
          <c:dPt>
            <c:idx val="3"/>
            <c:invertIfNegative val="0"/>
            <c:bubble3D val="0"/>
            <c:spPr>
              <a:solidFill>
                <a:schemeClr val="accent1">
                  <a:lumMod val="75000"/>
                </a:schemeClr>
              </a:solidFill>
              <a:ln>
                <a:noFill/>
              </a:ln>
              <a:effectLst/>
            </c:spPr>
            <c:extLst>
              <c:ext xmlns:c16="http://schemas.microsoft.com/office/drawing/2014/chart" uri="{C3380CC4-5D6E-409C-BE32-E72D297353CC}">
                <c16:uniqueId val="{00000007-8F3A-4DFA-8D81-991218F4403A}"/>
              </c:ext>
            </c:extLst>
          </c:dPt>
          <c:dPt>
            <c:idx val="4"/>
            <c:invertIfNegative val="0"/>
            <c:bubble3D val="0"/>
            <c:spPr>
              <a:solidFill>
                <a:schemeClr val="accent1">
                  <a:lumMod val="75000"/>
                </a:schemeClr>
              </a:solidFill>
              <a:ln>
                <a:noFill/>
              </a:ln>
              <a:effectLst/>
            </c:spPr>
            <c:extLst>
              <c:ext xmlns:c16="http://schemas.microsoft.com/office/drawing/2014/chart" uri="{C3380CC4-5D6E-409C-BE32-E72D297353CC}">
                <c16:uniqueId val="{00000009-8F3A-4DFA-8D81-991218F4403A}"/>
              </c:ext>
            </c:extLst>
          </c:dPt>
          <c:dPt>
            <c:idx val="5"/>
            <c:invertIfNegative val="0"/>
            <c:bubble3D val="0"/>
            <c:spPr>
              <a:solidFill>
                <a:schemeClr val="accent1">
                  <a:lumMod val="75000"/>
                </a:schemeClr>
              </a:solidFill>
              <a:ln>
                <a:noFill/>
              </a:ln>
              <a:effectLst/>
            </c:spPr>
            <c:extLst>
              <c:ext xmlns:c16="http://schemas.microsoft.com/office/drawing/2014/chart" uri="{C3380CC4-5D6E-409C-BE32-E72D297353CC}">
                <c16:uniqueId val="{0000000B-8F3A-4DFA-8D81-991218F4403A}"/>
              </c:ext>
            </c:extLst>
          </c:dPt>
          <c:dPt>
            <c:idx val="6"/>
            <c:invertIfNegative val="0"/>
            <c:bubble3D val="0"/>
            <c:spPr>
              <a:solidFill>
                <a:schemeClr val="accent1">
                  <a:lumMod val="75000"/>
                </a:schemeClr>
              </a:solidFill>
              <a:ln>
                <a:noFill/>
              </a:ln>
              <a:effectLst/>
            </c:spPr>
            <c:extLst>
              <c:ext xmlns:c16="http://schemas.microsoft.com/office/drawing/2014/chart" uri="{C3380CC4-5D6E-409C-BE32-E72D297353CC}">
                <c16:uniqueId val="{0000000D-8F3A-4DFA-8D81-991218F4403A}"/>
              </c:ext>
            </c:extLst>
          </c:dPt>
          <c:dPt>
            <c:idx val="7"/>
            <c:invertIfNegative val="0"/>
            <c:bubble3D val="0"/>
            <c:spPr>
              <a:solidFill>
                <a:srgbClr val="FF66FF"/>
              </a:solidFill>
              <a:ln>
                <a:noFill/>
              </a:ln>
              <a:effectLst/>
            </c:spPr>
            <c:extLst>
              <c:ext xmlns:c16="http://schemas.microsoft.com/office/drawing/2014/chart" uri="{C3380CC4-5D6E-409C-BE32-E72D297353CC}">
                <c16:uniqueId val="{0000000F-8F3A-4DFA-8D81-991218F4403A}"/>
              </c:ext>
            </c:extLst>
          </c:dPt>
          <c:dPt>
            <c:idx val="8"/>
            <c:invertIfNegative val="0"/>
            <c:bubble3D val="0"/>
            <c:spPr>
              <a:solidFill>
                <a:srgbClr val="FF66FF"/>
              </a:solidFill>
              <a:ln>
                <a:noFill/>
              </a:ln>
              <a:effectLst/>
            </c:spPr>
            <c:extLst>
              <c:ext xmlns:c16="http://schemas.microsoft.com/office/drawing/2014/chart" uri="{C3380CC4-5D6E-409C-BE32-E72D297353CC}">
                <c16:uniqueId val="{00000011-8F3A-4DFA-8D81-991218F4403A}"/>
              </c:ext>
            </c:extLst>
          </c:dPt>
          <c:dPt>
            <c:idx val="9"/>
            <c:invertIfNegative val="0"/>
            <c:bubble3D val="0"/>
            <c:spPr>
              <a:solidFill>
                <a:srgbClr val="FF66FF"/>
              </a:solidFill>
              <a:ln>
                <a:noFill/>
              </a:ln>
              <a:effectLst/>
            </c:spPr>
            <c:extLst>
              <c:ext xmlns:c16="http://schemas.microsoft.com/office/drawing/2014/chart" uri="{C3380CC4-5D6E-409C-BE32-E72D297353CC}">
                <c16:uniqueId val="{00000013-8F3A-4DFA-8D81-991218F4403A}"/>
              </c:ext>
            </c:extLst>
          </c:dPt>
          <c:dPt>
            <c:idx val="10"/>
            <c:invertIfNegative val="0"/>
            <c:bubble3D val="0"/>
            <c:spPr>
              <a:solidFill>
                <a:srgbClr val="FF66FF"/>
              </a:solidFill>
              <a:ln>
                <a:noFill/>
              </a:ln>
              <a:effectLst/>
            </c:spPr>
            <c:extLst>
              <c:ext xmlns:c16="http://schemas.microsoft.com/office/drawing/2014/chart" uri="{C3380CC4-5D6E-409C-BE32-E72D297353CC}">
                <c16:uniqueId val="{00000015-8F3A-4DFA-8D81-991218F4403A}"/>
              </c:ext>
            </c:extLst>
          </c:dPt>
          <c:dPt>
            <c:idx val="11"/>
            <c:invertIfNegative val="0"/>
            <c:bubble3D val="0"/>
            <c:spPr>
              <a:solidFill>
                <a:srgbClr val="FF66FF"/>
              </a:solidFill>
              <a:ln>
                <a:noFill/>
              </a:ln>
              <a:effectLst/>
            </c:spPr>
            <c:extLst>
              <c:ext xmlns:c16="http://schemas.microsoft.com/office/drawing/2014/chart" uri="{C3380CC4-5D6E-409C-BE32-E72D297353CC}">
                <c16:uniqueId val="{00000017-8F3A-4DFA-8D81-991218F4403A}"/>
              </c:ext>
            </c:extLst>
          </c:dPt>
          <c:dPt>
            <c:idx val="12"/>
            <c:invertIfNegative val="0"/>
            <c:bubble3D val="0"/>
            <c:spPr>
              <a:solidFill>
                <a:srgbClr val="FF66FF"/>
              </a:solidFill>
              <a:ln>
                <a:noFill/>
              </a:ln>
              <a:effectLst/>
            </c:spPr>
            <c:extLst>
              <c:ext xmlns:c16="http://schemas.microsoft.com/office/drawing/2014/chart" uri="{C3380CC4-5D6E-409C-BE32-E72D297353CC}">
                <c16:uniqueId val="{00000019-8F3A-4DFA-8D81-991218F4403A}"/>
              </c:ext>
            </c:extLst>
          </c:dPt>
          <c:dPt>
            <c:idx val="13"/>
            <c:invertIfNegative val="0"/>
            <c:bubble3D val="0"/>
            <c:spPr>
              <a:solidFill>
                <a:srgbClr val="FF66FF"/>
              </a:solidFill>
              <a:ln>
                <a:noFill/>
              </a:ln>
              <a:effectLst/>
            </c:spPr>
            <c:extLst>
              <c:ext xmlns:c16="http://schemas.microsoft.com/office/drawing/2014/chart" uri="{C3380CC4-5D6E-409C-BE32-E72D297353CC}">
                <c16:uniqueId val="{0000001B-8F3A-4DFA-8D81-991218F4403A}"/>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'TRATA DE PERSONAS'!$B$26:$C$39</c:f>
              <c:multiLvlStrCache>
                <c:ptCount val="14"/>
                <c:lvl>
                  <c:pt idx="0">
                    <c:v>Por determinar</c:v>
                  </c:pt>
                  <c:pt idx="1">
                    <c:v>61 a más</c:v>
                  </c:pt>
                  <c:pt idx="2">
                    <c:v>51 a 60</c:v>
                  </c:pt>
                  <c:pt idx="3">
                    <c:v>36 a 50</c:v>
                  </c:pt>
                  <c:pt idx="4">
                    <c:v>19 a 35</c:v>
                  </c:pt>
                  <c:pt idx="5">
                    <c:v>11 a 18</c:v>
                  </c:pt>
                  <c:pt idx="6">
                    <c:v>01 a 10</c:v>
                  </c:pt>
                  <c:pt idx="7">
                    <c:v>Por determinar</c:v>
                  </c:pt>
                  <c:pt idx="8">
                    <c:v>61 a más</c:v>
                  </c:pt>
                  <c:pt idx="9">
                    <c:v>51 a 60</c:v>
                  </c:pt>
                  <c:pt idx="10">
                    <c:v>36 a 50</c:v>
                  </c:pt>
                  <c:pt idx="11">
                    <c:v>19 a 35</c:v>
                  </c:pt>
                  <c:pt idx="12">
                    <c:v>11 a 18</c:v>
                  </c:pt>
                  <c:pt idx="13">
                    <c:v>01 a 10</c:v>
                  </c:pt>
                </c:lvl>
                <c:lvl>
                  <c:pt idx="0">
                    <c:v>Hombre</c:v>
                  </c:pt>
                  <c:pt idx="7">
                    <c:v>Mujer</c:v>
                  </c:pt>
                </c:lvl>
              </c:multiLvlStrCache>
            </c:multiLvlStrRef>
          </c:cat>
          <c:val>
            <c:numRef>
              <c:f>'TRATA DE PERSONAS'!$E$26:$E$39</c:f>
              <c:numCache>
                <c:formatCode>0%</c:formatCode>
                <c:ptCount val="14"/>
                <c:pt idx="0">
                  <c:v>0.23893805309734514</c:v>
                </c:pt>
                <c:pt idx="1">
                  <c:v>5.8997050147492625E-2</c:v>
                </c:pt>
                <c:pt idx="2">
                  <c:v>6.1946902654867256E-2</c:v>
                </c:pt>
                <c:pt idx="3">
                  <c:v>0.15634218289085547</c:v>
                </c:pt>
                <c:pt idx="4">
                  <c:v>0.20648967551622419</c:v>
                </c:pt>
                <c:pt idx="5">
                  <c:v>0.1887905604719764</c:v>
                </c:pt>
                <c:pt idx="6">
                  <c:v>8.8495575221238937E-2</c:v>
                </c:pt>
                <c:pt idx="7">
                  <c:v>6.3694267515923567E-2</c:v>
                </c:pt>
                <c:pt idx="8">
                  <c:v>2.5477707006369428E-2</c:v>
                </c:pt>
                <c:pt idx="9">
                  <c:v>2.0700636942675158E-2</c:v>
                </c:pt>
                <c:pt idx="10">
                  <c:v>7.32484076433121E-2</c:v>
                </c:pt>
                <c:pt idx="11">
                  <c:v>0.25636942675159236</c:v>
                </c:pt>
                <c:pt idx="12">
                  <c:v>0.50318471337579618</c:v>
                </c:pt>
                <c:pt idx="13">
                  <c:v>5.7324840764331211E-2</c:v>
                </c:pt>
              </c:numCache>
            </c:numRef>
          </c:val>
          <c:extLst>
            <c:ext xmlns:c16="http://schemas.microsoft.com/office/drawing/2014/chart" uri="{C3380CC4-5D6E-409C-BE32-E72D297353CC}">
              <c16:uniqueId val="{0000001C-8F3A-4DFA-8D81-991218F4403A}"/>
            </c:ext>
          </c:extLst>
        </c:ser>
        <c:dLbls>
          <c:dLblPos val="outEnd"/>
          <c:showLegendKey val="0"/>
          <c:showVal val="1"/>
          <c:showCatName val="0"/>
          <c:showSerName val="0"/>
          <c:showPercent val="0"/>
          <c:showBubbleSize val="0"/>
        </c:dLbls>
        <c:gapWidth val="182"/>
        <c:axId val="412006576"/>
        <c:axId val="412006968"/>
      </c:barChart>
      <c:catAx>
        <c:axId val="412006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12006968"/>
        <c:crosses val="autoZero"/>
        <c:auto val="1"/>
        <c:lblAlgn val="ctr"/>
        <c:lblOffset val="100"/>
        <c:noMultiLvlLbl val="0"/>
      </c:catAx>
      <c:valAx>
        <c:axId val="412006968"/>
        <c:scaling>
          <c:orientation val="minMax"/>
        </c:scaling>
        <c:delete val="1"/>
        <c:axPos val="b"/>
        <c:numFmt formatCode="0%" sourceLinked="1"/>
        <c:majorTickMark val="none"/>
        <c:minorTickMark val="none"/>
        <c:tickLblPos val="nextTo"/>
        <c:crossAx val="4120065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9A5760-5A6B-45CA-A9D0-C50B9C270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customXml/itemProps3.xml><?xml version="1.0" encoding="utf-8"?>
<ds:datastoreItem xmlns:ds="http://schemas.openxmlformats.org/officeDocument/2006/customXml" ds:itemID="{E64E50D8-E74D-4D54-BC45-89AA9B6D7ED3}">
  <ds:schemaRefs>
    <ds:schemaRef ds:uri="http://schemas.microsoft.com/sharepoint/v3/contenttype/forms"/>
  </ds:schemaRefs>
</ds:datastoreItem>
</file>

<file path=customXml/itemProps4.xml><?xml version="1.0" encoding="utf-8"?>
<ds:datastoreItem xmlns:ds="http://schemas.openxmlformats.org/officeDocument/2006/customXml" ds:itemID="{A76051F8-8865-4DCE-B24E-5B59D0261BD5}">
  <ds:schemaRefs>
    <ds:schemaRef ds:uri="http://schemas.openxmlformats.org/package/2006/metadata/core-properties"/>
    <ds:schemaRef ds:uri="http://purl.org/dc/dcmitype/"/>
    <ds:schemaRef ds:uri="0f481a96-d34c-41f2-87ba-59c4928b42a0"/>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6c33773d-66ed-4bf1-ab60-0ae20b1c30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18247</Words>
  <Characters>97526</Characters>
  <Application>Microsoft Office Word</Application>
  <DocSecurity>0</DocSecurity>
  <Lines>2378</Lines>
  <Paragraphs>1195</Paragraphs>
  <ScaleCrop>false</ScaleCrop>
  <HeadingPairs>
    <vt:vector size="2" baseType="variant">
      <vt:variant>
        <vt:lpstr>Title</vt:lpstr>
      </vt:variant>
      <vt:variant>
        <vt:i4>1</vt:i4>
      </vt:variant>
    </vt:vector>
  </HeadingPairs>
  <TitlesOfParts>
    <vt:vector size="1" baseType="lpstr">
      <vt:lpstr>CCPR/C/BOL/RQ/4</vt:lpstr>
    </vt:vector>
  </TitlesOfParts>
  <Company>DCM</Company>
  <LinksUpToDate>false</LinksUpToDate>
  <CharactersWithSpaces>114769</CharactersWithSpaces>
  <SharedDoc>false</SharedDoc>
  <HLinks>
    <vt:vector size="12" baseType="variant">
      <vt:variant>
        <vt:i4>3670068</vt:i4>
      </vt:variant>
      <vt:variant>
        <vt:i4>3</vt:i4>
      </vt:variant>
      <vt:variant>
        <vt:i4>0</vt:i4>
      </vt:variant>
      <vt:variant>
        <vt:i4>5</vt:i4>
      </vt:variant>
      <vt:variant>
        <vt:lpwstr>http://undocs.org/en/CCPR/C/BOL/Q/4</vt:lpwstr>
      </vt:variant>
      <vt:variant>
        <vt:lpwstr/>
      </vt:variant>
      <vt:variant>
        <vt:i4>4915209</vt:i4>
      </vt:variant>
      <vt:variant>
        <vt:i4>0</vt:i4>
      </vt:variant>
      <vt:variant>
        <vt:i4>0</vt:i4>
      </vt:variant>
      <vt:variant>
        <vt:i4>5</vt:i4>
      </vt:variant>
      <vt:variant>
        <vt:lpwstr>http://undocs.org/en/CCPR/C/BOL/CO/3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CCPR/C/BOL/RQ/4</dc:title>
  <dc:subject>2200627</dc:subject>
  <dc:creator>AVT</dc:creator>
  <cp:keywords/>
  <dc:description/>
  <cp:lastModifiedBy>Anni Vi Tirol</cp:lastModifiedBy>
  <cp:revision>3</cp:revision>
  <cp:lastPrinted>2022-02-16T14:39:00Z</cp:lastPrinted>
  <dcterms:created xsi:type="dcterms:W3CDTF">2022-02-16T14:39:00Z</dcterms:created>
  <dcterms:modified xsi:type="dcterms:W3CDTF">2022-02-16T14:45:00Z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