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D76BB2" w14:paraId="6C3A25EA" w14:textId="77777777" w:rsidTr="00660CE8">
        <w:trPr>
          <w:trHeight w:hRule="exact" w:val="851"/>
        </w:trPr>
        <w:tc>
          <w:tcPr>
            <w:tcW w:w="1276" w:type="dxa"/>
            <w:tcBorders>
              <w:bottom w:val="single" w:sz="4" w:space="0" w:color="auto"/>
            </w:tcBorders>
          </w:tcPr>
          <w:p w14:paraId="6D565B21" w14:textId="77777777" w:rsidR="002D5AAC" w:rsidRPr="007A0D9C" w:rsidRDefault="002D5AAC" w:rsidP="00BC2881">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24F2EEFC" w14:textId="54A78FCE" w:rsidR="002D5AAC" w:rsidRPr="00BD33EE" w:rsidRDefault="00B44AB5"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6C705E7" w14:textId="774CBC2F" w:rsidR="002D5AAC" w:rsidRPr="00B50EF4" w:rsidRDefault="00B50EF4" w:rsidP="00B50EF4">
            <w:pPr>
              <w:jc w:val="right"/>
              <w:rPr>
                <w:lang w:val="en-GB"/>
              </w:rPr>
            </w:pPr>
            <w:r w:rsidRPr="00B50EF4">
              <w:rPr>
                <w:sz w:val="40"/>
                <w:lang w:val="en-GB"/>
              </w:rPr>
              <w:t>CCPR</w:t>
            </w:r>
            <w:r>
              <w:rPr>
                <w:lang w:val="en-GB"/>
              </w:rPr>
              <w:t>/C/PER/CO/6</w:t>
            </w:r>
          </w:p>
        </w:tc>
      </w:tr>
      <w:tr w:rsidR="002D5AAC" w14:paraId="7C8EFA63" w14:textId="77777777" w:rsidTr="00660CE8">
        <w:trPr>
          <w:trHeight w:hRule="exact" w:val="2835"/>
        </w:trPr>
        <w:tc>
          <w:tcPr>
            <w:tcW w:w="1276" w:type="dxa"/>
            <w:tcBorders>
              <w:top w:val="single" w:sz="4" w:space="0" w:color="auto"/>
              <w:bottom w:val="single" w:sz="12" w:space="0" w:color="auto"/>
            </w:tcBorders>
          </w:tcPr>
          <w:p w14:paraId="0DCD684A" w14:textId="023D3597" w:rsidR="002D5AAC" w:rsidRDefault="00B44AB5" w:rsidP="00660CE8">
            <w:pPr>
              <w:spacing w:before="120"/>
              <w:jc w:val="center"/>
            </w:pPr>
            <w:r>
              <w:rPr>
                <w:noProof/>
              </w:rPr>
              <w:drawing>
                <wp:inline distT="0" distB="0" distL="0" distR="0" wp14:anchorId="013DA5BF" wp14:editId="350C333B">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26901D" w14:textId="0DEDC534" w:rsidR="00DD5762" w:rsidRPr="007967DF" w:rsidRDefault="00B44AB5" w:rsidP="002165FD">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6AC9A718" w14:textId="4A7588BA" w:rsidR="002D5AAC" w:rsidRDefault="00BC2881" w:rsidP="00660CE8">
            <w:pPr>
              <w:spacing w:before="240"/>
            </w:pPr>
            <w:r>
              <w:t xml:space="preserve">Distr. </w:t>
            </w:r>
            <w:r w:rsidR="000F0232">
              <w:t>general</w:t>
            </w:r>
          </w:p>
          <w:p w14:paraId="39311210" w14:textId="3EE619D3" w:rsidR="00BC2881" w:rsidRDefault="00F62CB8" w:rsidP="00BC2881">
            <w:pPr>
              <w:spacing w:line="240" w:lineRule="exact"/>
            </w:pPr>
            <w:r w:rsidRPr="002D75E1">
              <w:t>5</w:t>
            </w:r>
            <w:r w:rsidR="00796908">
              <w:t xml:space="preserve"> </w:t>
            </w:r>
            <w:r w:rsidR="00BC2881">
              <w:t xml:space="preserve">de </w:t>
            </w:r>
            <w:r w:rsidR="00796908">
              <w:t xml:space="preserve">abril </w:t>
            </w:r>
            <w:r w:rsidR="00BC2881">
              <w:t>de 202</w:t>
            </w:r>
            <w:r w:rsidR="00575B77">
              <w:t>3</w:t>
            </w:r>
          </w:p>
          <w:p w14:paraId="492056EE" w14:textId="77777777" w:rsidR="00DD5762" w:rsidRDefault="00DD5762" w:rsidP="00DD5762">
            <w:pPr>
              <w:spacing w:line="240" w:lineRule="exact"/>
            </w:pPr>
          </w:p>
          <w:p w14:paraId="61B8A6FC" w14:textId="5268FCA3" w:rsidR="00BC2881" w:rsidRDefault="00BC2881" w:rsidP="00DD5762">
            <w:pPr>
              <w:spacing w:line="240" w:lineRule="exact"/>
            </w:pPr>
            <w:r>
              <w:t xml:space="preserve">Original: </w:t>
            </w:r>
            <w:r w:rsidR="00DD5762">
              <w:t>español</w:t>
            </w:r>
          </w:p>
          <w:p w14:paraId="0E7368FA" w14:textId="7599FDCA" w:rsidR="00613A55" w:rsidRDefault="00613A55" w:rsidP="00BC2881">
            <w:pPr>
              <w:spacing w:line="240" w:lineRule="exact"/>
            </w:pPr>
          </w:p>
        </w:tc>
      </w:tr>
    </w:tbl>
    <w:p w14:paraId="14289151" w14:textId="77777777" w:rsidR="006F35EE" w:rsidRPr="00411A36" w:rsidRDefault="00411A36" w:rsidP="0036261E">
      <w:pPr>
        <w:spacing w:before="120"/>
        <w:rPr>
          <w:b/>
          <w:sz w:val="24"/>
          <w:szCs w:val="24"/>
        </w:rPr>
      </w:pPr>
      <w:r w:rsidRPr="00411A36">
        <w:rPr>
          <w:b/>
          <w:sz w:val="24"/>
          <w:szCs w:val="24"/>
        </w:rPr>
        <w:t>Comité de Derechos Humanos</w:t>
      </w:r>
    </w:p>
    <w:p w14:paraId="3AC1D8FC" w14:textId="6893A5E6" w:rsidR="008E6767" w:rsidRPr="000F0232" w:rsidRDefault="008E6767" w:rsidP="000F0232">
      <w:pPr>
        <w:pStyle w:val="HChG"/>
        <w:rPr>
          <w:lang w:val="es-ES_tradnl"/>
        </w:rPr>
      </w:pPr>
      <w:r>
        <w:rPr>
          <w:lang w:val="es-ES_tradnl"/>
        </w:rPr>
        <w:tab/>
      </w:r>
      <w:r>
        <w:rPr>
          <w:lang w:val="es-ES_tradnl"/>
        </w:rPr>
        <w:tab/>
      </w:r>
      <w:r w:rsidR="00DD5762" w:rsidRPr="00B95DBE">
        <w:t xml:space="preserve">Observaciones finales sobre el </w:t>
      </w:r>
      <w:r w:rsidR="00575B77">
        <w:t>sexto</w:t>
      </w:r>
      <w:r w:rsidR="00DD5762" w:rsidRPr="00B95DBE">
        <w:t xml:space="preserve"> informe periódico de</w:t>
      </w:r>
      <w:r w:rsidR="00F51F75">
        <w:t>l</w:t>
      </w:r>
      <w:r w:rsidR="009C68FD">
        <w:t xml:space="preserve"> </w:t>
      </w:r>
      <w:r w:rsidR="00575B77">
        <w:t>Perú</w:t>
      </w:r>
      <w:r w:rsidRPr="008E6767">
        <w:rPr>
          <w:rStyle w:val="Refdenotaalpie"/>
          <w:b w:val="0"/>
          <w:bCs/>
          <w:sz w:val="20"/>
          <w:vertAlign w:val="baseline"/>
          <w:lang w:val="es-ES_tradnl"/>
        </w:rPr>
        <w:footnoteReference w:customMarkFollows="1" w:id="1"/>
        <w:t>*</w:t>
      </w:r>
    </w:p>
    <w:p w14:paraId="2ADE3E22" w14:textId="10BB3DDF" w:rsidR="00C174E6" w:rsidRPr="00337CA3" w:rsidRDefault="00C174E6" w:rsidP="00C174E6">
      <w:pPr>
        <w:pStyle w:val="SingleTxtG"/>
      </w:pPr>
      <w:r w:rsidRPr="00337CA3">
        <w:t>1.</w:t>
      </w:r>
      <w:r w:rsidRPr="00337CA3">
        <w:tab/>
        <w:t xml:space="preserve">El Comité examinó el </w:t>
      </w:r>
      <w:r w:rsidR="00575B77">
        <w:t>sexto</w:t>
      </w:r>
      <w:r w:rsidRPr="00337CA3">
        <w:t xml:space="preserve"> informe periódico </w:t>
      </w:r>
      <w:r>
        <w:t xml:space="preserve">del </w:t>
      </w:r>
      <w:r w:rsidR="00575B77">
        <w:t>Perú</w:t>
      </w:r>
      <w:r w:rsidR="00E64969">
        <w:rPr>
          <w:rStyle w:val="Refdenotaalpie"/>
        </w:rPr>
        <w:footnoteReference w:id="2"/>
      </w:r>
      <w:r w:rsidRPr="00337CA3">
        <w:t xml:space="preserve"> en sus sesiones </w:t>
      </w:r>
      <w:r w:rsidR="008D0CC5" w:rsidRPr="00545074">
        <w:t>3964</w:t>
      </w:r>
      <w:r w:rsidRPr="00545074">
        <w:t>ª</w:t>
      </w:r>
      <w:r w:rsidR="008D0CC5" w:rsidRPr="00545074">
        <w:t>, 3966ª</w:t>
      </w:r>
      <w:r w:rsidRPr="00545074">
        <w:t xml:space="preserve"> y </w:t>
      </w:r>
      <w:r w:rsidR="008D0CC5" w:rsidRPr="00545074">
        <w:t>3968</w:t>
      </w:r>
      <w:r w:rsidRPr="00545074">
        <w:t>ª</w:t>
      </w:r>
      <w:r w:rsidR="00E64969" w:rsidRPr="00545074">
        <w:rPr>
          <w:rStyle w:val="Refdenotaalpie"/>
        </w:rPr>
        <w:footnoteReference w:id="3"/>
      </w:r>
      <w:r w:rsidR="00796908">
        <w:t>,</w:t>
      </w:r>
      <w:r w:rsidR="00E64969" w:rsidRPr="00545074">
        <w:t xml:space="preserve"> </w:t>
      </w:r>
      <w:r w:rsidRPr="00545074">
        <w:t>celebradas</w:t>
      </w:r>
      <w:r w:rsidRPr="00337CA3">
        <w:t xml:space="preserve"> los días </w:t>
      </w:r>
      <w:r w:rsidR="00545074">
        <w:t>3</w:t>
      </w:r>
      <w:r w:rsidR="00F51F75" w:rsidRPr="00545074">
        <w:t xml:space="preserve">, </w:t>
      </w:r>
      <w:r w:rsidR="00545074" w:rsidRPr="00545074">
        <w:t>6</w:t>
      </w:r>
      <w:r w:rsidRPr="00545074">
        <w:t xml:space="preserve"> y </w:t>
      </w:r>
      <w:r w:rsidR="00545074" w:rsidRPr="00545074">
        <w:t>7</w:t>
      </w:r>
      <w:r w:rsidRPr="00545074">
        <w:t xml:space="preserve"> de </w:t>
      </w:r>
      <w:r w:rsidR="00575B77" w:rsidRPr="00545074">
        <w:t>marzo</w:t>
      </w:r>
      <w:r w:rsidRPr="00545074">
        <w:t xml:space="preserve"> de 202</w:t>
      </w:r>
      <w:r w:rsidR="00575B77" w:rsidRPr="00545074">
        <w:t xml:space="preserve">3 </w:t>
      </w:r>
      <w:r w:rsidR="00575B77" w:rsidRPr="00545074">
        <w:rPr>
          <w:lang w:val="es-ES_tradnl"/>
        </w:rPr>
        <w:t>en</w:t>
      </w:r>
      <w:r w:rsidR="00575B77">
        <w:rPr>
          <w:lang w:val="es-ES_tradnl"/>
        </w:rPr>
        <w:t xml:space="preserve"> formato híbrido</w:t>
      </w:r>
      <w:r w:rsidRPr="00337CA3">
        <w:t xml:space="preserve">. En su </w:t>
      </w:r>
      <w:r w:rsidR="00545074">
        <w:t>398</w:t>
      </w:r>
      <w:r w:rsidR="00F11430">
        <w:t>5</w:t>
      </w:r>
      <w:r w:rsidR="00545074" w:rsidRPr="00545074">
        <w:t>ª</w:t>
      </w:r>
      <w:r w:rsidRPr="00337CA3">
        <w:t xml:space="preserve"> sesión, celebrada </w:t>
      </w:r>
      <w:r w:rsidRPr="00F11430">
        <w:t xml:space="preserve">el </w:t>
      </w:r>
      <w:r w:rsidR="00545074" w:rsidRPr="00F11430">
        <w:t>20</w:t>
      </w:r>
      <w:r w:rsidRPr="00F11430">
        <w:t xml:space="preserve"> de </w:t>
      </w:r>
      <w:r w:rsidR="00575B77" w:rsidRPr="00F11430">
        <w:t>marzo</w:t>
      </w:r>
      <w:r w:rsidRPr="00F11430">
        <w:t xml:space="preserve"> de 202</w:t>
      </w:r>
      <w:r w:rsidR="00575B77" w:rsidRPr="00F11430">
        <w:t>3</w:t>
      </w:r>
      <w:r w:rsidRPr="00F11430">
        <w:t>, el</w:t>
      </w:r>
      <w:r w:rsidRPr="00337CA3">
        <w:t xml:space="preserve"> Comité aprobó las presentes observaciones finales.</w:t>
      </w:r>
    </w:p>
    <w:p w14:paraId="2B026FE0" w14:textId="77777777" w:rsidR="00C174E6" w:rsidRPr="00337CA3" w:rsidRDefault="00C174E6" w:rsidP="00C174E6">
      <w:pPr>
        <w:pStyle w:val="H1G"/>
      </w:pPr>
      <w:r w:rsidRPr="00337CA3">
        <w:tab/>
        <w:t>A.</w:t>
      </w:r>
      <w:r w:rsidRPr="00337CA3">
        <w:tab/>
        <w:t>Introducción</w:t>
      </w:r>
    </w:p>
    <w:p w14:paraId="67858DBC" w14:textId="06A40E5F" w:rsidR="00F61582" w:rsidRDefault="00F129ED" w:rsidP="00F129ED">
      <w:pPr>
        <w:pStyle w:val="SingleTxtG"/>
      </w:pPr>
      <w:r>
        <w:t>2.</w:t>
      </w:r>
      <w:r>
        <w:tab/>
        <w:t xml:space="preserve">El Comité agradece al Estado parte que </w:t>
      </w:r>
      <w:r w:rsidRPr="00613880">
        <w:t>haya aceptado el procedimiento simplificado de presentación de informes y haya presentado su sexto informe</w:t>
      </w:r>
      <w:r>
        <w:t xml:space="preserve"> periódico en respuesta a la lista de cuestiones previa a la presentación de informes preparada en el marco de ese procedimiento</w:t>
      </w:r>
      <w:r>
        <w:rPr>
          <w:rStyle w:val="Refdenotaalpie"/>
        </w:rPr>
        <w:footnoteReference w:id="4"/>
      </w:r>
      <w:r>
        <w:t xml:space="preserve">. Expresa su reconocimiento por la oportunidad de renovar su diálogo constructivo con la </w:t>
      </w:r>
      <w:r w:rsidRPr="003D2889">
        <w:t>delegación de alto nivel del</w:t>
      </w:r>
      <w:r>
        <w:t xml:space="preserve"> Estado parte sobre las medidas adoptadas durante el período examinado para aplicar las disposiciones del Pacto. El Comité agradece al Estado parte las respuestas presentadas oralmente por la </w:t>
      </w:r>
      <w:r w:rsidRPr="0002660B">
        <w:t>delegación y la información complementaria presentada por escrito.</w:t>
      </w:r>
    </w:p>
    <w:p w14:paraId="42BF0895" w14:textId="0C11406D" w:rsidR="00F129ED" w:rsidRDefault="00F129ED" w:rsidP="00F129ED">
      <w:pPr>
        <w:pStyle w:val="H1G"/>
      </w:pPr>
      <w:r>
        <w:tab/>
        <w:t>B.</w:t>
      </w:r>
      <w:r>
        <w:tab/>
        <w:t>Aspectos positivos</w:t>
      </w:r>
    </w:p>
    <w:p w14:paraId="35B924CE" w14:textId="5EC8059C" w:rsidR="00F129ED" w:rsidRDefault="00F129ED" w:rsidP="000F27DF">
      <w:pPr>
        <w:pStyle w:val="SingleTxtG"/>
        <w:rPr>
          <w:rFonts w:eastAsia="Calibri"/>
        </w:rPr>
      </w:pPr>
      <w:r>
        <w:rPr>
          <w:rFonts w:eastAsia="Calibri"/>
        </w:rPr>
        <w:t xml:space="preserve">3. </w:t>
      </w:r>
      <w:r>
        <w:rPr>
          <w:rFonts w:eastAsia="Calibri"/>
        </w:rPr>
        <w:tab/>
        <w:t xml:space="preserve">El Comité acoge con </w:t>
      </w:r>
      <w:r w:rsidR="00796908">
        <w:rPr>
          <w:rFonts w:eastAsia="Calibri"/>
        </w:rPr>
        <w:t xml:space="preserve">beneplácito </w:t>
      </w:r>
      <w:r>
        <w:rPr>
          <w:rFonts w:eastAsia="Calibri"/>
        </w:rPr>
        <w:t xml:space="preserve">las siguientes medidas legislativas e institucionales adoptadas por el Estado parte: </w:t>
      </w:r>
    </w:p>
    <w:p w14:paraId="47EB2B40" w14:textId="2FCC7087" w:rsidR="00F80B9D" w:rsidRDefault="00F129ED" w:rsidP="000F27DF">
      <w:pPr>
        <w:pStyle w:val="SingleTxtG"/>
        <w:rPr>
          <w:rFonts w:eastAsia="Calibri"/>
        </w:rPr>
      </w:pPr>
      <w:r>
        <w:rPr>
          <w:rFonts w:eastAsia="Calibri"/>
        </w:rPr>
        <w:tab/>
      </w:r>
      <w:r w:rsidR="00F80B9D">
        <w:rPr>
          <w:rFonts w:eastAsia="Calibri"/>
        </w:rPr>
        <w:t>a)</w:t>
      </w:r>
      <w:r w:rsidR="00F80B9D">
        <w:rPr>
          <w:rFonts w:eastAsia="Calibri"/>
        </w:rPr>
        <w:tab/>
        <w:t>La promulgación de la Ley núm. 31155 (2021), que previene</w:t>
      </w:r>
      <w:r w:rsidR="00F80B9D" w:rsidRPr="000A3B8B">
        <w:rPr>
          <w:rFonts w:eastAsia="Calibri"/>
        </w:rPr>
        <w:t xml:space="preserve"> y sanciona el acoso contra las mujeres en la vida política</w:t>
      </w:r>
      <w:r w:rsidR="00F80B9D">
        <w:rPr>
          <w:rFonts w:eastAsia="Calibri"/>
        </w:rPr>
        <w:t>;</w:t>
      </w:r>
    </w:p>
    <w:p w14:paraId="0B3EE7C1" w14:textId="5105C867" w:rsidR="004D415E" w:rsidRDefault="00F80B9D" w:rsidP="000F27DF">
      <w:pPr>
        <w:pStyle w:val="SingleTxtG"/>
      </w:pPr>
      <w:r>
        <w:rPr>
          <w:rFonts w:eastAsia="Calibri"/>
        </w:rPr>
        <w:tab/>
        <w:t>b</w:t>
      </w:r>
      <w:r w:rsidR="004D415E">
        <w:t>)</w:t>
      </w:r>
      <w:r w:rsidR="004D415E">
        <w:tab/>
      </w:r>
      <w:r w:rsidR="00A91320">
        <w:t xml:space="preserve">La promulgación de la </w:t>
      </w:r>
      <w:r w:rsidR="004D415E">
        <w:t xml:space="preserve">Ley núm. 31030 (2020), por la que se modifican normas de la legislación electoral para garantizar paridad y alternancia de género en las listas de candidatos; </w:t>
      </w:r>
    </w:p>
    <w:p w14:paraId="47B3DCBF" w14:textId="43426D2E" w:rsidR="004D415E" w:rsidRDefault="004D415E" w:rsidP="000F27DF">
      <w:pPr>
        <w:pStyle w:val="SingleTxtG"/>
      </w:pPr>
      <w:r>
        <w:tab/>
      </w:r>
      <w:r w:rsidR="00F80B9D">
        <w:t>c</w:t>
      </w:r>
      <w:r>
        <w:t>)</w:t>
      </w:r>
      <w:r>
        <w:tab/>
      </w:r>
      <w:r w:rsidR="00A91320">
        <w:t xml:space="preserve">La promulgación de la </w:t>
      </w:r>
      <w:r>
        <w:t>Ley núm. 30982 (2019), que fortalece el rol de la mujer en las comunidades campesinas, estableciendo una cuota de participación del 30</w:t>
      </w:r>
      <w:r w:rsidR="00796908">
        <w:t> </w:t>
      </w:r>
      <w:r>
        <w:t xml:space="preserve">% de mujeres u hombres en la conformación de directivas comunales; </w:t>
      </w:r>
    </w:p>
    <w:p w14:paraId="40AEA565" w14:textId="66635D8B" w:rsidR="004D415E" w:rsidRDefault="004D415E" w:rsidP="000F27DF">
      <w:pPr>
        <w:pStyle w:val="SingleTxtG"/>
      </w:pPr>
      <w:r>
        <w:tab/>
      </w:r>
      <w:r w:rsidR="00F80B9D">
        <w:t>d</w:t>
      </w:r>
      <w:r>
        <w:t>)</w:t>
      </w:r>
      <w:r>
        <w:tab/>
      </w:r>
      <w:r w:rsidR="00796908">
        <w:t xml:space="preserve">El </w:t>
      </w:r>
      <w:r>
        <w:t>Decreto Legislativo núm. 1384 (2018), que reconoce y regula la capacidad jurídica de las personas con discapacidad en igualdad de condiciones;</w:t>
      </w:r>
    </w:p>
    <w:p w14:paraId="50509146" w14:textId="1AAB7AD6" w:rsidR="004D415E" w:rsidRDefault="004D415E" w:rsidP="000F27DF">
      <w:pPr>
        <w:pStyle w:val="SingleTxtG"/>
      </w:pPr>
      <w:r>
        <w:lastRenderedPageBreak/>
        <w:tab/>
      </w:r>
      <w:r w:rsidR="00F80B9D">
        <w:t>e</w:t>
      </w:r>
      <w:r>
        <w:t>)</w:t>
      </w:r>
      <w:r>
        <w:tab/>
      </w:r>
      <w:r w:rsidR="00796908">
        <w:t xml:space="preserve">El </w:t>
      </w:r>
      <w:r>
        <w:t xml:space="preserve">Decreto Legislativo núm. 1323 (2017), que fortalece la lucha contra el feminicidio, la violencia </w:t>
      </w:r>
      <w:r w:rsidR="00796908">
        <w:t xml:space="preserve">familiar </w:t>
      </w:r>
      <w:r>
        <w:t>y la violencia de género, estableciendo nuevos delitos y agravantes;</w:t>
      </w:r>
    </w:p>
    <w:p w14:paraId="19BC4834" w14:textId="3F942993" w:rsidR="004D415E" w:rsidRDefault="004D415E" w:rsidP="000F27DF">
      <w:pPr>
        <w:pStyle w:val="SingleTxtG"/>
      </w:pPr>
      <w:r>
        <w:tab/>
      </w:r>
      <w:r w:rsidR="00F80B9D">
        <w:t>f</w:t>
      </w:r>
      <w:r>
        <w:t>)</w:t>
      </w:r>
      <w:r>
        <w:tab/>
      </w:r>
      <w:r w:rsidR="00F540E2">
        <w:t xml:space="preserve">La promulgación de la </w:t>
      </w:r>
      <w:r>
        <w:t>Ley núm. 30364 (2015), para prevenir, sancionar y erradicar la violencia contra las mujeres y los integrantes del grupo familiar</w:t>
      </w:r>
      <w:r w:rsidR="00EF49E3">
        <w:t>.</w:t>
      </w:r>
    </w:p>
    <w:p w14:paraId="687A5069" w14:textId="35058231" w:rsidR="00F540E2" w:rsidRDefault="00A44737" w:rsidP="000F27DF">
      <w:pPr>
        <w:pStyle w:val="SingleTxtG"/>
      </w:pPr>
      <w:r>
        <w:t>4.</w:t>
      </w:r>
      <w:r>
        <w:tab/>
      </w:r>
      <w:r w:rsidR="00F540E2" w:rsidRPr="00EF49E3">
        <w:t>El Comité acoge con beneplácito las iniciativas del Estado parte para mejorar su marco institucional y normativo, en particular mediante la aprobación de los siguientes instrumentos:</w:t>
      </w:r>
    </w:p>
    <w:p w14:paraId="719879F3" w14:textId="0A6A770F" w:rsidR="00B07CC6" w:rsidRDefault="00A91320" w:rsidP="000F27DF">
      <w:pPr>
        <w:pStyle w:val="SingleTxtG"/>
        <w:tabs>
          <w:tab w:val="left" w:pos="2220"/>
        </w:tabs>
      </w:pPr>
      <w:r>
        <w:tab/>
      </w:r>
      <w:r w:rsidR="00F540E2">
        <w:t>a)</w:t>
      </w:r>
      <w:r w:rsidR="00F540E2">
        <w:tab/>
      </w:r>
      <w:r w:rsidR="00B07CC6">
        <w:t xml:space="preserve">Política Nacional frente a la Trata de Personas y </w:t>
      </w:r>
      <w:r w:rsidR="00796908">
        <w:t>S</w:t>
      </w:r>
      <w:r w:rsidR="00B07CC6">
        <w:t xml:space="preserve">us Formas de Explotación al 2030, aprobada mediante Decreto Supremo núm. 009-2021-IN, de </w:t>
      </w:r>
      <w:r w:rsidR="00F80B9D">
        <w:t xml:space="preserve">27 </w:t>
      </w:r>
      <w:r w:rsidR="00B07CC6">
        <w:t xml:space="preserve">de </w:t>
      </w:r>
      <w:r w:rsidR="00F80B9D">
        <w:t xml:space="preserve">julio </w:t>
      </w:r>
      <w:r w:rsidR="00B07CC6">
        <w:t>de 2021;</w:t>
      </w:r>
    </w:p>
    <w:p w14:paraId="1D57DF81" w14:textId="2F1AB28F" w:rsidR="006D7A42" w:rsidRDefault="00B07CC6" w:rsidP="000F27DF">
      <w:pPr>
        <w:pStyle w:val="SingleTxtG"/>
        <w:tabs>
          <w:tab w:val="left" w:pos="2220"/>
        </w:tabs>
      </w:pPr>
      <w:r>
        <w:tab/>
        <w:t>b)</w:t>
      </w:r>
      <w:r>
        <w:tab/>
      </w:r>
      <w:r w:rsidR="006D7A42">
        <w:t>Plan Nacional de Acción sobre Empresas y Derechos Humanos 2021-2025</w:t>
      </w:r>
      <w:r>
        <w:t>, aprobado mediante Decreto Supremo núm. 0009-2021-JUS, de 1</w:t>
      </w:r>
      <w:r w:rsidR="00796908">
        <w:t>0</w:t>
      </w:r>
      <w:r>
        <w:t xml:space="preserve"> de ju</w:t>
      </w:r>
      <w:r w:rsidR="00796908">
        <w:t>n</w:t>
      </w:r>
      <w:r>
        <w:t>io de 2021;</w:t>
      </w:r>
    </w:p>
    <w:p w14:paraId="27CC8CF8" w14:textId="122EB7DF" w:rsidR="00F540E2" w:rsidRDefault="00F540E2" w:rsidP="000F27DF">
      <w:pPr>
        <w:pStyle w:val="SingleTxtG"/>
        <w:tabs>
          <w:tab w:val="left" w:pos="2220"/>
        </w:tabs>
      </w:pPr>
      <w:r>
        <w:tab/>
      </w:r>
      <w:r w:rsidR="000D47CD">
        <w:t>c</w:t>
      </w:r>
      <w:r>
        <w:t>)</w:t>
      </w:r>
      <w:r>
        <w:tab/>
        <w:t>Protocolo Sectorial para la Protección de las Personas Defensoras Ambientales, aprobado por Resolución Ministerial núm. 134-2021-MINAM</w:t>
      </w:r>
      <w:r w:rsidR="00796908">
        <w:t>,</w:t>
      </w:r>
      <w:r>
        <w:t xml:space="preserve"> de 23 de julio de 2021;</w:t>
      </w:r>
    </w:p>
    <w:p w14:paraId="1F4CD5EF" w14:textId="58124D0E" w:rsidR="00F80B9D" w:rsidRPr="004E746A" w:rsidRDefault="00F80B9D" w:rsidP="00F80B9D">
      <w:pPr>
        <w:pStyle w:val="SingleTxtG"/>
        <w:tabs>
          <w:tab w:val="left" w:pos="2220"/>
        </w:tabs>
      </w:pPr>
      <w:r>
        <w:tab/>
      </w:r>
      <w:r w:rsidRPr="004E746A">
        <w:t>d)</w:t>
      </w:r>
      <w:r w:rsidRPr="004E746A">
        <w:tab/>
        <w:t xml:space="preserve">Política Nacional Multisectorial para las Niñas, Niños y Adolescentes al 2030, aprobada mediante Decreto Supremo núm. </w:t>
      </w:r>
      <w:r w:rsidRPr="00520D1E">
        <w:t>008-2021-MIMP, de 25 de junio de 2021;</w:t>
      </w:r>
    </w:p>
    <w:p w14:paraId="76ED0631" w14:textId="59F99B7E" w:rsidR="00A91320" w:rsidRDefault="00F540E2" w:rsidP="000F27DF">
      <w:pPr>
        <w:pStyle w:val="SingleTxtG"/>
        <w:tabs>
          <w:tab w:val="left" w:pos="2220"/>
        </w:tabs>
      </w:pPr>
      <w:r>
        <w:tab/>
      </w:r>
      <w:r w:rsidR="00F80B9D">
        <w:t>e</w:t>
      </w:r>
      <w:r>
        <w:t>)</w:t>
      </w:r>
      <w:r>
        <w:tab/>
      </w:r>
      <w:r w:rsidR="00F7367A">
        <w:t>Política Pública de Reforma del Sistema de Justicia 2021-2025, aprobada por Decreto Supremo núm. 012-2021-JUS</w:t>
      </w:r>
      <w:r w:rsidR="00727141">
        <w:t>,</w:t>
      </w:r>
      <w:r w:rsidR="00F7367A">
        <w:t xml:space="preserve"> de 15 de ju</w:t>
      </w:r>
      <w:r w:rsidR="00727141">
        <w:t>l</w:t>
      </w:r>
      <w:r w:rsidR="00F7367A">
        <w:t>io de 2021;</w:t>
      </w:r>
    </w:p>
    <w:p w14:paraId="60E39798" w14:textId="4FA1FE0E" w:rsidR="00F80B9D" w:rsidRPr="004E746A" w:rsidRDefault="00F80B9D" w:rsidP="00F80B9D">
      <w:pPr>
        <w:pStyle w:val="SingleTxtG"/>
        <w:tabs>
          <w:tab w:val="left" w:pos="2220"/>
        </w:tabs>
      </w:pPr>
      <w:r>
        <w:tab/>
      </w:r>
      <w:r w:rsidRPr="004E746A">
        <w:t>f)</w:t>
      </w:r>
      <w:r w:rsidRPr="004E746A">
        <w:tab/>
        <w:t>Política Nacional Multisectorial en Discapacidad para el Desarrollo al 2030, aprobada mediante Decreto Supremo núm. 007-2021-MIMP, de 5 de junio de 2021;</w:t>
      </w:r>
    </w:p>
    <w:p w14:paraId="163B8DD2" w14:textId="77777777" w:rsidR="00F80B9D" w:rsidRPr="004E746A" w:rsidRDefault="00F80B9D" w:rsidP="00F80B9D">
      <w:pPr>
        <w:pStyle w:val="SingleTxtG"/>
        <w:tabs>
          <w:tab w:val="left" w:pos="2220"/>
        </w:tabs>
      </w:pPr>
      <w:r w:rsidRPr="004E746A">
        <w:tab/>
        <w:t>g)</w:t>
      </w:r>
      <w:r w:rsidRPr="004E746A">
        <w:tab/>
        <w:t>Política Nacional Multisectorial para las Personas Adultas Mayores al 2030, aprobada mediante Decreto Supremo núm. 006-2021-MIMP, de 5 de junio de 2021;</w:t>
      </w:r>
    </w:p>
    <w:p w14:paraId="05BC5E7A" w14:textId="77777777" w:rsidR="00F80B9D" w:rsidRPr="004E746A" w:rsidRDefault="00F80B9D" w:rsidP="00F80B9D">
      <w:pPr>
        <w:pStyle w:val="SingleTxtG"/>
        <w:tabs>
          <w:tab w:val="left" w:pos="2220"/>
        </w:tabs>
      </w:pPr>
      <w:r w:rsidRPr="004E746A">
        <w:tab/>
        <w:t>h)</w:t>
      </w:r>
      <w:r w:rsidRPr="004E746A">
        <w:tab/>
        <w:t xml:space="preserve">Política Nacional Penitenciaria al 2030, aprobada mediante Decreto Supremo núm. 011-2020-JUS, de 25 de septiembre de 2020; </w:t>
      </w:r>
    </w:p>
    <w:p w14:paraId="26810FBD" w14:textId="77777777" w:rsidR="00F80B9D" w:rsidRPr="004E746A" w:rsidRDefault="00F80B9D" w:rsidP="00F80B9D">
      <w:pPr>
        <w:pStyle w:val="SingleTxtG"/>
        <w:tabs>
          <w:tab w:val="left" w:pos="2220"/>
        </w:tabs>
      </w:pPr>
      <w:r w:rsidRPr="004E746A">
        <w:tab/>
        <w:t>i)</w:t>
      </w:r>
      <w:r w:rsidRPr="004E746A">
        <w:tab/>
        <w:t xml:space="preserve">Política Nacional de Cultura al 2030, aprobada mediante Decreto Supremo núm. </w:t>
      </w:r>
      <w:r w:rsidRPr="00520D1E">
        <w:t>009-2020-MC, de 21 de julio de 2020;</w:t>
      </w:r>
    </w:p>
    <w:p w14:paraId="2EA65294" w14:textId="57CF274F" w:rsidR="003420F8" w:rsidRDefault="003420F8" w:rsidP="000F27DF">
      <w:pPr>
        <w:pStyle w:val="SingleTxtG"/>
        <w:tabs>
          <w:tab w:val="left" w:pos="2220"/>
        </w:tabs>
      </w:pPr>
      <w:r>
        <w:tab/>
      </w:r>
      <w:r w:rsidR="00F80B9D">
        <w:t>j</w:t>
      </w:r>
      <w:r>
        <w:t>)</w:t>
      </w:r>
      <w:r>
        <w:tab/>
      </w:r>
      <w:r w:rsidR="00F7367A">
        <w:t xml:space="preserve">Mecanismo intersectorial para la protección de las personas defensoras de los derechos humanos, aprobado por Decreto Supremo núm. 004-2021-JUS, el 22 de abril de 2021; </w:t>
      </w:r>
    </w:p>
    <w:p w14:paraId="63B90C0F" w14:textId="02487648" w:rsidR="00F80B9D" w:rsidRDefault="00F80B9D" w:rsidP="000F27DF">
      <w:pPr>
        <w:pStyle w:val="SingleTxtG"/>
        <w:tabs>
          <w:tab w:val="left" w:pos="2220"/>
        </w:tabs>
      </w:pPr>
      <w:r>
        <w:tab/>
      </w:r>
      <w:r w:rsidRPr="004E746A">
        <w:t>k)</w:t>
      </w:r>
      <w:r w:rsidRPr="004E746A">
        <w:tab/>
        <w:t>Política Nacional de Igualdad de Género, aprobado por Decreto Supremo núm. 008-2019-MIMP, de 4 de abril de 2019</w:t>
      </w:r>
      <w:r w:rsidR="00FC59AE">
        <w:t>.</w:t>
      </w:r>
    </w:p>
    <w:p w14:paraId="587C0950" w14:textId="20CF0719" w:rsidR="00405278" w:rsidRDefault="00A44737" w:rsidP="005C0C80">
      <w:pPr>
        <w:spacing w:before="240" w:after="120"/>
        <w:ind w:left="1134" w:right="1134" w:firstLine="6"/>
        <w:jc w:val="both"/>
        <w:rPr>
          <w:lang w:val="es-ES_tradnl"/>
        </w:rPr>
      </w:pPr>
      <w:r>
        <w:rPr>
          <w:lang w:val="es-ES_tradnl"/>
        </w:rPr>
        <w:t>5</w:t>
      </w:r>
      <w:r w:rsidR="00405278">
        <w:rPr>
          <w:lang w:val="es-ES_tradnl"/>
        </w:rPr>
        <w:t xml:space="preserve">. </w:t>
      </w:r>
      <w:r w:rsidR="00AF53B9">
        <w:rPr>
          <w:lang w:val="es-ES_tradnl"/>
        </w:rPr>
        <w:tab/>
      </w:r>
      <w:r w:rsidR="00AF53B9">
        <w:t xml:space="preserve">El Comité celebra que, en el período transcurrido desde que se examinó su informe anterior, el Estado parte haya ratificado </w:t>
      </w:r>
      <w:r w:rsidR="0045711A">
        <w:t xml:space="preserve">el </w:t>
      </w:r>
      <w:r w:rsidR="00405278">
        <w:t>Protocolo Facultativo de la Convención sobre los Derechos del Niño relativo a un procedimiento de comunicaciones, en 2015.</w:t>
      </w:r>
    </w:p>
    <w:p w14:paraId="31AA3186" w14:textId="4A5B6E79" w:rsidR="007C659C" w:rsidRPr="007C659C" w:rsidRDefault="00B953F0" w:rsidP="00B953F0">
      <w:pPr>
        <w:pStyle w:val="H1G"/>
      </w:pPr>
      <w:r>
        <w:tab/>
      </w:r>
      <w:r w:rsidR="007C659C" w:rsidRPr="007C659C">
        <w:t>C.</w:t>
      </w:r>
      <w:r w:rsidR="007C659C" w:rsidRPr="007C659C">
        <w:tab/>
        <w:t>Principales motivos de preocupación y recomendaciones</w:t>
      </w:r>
    </w:p>
    <w:p w14:paraId="09FB0C0A" w14:textId="71E73802" w:rsidR="008979CC" w:rsidRPr="008979CC" w:rsidRDefault="00B953F0" w:rsidP="00B953F0">
      <w:pPr>
        <w:pStyle w:val="H23G"/>
      </w:pPr>
      <w:r>
        <w:tab/>
      </w:r>
      <w:r>
        <w:tab/>
      </w:r>
      <w:r w:rsidR="008979CC" w:rsidRPr="008979CC">
        <w:t>Aplicación del Pacto y de su Protocolo Facultativo</w:t>
      </w:r>
    </w:p>
    <w:p w14:paraId="543E6DF2" w14:textId="36C49158" w:rsidR="00ED3B0B" w:rsidRPr="008979CC" w:rsidRDefault="00A44737" w:rsidP="006236CE">
      <w:pPr>
        <w:pStyle w:val="SingleTxtG"/>
        <w:rPr>
          <w:szCs w:val="18"/>
        </w:rPr>
      </w:pPr>
      <w:r w:rsidRPr="009155FD">
        <w:rPr>
          <w:szCs w:val="18"/>
        </w:rPr>
        <w:t>6</w:t>
      </w:r>
      <w:r w:rsidR="008979CC" w:rsidRPr="009155FD">
        <w:rPr>
          <w:szCs w:val="18"/>
        </w:rPr>
        <w:t xml:space="preserve">. </w:t>
      </w:r>
      <w:bookmarkStart w:id="0" w:name="_Hlk129178610"/>
      <w:r w:rsidR="00EA4931" w:rsidRPr="009155FD">
        <w:rPr>
          <w:szCs w:val="18"/>
        </w:rPr>
        <w:tab/>
      </w:r>
      <w:r w:rsidR="00406612" w:rsidRPr="009155FD">
        <w:rPr>
          <w:szCs w:val="18"/>
        </w:rPr>
        <w:t xml:space="preserve">El Comité valora las medidas positivas adoptadas por el Estado parte para aplicar algunos de sus dictámenes sobre comunicaciones individuales presentadas en virtud del Protocolo Facultativo. Sin embargo, </w:t>
      </w:r>
      <w:r w:rsidR="00F8180D" w:rsidRPr="009155FD">
        <w:rPr>
          <w:szCs w:val="18"/>
        </w:rPr>
        <w:t xml:space="preserve">lamenta que el Estado parte no haya facilitado información sobre las medidas concretas adoptadas para aplicar </w:t>
      </w:r>
      <w:r w:rsidR="00706BFD" w:rsidRPr="009155FD">
        <w:rPr>
          <w:szCs w:val="18"/>
        </w:rPr>
        <w:t xml:space="preserve">las recomendaciones y </w:t>
      </w:r>
      <w:r w:rsidR="00F8180D" w:rsidRPr="009155FD">
        <w:rPr>
          <w:szCs w:val="18"/>
        </w:rPr>
        <w:t>los dictámenes del Comité</w:t>
      </w:r>
      <w:r w:rsidR="00406612" w:rsidRPr="009155FD">
        <w:rPr>
          <w:szCs w:val="18"/>
        </w:rPr>
        <w:t xml:space="preserve"> que están pendientes de aplicación, la mayoría de ellos desde hace más de diez años</w:t>
      </w:r>
      <w:r w:rsidR="00433FE0" w:rsidRPr="009155FD">
        <w:rPr>
          <w:szCs w:val="18"/>
        </w:rPr>
        <w:t>,</w:t>
      </w:r>
      <w:r w:rsidR="00B76AD7" w:rsidRPr="009155FD">
        <w:rPr>
          <w:szCs w:val="18"/>
        </w:rPr>
        <w:t xml:space="preserve"> </w:t>
      </w:r>
      <w:r w:rsidR="00433FE0" w:rsidRPr="009155FD">
        <w:rPr>
          <w:szCs w:val="18"/>
        </w:rPr>
        <w:t xml:space="preserve">ni </w:t>
      </w:r>
      <w:r w:rsidR="00706BFD" w:rsidRPr="009155FD">
        <w:rPr>
          <w:szCs w:val="18"/>
        </w:rPr>
        <w:t>sobre la frecuencia con la que</w:t>
      </w:r>
      <w:r w:rsidR="00706BFD" w:rsidRPr="009155FD">
        <w:t xml:space="preserve"> </w:t>
      </w:r>
      <w:r w:rsidR="00706BFD" w:rsidRPr="009155FD">
        <w:rPr>
          <w:szCs w:val="18"/>
        </w:rPr>
        <w:t xml:space="preserve">se invocaron las disposiciones del Pacto ante los tribunales y cortes del Estado parte. Asimismo, lamenta la falta de información sobre los mecanismos y procedimientos efectivos para que los autores de comunicaciones </w:t>
      </w:r>
      <w:r w:rsidR="00882161" w:rsidRPr="009155FD">
        <w:rPr>
          <w:szCs w:val="18"/>
        </w:rPr>
        <w:t>demanden directamente al Estado parte</w:t>
      </w:r>
      <w:r w:rsidR="00706BFD" w:rsidRPr="009155FD">
        <w:rPr>
          <w:szCs w:val="18"/>
        </w:rPr>
        <w:t xml:space="preserve">, en la ley y en la práctica, la plena aplicación de los dictámenes </w:t>
      </w:r>
      <w:r w:rsidR="00293453" w:rsidRPr="009155FD">
        <w:rPr>
          <w:szCs w:val="18"/>
        </w:rPr>
        <w:t>(art. 2).</w:t>
      </w:r>
      <w:bookmarkEnd w:id="0"/>
    </w:p>
    <w:p w14:paraId="6DB6EDF5" w14:textId="58161653" w:rsidR="00ED3B0B" w:rsidRDefault="00A44737" w:rsidP="006236CE">
      <w:pPr>
        <w:pStyle w:val="SingleTxtG"/>
        <w:rPr>
          <w:b/>
          <w:bCs/>
          <w:szCs w:val="18"/>
        </w:rPr>
      </w:pPr>
      <w:r>
        <w:rPr>
          <w:szCs w:val="18"/>
        </w:rPr>
        <w:t>7</w:t>
      </w:r>
      <w:r w:rsidR="0021357C" w:rsidRPr="008135B8">
        <w:rPr>
          <w:szCs w:val="18"/>
        </w:rPr>
        <w:t>.</w:t>
      </w:r>
      <w:r w:rsidR="0021357C">
        <w:rPr>
          <w:b/>
          <w:bCs/>
          <w:szCs w:val="18"/>
        </w:rPr>
        <w:t xml:space="preserve"> </w:t>
      </w:r>
      <w:r w:rsidR="0021357C">
        <w:rPr>
          <w:b/>
          <w:bCs/>
          <w:szCs w:val="18"/>
        </w:rPr>
        <w:tab/>
      </w:r>
      <w:r w:rsidR="00882161" w:rsidRPr="00882161">
        <w:rPr>
          <w:b/>
          <w:bCs/>
          <w:szCs w:val="18"/>
        </w:rPr>
        <w:t>El Estado parte debe adoptar todas las medidas necesarias para aplicar tod</w:t>
      </w:r>
      <w:r w:rsidR="00882161">
        <w:rPr>
          <w:b/>
          <w:bCs/>
          <w:szCs w:val="18"/>
        </w:rPr>
        <w:t>as las observaciones finales y</w:t>
      </w:r>
      <w:r w:rsidR="00882161" w:rsidRPr="00882161">
        <w:rPr>
          <w:b/>
          <w:bCs/>
          <w:szCs w:val="18"/>
        </w:rPr>
        <w:t xml:space="preserve"> los dictámenes aprobados por el Comité, con mecanismos </w:t>
      </w:r>
      <w:r w:rsidR="00882161" w:rsidRPr="00882161">
        <w:rPr>
          <w:b/>
          <w:bCs/>
          <w:szCs w:val="18"/>
        </w:rPr>
        <w:lastRenderedPageBreak/>
        <w:t>adecuados y eficaces</w:t>
      </w:r>
      <w:r w:rsidR="00A50B78" w:rsidRPr="00A50B78">
        <w:rPr>
          <w:b/>
          <w:bCs/>
          <w:szCs w:val="18"/>
        </w:rPr>
        <w:t>, de conformidad con el artículo 2, párrafos 2 y 3, del Pacto.</w:t>
      </w:r>
      <w:r w:rsidR="007753DD" w:rsidRPr="00F46AD4">
        <w:rPr>
          <w:b/>
          <w:bCs/>
          <w:szCs w:val="18"/>
        </w:rPr>
        <w:t xml:space="preserve"> </w:t>
      </w:r>
      <w:r w:rsidR="00A50B78">
        <w:rPr>
          <w:b/>
          <w:bCs/>
          <w:szCs w:val="18"/>
        </w:rPr>
        <w:t>En ese sentido, d</w:t>
      </w:r>
      <w:r w:rsidR="007753DD">
        <w:rPr>
          <w:b/>
          <w:bCs/>
          <w:szCs w:val="18"/>
        </w:rPr>
        <w:t xml:space="preserve">ebe </w:t>
      </w:r>
      <w:r w:rsidR="000A7FF1">
        <w:rPr>
          <w:b/>
          <w:bCs/>
          <w:szCs w:val="18"/>
        </w:rPr>
        <w:t>tomar medidas para garantizar la labor eficaz de</w:t>
      </w:r>
      <w:r w:rsidR="00A50B78">
        <w:rPr>
          <w:b/>
          <w:bCs/>
          <w:szCs w:val="18"/>
        </w:rPr>
        <w:t xml:space="preserve"> la Procuraduría </w:t>
      </w:r>
      <w:r w:rsidR="009155FD">
        <w:rPr>
          <w:b/>
          <w:bCs/>
          <w:szCs w:val="18"/>
        </w:rPr>
        <w:t xml:space="preserve">Pública </w:t>
      </w:r>
      <w:r w:rsidR="00A50B78">
        <w:rPr>
          <w:b/>
          <w:bCs/>
          <w:szCs w:val="18"/>
        </w:rPr>
        <w:t xml:space="preserve">Especializada Supranacional y </w:t>
      </w:r>
      <w:r w:rsidR="009155FD">
        <w:rPr>
          <w:b/>
          <w:bCs/>
          <w:szCs w:val="18"/>
        </w:rPr>
        <w:t xml:space="preserve">la </w:t>
      </w:r>
      <w:r w:rsidR="00C0534E">
        <w:rPr>
          <w:b/>
          <w:bCs/>
          <w:szCs w:val="18"/>
        </w:rPr>
        <w:t xml:space="preserve">ejecución efectiva de las decisiones </w:t>
      </w:r>
      <w:r w:rsidR="006B373B">
        <w:rPr>
          <w:b/>
          <w:bCs/>
          <w:szCs w:val="18"/>
        </w:rPr>
        <w:t>del Comité</w:t>
      </w:r>
      <w:r w:rsidR="00DA1AD8" w:rsidRPr="00456F0B">
        <w:rPr>
          <w:b/>
          <w:bCs/>
          <w:szCs w:val="18"/>
        </w:rPr>
        <w:t xml:space="preserve">, </w:t>
      </w:r>
      <w:r w:rsidR="00DA1AD8" w:rsidRPr="00456F0B">
        <w:rPr>
          <w:b/>
          <w:bCs/>
        </w:rPr>
        <w:t>y considerar la conveniencia de adoptar una ley que reconozca a los autores de comunicaciones a cuyo favor este Comité haya acordado alguna medida de reparación el derecho a exigir su ejecución ante los órganos jurisdiccionales internos</w:t>
      </w:r>
      <w:r w:rsidR="00693FB4" w:rsidRPr="00456F0B">
        <w:rPr>
          <w:b/>
          <w:bCs/>
          <w:szCs w:val="18"/>
        </w:rPr>
        <w:t xml:space="preserve">. </w:t>
      </w:r>
      <w:r w:rsidR="000A7FF1">
        <w:rPr>
          <w:b/>
          <w:bCs/>
          <w:szCs w:val="18"/>
        </w:rPr>
        <w:t>Asimismo,</w:t>
      </w:r>
      <w:r w:rsidR="00A50B78" w:rsidRPr="00A50B78">
        <w:rPr>
          <w:b/>
          <w:bCs/>
          <w:szCs w:val="18"/>
        </w:rPr>
        <w:t xml:space="preserve"> el Estado parte debe procurar mejorar el conocimiento del Pacto y su aplicabilidad en el plano nacional entre los jueces, fiscales y abogados, de modo que sus disposiciones sean tenidas en cuenta por los tribunales.</w:t>
      </w:r>
    </w:p>
    <w:p w14:paraId="1E5A811D" w14:textId="09F7EDD7" w:rsidR="007337BD" w:rsidRPr="00BC2618" w:rsidRDefault="007337BD" w:rsidP="006236CE">
      <w:pPr>
        <w:pStyle w:val="H23G"/>
        <w:spacing w:line="240" w:lineRule="atLeast"/>
      </w:pPr>
      <w:r>
        <w:tab/>
      </w:r>
      <w:r w:rsidR="00220756">
        <w:tab/>
      </w:r>
      <w:r w:rsidR="00220756">
        <w:tab/>
      </w:r>
      <w:r>
        <w:t>I</w:t>
      </w:r>
      <w:r w:rsidRPr="00BC2618">
        <w:t>nstitución nacional de derechos humanos</w:t>
      </w:r>
    </w:p>
    <w:p w14:paraId="4B847050" w14:textId="3B471CBC" w:rsidR="00325470" w:rsidRDefault="00A44737" w:rsidP="009D3F6B">
      <w:pPr>
        <w:pStyle w:val="SingleTxtG"/>
      </w:pPr>
      <w:r>
        <w:t>8</w:t>
      </w:r>
      <w:r w:rsidR="007337BD" w:rsidRPr="00BC2618">
        <w:t>.</w:t>
      </w:r>
      <w:r w:rsidR="007337BD">
        <w:tab/>
      </w:r>
      <w:r w:rsidR="008135B8" w:rsidRPr="008135B8">
        <w:t xml:space="preserve">El Comité acoge con beneplácito que la </w:t>
      </w:r>
      <w:r w:rsidR="008135B8">
        <w:t>Defensoría del Pueblo</w:t>
      </w:r>
      <w:r w:rsidR="008135B8" w:rsidRPr="008135B8">
        <w:t xml:space="preserve"> </w:t>
      </w:r>
      <w:r w:rsidR="008E1550">
        <w:t>mantenga acreditación en</w:t>
      </w:r>
      <w:r w:rsidR="008135B8" w:rsidRPr="008135B8">
        <w:t xml:space="preserve"> la categoría A por la Alianza Global de las Instituciones Nacionales de Derechos Humanos</w:t>
      </w:r>
      <w:r w:rsidR="008135B8">
        <w:t xml:space="preserve">. </w:t>
      </w:r>
      <w:r w:rsidR="00325470">
        <w:t>Sin embargo</w:t>
      </w:r>
      <w:r w:rsidR="008135B8">
        <w:t xml:space="preserve">, </w:t>
      </w:r>
      <w:r w:rsidR="00325470">
        <w:t>el Comité observa con preocupación que</w:t>
      </w:r>
      <w:r w:rsidR="008135B8">
        <w:t xml:space="preserve">, tras la sentencia del Tribunal Constitucional de 23 de febrero de 2023, el Congreso de la </w:t>
      </w:r>
      <w:r w:rsidR="00F80B9D">
        <w:t>República</w:t>
      </w:r>
      <w:r w:rsidR="008135B8">
        <w:t xml:space="preserve"> tiene </w:t>
      </w:r>
      <w:r w:rsidR="0078455D">
        <w:t>la potestad</w:t>
      </w:r>
      <w:r w:rsidR="008135B8">
        <w:t xml:space="preserve"> de reducir las mayorías parlamentarias necesarias para elegir al Defensor del Pueblo</w:t>
      </w:r>
      <w:r w:rsidR="0078455D">
        <w:t>, lo que evitaría la necesidad de obtener consenso entre diferentes partidos políticos</w:t>
      </w:r>
      <w:r w:rsidR="008E1550">
        <w:t xml:space="preserve"> (art. 2).</w:t>
      </w:r>
    </w:p>
    <w:p w14:paraId="50390B8E" w14:textId="15ABD5A9" w:rsidR="007E2C64" w:rsidRPr="008E1550" w:rsidRDefault="00A44737" w:rsidP="009D3F6B">
      <w:pPr>
        <w:pStyle w:val="SingleTxtG"/>
      </w:pPr>
      <w:r>
        <w:t>9</w:t>
      </w:r>
      <w:r w:rsidR="00325470">
        <w:t xml:space="preserve">. </w:t>
      </w:r>
      <w:r w:rsidR="00325470">
        <w:tab/>
      </w:r>
      <w:r w:rsidR="00325470" w:rsidRPr="00325470">
        <w:rPr>
          <w:b/>
          <w:bCs/>
        </w:rPr>
        <w:t>El Estado parte debe asegurar que</w:t>
      </w:r>
      <w:r w:rsidR="0078455D">
        <w:rPr>
          <w:b/>
          <w:bCs/>
        </w:rPr>
        <w:t xml:space="preserve"> los proyectos de ley relativos a</w:t>
      </w:r>
      <w:r w:rsidR="00325470" w:rsidRPr="00325470">
        <w:rPr>
          <w:b/>
          <w:bCs/>
        </w:rPr>
        <w:t xml:space="preserve"> los procedimientos para la selección y el nombramiento de</w:t>
      </w:r>
      <w:r w:rsidR="00A86255">
        <w:rPr>
          <w:b/>
          <w:bCs/>
        </w:rPr>
        <w:t xml:space="preserve">l </w:t>
      </w:r>
      <w:r w:rsidR="0078455D">
        <w:rPr>
          <w:b/>
          <w:bCs/>
        </w:rPr>
        <w:t xml:space="preserve">titular de </w:t>
      </w:r>
      <w:r w:rsidR="00761137">
        <w:rPr>
          <w:b/>
          <w:bCs/>
        </w:rPr>
        <w:t xml:space="preserve">la </w:t>
      </w:r>
      <w:r w:rsidR="00761137" w:rsidRPr="00325470">
        <w:rPr>
          <w:b/>
          <w:bCs/>
        </w:rPr>
        <w:t>Defensor</w:t>
      </w:r>
      <w:r w:rsidR="00761137">
        <w:rPr>
          <w:b/>
          <w:bCs/>
        </w:rPr>
        <w:t>ía</w:t>
      </w:r>
      <w:r w:rsidR="00325470" w:rsidRPr="00325470">
        <w:rPr>
          <w:b/>
          <w:bCs/>
        </w:rPr>
        <w:t xml:space="preserve"> del Pueblo garanticen </w:t>
      </w:r>
      <w:r w:rsidR="00DA1AD8">
        <w:rPr>
          <w:b/>
          <w:bCs/>
        </w:rPr>
        <w:t xml:space="preserve">su </w:t>
      </w:r>
      <w:r w:rsidR="00325470" w:rsidRPr="00325470">
        <w:rPr>
          <w:b/>
          <w:bCs/>
        </w:rPr>
        <w:t xml:space="preserve">plena transparencia y </w:t>
      </w:r>
      <w:r w:rsidR="00DA1AD8">
        <w:rPr>
          <w:b/>
          <w:bCs/>
        </w:rPr>
        <w:t>su</w:t>
      </w:r>
      <w:r w:rsidR="00DA1AD8" w:rsidRPr="00325470">
        <w:rPr>
          <w:b/>
          <w:bCs/>
        </w:rPr>
        <w:t xml:space="preserve"> </w:t>
      </w:r>
      <w:r w:rsidR="00325470" w:rsidRPr="00325470">
        <w:rPr>
          <w:b/>
          <w:bCs/>
        </w:rPr>
        <w:t xml:space="preserve">independencia política, </w:t>
      </w:r>
      <w:r w:rsidR="00C56F6C">
        <w:rPr>
          <w:b/>
          <w:bCs/>
        </w:rPr>
        <w:t>de</w:t>
      </w:r>
      <w:r w:rsidR="00325470" w:rsidRPr="00325470">
        <w:rPr>
          <w:b/>
          <w:bCs/>
        </w:rPr>
        <w:t xml:space="preserve"> conformidad con los principios relativos al estatuto de las instituciones nacionales de promoción y protección de los derechos humanos (Principios de París).</w:t>
      </w:r>
      <w:r w:rsidR="008135B8">
        <w:t xml:space="preserve"> </w:t>
      </w:r>
    </w:p>
    <w:p w14:paraId="3EF4525E" w14:textId="046FBD5F" w:rsidR="000D7F5E" w:rsidRDefault="00B953F0" w:rsidP="00B953F0">
      <w:pPr>
        <w:pStyle w:val="H23G"/>
      </w:pPr>
      <w:r>
        <w:tab/>
      </w:r>
      <w:r>
        <w:tab/>
      </w:r>
      <w:r w:rsidR="000D7F5E" w:rsidRPr="000D7F5E">
        <w:t xml:space="preserve">Lucha contra la impunidad y </w:t>
      </w:r>
      <w:r w:rsidR="00F113B4">
        <w:t xml:space="preserve">las </w:t>
      </w:r>
      <w:r w:rsidR="000D7F5E" w:rsidRPr="000D7F5E">
        <w:t xml:space="preserve">violaciones </w:t>
      </w:r>
      <w:r w:rsidR="00F113B4">
        <w:t>de los derechos humanos cometidas en el pasado</w:t>
      </w:r>
      <w:r w:rsidR="000D7F5E" w:rsidRPr="000D7F5E">
        <w:t xml:space="preserve"> </w:t>
      </w:r>
    </w:p>
    <w:p w14:paraId="49179F6A" w14:textId="4056FC21" w:rsidR="000D7F5E" w:rsidRDefault="00A44737" w:rsidP="008D7D8B">
      <w:pPr>
        <w:pStyle w:val="SingleTxtG"/>
      </w:pPr>
      <w:r>
        <w:t>10</w:t>
      </w:r>
      <w:r w:rsidR="000D7F5E">
        <w:t>.</w:t>
      </w:r>
      <w:r w:rsidR="000D7F5E">
        <w:tab/>
      </w:r>
      <w:r w:rsidR="00772A6D">
        <w:t>S</w:t>
      </w:r>
      <w:r w:rsidR="00772A6D" w:rsidRPr="00772A6D">
        <w:t>i bien acoge con satisfacción las medidas adoptadas en respuesta a los acontecimientos ocurridos</w:t>
      </w:r>
      <w:r w:rsidR="00772A6D">
        <w:t xml:space="preserve"> durante el </w:t>
      </w:r>
      <w:r w:rsidR="002253BC">
        <w:t>período de violencia</w:t>
      </w:r>
      <w:r w:rsidR="009018CD">
        <w:t xml:space="preserve"> de 1980 a 2000</w:t>
      </w:r>
      <w:r w:rsidR="00772A6D" w:rsidRPr="00772A6D">
        <w:t xml:space="preserve">, en particular, </w:t>
      </w:r>
      <w:r w:rsidR="00773831">
        <w:t xml:space="preserve">la promulgación de la Ley de Búsqueda de Personas Desparecidas durante el período de violencia de 1980-2000 y </w:t>
      </w:r>
      <w:r w:rsidR="00C775EE">
        <w:t>d</w:t>
      </w:r>
      <w:r w:rsidR="00773831">
        <w:t>el Plan Nacional para la Búsqueda de Personas Desaparecidas (1980–2000)</w:t>
      </w:r>
      <w:r w:rsidR="002253BC">
        <w:t xml:space="preserve"> al 2030</w:t>
      </w:r>
      <w:r w:rsidR="00772A6D" w:rsidRPr="00772A6D">
        <w:t xml:space="preserve">, </w:t>
      </w:r>
      <w:r w:rsidR="00BD4BCF">
        <w:t xml:space="preserve">o </w:t>
      </w:r>
      <w:r w:rsidR="00772A6D" w:rsidRPr="00772A6D">
        <w:t xml:space="preserve">los esfuerzos realizados para </w:t>
      </w:r>
      <w:r w:rsidR="00773831">
        <w:t>implementar el Plan Integral de Reparaciones</w:t>
      </w:r>
      <w:r w:rsidR="00AA49AE">
        <w:t>, incluyendo la inscripción de más de 250</w:t>
      </w:r>
      <w:r w:rsidR="009155FD">
        <w:t>.</w:t>
      </w:r>
      <w:r w:rsidR="00AA49AE">
        <w:t xml:space="preserve">000 víctimas en el </w:t>
      </w:r>
      <w:r w:rsidR="00773831">
        <w:t>Registro Unificado de Víctimas</w:t>
      </w:r>
      <w:r w:rsidR="00772A6D" w:rsidRPr="00772A6D">
        <w:t>, el Comité está preocupado</w:t>
      </w:r>
      <w:r w:rsidR="002779ED">
        <w:t xml:space="preserve"> por</w:t>
      </w:r>
      <w:r w:rsidR="00772A6D" w:rsidRPr="00772A6D">
        <w:t xml:space="preserve"> </w:t>
      </w:r>
      <w:r w:rsidR="002779ED" w:rsidRPr="002779ED">
        <w:t xml:space="preserve">los obstáculos en el acceso a los derechos a la justicia, verdad, reparación y garantías de no repetición, </w:t>
      </w:r>
      <w:r w:rsidR="008A32A0">
        <w:t>especialment</w:t>
      </w:r>
      <w:r w:rsidR="002779ED" w:rsidRPr="002779ED">
        <w:t>e para víctimas de tortura, violación</w:t>
      </w:r>
      <w:r w:rsidR="002779ED">
        <w:t xml:space="preserve"> </w:t>
      </w:r>
      <w:r w:rsidR="002779ED" w:rsidRPr="002779ED">
        <w:t>y violencia sexual,</w:t>
      </w:r>
      <w:r w:rsidR="0043017D">
        <w:t xml:space="preserve"> </w:t>
      </w:r>
      <w:r w:rsidR="002779ED">
        <w:t>y</w:t>
      </w:r>
      <w:r w:rsidR="002779ED" w:rsidRPr="002779ED">
        <w:t xml:space="preserve"> desapariciones forzadas durante</w:t>
      </w:r>
      <w:r w:rsidR="002779ED">
        <w:t xml:space="preserve"> el per</w:t>
      </w:r>
      <w:r w:rsidR="002253BC">
        <w:t>í</w:t>
      </w:r>
      <w:r w:rsidR="002779ED">
        <w:t>odo de violencia de 1980</w:t>
      </w:r>
      <w:r w:rsidR="009155FD">
        <w:t xml:space="preserve"> a </w:t>
      </w:r>
      <w:r w:rsidR="002779ED">
        <w:t xml:space="preserve">2000. </w:t>
      </w:r>
      <w:r w:rsidR="008A32A0">
        <w:t xml:space="preserve">También está preocupado </w:t>
      </w:r>
      <w:r w:rsidR="00772A6D" w:rsidRPr="00772A6D">
        <w:t>por</w:t>
      </w:r>
      <w:r w:rsidR="00C17C51">
        <w:t xml:space="preserve"> la </w:t>
      </w:r>
      <w:r w:rsidR="00296338">
        <w:t>demora</w:t>
      </w:r>
      <w:r w:rsidR="00C17C51">
        <w:t xml:space="preserve"> </w:t>
      </w:r>
      <w:r w:rsidR="00C17C51" w:rsidRPr="00C17C51">
        <w:t>en la investigación y el enjuiciamiento de los responsables de violaciones de los derechos humanos</w:t>
      </w:r>
      <w:r w:rsidR="00C775EE">
        <w:t>. Asimismo,</w:t>
      </w:r>
      <w:r w:rsidR="002779ED">
        <w:t xml:space="preserve"> preocupan </w:t>
      </w:r>
      <w:r w:rsidR="00C775EE">
        <w:t>las informaciones recibidas sobre el retraso en distribuir las reparaciones en materia de salud</w:t>
      </w:r>
      <w:r w:rsidR="002253BC">
        <w:t>, incluyendo la salud mental,</w:t>
      </w:r>
      <w:r w:rsidR="00C775EE">
        <w:t xml:space="preserve"> y la falta de información sobre</w:t>
      </w:r>
      <w:r w:rsidR="00BB7C01">
        <w:t xml:space="preserve"> la rendición de cuentas y</w:t>
      </w:r>
      <w:r w:rsidR="00C775EE">
        <w:t xml:space="preserve"> la reparación ofrecida a las víctimas de</w:t>
      </w:r>
      <w:r w:rsidR="00E13790">
        <w:t xml:space="preserve"> </w:t>
      </w:r>
      <w:r w:rsidR="00C775EE">
        <w:t>esterilizaciones forzadas</w:t>
      </w:r>
      <w:r w:rsidR="008D7D8B">
        <w:t xml:space="preserve"> </w:t>
      </w:r>
      <w:r w:rsidR="000D7F5E" w:rsidRPr="000D7F5E">
        <w:t>(arts. 2, 3, 6, 7 y 14)</w:t>
      </w:r>
      <w:r w:rsidR="00732CBB">
        <w:t>.</w:t>
      </w:r>
    </w:p>
    <w:p w14:paraId="3CC0BCD6" w14:textId="2B25808E" w:rsidR="0020493E" w:rsidRPr="000D7F5E" w:rsidRDefault="00732CBB" w:rsidP="008B2ADF">
      <w:pPr>
        <w:pStyle w:val="SingleTxtG"/>
      </w:pPr>
      <w:r>
        <w:t>1</w:t>
      </w:r>
      <w:r w:rsidR="00A44737">
        <w:t>1</w:t>
      </w:r>
      <w:r>
        <w:t>.</w:t>
      </w:r>
      <w:r>
        <w:tab/>
      </w:r>
      <w:r w:rsidR="0020493E">
        <w:rPr>
          <w:b/>
          <w:bCs/>
        </w:rPr>
        <w:t>E</w:t>
      </w:r>
      <w:r w:rsidR="0020493E" w:rsidRPr="0020493E">
        <w:rPr>
          <w:b/>
          <w:bCs/>
        </w:rPr>
        <w:t>l Comité reitera sus recomendaciones anteriores</w:t>
      </w:r>
      <w:r w:rsidR="00B3582D">
        <w:rPr>
          <w:rStyle w:val="Refdenotaalpie"/>
          <w:b/>
          <w:bCs/>
        </w:rPr>
        <w:footnoteReference w:id="5"/>
      </w:r>
      <w:r w:rsidR="0020493E" w:rsidRPr="0020493E">
        <w:rPr>
          <w:b/>
          <w:bCs/>
        </w:rPr>
        <w:t xml:space="preserve"> sobre la impunidad por violaciones graves de los derechos humanos.</w:t>
      </w:r>
      <w:r w:rsidR="00B24914">
        <w:rPr>
          <w:b/>
          <w:bCs/>
        </w:rPr>
        <w:t xml:space="preserve"> </w:t>
      </w:r>
      <w:r w:rsidR="0020493E" w:rsidRPr="0020493E">
        <w:rPr>
          <w:b/>
          <w:bCs/>
        </w:rPr>
        <w:t xml:space="preserve">El Estado parte debe cumplir su obligación </w:t>
      </w:r>
      <w:r w:rsidR="008B2ADF">
        <w:rPr>
          <w:b/>
          <w:bCs/>
        </w:rPr>
        <w:t>y</w:t>
      </w:r>
      <w:r w:rsidR="00296338">
        <w:rPr>
          <w:b/>
          <w:bCs/>
        </w:rPr>
        <w:t>,</w:t>
      </w:r>
      <w:r w:rsidR="00296338" w:rsidRPr="00296338">
        <w:rPr>
          <w:rFonts w:ascii="Roboto" w:hAnsi="Roboto"/>
          <w:b/>
          <w:bCs/>
          <w:color w:val="505050"/>
          <w:sz w:val="26"/>
          <w:szCs w:val="26"/>
          <w:shd w:val="clear" w:color="auto" w:fill="FFFFFF"/>
        </w:rPr>
        <w:t xml:space="preserve"> </w:t>
      </w:r>
      <w:r w:rsidR="00296338" w:rsidRPr="00296338">
        <w:rPr>
          <w:b/>
          <w:bCs/>
        </w:rPr>
        <w:t>con carácter prioritario,</w:t>
      </w:r>
      <w:r w:rsidR="00193F5A">
        <w:rPr>
          <w:b/>
          <w:bCs/>
        </w:rPr>
        <w:t xml:space="preserve"> </w:t>
      </w:r>
      <w:r w:rsidR="002253BC">
        <w:rPr>
          <w:b/>
          <w:bCs/>
        </w:rPr>
        <w:t xml:space="preserve">incrementar </w:t>
      </w:r>
      <w:r w:rsidR="008B2ADF">
        <w:rPr>
          <w:b/>
          <w:bCs/>
        </w:rPr>
        <w:t>sus esfuerzos para</w:t>
      </w:r>
      <w:r w:rsidR="0020493E" w:rsidRPr="0020493E">
        <w:rPr>
          <w:b/>
          <w:bCs/>
        </w:rPr>
        <w:t xml:space="preserve"> investigar </w:t>
      </w:r>
      <w:r w:rsidR="008B2ADF">
        <w:rPr>
          <w:b/>
          <w:bCs/>
        </w:rPr>
        <w:t xml:space="preserve">todas </w:t>
      </w:r>
      <w:r w:rsidR="0020493E" w:rsidRPr="0020493E">
        <w:rPr>
          <w:b/>
          <w:bCs/>
        </w:rPr>
        <w:t xml:space="preserve">las violaciones de los derechos humanos cometidas </w:t>
      </w:r>
      <w:r w:rsidR="008B2ADF">
        <w:rPr>
          <w:b/>
          <w:bCs/>
        </w:rPr>
        <w:t xml:space="preserve">durante el </w:t>
      </w:r>
      <w:r w:rsidR="002253BC">
        <w:rPr>
          <w:b/>
          <w:bCs/>
        </w:rPr>
        <w:t>período de violencia</w:t>
      </w:r>
      <w:r w:rsidR="008B2ADF">
        <w:rPr>
          <w:b/>
          <w:bCs/>
        </w:rPr>
        <w:t xml:space="preserve"> de 1980 a 2000</w:t>
      </w:r>
      <w:r w:rsidR="0020493E" w:rsidRPr="0020493E">
        <w:rPr>
          <w:b/>
          <w:bCs/>
        </w:rPr>
        <w:t xml:space="preserve">, enjuiciar a los autores, imponerles penas proporcionales a la gravedad de los delitos cuando corresponda, </w:t>
      </w:r>
      <w:r w:rsidR="002253BC">
        <w:rPr>
          <w:b/>
          <w:bCs/>
        </w:rPr>
        <w:t xml:space="preserve">dar medidas de no repetición, </w:t>
      </w:r>
      <w:r w:rsidR="0020493E" w:rsidRPr="0020493E">
        <w:rPr>
          <w:b/>
          <w:bCs/>
        </w:rPr>
        <w:t xml:space="preserve">y proporcionar una reparación </w:t>
      </w:r>
      <w:r w:rsidR="0043017D" w:rsidRPr="0020493E">
        <w:rPr>
          <w:b/>
          <w:bCs/>
        </w:rPr>
        <w:t>integra</w:t>
      </w:r>
      <w:r w:rsidR="0043017D">
        <w:rPr>
          <w:b/>
          <w:bCs/>
        </w:rPr>
        <w:t>l</w:t>
      </w:r>
      <w:r w:rsidR="0020493E" w:rsidRPr="0020493E">
        <w:rPr>
          <w:b/>
          <w:bCs/>
        </w:rPr>
        <w:t xml:space="preserve"> a </w:t>
      </w:r>
      <w:r w:rsidR="008B2ADF">
        <w:rPr>
          <w:b/>
          <w:bCs/>
        </w:rPr>
        <w:t xml:space="preserve">todas </w:t>
      </w:r>
      <w:r w:rsidR="0020493E" w:rsidRPr="0020493E">
        <w:rPr>
          <w:b/>
          <w:bCs/>
        </w:rPr>
        <w:t xml:space="preserve">las </w:t>
      </w:r>
      <w:r w:rsidR="009668A8">
        <w:rPr>
          <w:b/>
          <w:bCs/>
        </w:rPr>
        <w:t xml:space="preserve">víctimas </w:t>
      </w:r>
      <w:r w:rsidR="00296338">
        <w:rPr>
          <w:b/>
          <w:bCs/>
        </w:rPr>
        <w:t>y sus</w:t>
      </w:r>
      <w:r w:rsidR="009668A8">
        <w:rPr>
          <w:b/>
          <w:bCs/>
        </w:rPr>
        <w:t xml:space="preserve"> </w:t>
      </w:r>
      <w:r w:rsidR="0020493E" w:rsidRPr="0020493E">
        <w:rPr>
          <w:b/>
          <w:bCs/>
        </w:rPr>
        <w:t>familia</w:t>
      </w:r>
      <w:r w:rsidR="00296338">
        <w:rPr>
          <w:b/>
          <w:bCs/>
        </w:rPr>
        <w:t>res</w:t>
      </w:r>
      <w:r w:rsidR="00BB7C01">
        <w:rPr>
          <w:b/>
          <w:bCs/>
        </w:rPr>
        <w:t>,</w:t>
      </w:r>
      <w:r w:rsidR="0020493E" w:rsidRPr="0020493E">
        <w:rPr>
          <w:b/>
          <w:bCs/>
        </w:rPr>
        <w:t xml:space="preserve"> que incluya una indemnización adecuada.</w:t>
      </w:r>
      <w:r w:rsidR="00B24914" w:rsidRPr="00B24914">
        <w:rPr>
          <w:b/>
          <w:bCs/>
        </w:rPr>
        <w:t xml:space="preserve"> </w:t>
      </w:r>
      <w:r w:rsidR="00B24914">
        <w:rPr>
          <w:b/>
          <w:bCs/>
        </w:rPr>
        <w:t xml:space="preserve">Asimismo, debe </w:t>
      </w:r>
      <w:r w:rsidR="002253BC">
        <w:rPr>
          <w:b/>
          <w:bCs/>
        </w:rPr>
        <w:t>proporcionar recursos adecuados para fortalecer</w:t>
      </w:r>
      <w:r w:rsidR="00B24914" w:rsidRPr="00B24914">
        <w:rPr>
          <w:b/>
          <w:bCs/>
        </w:rPr>
        <w:t xml:space="preserve"> las acciones de reconocimiento de responsabilidad, conocimiento de la verdad, búsqueda de las personas desaparecidas </w:t>
      </w:r>
      <w:r w:rsidR="00B24914">
        <w:rPr>
          <w:b/>
          <w:bCs/>
        </w:rPr>
        <w:t xml:space="preserve">y </w:t>
      </w:r>
      <w:r w:rsidR="00B24914" w:rsidRPr="00B24914">
        <w:rPr>
          <w:b/>
          <w:bCs/>
        </w:rPr>
        <w:t>generación y conservación de la memoria</w:t>
      </w:r>
      <w:r w:rsidR="00B24914">
        <w:rPr>
          <w:b/>
          <w:bCs/>
        </w:rPr>
        <w:t>.</w:t>
      </w:r>
    </w:p>
    <w:p w14:paraId="2596ECE3" w14:textId="7B674E2B" w:rsidR="009D3F6B" w:rsidRPr="009D3F6B" w:rsidRDefault="00B953F0" w:rsidP="00B953F0">
      <w:pPr>
        <w:pStyle w:val="H23G"/>
      </w:pPr>
      <w:r>
        <w:tab/>
      </w:r>
      <w:r>
        <w:tab/>
      </w:r>
      <w:r w:rsidR="007C108E" w:rsidRPr="007C108E">
        <w:t>Estados de emergencia</w:t>
      </w:r>
    </w:p>
    <w:p w14:paraId="647E8D70" w14:textId="22B53AA8" w:rsidR="00FB69C4" w:rsidRDefault="00732CBB" w:rsidP="00E20125">
      <w:pPr>
        <w:pStyle w:val="SingleTxtG"/>
      </w:pPr>
      <w:r>
        <w:t>1</w:t>
      </w:r>
      <w:r w:rsidR="00A44737">
        <w:t>2</w:t>
      </w:r>
      <w:r w:rsidR="009D3F6B">
        <w:t xml:space="preserve">. </w:t>
      </w:r>
      <w:r w:rsidR="009D3F6B">
        <w:tab/>
        <w:t xml:space="preserve">Sigue preocupando </w:t>
      </w:r>
      <w:r w:rsidR="00276408" w:rsidRPr="00276408">
        <w:t>al Comité</w:t>
      </w:r>
      <w:r w:rsidR="00D46A80" w:rsidRPr="00D46A80">
        <w:t xml:space="preserve"> la frecuencia con que el Estado parte ha declarado estados de emergencia y suspendido los derechos consagrados en el Pacto, incluso en relación </w:t>
      </w:r>
      <w:r w:rsidR="00D46A80" w:rsidRPr="00D46A80">
        <w:lastRenderedPageBreak/>
        <w:t xml:space="preserve">con protestas sociales, teniendo en cuenta que las suspensiones solo deben ocurrir en situaciones verdaderamente excepcionales. </w:t>
      </w:r>
      <w:r w:rsidR="008A32A0">
        <w:t xml:space="preserve">Asimismo, preocupa el frecuente despliegue de las fuerzas </w:t>
      </w:r>
      <w:r w:rsidR="008A32A0" w:rsidRPr="00EC1D58">
        <w:t xml:space="preserve">armadas durante el estado de emergencia y </w:t>
      </w:r>
      <w:r w:rsidR="008F2DDE" w:rsidRPr="00EC1D58">
        <w:t>para labores</w:t>
      </w:r>
      <w:r w:rsidR="008A32A0" w:rsidRPr="00EC1D58">
        <w:t xml:space="preserve"> de orden </w:t>
      </w:r>
      <w:r w:rsidR="008F2DDE" w:rsidRPr="00EC1D58">
        <w:t>intern</w:t>
      </w:r>
      <w:r w:rsidR="008A32A0" w:rsidRPr="00EC1D58">
        <w:t>o</w:t>
      </w:r>
      <w:r w:rsidR="008F2DDE" w:rsidRPr="00EC1D58">
        <w:t xml:space="preserve"> sin previa declaratoria de estado de emergencia</w:t>
      </w:r>
      <w:r w:rsidR="008A32A0" w:rsidRPr="00EC1D58">
        <w:t>, lo que</w:t>
      </w:r>
      <w:r w:rsidR="008A32A0">
        <w:t xml:space="preserve"> incrementa el riesgo de violaciones de derechos humanos. </w:t>
      </w:r>
      <w:r w:rsidR="001C2122">
        <w:t>Observa con preocupación</w:t>
      </w:r>
      <w:r w:rsidR="00FB69C4">
        <w:t xml:space="preserve"> </w:t>
      </w:r>
      <w:r w:rsidR="00FB69C4" w:rsidRPr="00276408">
        <w:t>las denuncias de graves violaciones de los derechos humanos</w:t>
      </w:r>
      <w:r w:rsidR="00322940">
        <w:t>,</w:t>
      </w:r>
      <w:r w:rsidR="00322940" w:rsidRPr="00322940">
        <w:t xml:space="preserve"> como detenciones arbitrarias</w:t>
      </w:r>
      <w:r w:rsidR="00C332AC">
        <w:t xml:space="preserve"> masivas</w:t>
      </w:r>
      <w:r w:rsidR="00322940" w:rsidRPr="00322940">
        <w:t xml:space="preserve">, </w:t>
      </w:r>
      <w:r w:rsidR="00736AC9">
        <w:t xml:space="preserve">ejecuciones extrajudiciales, tratos </w:t>
      </w:r>
      <w:r w:rsidR="002253BC">
        <w:t xml:space="preserve">crueles, inhumanos o degradantes </w:t>
      </w:r>
      <w:r w:rsidR="00322940" w:rsidRPr="00322940">
        <w:t>y torturas</w:t>
      </w:r>
      <w:r w:rsidR="00322940">
        <w:t>,</w:t>
      </w:r>
      <w:r w:rsidR="00FB69C4">
        <w:t xml:space="preserve"> cometid</w:t>
      </w:r>
      <w:r w:rsidR="00322940">
        <w:t>a</w:t>
      </w:r>
      <w:r w:rsidR="00FB69C4">
        <w:t xml:space="preserve">s </w:t>
      </w:r>
      <w:r w:rsidR="00736AC9">
        <w:t xml:space="preserve">presuntamente </w:t>
      </w:r>
      <w:r w:rsidR="00FB69C4">
        <w:t>por las fuerzas de seguridad, incluidas las fuerzas armadas</w:t>
      </w:r>
      <w:r w:rsidR="0047497A">
        <w:t xml:space="preserve">, </w:t>
      </w:r>
      <w:r w:rsidR="0047497A" w:rsidRPr="00276408">
        <w:t xml:space="preserve">durante </w:t>
      </w:r>
      <w:r w:rsidR="0047497A">
        <w:t>los estados</w:t>
      </w:r>
      <w:r w:rsidR="0047497A" w:rsidRPr="00276408">
        <w:t xml:space="preserve"> de emergencia</w:t>
      </w:r>
      <w:r w:rsidR="0047497A">
        <w:t xml:space="preserve">, especialmente </w:t>
      </w:r>
      <w:r w:rsidR="00736AC9">
        <w:t>los</w:t>
      </w:r>
      <w:r w:rsidR="0047497A">
        <w:t xml:space="preserve"> declarado</w:t>
      </w:r>
      <w:r w:rsidR="00322940">
        <w:t>s</w:t>
      </w:r>
      <w:r w:rsidR="0047497A">
        <w:t xml:space="preserve"> </w:t>
      </w:r>
      <w:r w:rsidR="00736AC9">
        <w:t xml:space="preserve">en el contexto de las protestas </w:t>
      </w:r>
      <w:r w:rsidR="00322940">
        <w:t>desde</w:t>
      </w:r>
      <w:r w:rsidR="0047497A">
        <w:t xml:space="preserve"> diciembre de 2022</w:t>
      </w:r>
      <w:r w:rsidR="0047497A" w:rsidRPr="0047497A">
        <w:t>.</w:t>
      </w:r>
      <w:r w:rsidR="0047497A">
        <w:t xml:space="preserve"> En ese sentido, el Comité lamenta profundamente</w:t>
      </w:r>
      <w:r w:rsidR="00322940">
        <w:t xml:space="preserve"> las violaciones de derechos humanos </w:t>
      </w:r>
      <w:r w:rsidR="00F80B9D">
        <w:t xml:space="preserve">que pudieran haberse </w:t>
      </w:r>
      <w:r w:rsidR="00322940">
        <w:t>cometid</w:t>
      </w:r>
      <w:r w:rsidR="00F80B9D">
        <w:t>o</w:t>
      </w:r>
      <w:r w:rsidR="00322940">
        <w:t xml:space="preserve"> durante las intervenciones militares y policiales en</w:t>
      </w:r>
      <w:r w:rsidR="00D60E6B">
        <w:t xml:space="preserve"> </w:t>
      </w:r>
      <w:r w:rsidR="002253BC">
        <w:t>Andahuaylas y Chincheros</w:t>
      </w:r>
      <w:r w:rsidR="009155FD">
        <w:t xml:space="preserve"> (</w:t>
      </w:r>
      <w:r w:rsidR="002253BC">
        <w:t>Apurímac</w:t>
      </w:r>
      <w:r w:rsidR="009155FD">
        <w:t>)</w:t>
      </w:r>
      <w:r w:rsidR="002253BC">
        <w:t xml:space="preserve"> </w:t>
      </w:r>
      <w:r w:rsidR="009155FD">
        <w:t xml:space="preserve">los días </w:t>
      </w:r>
      <w:r w:rsidR="002253BC">
        <w:t xml:space="preserve">11 y 12 de diciembre de 2022, </w:t>
      </w:r>
      <w:r w:rsidR="009155FD">
        <w:t xml:space="preserve">en </w:t>
      </w:r>
      <w:r w:rsidR="00322940">
        <w:t xml:space="preserve">Ayacucho el 15 de diciembre de 2022, en el local de la Confederación Campesina del Perú el 17 de diciembre de 2022, </w:t>
      </w:r>
      <w:r w:rsidR="00D60E6B">
        <w:t xml:space="preserve">en Juliaca </w:t>
      </w:r>
      <w:r w:rsidR="009155FD">
        <w:t>(</w:t>
      </w:r>
      <w:r w:rsidR="00D60E6B">
        <w:t>Puno</w:t>
      </w:r>
      <w:r w:rsidR="009155FD">
        <w:t>)</w:t>
      </w:r>
      <w:r w:rsidR="00D60E6B">
        <w:t xml:space="preserve"> e</w:t>
      </w:r>
      <w:r w:rsidR="00736AC9">
        <w:t>l</w:t>
      </w:r>
      <w:r w:rsidR="00D60E6B">
        <w:t xml:space="preserve"> 9 de enero de 2023,</w:t>
      </w:r>
      <w:r w:rsidR="00322940">
        <w:t xml:space="preserve"> en la Universidad Nacional Mayor de San Marcos el 21 de enero de 2023</w:t>
      </w:r>
      <w:r w:rsidR="00D60E6B">
        <w:t xml:space="preserve"> y en </w:t>
      </w:r>
      <w:r w:rsidR="0053216E">
        <w:t>Iscahuaca</w:t>
      </w:r>
      <w:r w:rsidR="00D60E6B">
        <w:t xml:space="preserve"> </w:t>
      </w:r>
      <w:r w:rsidR="009155FD">
        <w:t>(</w:t>
      </w:r>
      <w:r w:rsidR="00D60E6B">
        <w:t>Apurímac</w:t>
      </w:r>
      <w:r w:rsidR="009155FD">
        <w:t>)</w:t>
      </w:r>
      <w:r w:rsidR="00D60E6B">
        <w:t xml:space="preserve"> el 9 de febrero</w:t>
      </w:r>
      <w:r w:rsidR="00736AC9">
        <w:t xml:space="preserve"> de 2023</w:t>
      </w:r>
      <w:r w:rsidR="00BF5406">
        <w:t xml:space="preserve"> (arts. 4</w:t>
      </w:r>
      <w:r w:rsidR="00BF5406" w:rsidRPr="00AA5F04">
        <w:t>, 6, 7 y 9</w:t>
      </w:r>
      <w:r w:rsidR="00DC2E2D" w:rsidRPr="00AA5F04">
        <w:t>).</w:t>
      </w:r>
      <w:r w:rsidR="00973FF1">
        <w:t xml:space="preserve"> </w:t>
      </w:r>
    </w:p>
    <w:p w14:paraId="538A71CD" w14:textId="1D97FD4D" w:rsidR="00A22192" w:rsidRDefault="00B54F95" w:rsidP="00A22192">
      <w:pPr>
        <w:pStyle w:val="SingleTxtG"/>
        <w:rPr>
          <w:b/>
          <w:bCs/>
        </w:rPr>
      </w:pPr>
      <w:r w:rsidRPr="00B54F95">
        <w:t>1</w:t>
      </w:r>
      <w:r w:rsidR="00A44737">
        <w:t>3</w:t>
      </w:r>
      <w:r w:rsidRPr="00B54F95">
        <w:t>.</w:t>
      </w:r>
      <w:r>
        <w:rPr>
          <w:b/>
          <w:bCs/>
        </w:rPr>
        <w:t xml:space="preserve"> </w:t>
      </w:r>
      <w:r>
        <w:rPr>
          <w:b/>
          <w:bCs/>
        </w:rPr>
        <w:tab/>
      </w:r>
      <w:r w:rsidR="005C05AC" w:rsidRPr="005C05AC">
        <w:rPr>
          <w:b/>
          <w:bCs/>
        </w:rPr>
        <w:t>A la luz de la recomendaci</w:t>
      </w:r>
      <w:r w:rsidR="00FF40AA">
        <w:rPr>
          <w:b/>
          <w:bCs/>
        </w:rPr>
        <w:t>ó</w:t>
      </w:r>
      <w:r w:rsidR="005C05AC" w:rsidRPr="005C05AC">
        <w:rPr>
          <w:b/>
          <w:bCs/>
        </w:rPr>
        <w:t>n anterior</w:t>
      </w:r>
      <w:r w:rsidR="00FB1DDD" w:rsidRPr="00E5257B">
        <w:rPr>
          <w:rStyle w:val="Refdenotaalpie"/>
          <w:b/>
          <w:bCs/>
        </w:rPr>
        <w:footnoteReference w:id="6"/>
      </w:r>
      <w:r w:rsidR="005C05AC">
        <w:rPr>
          <w:b/>
          <w:bCs/>
        </w:rPr>
        <w:t xml:space="preserve"> del Comité</w:t>
      </w:r>
      <w:r w:rsidR="00DA1AD8" w:rsidRPr="00E5257B">
        <w:rPr>
          <w:b/>
          <w:bCs/>
        </w:rPr>
        <w:t xml:space="preserve"> y</w:t>
      </w:r>
      <w:r w:rsidR="005C05AC" w:rsidRPr="005C05AC">
        <w:rPr>
          <w:b/>
          <w:bCs/>
        </w:rPr>
        <w:t xml:space="preserve"> teniéndola en cuenta, y a la vista también </w:t>
      </w:r>
      <w:r w:rsidR="00DA1AD8" w:rsidRPr="00E5257B">
        <w:rPr>
          <w:b/>
          <w:bCs/>
        </w:rPr>
        <w:t>de las informaciones recibidas en el curso del pr</w:t>
      </w:r>
      <w:r w:rsidR="005C05AC">
        <w:rPr>
          <w:b/>
          <w:bCs/>
        </w:rPr>
        <w:t>esente</w:t>
      </w:r>
      <w:r w:rsidR="00DA1AD8" w:rsidRPr="00E5257B">
        <w:rPr>
          <w:b/>
          <w:bCs/>
        </w:rPr>
        <w:t xml:space="preserve"> diálogo constructivo, el Estado parte debe</w:t>
      </w:r>
      <w:r w:rsidR="00A22192">
        <w:rPr>
          <w:b/>
          <w:bCs/>
        </w:rPr>
        <w:t>:</w:t>
      </w:r>
    </w:p>
    <w:p w14:paraId="158F7A07" w14:textId="73ADA569" w:rsidR="00A22192" w:rsidRPr="00A73CAA" w:rsidRDefault="00A22192" w:rsidP="00A22192">
      <w:pPr>
        <w:pStyle w:val="SingleTxtG"/>
        <w:rPr>
          <w:b/>
          <w:bCs/>
        </w:rPr>
      </w:pPr>
      <w:r>
        <w:tab/>
      </w:r>
      <w:r w:rsidRPr="00A73CAA">
        <w:rPr>
          <w:b/>
          <w:bCs/>
        </w:rPr>
        <w:t>a)</w:t>
      </w:r>
      <w:r w:rsidRPr="00A73CAA">
        <w:rPr>
          <w:b/>
          <w:bCs/>
        </w:rPr>
        <w:tab/>
        <w:t xml:space="preserve">Limitar el recurso </w:t>
      </w:r>
      <w:r w:rsidR="009155FD" w:rsidRPr="00A73CAA">
        <w:rPr>
          <w:b/>
          <w:bCs/>
        </w:rPr>
        <w:t xml:space="preserve">a </w:t>
      </w:r>
      <w:r w:rsidRPr="00A73CAA">
        <w:rPr>
          <w:b/>
          <w:bCs/>
        </w:rPr>
        <w:t xml:space="preserve">los estados de emergencia y velar por el estricto respeto de los derechos humanos consagrados en el Pacto y por el cumplimiento sistemático de todas las condiciones establecidas en el artículo 4 del Pacto, </w:t>
      </w:r>
      <w:r w:rsidR="00266CE8" w:rsidRPr="00A73CAA">
        <w:rPr>
          <w:b/>
          <w:bCs/>
        </w:rPr>
        <w:t>tal como interpretó el Comité en su observación general núm. 29 (2001)</w:t>
      </w:r>
      <w:r w:rsidR="009155FD" w:rsidRPr="00A73CAA">
        <w:rPr>
          <w:b/>
          <w:bCs/>
        </w:rPr>
        <w:t>,</w:t>
      </w:r>
      <w:r w:rsidR="00266CE8" w:rsidRPr="00A73CAA">
        <w:rPr>
          <w:b/>
          <w:bCs/>
        </w:rPr>
        <w:t xml:space="preserve"> relativa a la suspensión de obligaciones durante un estado de excepción;</w:t>
      </w:r>
    </w:p>
    <w:p w14:paraId="758125ED" w14:textId="703CA836" w:rsidR="00266CE8" w:rsidRPr="00A73CAA" w:rsidRDefault="00266CE8" w:rsidP="00A22192">
      <w:pPr>
        <w:pStyle w:val="SingleTxtG"/>
        <w:rPr>
          <w:b/>
          <w:bCs/>
        </w:rPr>
      </w:pPr>
      <w:r w:rsidRPr="00A73CAA">
        <w:rPr>
          <w:b/>
          <w:bCs/>
        </w:rPr>
        <w:tab/>
        <w:t>b)</w:t>
      </w:r>
      <w:r w:rsidRPr="00A73CAA">
        <w:rPr>
          <w:b/>
          <w:bCs/>
        </w:rPr>
        <w:tab/>
        <w:t>Garantizar que cualquier medida introducida para proteger a la población en el contexto de un estado de emergencia sea temporal, proporcionada y estrictamente necesaria, y esté sujeta a revisión judicial;</w:t>
      </w:r>
    </w:p>
    <w:p w14:paraId="3F91D9E2" w14:textId="5935BD62" w:rsidR="00A22192" w:rsidRPr="00A73CAA" w:rsidRDefault="00A22192" w:rsidP="00A22192">
      <w:pPr>
        <w:pStyle w:val="SingleTxtG"/>
        <w:rPr>
          <w:b/>
          <w:bCs/>
        </w:rPr>
      </w:pPr>
      <w:r w:rsidRPr="00A73CAA">
        <w:rPr>
          <w:b/>
          <w:bCs/>
        </w:rPr>
        <w:tab/>
      </w:r>
      <w:r w:rsidR="00EF617E" w:rsidRPr="00A73CAA">
        <w:rPr>
          <w:b/>
          <w:bCs/>
        </w:rPr>
        <w:t>c</w:t>
      </w:r>
      <w:r w:rsidRPr="00A73CAA">
        <w:rPr>
          <w:b/>
          <w:bCs/>
        </w:rPr>
        <w:t>)</w:t>
      </w:r>
      <w:r w:rsidRPr="00A73CAA">
        <w:rPr>
          <w:b/>
          <w:bCs/>
        </w:rPr>
        <w:tab/>
        <w:t>Tomar las disposiciones necesarias para asegurarse de que las fuerzas armadas no participen en las operaciones de mantenimiento del orden público</w:t>
      </w:r>
      <w:r w:rsidR="00AA5F04" w:rsidRPr="00A73CAA">
        <w:rPr>
          <w:b/>
          <w:bCs/>
        </w:rPr>
        <w:t>,</w:t>
      </w:r>
      <w:r w:rsidRPr="00A73CAA">
        <w:rPr>
          <w:b/>
          <w:bCs/>
        </w:rPr>
        <w:t xml:space="preserve"> y en el caso de </w:t>
      </w:r>
      <w:r w:rsidR="005C3848" w:rsidRPr="00A73CAA">
        <w:rPr>
          <w:b/>
          <w:bCs/>
        </w:rPr>
        <w:t xml:space="preserve">lo hagan, </w:t>
      </w:r>
      <w:r w:rsidR="0033500D" w:rsidRPr="00A73CAA">
        <w:rPr>
          <w:b/>
          <w:bCs/>
        </w:rPr>
        <w:t xml:space="preserve">asegurarse de que </w:t>
      </w:r>
      <w:r w:rsidRPr="00A73CAA">
        <w:rPr>
          <w:b/>
          <w:bCs/>
        </w:rPr>
        <w:t xml:space="preserve">su intervención esté </w:t>
      </w:r>
      <w:r w:rsidR="00736AC9" w:rsidRPr="00A73CAA">
        <w:rPr>
          <w:b/>
          <w:bCs/>
        </w:rPr>
        <w:t xml:space="preserve">restringida </w:t>
      </w:r>
      <w:r w:rsidRPr="00A73CAA">
        <w:rPr>
          <w:b/>
          <w:bCs/>
        </w:rPr>
        <w:t>a circunstancias excepcionales y con una duración limitada, conforme a protocolos claros</w:t>
      </w:r>
      <w:r w:rsidR="0033500D" w:rsidRPr="00A73CAA">
        <w:rPr>
          <w:b/>
          <w:bCs/>
        </w:rPr>
        <w:t xml:space="preserve"> y</w:t>
      </w:r>
      <w:r w:rsidRPr="00A73CAA">
        <w:rPr>
          <w:b/>
          <w:bCs/>
        </w:rPr>
        <w:t xml:space="preserve"> bajo mecanismos de control civil y esquemas de rendición de cuentas</w:t>
      </w:r>
      <w:r w:rsidR="00266CE8" w:rsidRPr="00A73CAA">
        <w:rPr>
          <w:b/>
          <w:bCs/>
        </w:rPr>
        <w:t>;</w:t>
      </w:r>
    </w:p>
    <w:p w14:paraId="7F69D36B" w14:textId="6826BB55" w:rsidR="00EF617E" w:rsidRPr="00A73CAA" w:rsidRDefault="00EF617E" w:rsidP="00A22192">
      <w:pPr>
        <w:pStyle w:val="SingleTxtG"/>
        <w:rPr>
          <w:b/>
          <w:bCs/>
          <w:lang w:val="es-PE"/>
        </w:rPr>
      </w:pPr>
      <w:r w:rsidRPr="00A73CAA">
        <w:rPr>
          <w:b/>
          <w:bCs/>
        </w:rPr>
        <w:tab/>
        <w:t>d)</w:t>
      </w:r>
      <w:r w:rsidRPr="00A73CAA">
        <w:rPr>
          <w:b/>
          <w:bCs/>
        </w:rPr>
        <w:tab/>
      </w:r>
      <w:r w:rsidR="00BA4FA1" w:rsidRPr="00A73CAA">
        <w:rPr>
          <w:b/>
          <w:bCs/>
        </w:rPr>
        <w:t xml:space="preserve">Incrementar </w:t>
      </w:r>
      <w:r w:rsidRPr="00A73CAA">
        <w:rPr>
          <w:b/>
          <w:bCs/>
        </w:rPr>
        <w:t>sus esfuerzos, en particular mediante la capacitación y la supervisión, para prevenir las violaciones de los derechos humanos en las operaciones militares y policiales</w:t>
      </w:r>
      <w:r w:rsidR="00AA5F04" w:rsidRPr="00A73CAA">
        <w:rPr>
          <w:b/>
          <w:bCs/>
        </w:rPr>
        <w:t>;</w:t>
      </w:r>
    </w:p>
    <w:p w14:paraId="12A406B4" w14:textId="49117DFA" w:rsidR="00A22192" w:rsidRPr="00D46A80" w:rsidRDefault="00A22192" w:rsidP="00A22192">
      <w:pPr>
        <w:pStyle w:val="SingleTxtG"/>
        <w:rPr>
          <w:b/>
          <w:bCs/>
        </w:rPr>
      </w:pPr>
      <w:r w:rsidRPr="00A73CAA">
        <w:rPr>
          <w:b/>
          <w:bCs/>
        </w:rPr>
        <w:tab/>
      </w:r>
      <w:r w:rsidR="00EF617E" w:rsidRPr="00A73CAA">
        <w:rPr>
          <w:b/>
          <w:bCs/>
        </w:rPr>
        <w:t>e</w:t>
      </w:r>
      <w:r w:rsidRPr="00A73CAA">
        <w:rPr>
          <w:b/>
          <w:bCs/>
        </w:rPr>
        <w:t>)</w:t>
      </w:r>
      <w:r>
        <w:rPr>
          <w:b/>
          <w:bCs/>
        </w:rPr>
        <w:tab/>
        <w:t>V</w:t>
      </w:r>
      <w:r w:rsidRPr="00D46A80">
        <w:rPr>
          <w:b/>
          <w:bCs/>
        </w:rPr>
        <w:t xml:space="preserve">elar </w:t>
      </w:r>
      <w:r w:rsidRPr="00A22192">
        <w:rPr>
          <w:b/>
          <w:bCs/>
        </w:rPr>
        <w:t>por que todas las denuncias de violaciones de los derechos humanos cometidas durante los estados de emergencia se investiguen con prontitud y eficacia, los responsables sean llevados ante la justicia</w:t>
      </w:r>
      <w:r w:rsidR="0069288C" w:rsidRPr="0069288C">
        <w:rPr>
          <w:b/>
          <w:bCs/>
        </w:rPr>
        <w:t xml:space="preserve">, </w:t>
      </w:r>
      <w:r w:rsidR="0069288C">
        <w:rPr>
          <w:b/>
          <w:bCs/>
        </w:rPr>
        <w:t>asegurando</w:t>
      </w:r>
      <w:r w:rsidR="0069288C" w:rsidRPr="0069288C">
        <w:rPr>
          <w:b/>
          <w:bCs/>
        </w:rPr>
        <w:t xml:space="preserve"> que las investigaciones se inicien, </w:t>
      </w:r>
      <w:r w:rsidR="0033500D">
        <w:rPr>
          <w:b/>
          <w:bCs/>
        </w:rPr>
        <w:t xml:space="preserve">se </w:t>
      </w:r>
      <w:r w:rsidR="0069288C" w:rsidRPr="0069288C">
        <w:rPr>
          <w:b/>
          <w:bCs/>
        </w:rPr>
        <w:t>desarrollen y finalicen en la jurisdicción ordinaria</w:t>
      </w:r>
      <w:r w:rsidR="001F0552">
        <w:rPr>
          <w:b/>
          <w:bCs/>
        </w:rPr>
        <w:t xml:space="preserve"> con total independencia e imparcialidad</w:t>
      </w:r>
      <w:r w:rsidR="0069288C" w:rsidRPr="0069288C">
        <w:rPr>
          <w:b/>
          <w:bCs/>
        </w:rPr>
        <w:t xml:space="preserve"> </w:t>
      </w:r>
      <w:r w:rsidRPr="00A22192">
        <w:rPr>
          <w:b/>
          <w:bCs/>
        </w:rPr>
        <w:t xml:space="preserve">y </w:t>
      </w:r>
      <w:r w:rsidR="0033500D">
        <w:rPr>
          <w:b/>
          <w:bCs/>
        </w:rPr>
        <w:t xml:space="preserve">que </w:t>
      </w:r>
      <w:r w:rsidRPr="00A22192">
        <w:rPr>
          <w:b/>
          <w:bCs/>
        </w:rPr>
        <w:t>las víctimas reciban una reparación integral</w:t>
      </w:r>
      <w:r>
        <w:rPr>
          <w:b/>
          <w:bCs/>
        </w:rPr>
        <w:t>.</w:t>
      </w:r>
    </w:p>
    <w:p w14:paraId="309C7128" w14:textId="51A502F2" w:rsidR="00966EF3" w:rsidRDefault="00B953F0" w:rsidP="00B953F0">
      <w:pPr>
        <w:pStyle w:val="H23G"/>
      </w:pPr>
      <w:r>
        <w:tab/>
      </w:r>
      <w:r>
        <w:tab/>
      </w:r>
      <w:r w:rsidR="00966EF3" w:rsidRPr="00637333">
        <w:t>Medidas de lucha contra el terrorismo</w:t>
      </w:r>
    </w:p>
    <w:p w14:paraId="5E7578BF" w14:textId="344A8D08" w:rsidR="00671112" w:rsidRDefault="00F0681D" w:rsidP="00671112">
      <w:pPr>
        <w:pStyle w:val="SingleTxtG"/>
      </w:pPr>
      <w:r>
        <w:t>1</w:t>
      </w:r>
      <w:r w:rsidR="00A44737">
        <w:t>4</w:t>
      </w:r>
      <w:r>
        <w:t xml:space="preserve">. </w:t>
      </w:r>
      <w:r>
        <w:tab/>
      </w:r>
      <w:r w:rsidR="00994FAF" w:rsidRPr="00994FAF">
        <w:t xml:space="preserve">El Comité </w:t>
      </w:r>
      <w:r w:rsidR="001901DB">
        <w:t xml:space="preserve">expresa </w:t>
      </w:r>
      <w:r w:rsidR="001F0552">
        <w:t xml:space="preserve">su gran </w:t>
      </w:r>
      <w:r w:rsidR="001901DB">
        <w:t>preocupación</w:t>
      </w:r>
      <w:r w:rsidR="00994FAF" w:rsidRPr="00994FAF">
        <w:t xml:space="preserve"> </w:t>
      </w:r>
      <w:r w:rsidR="00835E26" w:rsidRPr="00F0681D">
        <w:t xml:space="preserve">por </w:t>
      </w:r>
      <w:r w:rsidR="00835E26" w:rsidRPr="00994FAF">
        <w:t xml:space="preserve">la definición </w:t>
      </w:r>
      <w:r w:rsidR="000B7EFD">
        <w:t>imprecisa</w:t>
      </w:r>
      <w:r w:rsidR="00835E26" w:rsidRPr="00994FAF">
        <w:t xml:space="preserve"> de “terrorismo”</w:t>
      </w:r>
      <w:r w:rsidR="009B7687">
        <w:t xml:space="preserve"> </w:t>
      </w:r>
      <w:r w:rsidR="00251F14">
        <w:t xml:space="preserve">establecida en la Ley </w:t>
      </w:r>
      <w:r w:rsidR="0033500D">
        <w:t>c</w:t>
      </w:r>
      <w:r w:rsidR="00251F14">
        <w:t>ontra el Terrorismo (</w:t>
      </w:r>
      <w:r w:rsidR="00835E26">
        <w:t>Decreto</w:t>
      </w:r>
      <w:r w:rsidR="00994FAF" w:rsidRPr="00994FAF">
        <w:t xml:space="preserve"> Ley </w:t>
      </w:r>
      <w:r w:rsidR="0033500D">
        <w:t xml:space="preserve">núm. </w:t>
      </w:r>
      <w:r w:rsidR="0093623B">
        <w:t>25475</w:t>
      </w:r>
      <w:r w:rsidR="00251F14">
        <w:t>)</w:t>
      </w:r>
      <w:r w:rsidR="00EB0F44">
        <w:t>,</w:t>
      </w:r>
      <w:r w:rsidR="00142B6E">
        <w:t xml:space="preserve"> </w:t>
      </w:r>
      <w:r w:rsidR="0042442F" w:rsidRPr="0042442F">
        <w:t>que puede llevar en la práctica a la arbitrariedad y al abuso</w:t>
      </w:r>
      <w:r w:rsidR="0042442F">
        <w:t xml:space="preserve">. El Comité observa con preocupación </w:t>
      </w:r>
      <w:r w:rsidR="00F54845">
        <w:t>que la ambigüedad de la</w:t>
      </w:r>
      <w:r w:rsidR="0042442F">
        <w:t xml:space="preserve"> legislación</w:t>
      </w:r>
      <w:r w:rsidR="006F7DA0">
        <w:t xml:space="preserve"> fomenta el </w:t>
      </w:r>
      <w:r w:rsidR="000B7EFD">
        <w:t>llamado</w:t>
      </w:r>
      <w:r w:rsidR="000F7C0B">
        <w:t xml:space="preserve"> “terruqueo”</w:t>
      </w:r>
      <w:r w:rsidR="00F54845">
        <w:t xml:space="preserve">, </w:t>
      </w:r>
      <w:r w:rsidR="0033500D">
        <w:t>una práctica que consiste en</w:t>
      </w:r>
      <w:r w:rsidR="00F54845" w:rsidRPr="0033500D">
        <w:t xml:space="preserve"> asocia</w:t>
      </w:r>
      <w:r w:rsidR="0033500D">
        <w:t>r a</w:t>
      </w:r>
      <w:r w:rsidR="0049644D" w:rsidRPr="0033500D">
        <w:t xml:space="preserve"> personas que ejercen sus derechos a la protesta, expresión, pensamiento, reunión y participación política</w:t>
      </w:r>
      <w:r w:rsidR="00F54845" w:rsidRPr="0033500D">
        <w:t xml:space="preserve"> </w:t>
      </w:r>
      <w:r w:rsidR="0033500D">
        <w:t>con</w:t>
      </w:r>
      <w:r w:rsidR="0033500D" w:rsidRPr="0033500D">
        <w:t xml:space="preserve"> </w:t>
      </w:r>
      <w:r w:rsidR="00F54845" w:rsidRPr="0033500D">
        <w:t>comportamientos o ideas afines al terrorismo, con el fin de invalidar su discurso</w:t>
      </w:r>
      <w:r w:rsidR="0049644D">
        <w:t xml:space="preserve">. En este sentido, preocupa </w:t>
      </w:r>
      <w:r w:rsidR="00BA4FA1">
        <w:t xml:space="preserve">el incremento en </w:t>
      </w:r>
      <w:r w:rsidR="0049644D">
        <w:t xml:space="preserve">la aplicación de esta </w:t>
      </w:r>
      <w:r w:rsidR="0033500D">
        <w:t>L</w:t>
      </w:r>
      <w:r w:rsidR="0049644D">
        <w:t>ey</w:t>
      </w:r>
      <w:r w:rsidR="000F7C0B">
        <w:t xml:space="preserve"> </w:t>
      </w:r>
      <w:r w:rsidR="0049644D">
        <w:t>en</w:t>
      </w:r>
      <w:r w:rsidR="00BA4FA1">
        <w:t xml:space="preserve"> el marco de las protestas sociales desde el 7 de diciembre de 2022. Preocupan particularmente</w:t>
      </w:r>
      <w:r w:rsidR="0049644D">
        <w:t xml:space="preserve"> </w:t>
      </w:r>
      <w:r w:rsidR="00923583">
        <w:t>los casos recientes</w:t>
      </w:r>
      <w:r w:rsidR="0042442F">
        <w:t xml:space="preserve"> de allanamiento</w:t>
      </w:r>
      <w:r w:rsidR="0042442F" w:rsidRPr="0042442F">
        <w:t xml:space="preserve"> </w:t>
      </w:r>
      <w:r w:rsidR="0042442F">
        <w:t>en</w:t>
      </w:r>
      <w:r w:rsidR="0042442F" w:rsidRPr="0042442F">
        <w:t xml:space="preserve"> la Confederación Campesina del Perú el 17 de diciembre de 2023</w:t>
      </w:r>
      <w:r w:rsidR="0042442F">
        <w:t xml:space="preserve"> y en </w:t>
      </w:r>
      <w:r w:rsidR="0042442F" w:rsidRPr="0042442F">
        <w:t xml:space="preserve">la Universidad Nacional Mayor de San Marcos </w:t>
      </w:r>
      <w:r w:rsidR="0042442F">
        <w:t>el 21 de enero de 2023</w:t>
      </w:r>
      <w:r w:rsidR="00F54845">
        <w:t>,</w:t>
      </w:r>
      <w:r w:rsidR="0042442F">
        <w:t xml:space="preserve"> cuando más de 200 personas fueron </w:t>
      </w:r>
      <w:r w:rsidR="00BA4FA1">
        <w:t xml:space="preserve">detenidas y </w:t>
      </w:r>
      <w:r w:rsidR="0042442F">
        <w:t>llevada</w:t>
      </w:r>
      <w:r w:rsidR="00EB0F44">
        <w:t>s</w:t>
      </w:r>
      <w:r w:rsidR="0042442F">
        <w:t xml:space="preserve"> a las instalaciones de</w:t>
      </w:r>
      <w:r w:rsidR="0042442F" w:rsidRPr="0042442F">
        <w:t xml:space="preserve"> la Dirección contra el Terrorismo</w:t>
      </w:r>
      <w:r w:rsidR="00BA4FA1">
        <w:t xml:space="preserve"> de la Policía Nacional del Perú</w:t>
      </w:r>
      <w:r w:rsidR="00275150">
        <w:t xml:space="preserve">. </w:t>
      </w:r>
      <w:r w:rsidR="003E3E15">
        <w:t xml:space="preserve">Lamenta </w:t>
      </w:r>
      <w:r w:rsidR="00F54845">
        <w:t xml:space="preserve">además </w:t>
      </w:r>
      <w:r w:rsidR="000F7C0B">
        <w:lastRenderedPageBreak/>
        <w:t xml:space="preserve">profundamente </w:t>
      </w:r>
      <w:r w:rsidR="00251F14" w:rsidRPr="00F0681D">
        <w:t xml:space="preserve">las denuncias de </w:t>
      </w:r>
      <w:r w:rsidR="002F510F">
        <w:t xml:space="preserve">malos tratos, </w:t>
      </w:r>
      <w:r w:rsidR="00EB0F44">
        <w:t>agresión física y sexual</w:t>
      </w:r>
      <w:r w:rsidR="002D1132">
        <w:t xml:space="preserve"> y</w:t>
      </w:r>
      <w:r w:rsidR="001901DB">
        <w:t xml:space="preserve"> </w:t>
      </w:r>
      <w:r w:rsidR="002F510F">
        <w:t xml:space="preserve">tocamientos y </w:t>
      </w:r>
      <w:r w:rsidR="00F54845">
        <w:t xml:space="preserve">desnudos </w:t>
      </w:r>
      <w:r w:rsidR="002F510F">
        <w:t xml:space="preserve">injustificados </w:t>
      </w:r>
      <w:r w:rsidR="00251F14" w:rsidRPr="00F0681D">
        <w:t>cometidos por funcionarios del Estado en el contexto de las operaciones de lucha contra el terrorismo (arts. 4, 7, 9</w:t>
      </w:r>
      <w:r w:rsidR="00DC44E4">
        <w:t xml:space="preserve">, </w:t>
      </w:r>
      <w:r w:rsidR="00251F14" w:rsidRPr="00F0681D">
        <w:t>14</w:t>
      </w:r>
      <w:r w:rsidR="00DC44E4">
        <w:t>, 19, 21 y 22</w:t>
      </w:r>
      <w:r w:rsidR="00251F14" w:rsidRPr="00F0681D">
        <w:t>).</w:t>
      </w:r>
    </w:p>
    <w:p w14:paraId="1E2C8743" w14:textId="2B114C44" w:rsidR="00966EF3" w:rsidRPr="00301A47" w:rsidRDefault="00836603" w:rsidP="00671112">
      <w:pPr>
        <w:pStyle w:val="SingleTxtG"/>
        <w:rPr>
          <w:b/>
          <w:bCs/>
        </w:rPr>
      </w:pPr>
      <w:r w:rsidRPr="00E477CF">
        <w:t>1</w:t>
      </w:r>
      <w:r w:rsidR="00A44737" w:rsidRPr="00E477CF">
        <w:t>5</w:t>
      </w:r>
      <w:r w:rsidRPr="00E477CF">
        <w:t>.</w:t>
      </w:r>
      <w:r>
        <w:rPr>
          <w:b/>
          <w:bCs/>
        </w:rPr>
        <w:tab/>
      </w:r>
      <w:r w:rsidR="00F0681D" w:rsidRPr="00F0681D">
        <w:rPr>
          <w:b/>
          <w:bCs/>
        </w:rPr>
        <w:t xml:space="preserve">El Estado parte debe llevar a cabo un proceso de revisión y reforma legislativa encaminado a garantizar el respeto de los derechos humanos en </w:t>
      </w:r>
      <w:r w:rsidR="003D1AA5">
        <w:rPr>
          <w:b/>
          <w:bCs/>
        </w:rPr>
        <w:t xml:space="preserve">todas las acciones </w:t>
      </w:r>
      <w:r w:rsidR="00F0681D" w:rsidRPr="00F0681D">
        <w:rPr>
          <w:b/>
          <w:bCs/>
        </w:rPr>
        <w:t xml:space="preserve">de lucha contra el terrorismo, que abarque la revisión de la definición de terrorismo que figura en </w:t>
      </w:r>
      <w:r w:rsidR="00F80B9D">
        <w:rPr>
          <w:b/>
          <w:bCs/>
        </w:rPr>
        <w:t xml:space="preserve">el </w:t>
      </w:r>
      <w:r w:rsidR="002F510F" w:rsidRPr="002F510F">
        <w:rPr>
          <w:b/>
          <w:bCs/>
        </w:rPr>
        <w:t xml:space="preserve">Decreto Ley </w:t>
      </w:r>
      <w:r w:rsidR="0033500D" w:rsidRPr="002165FD">
        <w:rPr>
          <w:b/>
          <w:bCs/>
        </w:rPr>
        <w:t>núm.</w:t>
      </w:r>
      <w:r w:rsidR="0033500D">
        <w:t xml:space="preserve"> </w:t>
      </w:r>
      <w:r w:rsidR="002F510F" w:rsidRPr="002F510F">
        <w:rPr>
          <w:b/>
          <w:bCs/>
        </w:rPr>
        <w:t>25475</w:t>
      </w:r>
      <w:r w:rsidR="00DC44E4">
        <w:rPr>
          <w:b/>
          <w:bCs/>
        </w:rPr>
        <w:t xml:space="preserve">, con el fin </w:t>
      </w:r>
      <w:r w:rsidR="00DC44E4" w:rsidRPr="00456F0B">
        <w:rPr>
          <w:b/>
          <w:bCs/>
        </w:rPr>
        <w:t xml:space="preserve">de </w:t>
      </w:r>
      <w:r w:rsidR="00FB1DDD" w:rsidRPr="00456F0B">
        <w:rPr>
          <w:b/>
          <w:bCs/>
        </w:rPr>
        <w:t>que se respete estrictamente el principio de legalidad recogido en el artículo 15 del Pacto</w:t>
      </w:r>
      <w:r w:rsidR="00F0681D" w:rsidRPr="00456F0B">
        <w:rPr>
          <w:b/>
          <w:bCs/>
        </w:rPr>
        <w:t>.</w:t>
      </w:r>
      <w:r w:rsidR="00F0681D" w:rsidRPr="00F0681D">
        <w:rPr>
          <w:b/>
          <w:bCs/>
        </w:rPr>
        <w:t xml:space="preserve"> </w:t>
      </w:r>
      <w:r w:rsidR="000F7C0B" w:rsidRPr="000F7C0B">
        <w:rPr>
          <w:b/>
          <w:bCs/>
        </w:rPr>
        <w:t>Asimismo, el Estado parte debe velar por que las personas sospechosas o acusadas de actos terroristas o delitos conexos gocen, en la ley y en la práctica, de todas las garantías jurídicas apropiadas, de conformidad con el Pacto.</w:t>
      </w:r>
      <w:r w:rsidR="000F7C0B">
        <w:rPr>
          <w:b/>
          <w:bCs/>
        </w:rPr>
        <w:t xml:space="preserve"> </w:t>
      </w:r>
      <w:r w:rsidR="00F0681D" w:rsidRPr="00F0681D">
        <w:rPr>
          <w:b/>
          <w:bCs/>
        </w:rPr>
        <w:t xml:space="preserve">También debe tomar medidas para </w:t>
      </w:r>
      <w:r w:rsidR="006F7DA0">
        <w:rPr>
          <w:b/>
          <w:bCs/>
        </w:rPr>
        <w:t xml:space="preserve">combatir la </w:t>
      </w:r>
      <w:r w:rsidR="006F7DA0" w:rsidRPr="006F7DA0">
        <w:rPr>
          <w:b/>
          <w:bCs/>
        </w:rPr>
        <w:t xml:space="preserve">estigmatización, </w:t>
      </w:r>
      <w:r w:rsidR="0033500D">
        <w:rPr>
          <w:b/>
          <w:bCs/>
        </w:rPr>
        <w:t xml:space="preserve">la </w:t>
      </w:r>
      <w:r w:rsidR="006F7DA0" w:rsidRPr="006F7DA0">
        <w:rPr>
          <w:b/>
          <w:bCs/>
        </w:rPr>
        <w:t xml:space="preserve">deshumanización </w:t>
      </w:r>
      <w:r w:rsidR="006F7DA0">
        <w:rPr>
          <w:b/>
          <w:bCs/>
        </w:rPr>
        <w:t xml:space="preserve">y </w:t>
      </w:r>
      <w:r w:rsidR="0033500D">
        <w:rPr>
          <w:b/>
          <w:bCs/>
        </w:rPr>
        <w:t xml:space="preserve">el </w:t>
      </w:r>
      <w:r w:rsidR="006F7DA0" w:rsidRPr="006F7DA0">
        <w:rPr>
          <w:b/>
          <w:bCs/>
        </w:rPr>
        <w:t>prejuicio</w:t>
      </w:r>
      <w:r w:rsidR="00EE24E5">
        <w:rPr>
          <w:b/>
          <w:bCs/>
        </w:rPr>
        <w:t xml:space="preserve"> hacia los manifestantes</w:t>
      </w:r>
      <w:r w:rsidR="00BA4FA1">
        <w:rPr>
          <w:b/>
          <w:bCs/>
        </w:rPr>
        <w:t>, líderes sociales</w:t>
      </w:r>
      <w:r w:rsidR="00EE24E5">
        <w:rPr>
          <w:b/>
          <w:bCs/>
        </w:rPr>
        <w:t xml:space="preserve"> y opositores político</w:t>
      </w:r>
      <w:r w:rsidR="00BA4FA1">
        <w:rPr>
          <w:b/>
          <w:bCs/>
        </w:rPr>
        <w:t>s</w:t>
      </w:r>
      <w:r w:rsidR="00EE24E5">
        <w:rPr>
          <w:b/>
          <w:bCs/>
        </w:rPr>
        <w:t>,</w:t>
      </w:r>
      <w:r w:rsidR="001F0552">
        <w:rPr>
          <w:b/>
          <w:bCs/>
        </w:rPr>
        <w:t xml:space="preserve"> incluso por los operadores judiciales, </w:t>
      </w:r>
      <w:r w:rsidR="00EE24E5">
        <w:rPr>
          <w:b/>
          <w:bCs/>
        </w:rPr>
        <w:t xml:space="preserve">y poner fin </w:t>
      </w:r>
      <w:r w:rsidR="00F54845">
        <w:rPr>
          <w:b/>
          <w:bCs/>
        </w:rPr>
        <w:t xml:space="preserve">al </w:t>
      </w:r>
      <w:r w:rsidR="00EE24E5">
        <w:rPr>
          <w:b/>
          <w:bCs/>
        </w:rPr>
        <w:t xml:space="preserve">“terruqueo”. Asimismo, debe </w:t>
      </w:r>
      <w:r w:rsidR="00F0681D" w:rsidRPr="00F0681D">
        <w:rPr>
          <w:b/>
          <w:bCs/>
        </w:rPr>
        <w:t>asegurar que la legislación de lucha contra el terrorismo no se utilice para limitar ninguno de los derechos consagrados en el Pacto, como los derechos a la vida, la libertad</w:t>
      </w:r>
      <w:r w:rsidR="002F510F">
        <w:rPr>
          <w:b/>
          <w:bCs/>
        </w:rPr>
        <w:t xml:space="preserve"> </w:t>
      </w:r>
      <w:r w:rsidR="00F0681D" w:rsidRPr="00F0681D">
        <w:rPr>
          <w:b/>
          <w:bCs/>
        </w:rPr>
        <w:t>y la seguridad personal</w:t>
      </w:r>
      <w:r w:rsidR="00CE3F18">
        <w:rPr>
          <w:b/>
          <w:bCs/>
        </w:rPr>
        <w:t xml:space="preserve">, y que </w:t>
      </w:r>
      <w:r w:rsidR="00CE3F18" w:rsidRPr="00CE3F18">
        <w:rPr>
          <w:b/>
          <w:bCs/>
        </w:rPr>
        <w:t xml:space="preserve">toda denuncia de malos tratos </w:t>
      </w:r>
      <w:r w:rsidR="00BA4FA1">
        <w:rPr>
          <w:b/>
          <w:bCs/>
        </w:rPr>
        <w:t xml:space="preserve">y agresión sexual </w:t>
      </w:r>
      <w:r w:rsidR="00CE3F18" w:rsidRPr="00CE3F18">
        <w:rPr>
          <w:b/>
          <w:bCs/>
        </w:rPr>
        <w:t>sea objet</w:t>
      </w:r>
      <w:r w:rsidR="00CE3F18" w:rsidRPr="00301A47">
        <w:rPr>
          <w:b/>
          <w:bCs/>
        </w:rPr>
        <w:t>o de una investigación pronta, exhaustiva</w:t>
      </w:r>
      <w:r w:rsidR="00E5257B" w:rsidRPr="00301A47">
        <w:rPr>
          <w:b/>
          <w:bCs/>
        </w:rPr>
        <w:t xml:space="preserve">, </w:t>
      </w:r>
      <w:r w:rsidR="00CE3F18" w:rsidRPr="00301A47">
        <w:rPr>
          <w:b/>
          <w:bCs/>
        </w:rPr>
        <w:t>imparcial</w:t>
      </w:r>
      <w:r w:rsidR="00E5257B" w:rsidRPr="00301A47">
        <w:rPr>
          <w:b/>
          <w:bCs/>
        </w:rPr>
        <w:t xml:space="preserve"> y eficaz</w:t>
      </w:r>
      <w:r w:rsidR="00CE3F18" w:rsidRPr="00301A47">
        <w:rPr>
          <w:b/>
          <w:bCs/>
        </w:rPr>
        <w:t>.</w:t>
      </w:r>
    </w:p>
    <w:p w14:paraId="7E1ABD65" w14:textId="7F83E935" w:rsidR="007C108E" w:rsidRDefault="00B953F0" w:rsidP="00B953F0">
      <w:pPr>
        <w:pStyle w:val="H23G"/>
        <w:rPr>
          <w:lang w:val="es-ES_tradnl"/>
        </w:rPr>
      </w:pPr>
      <w:r>
        <w:rPr>
          <w:lang w:val="es-ES_tradnl"/>
        </w:rPr>
        <w:tab/>
      </w:r>
      <w:r>
        <w:rPr>
          <w:lang w:val="es-ES_tradnl"/>
        </w:rPr>
        <w:tab/>
      </w:r>
      <w:r w:rsidR="007C108E" w:rsidRPr="00301A47">
        <w:rPr>
          <w:lang w:val="es-ES_tradnl"/>
        </w:rPr>
        <w:t>No discriminación</w:t>
      </w:r>
    </w:p>
    <w:p w14:paraId="6A3D54F9" w14:textId="25514F54" w:rsidR="00B54F46" w:rsidRDefault="00B54F46" w:rsidP="00DD4F0F">
      <w:pPr>
        <w:pStyle w:val="SingleTxtG"/>
        <w:rPr>
          <w:lang w:val="es-ES_tradnl"/>
        </w:rPr>
      </w:pPr>
      <w:r>
        <w:rPr>
          <w:lang w:val="es-ES_tradnl"/>
        </w:rPr>
        <w:t>1</w:t>
      </w:r>
      <w:r w:rsidR="00A44737">
        <w:rPr>
          <w:lang w:val="es-ES_tradnl"/>
        </w:rPr>
        <w:t>6</w:t>
      </w:r>
      <w:r>
        <w:rPr>
          <w:lang w:val="es-ES_tradnl"/>
        </w:rPr>
        <w:t xml:space="preserve">. </w:t>
      </w:r>
      <w:r>
        <w:rPr>
          <w:lang w:val="es-ES_tradnl"/>
        </w:rPr>
        <w:tab/>
      </w:r>
      <w:r w:rsidRPr="00B54F46">
        <w:rPr>
          <w:lang w:val="es-ES_tradnl"/>
        </w:rPr>
        <w:t xml:space="preserve">El Comité reconoce los numerosos esfuerzos del Estado parte en la lucha contra la discriminación, incluida la </w:t>
      </w:r>
      <w:r w:rsidR="006E4079">
        <w:rPr>
          <w:lang w:val="es-ES_tradnl"/>
        </w:rPr>
        <w:t xml:space="preserve">implementación del Plan Nacional de Derechos Humanos 2018-2021, la elaboración y adopción del Plan Nacional </w:t>
      </w:r>
      <w:r w:rsidR="006E4079">
        <w:t xml:space="preserve">de Acción sobre Empresas y Derechos Humanos 2021-2025 </w:t>
      </w:r>
      <w:r w:rsidR="006E4079">
        <w:rPr>
          <w:lang w:val="es-ES_tradnl"/>
        </w:rPr>
        <w:t xml:space="preserve">y </w:t>
      </w:r>
      <w:r w:rsidR="006E4079" w:rsidRPr="006E4079">
        <w:rPr>
          <w:bCs/>
        </w:rPr>
        <w:t xml:space="preserve">los planes </w:t>
      </w:r>
      <w:r w:rsidR="00D454B3">
        <w:rPr>
          <w:bCs/>
        </w:rPr>
        <w:t xml:space="preserve">en curso </w:t>
      </w:r>
      <w:r w:rsidR="006E4079" w:rsidRPr="006E4079">
        <w:rPr>
          <w:bCs/>
        </w:rPr>
        <w:t xml:space="preserve">para elaborar la Política Nacional Multisectorial de Derechos Humanos </w:t>
      </w:r>
      <w:r w:rsidR="006E4079" w:rsidRPr="006E4079">
        <w:t>para enfrentar la discriminación y la desigualdad estructural</w:t>
      </w:r>
      <w:r w:rsidR="006E4079">
        <w:t>.</w:t>
      </w:r>
      <w:r w:rsidR="00D454B3">
        <w:t xml:space="preserve"> </w:t>
      </w:r>
      <w:r w:rsidRPr="00B54F46">
        <w:rPr>
          <w:lang w:val="es-ES_tradnl"/>
        </w:rPr>
        <w:t xml:space="preserve">Sin embargo, preocupa al Comité la vulnerabilidad de las personas </w:t>
      </w:r>
      <w:r w:rsidR="004E6D6D">
        <w:rPr>
          <w:lang w:val="es-ES_tradnl"/>
        </w:rPr>
        <w:t xml:space="preserve">indígenas y </w:t>
      </w:r>
      <w:r w:rsidRPr="00B54F46">
        <w:rPr>
          <w:lang w:val="es-ES_tradnl"/>
        </w:rPr>
        <w:t>afrodescendientes</w:t>
      </w:r>
      <w:r w:rsidR="000C776E">
        <w:rPr>
          <w:lang w:val="es-ES_tradnl"/>
        </w:rPr>
        <w:t>,</w:t>
      </w:r>
      <w:r w:rsidR="00D454B3">
        <w:rPr>
          <w:lang w:val="es-ES_tradnl"/>
        </w:rPr>
        <w:t xml:space="preserve"> </w:t>
      </w:r>
      <w:r w:rsidR="00EF249A">
        <w:rPr>
          <w:lang w:val="es-ES_tradnl"/>
        </w:rPr>
        <w:t xml:space="preserve">las personas </w:t>
      </w:r>
      <w:r w:rsidR="00552E43">
        <w:rPr>
          <w:lang w:val="es-ES_tradnl"/>
        </w:rPr>
        <w:t xml:space="preserve">migrantes y </w:t>
      </w:r>
      <w:r w:rsidR="000C776E">
        <w:rPr>
          <w:lang w:val="es-ES_tradnl"/>
        </w:rPr>
        <w:t xml:space="preserve">refugiadas, </w:t>
      </w:r>
      <w:r w:rsidRPr="00B54F46">
        <w:rPr>
          <w:lang w:val="es-ES_tradnl"/>
        </w:rPr>
        <w:t xml:space="preserve">y la persistente discriminación estructural </w:t>
      </w:r>
      <w:r w:rsidR="004E6D6D">
        <w:rPr>
          <w:lang w:val="es-ES_tradnl"/>
        </w:rPr>
        <w:t xml:space="preserve">y </w:t>
      </w:r>
      <w:r w:rsidR="004B7129">
        <w:rPr>
          <w:lang w:val="es-ES_tradnl"/>
        </w:rPr>
        <w:t xml:space="preserve">el </w:t>
      </w:r>
      <w:r w:rsidR="004E6D6D">
        <w:rPr>
          <w:lang w:val="es-ES_tradnl"/>
        </w:rPr>
        <w:t xml:space="preserve">discurso de odio </w:t>
      </w:r>
      <w:r w:rsidRPr="00B54F46">
        <w:rPr>
          <w:lang w:val="es-ES_tradnl"/>
        </w:rPr>
        <w:t xml:space="preserve">contra ellas, en particular </w:t>
      </w:r>
      <w:r w:rsidR="00B67394">
        <w:rPr>
          <w:lang w:val="es-ES_tradnl"/>
        </w:rPr>
        <w:t xml:space="preserve">de </w:t>
      </w:r>
      <w:r w:rsidRPr="00B54F46">
        <w:rPr>
          <w:lang w:val="es-ES_tradnl"/>
        </w:rPr>
        <w:t>las mujeres y las niñas, en el ámbito educativo, laboral, de la salud</w:t>
      </w:r>
      <w:r w:rsidR="000C776E">
        <w:rPr>
          <w:lang w:val="es-ES_tradnl"/>
        </w:rPr>
        <w:t>, de la salud sexual y reproductiva</w:t>
      </w:r>
      <w:r w:rsidRPr="00B54F46">
        <w:rPr>
          <w:lang w:val="es-ES_tradnl"/>
        </w:rPr>
        <w:t xml:space="preserve"> y</w:t>
      </w:r>
      <w:r w:rsidR="00FB1DDD">
        <w:rPr>
          <w:lang w:val="es-ES_tradnl"/>
        </w:rPr>
        <w:t xml:space="preserve"> de</w:t>
      </w:r>
      <w:r w:rsidRPr="00B54F46">
        <w:rPr>
          <w:lang w:val="es-ES_tradnl"/>
        </w:rPr>
        <w:t xml:space="preserve"> la vida pública</w:t>
      </w:r>
      <w:r w:rsidR="007F696C">
        <w:rPr>
          <w:lang w:val="es-ES_tradnl"/>
        </w:rPr>
        <w:t xml:space="preserve">. Asimismo, el Comité observa con profunda preocupación el impacto y </w:t>
      </w:r>
      <w:r w:rsidR="0033500D">
        <w:rPr>
          <w:lang w:val="es-ES_tradnl"/>
        </w:rPr>
        <w:t xml:space="preserve">la </w:t>
      </w:r>
      <w:r w:rsidR="007F696C">
        <w:rPr>
          <w:lang w:val="es-ES_tradnl"/>
        </w:rPr>
        <w:t>represión desproporciona</w:t>
      </w:r>
      <w:r w:rsidR="00FB1DDD">
        <w:rPr>
          <w:lang w:val="es-ES_tradnl"/>
        </w:rPr>
        <w:t xml:space="preserve">da </w:t>
      </w:r>
      <w:r w:rsidR="00D81681">
        <w:rPr>
          <w:lang w:val="es-ES_tradnl"/>
        </w:rPr>
        <w:t>de</w:t>
      </w:r>
      <w:r w:rsidR="007F696C">
        <w:rPr>
          <w:lang w:val="es-ES_tradnl"/>
        </w:rPr>
        <w:t xml:space="preserve"> las personas indígenas en el contexto de las protestas sociales desde diciembre </w:t>
      </w:r>
      <w:r w:rsidR="0033500D">
        <w:rPr>
          <w:lang w:val="es-ES_tradnl"/>
        </w:rPr>
        <w:t xml:space="preserve">de </w:t>
      </w:r>
      <w:r w:rsidR="007F696C">
        <w:rPr>
          <w:lang w:val="es-ES_tradnl"/>
        </w:rPr>
        <w:t xml:space="preserve">2022 </w:t>
      </w:r>
      <w:r w:rsidRPr="00B54F46">
        <w:rPr>
          <w:lang w:val="es-ES_tradnl"/>
        </w:rPr>
        <w:t>(arts. 2, 3, 16, 25, 26 y 27).</w:t>
      </w:r>
    </w:p>
    <w:p w14:paraId="0FB9CDEF" w14:textId="683CF949" w:rsidR="00984C4A" w:rsidRPr="00984C4A" w:rsidRDefault="00795D25" w:rsidP="00DD4F0F">
      <w:pPr>
        <w:pStyle w:val="SingleTxtG"/>
      </w:pPr>
      <w:r>
        <w:rPr>
          <w:lang w:val="es-ES_tradnl"/>
        </w:rPr>
        <w:t>1</w:t>
      </w:r>
      <w:r w:rsidR="00A44737">
        <w:rPr>
          <w:lang w:val="es-ES_tradnl"/>
        </w:rPr>
        <w:t>7</w:t>
      </w:r>
      <w:r>
        <w:rPr>
          <w:lang w:val="es-ES_tradnl"/>
        </w:rPr>
        <w:t>.</w:t>
      </w:r>
      <w:r>
        <w:rPr>
          <w:lang w:val="es-ES_tradnl"/>
        </w:rPr>
        <w:tab/>
      </w:r>
      <w:r w:rsidR="00984C4A" w:rsidRPr="00984C4A">
        <w:rPr>
          <w:b/>
          <w:bCs/>
        </w:rPr>
        <w:t>El Estado parte debe</w:t>
      </w:r>
      <w:r w:rsidR="00984C4A">
        <w:rPr>
          <w:b/>
          <w:bCs/>
        </w:rPr>
        <w:t xml:space="preserve"> s</w:t>
      </w:r>
      <w:r w:rsidR="00984C4A" w:rsidRPr="00984C4A">
        <w:rPr>
          <w:b/>
          <w:bCs/>
        </w:rPr>
        <w:t>eguir intensificando sus</w:t>
      </w:r>
      <w:r w:rsidR="00BA713C">
        <w:rPr>
          <w:b/>
          <w:bCs/>
        </w:rPr>
        <w:t xml:space="preserve"> esfuerzos</w:t>
      </w:r>
      <w:r w:rsidR="00984C4A" w:rsidRPr="00984C4A">
        <w:rPr>
          <w:b/>
          <w:bCs/>
        </w:rPr>
        <w:t xml:space="preserve"> </w:t>
      </w:r>
      <w:r w:rsidR="00BA713C" w:rsidRPr="00984C4A">
        <w:rPr>
          <w:b/>
          <w:bCs/>
        </w:rPr>
        <w:t xml:space="preserve">con miras a prevenir, combatir y erradicar </w:t>
      </w:r>
      <w:bookmarkStart w:id="1" w:name="_Hlk129215237"/>
      <w:r w:rsidR="00BA713C" w:rsidRPr="00984C4A">
        <w:rPr>
          <w:b/>
          <w:bCs/>
        </w:rPr>
        <w:t>toda forma de discriminación, particularmente la discriminación racial</w:t>
      </w:r>
      <w:r w:rsidR="00BA713C" w:rsidRPr="00BA713C">
        <w:rPr>
          <w:b/>
          <w:bCs/>
        </w:rPr>
        <w:t xml:space="preserve"> y la xenofobia</w:t>
      </w:r>
      <w:bookmarkEnd w:id="1"/>
      <w:r w:rsidR="00984C4A" w:rsidRPr="00984C4A">
        <w:rPr>
          <w:b/>
          <w:bCs/>
        </w:rPr>
        <w:t>, entre otras cosas:</w:t>
      </w:r>
    </w:p>
    <w:p w14:paraId="661DF1FC" w14:textId="3B5D11F9" w:rsidR="00984C4A" w:rsidRPr="00A73CAA" w:rsidRDefault="00984C4A" w:rsidP="00DD4F0F">
      <w:pPr>
        <w:pStyle w:val="SingleTxtG"/>
        <w:rPr>
          <w:b/>
          <w:bCs/>
        </w:rPr>
      </w:pPr>
      <w:r>
        <w:rPr>
          <w:b/>
          <w:bCs/>
        </w:rPr>
        <w:tab/>
      </w:r>
      <w:r w:rsidRPr="00A73CAA">
        <w:rPr>
          <w:b/>
          <w:bCs/>
        </w:rPr>
        <w:t>a)</w:t>
      </w:r>
      <w:r w:rsidRPr="00A73CAA">
        <w:rPr>
          <w:b/>
          <w:bCs/>
        </w:rPr>
        <w:tab/>
      </w:r>
      <w:r w:rsidR="00BA713C" w:rsidRPr="00A73CAA">
        <w:rPr>
          <w:b/>
          <w:bCs/>
        </w:rPr>
        <w:t>Garantizando</w:t>
      </w:r>
      <w:r w:rsidRPr="00A73CAA">
        <w:rPr>
          <w:b/>
          <w:bCs/>
        </w:rPr>
        <w:t xml:space="preserve"> la asignación de recursos suficientes para la plena implementación de sus planes y políticas contra la discriminación;</w:t>
      </w:r>
    </w:p>
    <w:p w14:paraId="227E15AC" w14:textId="7C8749BB" w:rsidR="00BA713C" w:rsidRPr="00A73CAA" w:rsidRDefault="00BA713C" w:rsidP="00DD4F0F">
      <w:pPr>
        <w:pStyle w:val="SingleTxtG"/>
        <w:rPr>
          <w:b/>
          <w:bCs/>
        </w:rPr>
      </w:pPr>
      <w:r w:rsidRPr="00A73CAA">
        <w:rPr>
          <w:b/>
          <w:bCs/>
        </w:rPr>
        <w:tab/>
        <w:t>b)</w:t>
      </w:r>
      <w:r w:rsidRPr="00A73CAA">
        <w:rPr>
          <w:b/>
          <w:bCs/>
        </w:rPr>
        <w:tab/>
        <w:t>Tomando medidas para prevenir cualquier incidente de discurso de odio, discriminación, violencia o presunto delito motivado por prejuicios</w:t>
      </w:r>
      <w:r w:rsidR="00EF249A" w:rsidRPr="00A73CAA">
        <w:rPr>
          <w:b/>
          <w:bCs/>
        </w:rPr>
        <w:t xml:space="preserve"> y estereotipos</w:t>
      </w:r>
      <w:r w:rsidRPr="00A73CAA">
        <w:rPr>
          <w:b/>
          <w:bCs/>
        </w:rPr>
        <w:t xml:space="preserve">, incluso cuando ocurra en los medios de comunicación o en Internet, y </w:t>
      </w:r>
      <w:r w:rsidR="00FB1DDD" w:rsidRPr="00A73CAA">
        <w:rPr>
          <w:b/>
          <w:bCs/>
        </w:rPr>
        <w:t>dándole</w:t>
      </w:r>
      <w:r w:rsidRPr="00A73CAA">
        <w:rPr>
          <w:b/>
          <w:bCs/>
        </w:rPr>
        <w:t xml:space="preserve"> una respuesta rápida y eficaz;</w:t>
      </w:r>
    </w:p>
    <w:p w14:paraId="3ACFBDCE" w14:textId="2C20EC75" w:rsidR="00BA713C" w:rsidRPr="00A73CAA" w:rsidRDefault="00BA713C" w:rsidP="00DD4F0F">
      <w:pPr>
        <w:pStyle w:val="SingleTxtG"/>
        <w:rPr>
          <w:b/>
          <w:bCs/>
        </w:rPr>
      </w:pPr>
      <w:r w:rsidRPr="00A73CAA">
        <w:rPr>
          <w:b/>
          <w:bCs/>
        </w:rPr>
        <w:tab/>
        <w:t>c)</w:t>
      </w:r>
      <w:r w:rsidRPr="00A73CAA">
        <w:rPr>
          <w:b/>
          <w:bCs/>
        </w:rPr>
        <w:tab/>
        <w:t>Incrementando las campañas de educación y sensibilización de la población, y la capacitación del sector público, privado y docente, para promover la tolerancia y el respeto a la diversidad;</w:t>
      </w:r>
    </w:p>
    <w:p w14:paraId="25D9382D" w14:textId="2D765569" w:rsidR="00984C4A" w:rsidRPr="00A73CAA" w:rsidRDefault="00984C4A" w:rsidP="00DD4F0F">
      <w:pPr>
        <w:pStyle w:val="SingleTxtG"/>
        <w:rPr>
          <w:b/>
          <w:bCs/>
        </w:rPr>
      </w:pPr>
      <w:r w:rsidRPr="00A73CAA">
        <w:rPr>
          <w:b/>
          <w:bCs/>
        </w:rPr>
        <w:tab/>
      </w:r>
      <w:r w:rsidR="00BA713C" w:rsidRPr="00A73CAA">
        <w:rPr>
          <w:b/>
          <w:bCs/>
        </w:rPr>
        <w:t>d</w:t>
      </w:r>
      <w:r w:rsidRPr="00A73CAA">
        <w:rPr>
          <w:b/>
          <w:bCs/>
        </w:rPr>
        <w:t>)</w:t>
      </w:r>
      <w:r w:rsidRPr="00A73CAA">
        <w:rPr>
          <w:b/>
          <w:bCs/>
        </w:rPr>
        <w:tab/>
      </w:r>
      <w:r w:rsidR="00BA713C" w:rsidRPr="00A73CAA">
        <w:rPr>
          <w:b/>
          <w:bCs/>
        </w:rPr>
        <w:t>Intensificando su labor de capacitación de los agentes del orden</w:t>
      </w:r>
      <w:r w:rsidR="00B67394" w:rsidRPr="00A73CAA">
        <w:rPr>
          <w:b/>
          <w:bCs/>
        </w:rPr>
        <w:t xml:space="preserve"> </w:t>
      </w:r>
      <w:r w:rsidR="00BA713C" w:rsidRPr="00A73CAA">
        <w:rPr>
          <w:b/>
          <w:bCs/>
        </w:rPr>
        <w:t xml:space="preserve">para que sean conscientes de la necesidad de adoptar una línea de actuación que no conduzca, ni siquiera involuntariamente, a la elaboración de perfiles </w:t>
      </w:r>
      <w:r w:rsidR="00EF249A" w:rsidRPr="00A73CAA">
        <w:rPr>
          <w:b/>
          <w:bCs/>
        </w:rPr>
        <w:t>étnico-</w:t>
      </w:r>
      <w:r w:rsidR="00BA713C" w:rsidRPr="00A73CAA">
        <w:rPr>
          <w:b/>
          <w:bCs/>
        </w:rPr>
        <w:t>raciales</w:t>
      </w:r>
      <w:r w:rsidR="006B373B" w:rsidRPr="00A73CAA">
        <w:rPr>
          <w:b/>
          <w:bCs/>
        </w:rPr>
        <w:t xml:space="preserve"> y que evite la represión desproporcionada de las protestas protagonizadas por personas indígenas</w:t>
      </w:r>
      <w:r w:rsidR="00BA713C" w:rsidRPr="00A73CAA">
        <w:rPr>
          <w:b/>
          <w:bCs/>
        </w:rPr>
        <w:t>;</w:t>
      </w:r>
    </w:p>
    <w:p w14:paraId="55893A19" w14:textId="494201D5" w:rsidR="006826AA" w:rsidRDefault="00BA713C" w:rsidP="00DD4F0F">
      <w:pPr>
        <w:pStyle w:val="SingleTxtG"/>
        <w:rPr>
          <w:b/>
          <w:bCs/>
        </w:rPr>
      </w:pPr>
      <w:r w:rsidRPr="00A73CAA">
        <w:rPr>
          <w:b/>
          <w:bCs/>
        </w:rPr>
        <w:tab/>
        <w:t>e)</w:t>
      </w:r>
      <w:r>
        <w:rPr>
          <w:b/>
          <w:bCs/>
        </w:rPr>
        <w:tab/>
      </w:r>
      <w:r w:rsidRPr="00BA713C">
        <w:rPr>
          <w:b/>
          <w:bCs/>
        </w:rPr>
        <w:t>Investigando a fondo los presuntos delitos motivados por prejuicios</w:t>
      </w:r>
      <w:r w:rsidR="00EF249A">
        <w:rPr>
          <w:b/>
          <w:bCs/>
        </w:rPr>
        <w:t xml:space="preserve"> y estereotipos</w:t>
      </w:r>
      <w:r w:rsidRPr="00BA713C">
        <w:rPr>
          <w:b/>
          <w:bCs/>
        </w:rPr>
        <w:t xml:space="preserve">, juzgando a los autores y, si se los declara culpables, imponiéndoles sanciones, y proporcionando a las víctimas </w:t>
      </w:r>
      <w:r w:rsidR="00CA34B9">
        <w:rPr>
          <w:b/>
          <w:bCs/>
        </w:rPr>
        <w:t xml:space="preserve">una reparación </w:t>
      </w:r>
      <w:r w:rsidR="00985D56">
        <w:rPr>
          <w:b/>
          <w:bCs/>
        </w:rPr>
        <w:t>adecuada.</w:t>
      </w:r>
    </w:p>
    <w:p w14:paraId="231E7868" w14:textId="67F603CE" w:rsidR="006B3F07" w:rsidRPr="006B3F07" w:rsidRDefault="00B953F0" w:rsidP="00B953F0">
      <w:pPr>
        <w:pStyle w:val="H23G"/>
      </w:pPr>
      <w:r>
        <w:tab/>
      </w:r>
      <w:r>
        <w:tab/>
      </w:r>
      <w:r w:rsidR="006B3F07" w:rsidRPr="006B3F07">
        <w:t>Discriminación por motivos de orientación sexual e identidad de género</w:t>
      </w:r>
    </w:p>
    <w:p w14:paraId="0202871A" w14:textId="20FEB51A" w:rsidR="003A037B" w:rsidRDefault="002328A1" w:rsidP="0030664F">
      <w:pPr>
        <w:pStyle w:val="SingleTxtG"/>
      </w:pPr>
      <w:r>
        <w:t>1</w:t>
      </w:r>
      <w:r w:rsidR="00A44737">
        <w:t>8</w:t>
      </w:r>
      <w:r>
        <w:t>.</w:t>
      </w:r>
      <w:r>
        <w:tab/>
      </w:r>
      <w:r w:rsidR="003E2B9F" w:rsidRPr="003E2B9F">
        <w:t>A pesar de las múltiples iniciativas legislativas y normativas, el Comité considera preocupante la estigmatización</w:t>
      </w:r>
      <w:r w:rsidR="00D17BD1">
        <w:t>,</w:t>
      </w:r>
      <w:r w:rsidR="003E2B9F" w:rsidRPr="003E2B9F">
        <w:t xml:space="preserve"> las actitudes discriminatorias </w:t>
      </w:r>
      <w:r w:rsidR="00D17BD1">
        <w:t xml:space="preserve">y la violencia </w:t>
      </w:r>
      <w:r w:rsidR="003E2B9F" w:rsidRPr="003E2B9F">
        <w:t xml:space="preserve">hacia las </w:t>
      </w:r>
      <w:r w:rsidR="003E2B9F" w:rsidRPr="003E2B9F">
        <w:lastRenderedPageBreak/>
        <w:t>personas lesbianas, gais, bisexuales, transgénero e intersexuales en el Estado parte</w:t>
      </w:r>
      <w:r w:rsidR="00D17BD1">
        <w:t xml:space="preserve">. </w:t>
      </w:r>
      <w:r w:rsidR="002147AD" w:rsidRPr="002147AD">
        <w:t>También le preocupa la falta de reconocimiento jurídico y de protección de las parejas del mismo sexo</w:t>
      </w:r>
      <w:r w:rsidR="00122332">
        <w:t>, y lamenta la falta de información proporcionada por el Estado parte al respecto</w:t>
      </w:r>
      <w:r w:rsidR="001A0754">
        <w:t xml:space="preserve"> </w:t>
      </w:r>
      <w:r w:rsidR="00D17BD1" w:rsidRPr="003E2B9F">
        <w:t xml:space="preserve">(arts. </w:t>
      </w:r>
      <w:r w:rsidR="001A0754">
        <w:t xml:space="preserve">2, 3, 6, </w:t>
      </w:r>
      <w:r w:rsidR="00D17BD1" w:rsidRPr="003E2B9F">
        <w:t>7, 17</w:t>
      </w:r>
      <w:r w:rsidR="008E0295">
        <w:t>, 23</w:t>
      </w:r>
      <w:r w:rsidR="00D17BD1" w:rsidRPr="003E2B9F">
        <w:t xml:space="preserve"> y 26).</w:t>
      </w:r>
    </w:p>
    <w:p w14:paraId="1BE5B33C" w14:textId="6505A8AC" w:rsidR="00442FF4" w:rsidRPr="00442FF4" w:rsidRDefault="00740CB2" w:rsidP="0030664F">
      <w:pPr>
        <w:pStyle w:val="SingleTxtG"/>
        <w:rPr>
          <w:b/>
          <w:bCs/>
        </w:rPr>
      </w:pPr>
      <w:r w:rsidRPr="00740CB2">
        <w:t>1</w:t>
      </w:r>
      <w:r w:rsidR="00A44737">
        <w:t>9</w:t>
      </w:r>
      <w:r w:rsidRPr="00740CB2">
        <w:t>.</w:t>
      </w:r>
      <w:r>
        <w:rPr>
          <w:b/>
          <w:bCs/>
        </w:rPr>
        <w:t xml:space="preserve"> </w:t>
      </w:r>
      <w:r>
        <w:rPr>
          <w:b/>
          <w:bCs/>
        </w:rPr>
        <w:tab/>
      </w:r>
      <w:r w:rsidR="00442FF4" w:rsidRPr="00442FF4">
        <w:rPr>
          <w:b/>
          <w:bCs/>
        </w:rPr>
        <w:t>El Estado parte debe redoblar sus esfuerzos para combatir todas las formas de estigmatización y discriminación contra las personas lesbianas, gais, bisexuales, transgénero e intersexuales, entre las que se incluyen la propagación de las denominadas “terapias de conversión”, los discursos de odio o los actos de violencia. El Estado parte debe:</w:t>
      </w:r>
    </w:p>
    <w:p w14:paraId="4E9AFA75" w14:textId="2D032BB8" w:rsidR="00442FF4" w:rsidRPr="00A73CAA" w:rsidRDefault="00442FF4" w:rsidP="0030664F">
      <w:pPr>
        <w:pStyle w:val="SingleTxtG"/>
        <w:rPr>
          <w:b/>
          <w:bCs/>
        </w:rPr>
      </w:pPr>
      <w:r>
        <w:rPr>
          <w:b/>
          <w:bCs/>
        </w:rPr>
        <w:tab/>
      </w:r>
      <w:r w:rsidRPr="00A73CAA">
        <w:rPr>
          <w:b/>
          <w:bCs/>
        </w:rPr>
        <w:t xml:space="preserve">a) </w:t>
      </w:r>
      <w:r w:rsidRPr="00A73CAA">
        <w:rPr>
          <w:b/>
          <w:bCs/>
        </w:rPr>
        <w:tab/>
        <w:t>Garantizar que los delitos motivados por la orientación sexual o identidad de género de la víctima sean investigados sin demora</w:t>
      </w:r>
      <w:r w:rsidR="0033500D" w:rsidRPr="00A73CAA">
        <w:rPr>
          <w:b/>
          <w:bCs/>
        </w:rPr>
        <w:t>,</w:t>
      </w:r>
      <w:r w:rsidRPr="00A73CAA">
        <w:rPr>
          <w:b/>
          <w:bCs/>
        </w:rPr>
        <w:t xml:space="preserve"> que los responsables sean llevados ante la justicia y sancionados adecuadamente</w:t>
      </w:r>
      <w:r w:rsidR="0033500D" w:rsidRPr="00A73CAA">
        <w:rPr>
          <w:b/>
          <w:bCs/>
        </w:rPr>
        <w:t>,</w:t>
      </w:r>
      <w:r w:rsidRPr="00A73CAA">
        <w:rPr>
          <w:b/>
          <w:bCs/>
        </w:rPr>
        <w:t xml:space="preserve"> y que las víctimas reciban una reparación integral;</w:t>
      </w:r>
    </w:p>
    <w:p w14:paraId="145E41C7" w14:textId="5CBA98D2" w:rsidR="00442FF4" w:rsidRPr="00A73CAA" w:rsidRDefault="00442FF4" w:rsidP="0030664F">
      <w:pPr>
        <w:pStyle w:val="SingleTxtG"/>
        <w:rPr>
          <w:b/>
          <w:bCs/>
        </w:rPr>
      </w:pPr>
      <w:r w:rsidRPr="00A73CAA">
        <w:rPr>
          <w:b/>
          <w:bCs/>
        </w:rPr>
        <w:tab/>
        <w:t xml:space="preserve">b) </w:t>
      </w:r>
      <w:r w:rsidRPr="00A73CAA">
        <w:rPr>
          <w:b/>
          <w:bCs/>
        </w:rPr>
        <w:tab/>
      </w:r>
      <w:r w:rsidR="00120009" w:rsidRPr="00A73CAA">
        <w:rPr>
          <w:b/>
          <w:bCs/>
        </w:rPr>
        <w:t xml:space="preserve">Desarrollar programas de educación sexual que ofrezcan a los </w:t>
      </w:r>
      <w:r w:rsidR="006B373B" w:rsidRPr="00A73CAA">
        <w:rPr>
          <w:b/>
          <w:bCs/>
        </w:rPr>
        <w:t xml:space="preserve">y las </w:t>
      </w:r>
      <w:r w:rsidR="00120009" w:rsidRPr="00A73CAA">
        <w:rPr>
          <w:b/>
          <w:bCs/>
        </w:rPr>
        <w:t>estudiantes información completa, precisa y adecuada para su edad sobre la sexualidad y las distintas identidades de género</w:t>
      </w:r>
      <w:r w:rsidR="00DE7F15" w:rsidRPr="00A73CAA">
        <w:rPr>
          <w:b/>
          <w:bCs/>
        </w:rPr>
        <w:t>, así como campañas de sensibilización dirigida</w:t>
      </w:r>
      <w:r w:rsidR="0033500D" w:rsidRPr="00A73CAA">
        <w:rPr>
          <w:b/>
          <w:bCs/>
        </w:rPr>
        <w:t>s</w:t>
      </w:r>
      <w:r w:rsidR="00DE7F15" w:rsidRPr="00A73CAA">
        <w:rPr>
          <w:b/>
          <w:bCs/>
        </w:rPr>
        <w:t xml:space="preserve"> a la opinión pública,</w:t>
      </w:r>
      <w:r w:rsidR="00120009" w:rsidRPr="00A73CAA">
        <w:rPr>
          <w:b/>
          <w:bCs/>
        </w:rPr>
        <w:t xml:space="preserve"> </w:t>
      </w:r>
      <w:r w:rsidR="00FB1DDD" w:rsidRPr="00A73CAA">
        <w:rPr>
          <w:b/>
          <w:bCs/>
        </w:rPr>
        <w:t xml:space="preserve">y </w:t>
      </w:r>
      <w:r w:rsidR="00690B5F" w:rsidRPr="00A73CAA">
        <w:rPr>
          <w:b/>
          <w:bCs/>
        </w:rPr>
        <w:t xml:space="preserve">seguir </w:t>
      </w:r>
      <w:r w:rsidR="00120009" w:rsidRPr="00A73CAA">
        <w:rPr>
          <w:b/>
          <w:bCs/>
        </w:rPr>
        <w:t>imparti</w:t>
      </w:r>
      <w:r w:rsidR="00690B5F" w:rsidRPr="00A73CAA">
        <w:rPr>
          <w:b/>
          <w:bCs/>
        </w:rPr>
        <w:t>endo</w:t>
      </w:r>
      <w:r w:rsidR="00120009" w:rsidRPr="00A73CAA">
        <w:rPr>
          <w:b/>
          <w:bCs/>
        </w:rPr>
        <w:t xml:space="preserve"> cursos de formación a los funcionarios públicos para que estos promuevan la toma de conciencia y el respeto de la diversidad en relación con la orientación sexual y la identidad de género;</w:t>
      </w:r>
    </w:p>
    <w:p w14:paraId="4A339F5A" w14:textId="6012C7E7" w:rsidR="00040E25" w:rsidRPr="003E64AE" w:rsidRDefault="00442FF4" w:rsidP="0030664F">
      <w:pPr>
        <w:pStyle w:val="SingleTxtG"/>
      </w:pPr>
      <w:r w:rsidRPr="00A73CAA">
        <w:rPr>
          <w:b/>
          <w:bCs/>
        </w:rPr>
        <w:tab/>
        <w:t xml:space="preserve">c) </w:t>
      </w:r>
      <w:r>
        <w:rPr>
          <w:b/>
          <w:bCs/>
        </w:rPr>
        <w:tab/>
      </w:r>
      <w:r w:rsidR="003E64AE">
        <w:rPr>
          <w:b/>
          <w:bCs/>
        </w:rPr>
        <w:t xml:space="preserve">Considerar la modificación del artículo 234 del Código Civil que restringe </w:t>
      </w:r>
      <w:r w:rsidR="003E64AE" w:rsidRPr="003E64AE">
        <w:rPr>
          <w:b/>
          <w:bCs/>
        </w:rPr>
        <w:t>el matrimonio únicamente al celebrado entre una mujer y un hombre</w:t>
      </w:r>
      <w:r w:rsidR="003E64AE">
        <w:rPr>
          <w:b/>
          <w:bCs/>
        </w:rPr>
        <w:t>, y r</w:t>
      </w:r>
      <w:r w:rsidR="00120009">
        <w:rPr>
          <w:b/>
          <w:bCs/>
        </w:rPr>
        <w:t>evisar</w:t>
      </w:r>
      <w:r w:rsidR="00120009" w:rsidRPr="00120009">
        <w:rPr>
          <w:b/>
          <w:bCs/>
        </w:rPr>
        <w:t xml:space="preserve"> la legislación pertinente con miras a reconocer plenamente la igualdad </w:t>
      </w:r>
      <w:r w:rsidR="004A0354">
        <w:rPr>
          <w:b/>
          <w:bCs/>
        </w:rPr>
        <w:t>de parejas del mismo sexo</w:t>
      </w:r>
      <w:r w:rsidR="00FB1DDD">
        <w:rPr>
          <w:b/>
          <w:bCs/>
        </w:rPr>
        <w:t>,</w:t>
      </w:r>
      <w:r w:rsidR="004A0354">
        <w:rPr>
          <w:b/>
          <w:bCs/>
        </w:rPr>
        <w:t xml:space="preserve"> </w:t>
      </w:r>
      <w:r w:rsidR="00FB1DDD">
        <w:rPr>
          <w:b/>
          <w:bCs/>
        </w:rPr>
        <w:t>garantizándoles</w:t>
      </w:r>
      <w:r w:rsidR="00120009" w:rsidRPr="00442FF4">
        <w:rPr>
          <w:b/>
          <w:bCs/>
        </w:rPr>
        <w:t xml:space="preserve"> </w:t>
      </w:r>
      <w:r w:rsidR="00120009">
        <w:rPr>
          <w:b/>
          <w:bCs/>
        </w:rPr>
        <w:t xml:space="preserve">todos </w:t>
      </w:r>
      <w:r w:rsidR="00120009" w:rsidRPr="00442FF4">
        <w:rPr>
          <w:b/>
          <w:bCs/>
        </w:rPr>
        <w:t>los derechos reconocidos en el Pacto</w:t>
      </w:r>
      <w:r w:rsidR="003E64AE">
        <w:rPr>
          <w:b/>
          <w:bCs/>
        </w:rPr>
        <w:t>.</w:t>
      </w:r>
    </w:p>
    <w:p w14:paraId="425E88D9" w14:textId="286BE47A" w:rsidR="007C108E" w:rsidRDefault="00B953F0" w:rsidP="00B953F0">
      <w:pPr>
        <w:pStyle w:val="H23G"/>
        <w:rPr>
          <w:lang w:val="es-ES_tradnl"/>
        </w:rPr>
      </w:pPr>
      <w:r>
        <w:rPr>
          <w:lang w:val="es-ES_tradnl"/>
        </w:rPr>
        <w:tab/>
      </w:r>
      <w:r>
        <w:rPr>
          <w:lang w:val="es-ES_tradnl"/>
        </w:rPr>
        <w:tab/>
      </w:r>
      <w:r w:rsidR="007C108E" w:rsidRPr="007C108E">
        <w:rPr>
          <w:lang w:val="es-ES_tradnl"/>
        </w:rPr>
        <w:t xml:space="preserve">Igualdad entre el hombre y la mujer </w:t>
      </w:r>
    </w:p>
    <w:p w14:paraId="25D57ED2" w14:textId="6DB10264" w:rsidR="00C2674C" w:rsidRDefault="00A44737" w:rsidP="0030664F">
      <w:pPr>
        <w:pStyle w:val="SingleTxtG"/>
        <w:rPr>
          <w:lang w:val="es-ES_tradnl"/>
        </w:rPr>
      </w:pPr>
      <w:r>
        <w:rPr>
          <w:lang w:val="es-ES_tradnl"/>
        </w:rPr>
        <w:t>20</w:t>
      </w:r>
      <w:r w:rsidR="00690B5F">
        <w:rPr>
          <w:lang w:val="es-ES_tradnl"/>
        </w:rPr>
        <w:t xml:space="preserve">. </w:t>
      </w:r>
      <w:r w:rsidR="00690B5F">
        <w:rPr>
          <w:lang w:val="es-ES_tradnl"/>
        </w:rPr>
        <w:tab/>
      </w:r>
      <w:r w:rsidR="00690B5F" w:rsidRPr="00690B5F">
        <w:rPr>
          <w:lang w:val="es-ES_tradnl"/>
        </w:rPr>
        <w:t>El Comité acoge con satisfacción las medidas adoptadas en materia de igualdad de género</w:t>
      </w:r>
      <w:r w:rsidR="000C7777">
        <w:rPr>
          <w:lang w:val="es-ES_tradnl"/>
        </w:rPr>
        <w:t xml:space="preserve">. </w:t>
      </w:r>
      <w:r w:rsidR="00690B5F" w:rsidRPr="00690B5F">
        <w:rPr>
          <w:lang w:val="es-ES_tradnl"/>
        </w:rPr>
        <w:t>Sin embargo, le preocupa que las mujeres</w:t>
      </w:r>
      <w:r w:rsidR="00984712">
        <w:rPr>
          <w:lang w:val="es-ES_tradnl"/>
        </w:rPr>
        <w:t>, especialmente</w:t>
      </w:r>
      <w:r w:rsidR="00984712" w:rsidRPr="00984712">
        <w:t xml:space="preserve"> </w:t>
      </w:r>
      <w:r w:rsidR="00984712" w:rsidRPr="00984712">
        <w:rPr>
          <w:lang w:val="es-ES_tradnl"/>
        </w:rPr>
        <w:t>las mujeres campesinas, indígenas y afrodescendientes</w:t>
      </w:r>
      <w:r w:rsidR="00984712">
        <w:rPr>
          <w:lang w:val="es-ES_tradnl"/>
        </w:rPr>
        <w:t>,</w:t>
      </w:r>
      <w:r w:rsidR="00690B5F" w:rsidRPr="00690B5F">
        <w:rPr>
          <w:lang w:val="es-ES_tradnl"/>
        </w:rPr>
        <w:t xml:space="preserve"> aún no estén suficientemente representadas en puestos de toma de decisiones en los ámbitos ejecutivo y judicial en todos los niveles, y lamenta no haber recibido información sobre las medidas adoptadas para aumentar la representación de las mujeres en instancias decisoras del sector privado. </w:t>
      </w:r>
      <w:r w:rsidR="00690B5F" w:rsidRPr="00F02A37">
        <w:rPr>
          <w:lang w:val="es-ES_tradnl"/>
        </w:rPr>
        <w:t xml:space="preserve">Asimismo, </w:t>
      </w:r>
      <w:r w:rsidR="0033500D">
        <w:rPr>
          <w:lang w:val="es-ES_tradnl"/>
        </w:rPr>
        <w:t>observa</w:t>
      </w:r>
      <w:r w:rsidR="0033500D" w:rsidRPr="00F02A37">
        <w:rPr>
          <w:lang w:val="es-ES_tradnl"/>
        </w:rPr>
        <w:t xml:space="preserve"> </w:t>
      </w:r>
      <w:r w:rsidR="00690B5F" w:rsidRPr="00F02A37">
        <w:rPr>
          <w:lang w:val="es-ES_tradnl"/>
        </w:rPr>
        <w:t xml:space="preserve">con preocupación </w:t>
      </w:r>
      <w:r w:rsidR="00E94C4D">
        <w:rPr>
          <w:lang w:val="es-ES_tradnl"/>
        </w:rPr>
        <w:t xml:space="preserve">la brecha salarial entre hombres y mujeres, </w:t>
      </w:r>
      <w:r w:rsidR="00020ABB">
        <w:rPr>
          <w:lang w:val="es-ES_tradnl"/>
        </w:rPr>
        <w:t xml:space="preserve">y </w:t>
      </w:r>
      <w:r w:rsidR="00690B5F" w:rsidRPr="00F02A37">
        <w:rPr>
          <w:lang w:val="es-ES_tradnl"/>
        </w:rPr>
        <w:t xml:space="preserve">los casos de acoso y </w:t>
      </w:r>
      <w:r w:rsidR="00F02A37" w:rsidRPr="00F02A37">
        <w:rPr>
          <w:lang w:val="es-ES_tradnl"/>
        </w:rPr>
        <w:t>amenazas contra las mujeres políticas</w:t>
      </w:r>
      <w:r w:rsidR="00287988">
        <w:rPr>
          <w:lang w:val="es-ES_tradnl"/>
        </w:rPr>
        <w:t xml:space="preserve"> </w:t>
      </w:r>
      <w:r w:rsidR="00287988" w:rsidRPr="00287988">
        <w:rPr>
          <w:lang w:val="es-ES_tradnl"/>
        </w:rPr>
        <w:t>(arts. 2, 3, 25 y 26)</w:t>
      </w:r>
      <w:r w:rsidR="00287988">
        <w:rPr>
          <w:lang w:val="es-ES_tradnl"/>
        </w:rPr>
        <w:t>.</w:t>
      </w:r>
    </w:p>
    <w:p w14:paraId="4FE8EA1F" w14:textId="3AB59A48" w:rsidR="009E293D" w:rsidRPr="0037019F" w:rsidRDefault="0053287B" w:rsidP="0030664F">
      <w:pPr>
        <w:pStyle w:val="SingleTxtG"/>
        <w:rPr>
          <w:b/>
          <w:bCs/>
        </w:rPr>
      </w:pPr>
      <w:r>
        <w:t>2</w:t>
      </w:r>
      <w:r w:rsidR="00A44737">
        <w:t>1</w:t>
      </w:r>
      <w:r w:rsidR="00920E58" w:rsidRPr="00920E58">
        <w:t xml:space="preserve">. </w:t>
      </w:r>
      <w:r w:rsidR="00920E58" w:rsidRPr="00920E58">
        <w:tab/>
      </w:r>
      <w:r w:rsidR="00944ED2" w:rsidRPr="00944ED2">
        <w:rPr>
          <w:b/>
          <w:bCs/>
        </w:rPr>
        <w:t xml:space="preserve">El Estado parte debe </w:t>
      </w:r>
      <w:r w:rsidR="00EB3B3C">
        <w:rPr>
          <w:b/>
          <w:bCs/>
        </w:rPr>
        <w:t>intensificar</w:t>
      </w:r>
      <w:r w:rsidR="00944ED2" w:rsidRPr="00944ED2">
        <w:rPr>
          <w:b/>
          <w:bCs/>
        </w:rPr>
        <w:t xml:space="preserve"> sus esfuerzos </w:t>
      </w:r>
      <w:r w:rsidR="00EB3B3C">
        <w:rPr>
          <w:b/>
          <w:bCs/>
        </w:rPr>
        <w:t xml:space="preserve">para </w:t>
      </w:r>
      <w:r w:rsidR="00944ED2" w:rsidRPr="00944ED2">
        <w:rPr>
          <w:b/>
          <w:bCs/>
        </w:rPr>
        <w:t xml:space="preserve">garantizar una igualdad efectiva entre hombres y mujeres en todos los ámbitos y en todo el país. En particular, debe </w:t>
      </w:r>
      <w:r w:rsidR="00EB3B3C">
        <w:rPr>
          <w:b/>
          <w:bCs/>
        </w:rPr>
        <w:t>fortalecer las</w:t>
      </w:r>
      <w:r w:rsidR="00944ED2" w:rsidRPr="00944ED2">
        <w:rPr>
          <w:b/>
          <w:bCs/>
        </w:rPr>
        <w:t xml:space="preserve"> medidas para aumentar la participación de las mujeres, </w:t>
      </w:r>
      <w:bookmarkStart w:id="2" w:name="_Hlk129256107"/>
      <w:r w:rsidR="00944ED2" w:rsidRPr="00944ED2">
        <w:rPr>
          <w:b/>
          <w:bCs/>
        </w:rPr>
        <w:t>incluidas las mujeres campesinas, indígenas y afrodescendientes</w:t>
      </w:r>
      <w:bookmarkEnd w:id="2"/>
      <w:r w:rsidR="00944ED2" w:rsidRPr="00944ED2">
        <w:rPr>
          <w:b/>
          <w:bCs/>
        </w:rPr>
        <w:t xml:space="preserve">, en la vida política y pública, así como su representación en </w:t>
      </w:r>
      <w:r w:rsidR="0033500D">
        <w:rPr>
          <w:b/>
          <w:bCs/>
        </w:rPr>
        <w:t>los</w:t>
      </w:r>
      <w:r w:rsidR="0033500D" w:rsidRPr="00944ED2">
        <w:rPr>
          <w:b/>
          <w:bCs/>
        </w:rPr>
        <w:t xml:space="preserve"> </w:t>
      </w:r>
      <w:r w:rsidR="00944ED2" w:rsidRPr="00944ED2">
        <w:rPr>
          <w:b/>
          <w:bCs/>
        </w:rPr>
        <w:t>sector</w:t>
      </w:r>
      <w:r w:rsidR="0033500D">
        <w:rPr>
          <w:b/>
          <w:bCs/>
        </w:rPr>
        <w:t>es</w:t>
      </w:r>
      <w:r w:rsidR="00944ED2" w:rsidRPr="00944ED2">
        <w:rPr>
          <w:b/>
          <w:bCs/>
        </w:rPr>
        <w:t xml:space="preserve"> público y privado, especialmente en los cargos directivos y de alto nivel</w:t>
      </w:r>
      <w:r w:rsidR="00944ED2">
        <w:rPr>
          <w:b/>
          <w:bCs/>
        </w:rPr>
        <w:t xml:space="preserve">. </w:t>
      </w:r>
      <w:r w:rsidR="00944ED2" w:rsidRPr="00944ED2">
        <w:rPr>
          <w:b/>
          <w:bCs/>
        </w:rPr>
        <w:t>Debe también continuar sus esfuerzos para combatir la brecha salarial entre hombres y mujeres, y para eliminar los estereotipos de género sobre el papel y las responsabilidades de los hombres y de las mujeres en la familia y en la sociedad.</w:t>
      </w:r>
      <w:r w:rsidR="00944ED2">
        <w:rPr>
          <w:b/>
          <w:bCs/>
        </w:rPr>
        <w:t xml:space="preserve"> Asimismo, debe r</w:t>
      </w:r>
      <w:r w:rsidR="00EA78A6" w:rsidRPr="00E94C4D">
        <w:rPr>
          <w:b/>
          <w:bCs/>
        </w:rPr>
        <w:t>ealizar mayores esfuerzos para prevenir los casos de acoso y violencia política</w:t>
      </w:r>
      <w:r w:rsidR="00D6526F">
        <w:rPr>
          <w:b/>
          <w:bCs/>
        </w:rPr>
        <w:t>.</w:t>
      </w:r>
    </w:p>
    <w:p w14:paraId="7BB14251" w14:textId="7EA910B8" w:rsidR="007C108E" w:rsidRDefault="007C108E" w:rsidP="0030664F">
      <w:pPr>
        <w:pStyle w:val="H23G"/>
        <w:spacing w:line="240" w:lineRule="atLeast"/>
        <w:ind w:firstLine="0"/>
        <w:jc w:val="both"/>
        <w:rPr>
          <w:lang w:val="es-ES_tradnl"/>
        </w:rPr>
      </w:pPr>
      <w:r w:rsidRPr="0037019F">
        <w:tab/>
      </w:r>
      <w:r w:rsidRPr="00341E99">
        <w:rPr>
          <w:lang w:val="es-ES_tradnl"/>
        </w:rPr>
        <w:t>Violencia contra la mujer, incluida la violencia dom</w:t>
      </w:r>
      <w:r>
        <w:rPr>
          <w:lang w:val="es-ES_tradnl"/>
        </w:rPr>
        <w:t>é</w:t>
      </w:r>
      <w:r w:rsidRPr="00341E99">
        <w:rPr>
          <w:lang w:val="es-ES_tradnl"/>
        </w:rPr>
        <w:t xml:space="preserve">stica </w:t>
      </w:r>
    </w:p>
    <w:p w14:paraId="4E84CCF5" w14:textId="361B0139" w:rsidR="00135455" w:rsidRDefault="0053287B" w:rsidP="001700F0">
      <w:pPr>
        <w:spacing w:after="120"/>
        <w:ind w:left="1134" w:right="1134"/>
        <w:jc w:val="both"/>
        <w:rPr>
          <w:lang w:val="es-ES_tradnl"/>
        </w:rPr>
      </w:pPr>
      <w:r>
        <w:rPr>
          <w:lang w:val="es-ES_tradnl"/>
        </w:rPr>
        <w:t>2</w:t>
      </w:r>
      <w:r w:rsidR="00A44737">
        <w:rPr>
          <w:lang w:val="es-ES_tradnl"/>
        </w:rPr>
        <w:t>2</w:t>
      </w:r>
      <w:r w:rsidR="00CF5848">
        <w:rPr>
          <w:lang w:val="es-ES_tradnl"/>
        </w:rPr>
        <w:t>.</w:t>
      </w:r>
      <w:r w:rsidR="00514874">
        <w:rPr>
          <w:lang w:val="es-ES_tradnl"/>
        </w:rPr>
        <w:tab/>
      </w:r>
      <w:r w:rsidR="00586EE1" w:rsidRPr="00586EE1">
        <w:rPr>
          <w:lang w:val="es-ES_tradnl"/>
        </w:rPr>
        <w:t xml:space="preserve">El Comité toma nota de las medidas adoptadas por el Estado parte para prevenir y combatir la violencia contra la mujer. No obstante, le preocupan los informes que dan cuenta de que este fenómeno continúa extendido en el Estado parte, incluyendo </w:t>
      </w:r>
      <w:r w:rsidR="00C329D6">
        <w:rPr>
          <w:lang w:val="es-ES_tradnl"/>
        </w:rPr>
        <w:t xml:space="preserve">desapariciones, </w:t>
      </w:r>
      <w:r w:rsidR="00E477B6">
        <w:rPr>
          <w:lang w:val="es-ES_tradnl"/>
        </w:rPr>
        <w:t xml:space="preserve">violencia doméstica, </w:t>
      </w:r>
      <w:r w:rsidR="001C76B7">
        <w:rPr>
          <w:lang w:val="es-ES_tradnl"/>
        </w:rPr>
        <w:t xml:space="preserve">violencia obstétrica, </w:t>
      </w:r>
      <w:r w:rsidR="00586EE1" w:rsidRPr="00586EE1">
        <w:rPr>
          <w:lang w:val="es-ES_tradnl"/>
        </w:rPr>
        <w:t xml:space="preserve">feminicidios y violencia sexual, incluso contra niñas y </w:t>
      </w:r>
      <w:r w:rsidR="00586EE1" w:rsidRPr="009E10DE">
        <w:rPr>
          <w:lang w:val="es-ES_tradnl"/>
        </w:rPr>
        <w:t xml:space="preserve">adolescentes </w:t>
      </w:r>
      <w:r w:rsidR="0030664F" w:rsidRPr="009E10DE">
        <w:rPr>
          <w:lang w:val="es-ES_tradnl"/>
        </w:rPr>
        <w:t>(arts. 2, 3, 6, 7, 14, 24 y 26).</w:t>
      </w:r>
    </w:p>
    <w:p w14:paraId="40022277" w14:textId="63ECA1FB" w:rsidR="007C108E" w:rsidRDefault="00732CBB" w:rsidP="001700F0">
      <w:pPr>
        <w:spacing w:after="120"/>
        <w:ind w:left="1134" w:right="1134"/>
        <w:jc w:val="both"/>
        <w:rPr>
          <w:b/>
          <w:bCs/>
        </w:rPr>
      </w:pPr>
      <w:r>
        <w:rPr>
          <w:lang w:val="es-ES_tradnl"/>
        </w:rPr>
        <w:t>2</w:t>
      </w:r>
      <w:r w:rsidR="00A44737">
        <w:rPr>
          <w:lang w:val="es-ES_tradnl"/>
        </w:rPr>
        <w:t>3</w:t>
      </w:r>
      <w:r w:rsidR="0030664F">
        <w:rPr>
          <w:lang w:val="es-ES_tradnl"/>
        </w:rPr>
        <w:t>.</w:t>
      </w:r>
      <w:r w:rsidR="0030664F">
        <w:rPr>
          <w:lang w:val="es-ES_tradnl"/>
        </w:rPr>
        <w:tab/>
      </w:r>
      <w:r w:rsidR="00E477B6" w:rsidRPr="00E477B6">
        <w:rPr>
          <w:b/>
          <w:bCs/>
        </w:rPr>
        <w:t>Recordando la recomendación anterior del Comité</w:t>
      </w:r>
      <w:r w:rsidR="00E477B6">
        <w:rPr>
          <w:rStyle w:val="Refdenotaalpie"/>
          <w:b/>
          <w:bCs/>
        </w:rPr>
        <w:footnoteReference w:id="7"/>
      </w:r>
      <w:r w:rsidR="0033500D">
        <w:rPr>
          <w:b/>
          <w:bCs/>
        </w:rPr>
        <w:t>,</w:t>
      </w:r>
      <w:r w:rsidR="00E477B6" w:rsidRPr="00E477B6">
        <w:rPr>
          <w:b/>
          <w:bCs/>
        </w:rPr>
        <w:t xml:space="preserve"> </w:t>
      </w:r>
      <w:r w:rsidR="00E477B6">
        <w:rPr>
          <w:b/>
          <w:bCs/>
        </w:rPr>
        <w:t>e</w:t>
      </w:r>
      <w:r w:rsidR="00E477B6" w:rsidRPr="00135455">
        <w:rPr>
          <w:b/>
          <w:bCs/>
        </w:rPr>
        <w:t>l Estado parte debe intensificar sus esfuerzos para prevenir, combatir y erradicar todas las formas de violencia contra mujeres y niñas.</w:t>
      </w:r>
      <w:r w:rsidR="00E477B6" w:rsidRPr="00E477B6">
        <w:rPr>
          <w:b/>
          <w:bCs/>
        </w:rPr>
        <w:t xml:space="preserve"> El Estado parte también debe </w:t>
      </w:r>
      <w:r w:rsidR="00DB49D6">
        <w:rPr>
          <w:b/>
          <w:bCs/>
        </w:rPr>
        <w:t>r</w:t>
      </w:r>
      <w:r w:rsidR="00DB49D6" w:rsidRPr="00DB49D6">
        <w:rPr>
          <w:b/>
          <w:bCs/>
        </w:rPr>
        <w:t xml:space="preserve">edoblar sus esfuerzos </w:t>
      </w:r>
      <w:r w:rsidR="00DB49D6" w:rsidRPr="00DB49D6">
        <w:rPr>
          <w:b/>
          <w:bCs/>
        </w:rPr>
        <w:lastRenderedPageBreak/>
        <w:t>por enjuiciar y sancionar a los autores de actos de violencia contra las mujeres y las niñas, en particular manteniendo y ampliando la oferta de capacitación impartida a los funcionarios públicos pertinentes, entre otros, jueces,</w:t>
      </w:r>
      <w:r w:rsidR="00FB1DDD">
        <w:rPr>
          <w:b/>
          <w:bCs/>
        </w:rPr>
        <w:t xml:space="preserve"> fiscales,</w:t>
      </w:r>
      <w:r w:rsidR="00DB49D6" w:rsidRPr="00DB49D6">
        <w:rPr>
          <w:b/>
          <w:bCs/>
        </w:rPr>
        <w:t xml:space="preserve"> abogados y agentes del orden</w:t>
      </w:r>
      <w:r w:rsidR="00DB49D6">
        <w:rPr>
          <w:b/>
          <w:bCs/>
        </w:rPr>
        <w:t xml:space="preserve">. </w:t>
      </w:r>
      <w:r w:rsidR="00EF7CD5">
        <w:rPr>
          <w:b/>
          <w:bCs/>
        </w:rPr>
        <w:t>Asimismo,</w:t>
      </w:r>
      <w:r w:rsidR="00DB49D6">
        <w:rPr>
          <w:b/>
          <w:bCs/>
        </w:rPr>
        <w:t xml:space="preserve"> debe proseguir los esfuerzos para garantizar</w:t>
      </w:r>
      <w:r w:rsidR="00E477B6" w:rsidRPr="00E477B6">
        <w:rPr>
          <w:b/>
          <w:bCs/>
        </w:rPr>
        <w:t xml:space="preserve"> que las víctimas tengan acceso a recursos efectivos, reciban una reparación </w:t>
      </w:r>
      <w:r w:rsidR="001F0552">
        <w:rPr>
          <w:b/>
          <w:bCs/>
        </w:rPr>
        <w:t>i</w:t>
      </w:r>
      <w:r w:rsidR="00E477B6" w:rsidRPr="00E477B6">
        <w:rPr>
          <w:b/>
          <w:bCs/>
        </w:rPr>
        <w:t>ntegra</w:t>
      </w:r>
      <w:r w:rsidR="001F0552">
        <w:rPr>
          <w:b/>
          <w:bCs/>
        </w:rPr>
        <w:t>l</w:t>
      </w:r>
      <w:r w:rsidR="00E477B6" w:rsidRPr="00E477B6">
        <w:rPr>
          <w:b/>
          <w:bCs/>
        </w:rPr>
        <w:t xml:space="preserve">, incluida una indemnización correcta, y tengan acceso a una protección y asistencia adecuadas. </w:t>
      </w:r>
    </w:p>
    <w:p w14:paraId="49B11641" w14:textId="0D96EE32" w:rsidR="001F44AC" w:rsidRDefault="00B953F0" w:rsidP="00B953F0">
      <w:pPr>
        <w:pStyle w:val="H23G"/>
        <w:rPr>
          <w:lang w:val="es-ES_tradnl"/>
        </w:rPr>
      </w:pPr>
      <w:r>
        <w:tab/>
      </w:r>
      <w:r>
        <w:tab/>
      </w:r>
      <w:r w:rsidR="008B57D4">
        <w:t>Mortalidad materna, i</w:t>
      </w:r>
      <w:r w:rsidR="00732CBB" w:rsidRPr="00732CBB">
        <w:t>nterrupción voluntaria del embarazo y derechos sexuales y reproductivos</w:t>
      </w:r>
    </w:p>
    <w:p w14:paraId="559F08D6" w14:textId="4596C398" w:rsidR="001700F0" w:rsidRDefault="00280416" w:rsidP="00224E61">
      <w:pPr>
        <w:spacing w:after="120"/>
        <w:ind w:left="1134" w:right="1134"/>
        <w:jc w:val="both"/>
        <w:rPr>
          <w:lang w:val="es-ES_tradnl"/>
        </w:rPr>
      </w:pPr>
      <w:r w:rsidRPr="00280416">
        <w:rPr>
          <w:lang w:val="es-ES_tradnl"/>
        </w:rPr>
        <w:t>2</w:t>
      </w:r>
      <w:r w:rsidR="00A44737">
        <w:rPr>
          <w:lang w:val="es-ES_tradnl"/>
        </w:rPr>
        <w:t>4</w:t>
      </w:r>
      <w:r w:rsidRPr="00280416">
        <w:rPr>
          <w:lang w:val="es-ES_tradnl"/>
        </w:rPr>
        <w:t xml:space="preserve">. </w:t>
      </w:r>
      <w:r w:rsidRPr="00280416">
        <w:rPr>
          <w:lang w:val="es-ES_tradnl"/>
        </w:rPr>
        <w:tab/>
      </w:r>
      <w:r w:rsidR="00575FE7">
        <w:rPr>
          <w:lang w:val="es-ES_tradnl"/>
        </w:rPr>
        <w:t>E</w:t>
      </w:r>
      <w:r w:rsidR="00575FE7" w:rsidRPr="00575FE7">
        <w:rPr>
          <w:lang w:val="es-ES_tradnl"/>
        </w:rPr>
        <w:t xml:space="preserve">l Comité </w:t>
      </w:r>
      <w:r w:rsidR="00054020">
        <w:t>felicita</w:t>
      </w:r>
      <w:r w:rsidR="00AC5EA8">
        <w:t xml:space="preserve"> al Estado parte por</w:t>
      </w:r>
      <w:r w:rsidR="00DF5618" w:rsidRPr="00DF5618">
        <w:t xml:space="preserve"> </w:t>
      </w:r>
      <w:r w:rsidR="00575FE7" w:rsidRPr="00575FE7">
        <w:rPr>
          <w:lang w:val="es-ES_tradnl"/>
        </w:rPr>
        <w:t xml:space="preserve">las medidas adoptadas para mejorar el acceso a los servicios de salud y de información sexual y reproductiva, así como para </w:t>
      </w:r>
      <w:r w:rsidR="00DF5618">
        <w:rPr>
          <w:lang w:val="es-ES_tradnl"/>
        </w:rPr>
        <w:t xml:space="preserve">combatir y prevenir el embarazo adolescente y </w:t>
      </w:r>
      <w:r w:rsidR="00575FE7" w:rsidRPr="00575FE7">
        <w:rPr>
          <w:lang w:val="es-ES_tradnl"/>
        </w:rPr>
        <w:t>la mortalidad materna, en particular, la aprobación</w:t>
      </w:r>
      <w:r w:rsidR="00E6711A">
        <w:rPr>
          <w:lang w:val="es-ES_tradnl"/>
        </w:rPr>
        <w:t xml:space="preserve"> del Plan Multisectorial </w:t>
      </w:r>
      <w:r w:rsidR="006D4018">
        <w:rPr>
          <w:lang w:val="es-ES_tradnl"/>
        </w:rPr>
        <w:t xml:space="preserve">para la </w:t>
      </w:r>
      <w:r w:rsidR="00E6711A">
        <w:rPr>
          <w:lang w:val="es-ES_tradnl"/>
        </w:rPr>
        <w:t xml:space="preserve">Prevención del Embarazo </w:t>
      </w:r>
      <w:r w:rsidR="006D4018">
        <w:rPr>
          <w:lang w:val="es-ES_tradnl"/>
        </w:rPr>
        <w:t xml:space="preserve">en </w:t>
      </w:r>
      <w:r w:rsidR="00E6711A">
        <w:rPr>
          <w:lang w:val="es-ES_tradnl"/>
        </w:rPr>
        <w:t>Adolescente</w:t>
      </w:r>
      <w:r w:rsidR="006D4018">
        <w:rPr>
          <w:lang w:val="es-ES_tradnl"/>
        </w:rPr>
        <w:t>s</w:t>
      </w:r>
      <w:r w:rsidR="00E6711A">
        <w:rPr>
          <w:lang w:val="es-ES_tradnl"/>
        </w:rPr>
        <w:t xml:space="preserve"> 2013-2021 y la Norma Técnica de Salud de Planificación Familiar.</w:t>
      </w:r>
      <w:r w:rsidR="00575FE7" w:rsidRPr="00575FE7">
        <w:rPr>
          <w:lang w:val="es-ES_tradnl"/>
        </w:rPr>
        <w:t xml:space="preserve"> </w:t>
      </w:r>
      <w:r w:rsidR="00054020">
        <w:rPr>
          <w:lang w:val="es-ES_tradnl"/>
        </w:rPr>
        <w:t xml:space="preserve">Asimismo, el Comité acoge con beneplácito la información </w:t>
      </w:r>
      <w:r w:rsidR="00AC5EA8">
        <w:rPr>
          <w:lang w:val="es-ES_tradnl"/>
        </w:rPr>
        <w:t xml:space="preserve">conforme a la cual </w:t>
      </w:r>
      <w:r w:rsidR="00054020">
        <w:rPr>
          <w:lang w:val="es-ES_tradnl"/>
        </w:rPr>
        <w:t>el Ministerio de Salud ha emitido opinión favorable a cuatro proyectos de ley para despenalizar la interrupción voluntaria del embarazo por casos de violación, incesto o feto inviable. Sin embargo, a</w:t>
      </w:r>
      <w:r w:rsidR="001700F0" w:rsidRPr="001700F0">
        <w:rPr>
          <w:lang w:val="es-ES_tradnl"/>
        </w:rPr>
        <w:t>l Comité le preocupa</w:t>
      </w:r>
      <w:r w:rsidR="00C36520">
        <w:rPr>
          <w:lang w:val="es-ES_tradnl"/>
        </w:rPr>
        <w:t xml:space="preserve"> que el aborto sigue tipificado como delito, salvo</w:t>
      </w:r>
      <w:r w:rsidR="00C36520" w:rsidRPr="00C36520">
        <w:rPr>
          <w:lang w:val="es-ES_tradnl"/>
        </w:rPr>
        <w:t xml:space="preserve"> en los supuestos en que corran </w:t>
      </w:r>
      <w:r w:rsidR="00E27775">
        <w:rPr>
          <w:lang w:val="es-ES_tradnl"/>
        </w:rPr>
        <w:t xml:space="preserve">serio </w:t>
      </w:r>
      <w:r w:rsidR="00C36520" w:rsidRPr="00C36520">
        <w:rPr>
          <w:lang w:val="es-ES_tradnl"/>
        </w:rPr>
        <w:t>peligro la vida o la salud de la embarazada</w:t>
      </w:r>
      <w:r w:rsidR="00C36520">
        <w:rPr>
          <w:lang w:val="es-ES_tradnl"/>
        </w:rPr>
        <w:t xml:space="preserve">, </w:t>
      </w:r>
      <w:r w:rsidR="00E27775">
        <w:rPr>
          <w:lang w:val="es-ES_tradnl"/>
        </w:rPr>
        <w:t>y que</w:t>
      </w:r>
      <w:r w:rsidR="00C36520">
        <w:rPr>
          <w:lang w:val="es-ES_tradnl"/>
        </w:rPr>
        <w:t xml:space="preserve"> las tasas de violac</w:t>
      </w:r>
      <w:r w:rsidR="00E27775">
        <w:rPr>
          <w:lang w:val="es-ES_tradnl"/>
        </w:rPr>
        <w:t>iones</w:t>
      </w:r>
      <w:r w:rsidR="00C36520">
        <w:rPr>
          <w:lang w:val="es-ES_tradnl"/>
        </w:rPr>
        <w:t xml:space="preserve"> y violencia sexual </w:t>
      </w:r>
      <w:r w:rsidR="00224E61">
        <w:rPr>
          <w:lang w:val="es-ES_tradnl"/>
        </w:rPr>
        <w:t>contra los</w:t>
      </w:r>
      <w:r w:rsidR="00C36520">
        <w:rPr>
          <w:lang w:val="es-ES_tradnl"/>
        </w:rPr>
        <w:t xml:space="preserve"> adolescentes</w:t>
      </w:r>
      <w:r w:rsidR="00E27775">
        <w:rPr>
          <w:lang w:val="es-ES_tradnl"/>
        </w:rPr>
        <w:t xml:space="preserve"> continúan siendo altas</w:t>
      </w:r>
      <w:r w:rsidR="00C36520">
        <w:rPr>
          <w:lang w:val="es-ES_tradnl"/>
        </w:rPr>
        <w:t xml:space="preserve">, lo </w:t>
      </w:r>
      <w:r w:rsidR="00716CAF">
        <w:rPr>
          <w:lang w:val="es-ES_tradnl"/>
        </w:rPr>
        <w:t xml:space="preserve">cual </w:t>
      </w:r>
      <w:r w:rsidR="00224E61">
        <w:rPr>
          <w:lang w:val="es-ES_tradnl"/>
        </w:rPr>
        <w:t>conlleva a una alta incidencia de</w:t>
      </w:r>
      <w:r w:rsidR="00C36520">
        <w:rPr>
          <w:lang w:val="es-ES_tradnl"/>
        </w:rPr>
        <w:t xml:space="preserve"> embarazos forz</w:t>
      </w:r>
      <w:r w:rsidR="00716CAF">
        <w:rPr>
          <w:lang w:val="es-ES_tradnl"/>
        </w:rPr>
        <w:t>ados.</w:t>
      </w:r>
      <w:r w:rsidR="001700F0" w:rsidRPr="001700F0">
        <w:rPr>
          <w:lang w:val="es-ES_tradnl"/>
        </w:rPr>
        <w:t xml:space="preserve"> Asimismo, le preocupa que las tasas de embarazo adolescente </w:t>
      </w:r>
      <w:r w:rsidR="00054020">
        <w:rPr>
          <w:lang w:val="es-ES_tradnl"/>
        </w:rPr>
        <w:t xml:space="preserve">y mortalidad materna </w:t>
      </w:r>
      <w:r w:rsidR="00C36520">
        <w:rPr>
          <w:lang w:val="es-ES_tradnl"/>
        </w:rPr>
        <w:t xml:space="preserve">en las zonas rurales </w:t>
      </w:r>
      <w:r w:rsidR="001700F0" w:rsidRPr="001700F0">
        <w:rPr>
          <w:lang w:val="es-ES_tradnl"/>
        </w:rPr>
        <w:t xml:space="preserve">siguen siendo elevadas a pesar de las medidas </w:t>
      </w:r>
      <w:r w:rsidR="00193F5A">
        <w:rPr>
          <w:lang w:val="es-ES_tradnl"/>
        </w:rPr>
        <w:t xml:space="preserve">de prevención </w:t>
      </w:r>
      <w:r w:rsidR="001700F0" w:rsidRPr="001700F0">
        <w:rPr>
          <w:lang w:val="es-ES_tradnl"/>
        </w:rPr>
        <w:t>adoptadas por el Estado parte (arts. 2, 3, 6, 7, 17 y 26).</w:t>
      </w:r>
    </w:p>
    <w:p w14:paraId="3E1A4490" w14:textId="30BAF7EC" w:rsidR="00CC69F8" w:rsidRPr="00CC69F8" w:rsidRDefault="00280416" w:rsidP="00016771">
      <w:pPr>
        <w:spacing w:after="120"/>
        <w:ind w:left="1134" w:right="1134"/>
        <w:jc w:val="both"/>
        <w:rPr>
          <w:lang w:val="es-ES_tradnl"/>
        </w:rPr>
      </w:pPr>
      <w:r>
        <w:rPr>
          <w:lang w:val="es-ES_tradnl"/>
        </w:rPr>
        <w:t>2</w:t>
      </w:r>
      <w:r w:rsidR="00A44737">
        <w:rPr>
          <w:lang w:val="es-ES_tradnl"/>
        </w:rPr>
        <w:t>5</w:t>
      </w:r>
      <w:r>
        <w:rPr>
          <w:lang w:val="es-ES_tradnl"/>
        </w:rPr>
        <w:t>.</w:t>
      </w:r>
      <w:r>
        <w:rPr>
          <w:lang w:val="es-ES_tradnl"/>
        </w:rPr>
        <w:tab/>
      </w:r>
      <w:r w:rsidR="00CC69F8" w:rsidRPr="00CC69F8">
        <w:rPr>
          <w:b/>
          <w:bCs/>
        </w:rPr>
        <w:t>Teniendo en cuenta la observación general núm. 36 (2018) del Comité</w:t>
      </w:r>
      <w:r w:rsidR="006D4018">
        <w:rPr>
          <w:b/>
          <w:bCs/>
        </w:rPr>
        <w:t>,</w:t>
      </w:r>
      <w:r w:rsidR="00CC69F8" w:rsidRPr="00CC69F8">
        <w:rPr>
          <w:b/>
          <w:bCs/>
        </w:rPr>
        <w:t xml:space="preserve"> </w:t>
      </w:r>
      <w:r w:rsidR="006D4018">
        <w:rPr>
          <w:b/>
          <w:bCs/>
        </w:rPr>
        <w:t>relativa al</w:t>
      </w:r>
      <w:r w:rsidR="00CC69F8" w:rsidRPr="00CC69F8">
        <w:rPr>
          <w:b/>
          <w:bCs/>
        </w:rPr>
        <w:t xml:space="preserve"> derecho a la vida, el Estado parte debe:</w:t>
      </w:r>
    </w:p>
    <w:p w14:paraId="5CCE1D40" w14:textId="363FF6DD" w:rsidR="00016771" w:rsidRPr="00A73CAA" w:rsidRDefault="00016771" w:rsidP="00016771">
      <w:pPr>
        <w:spacing w:after="120"/>
        <w:ind w:left="1134" w:right="1134" w:firstLine="567"/>
        <w:jc w:val="both"/>
        <w:rPr>
          <w:b/>
          <w:bCs/>
        </w:rPr>
      </w:pPr>
      <w:r w:rsidRPr="00A73CAA">
        <w:rPr>
          <w:b/>
          <w:bCs/>
        </w:rPr>
        <w:t>a</w:t>
      </w:r>
      <w:r w:rsidR="00CC69F8" w:rsidRPr="00A73CAA">
        <w:rPr>
          <w:b/>
          <w:bCs/>
        </w:rPr>
        <w:t>)</w:t>
      </w:r>
      <w:r w:rsidRPr="00A73CAA">
        <w:rPr>
          <w:b/>
          <w:bCs/>
        </w:rPr>
        <w:tab/>
        <w:t xml:space="preserve">Revisar su legislación con miras a garantizar un acceso seguro, legal y efectivo al aborto cuando la vida </w:t>
      </w:r>
      <w:r w:rsidR="006D4018" w:rsidRPr="00A73CAA">
        <w:rPr>
          <w:b/>
          <w:bCs/>
        </w:rPr>
        <w:t xml:space="preserve">o </w:t>
      </w:r>
      <w:r w:rsidRPr="00A73CAA">
        <w:rPr>
          <w:b/>
          <w:bCs/>
        </w:rPr>
        <w:t>la salud de la mujer o la niña embarazada estén en peligro y cuando llevar a término el embarazo pueda causarle dolor o sufrimiento graves, y en particular cuando el embarazo resulte de una violación o un incesto o no sea viable;</w:t>
      </w:r>
    </w:p>
    <w:p w14:paraId="357468FF" w14:textId="2213EA86" w:rsidR="00016771" w:rsidRPr="00A73CAA" w:rsidRDefault="00016771" w:rsidP="00016771">
      <w:pPr>
        <w:spacing w:after="120"/>
        <w:ind w:left="1134" w:right="1134" w:firstLine="567"/>
        <w:jc w:val="both"/>
        <w:rPr>
          <w:b/>
          <w:bCs/>
        </w:rPr>
      </w:pPr>
      <w:r w:rsidRPr="00A73CAA">
        <w:rPr>
          <w:b/>
          <w:bCs/>
        </w:rPr>
        <w:t>b)</w:t>
      </w:r>
      <w:r w:rsidRPr="00A73CAA">
        <w:rPr>
          <w:b/>
          <w:bCs/>
        </w:rPr>
        <w:tab/>
        <w:t>Velar por que no se apliquen sanciones penales a las mujeres y las niñas que aborten ni a los profesionales que les presten asistencia médica;</w:t>
      </w:r>
    </w:p>
    <w:p w14:paraId="2E3E6F57" w14:textId="4EEE4005" w:rsidR="00CC69F8" w:rsidRPr="00A73CAA" w:rsidRDefault="00016771" w:rsidP="00016771">
      <w:pPr>
        <w:spacing w:after="120"/>
        <w:ind w:left="1134" w:right="1134" w:firstLine="567"/>
        <w:jc w:val="both"/>
        <w:rPr>
          <w:b/>
          <w:bCs/>
        </w:rPr>
      </w:pPr>
      <w:r w:rsidRPr="00A73CAA">
        <w:rPr>
          <w:b/>
          <w:bCs/>
        </w:rPr>
        <w:t>c</w:t>
      </w:r>
      <w:r w:rsidR="00CC69F8" w:rsidRPr="00A73CAA">
        <w:rPr>
          <w:b/>
          <w:bCs/>
        </w:rPr>
        <w:t>)</w:t>
      </w:r>
      <w:r w:rsidR="00224E61" w:rsidRPr="00A73CAA">
        <w:rPr>
          <w:b/>
          <w:bCs/>
        </w:rPr>
        <w:tab/>
      </w:r>
      <w:r w:rsidR="00CC69F8" w:rsidRPr="00A73CAA">
        <w:rPr>
          <w:b/>
          <w:bCs/>
        </w:rPr>
        <w:t>Incrementar sus esfuerzos para prevenir los embarazos no deseados, especialmente entre las adolescentes, y para garantizar el pleno acceso a servicios adecuados de salud sexual y reproductiva</w:t>
      </w:r>
      <w:r w:rsidRPr="00A73CAA">
        <w:rPr>
          <w:b/>
          <w:bCs/>
        </w:rPr>
        <w:t xml:space="preserve">, así como a métodos anticonceptivos apropiados y </w:t>
      </w:r>
      <w:r w:rsidR="00EF249A" w:rsidRPr="00A73CAA">
        <w:rPr>
          <w:b/>
          <w:bCs/>
        </w:rPr>
        <w:t>accesibles</w:t>
      </w:r>
      <w:r w:rsidRPr="00A73CAA">
        <w:rPr>
          <w:b/>
          <w:bCs/>
        </w:rPr>
        <w:t>,</w:t>
      </w:r>
      <w:r w:rsidR="00CC69F8" w:rsidRPr="00A73CAA">
        <w:rPr>
          <w:b/>
          <w:bCs/>
        </w:rPr>
        <w:t xml:space="preserve"> en todo el país, en particular entre las mujeres afrodescendientes e indígenas y las que viven en zonas rurales y </w:t>
      </w:r>
      <w:r w:rsidR="00EF249A" w:rsidRPr="00A73CAA">
        <w:rPr>
          <w:b/>
          <w:bCs/>
        </w:rPr>
        <w:t xml:space="preserve">en </w:t>
      </w:r>
      <w:r w:rsidR="006D4018" w:rsidRPr="00A73CAA">
        <w:rPr>
          <w:b/>
          <w:bCs/>
        </w:rPr>
        <w:t xml:space="preserve">situación de </w:t>
      </w:r>
      <w:r w:rsidR="00EF249A" w:rsidRPr="00A73CAA">
        <w:rPr>
          <w:b/>
          <w:bCs/>
        </w:rPr>
        <w:t>pobreza y extrema pobreza</w:t>
      </w:r>
      <w:r w:rsidR="00CC69F8" w:rsidRPr="00A73CAA">
        <w:rPr>
          <w:b/>
          <w:bCs/>
        </w:rPr>
        <w:t>;</w:t>
      </w:r>
    </w:p>
    <w:p w14:paraId="10C4BA51" w14:textId="251AE173" w:rsidR="001F44AC" w:rsidRDefault="00016771" w:rsidP="005C217B">
      <w:pPr>
        <w:spacing w:after="120"/>
        <w:ind w:left="1134" w:right="1134" w:firstLine="567"/>
        <w:jc w:val="both"/>
        <w:rPr>
          <w:b/>
          <w:bCs/>
          <w:lang w:val="es-ES_tradnl"/>
        </w:rPr>
      </w:pPr>
      <w:r w:rsidRPr="00A73CAA">
        <w:rPr>
          <w:b/>
          <w:bCs/>
        </w:rPr>
        <w:t>d</w:t>
      </w:r>
      <w:r w:rsidR="00CC69F8" w:rsidRPr="00A73CAA">
        <w:rPr>
          <w:b/>
          <w:bCs/>
        </w:rPr>
        <w:t>)</w:t>
      </w:r>
      <w:r w:rsidR="00224E61">
        <w:rPr>
          <w:b/>
          <w:bCs/>
        </w:rPr>
        <w:tab/>
      </w:r>
      <w:r w:rsidR="00CC69F8" w:rsidRPr="00CC69F8">
        <w:rPr>
          <w:b/>
          <w:bCs/>
        </w:rPr>
        <w:t>Redoblar sus esfuerzos de sensibilización y educación sobre los derechos a la salud sexual y reproductiva</w:t>
      </w:r>
      <w:r>
        <w:rPr>
          <w:b/>
          <w:bCs/>
        </w:rPr>
        <w:t>.</w:t>
      </w:r>
    </w:p>
    <w:p w14:paraId="6319B1CB" w14:textId="5474ECCD" w:rsidR="0051379A" w:rsidRPr="00974240" w:rsidRDefault="00B953F0" w:rsidP="00B953F0">
      <w:pPr>
        <w:pStyle w:val="H23G"/>
      </w:pPr>
      <w:r>
        <w:tab/>
      </w:r>
      <w:r>
        <w:tab/>
      </w:r>
      <w:bookmarkStart w:id="3" w:name="_Hlk130227522"/>
      <w:r w:rsidR="0051379A" w:rsidRPr="00974240">
        <w:t>Uso de la fuerza en el contexto de manifestaciones</w:t>
      </w:r>
      <w:bookmarkEnd w:id="3"/>
    </w:p>
    <w:p w14:paraId="6BC69954" w14:textId="4C7B9AC8" w:rsidR="0051379A" w:rsidRPr="009F3E4E" w:rsidRDefault="0051379A" w:rsidP="0051379A">
      <w:pPr>
        <w:spacing w:after="120"/>
        <w:ind w:left="1134" w:right="1133" w:firstLine="6"/>
        <w:jc w:val="both"/>
        <w:rPr>
          <w:lang w:val="es-ES_tradnl"/>
        </w:rPr>
      </w:pPr>
      <w:r>
        <w:rPr>
          <w:lang w:val="es-ES_tradnl"/>
        </w:rPr>
        <w:t>2</w:t>
      </w:r>
      <w:r w:rsidR="00A44737">
        <w:rPr>
          <w:lang w:val="es-ES_tradnl"/>
        </w:rPr>
        <w:t>6</w:t>
      </w:r>
      <w:r w:rsidRPr="00AA2853">
        <w:rPr>
          <w:lang w:val="es-ES_tradnl"/>
        </w:rPr>
        <w:t>.</w:t>
      </w:r>
      <w:r>
        <w:rPr>
          <w:lang w:val="es-ES_tradnl"/>
        </w:rPr>
        <w:t xml:space="preserve"> </w:t>
      </w:r>
      <w:r>
        <w:rPr>
          <w:lang w:val="es-ES_tradnl"/>
        </w:rPr>
        <w:tab/>
      </w:r>
      <w:r w:rsidRPr="009F3E4E">
        <w:rPr>
          <w:lang w:val="es-ES_tradnl"/>
        </w:rPr>
        <w:t xml:space="preserve">Al Comité le preocupan los informes relativos a las </w:t>
      </w:r>
      <w:r w:rsidR="00F80B9D">
        <w:rPr>
          <w:lang w:val="es-ES_tradnl"/>
        </w:rPr>
        <w:t xml:space="preserve">presuntas </w:t>
      </w:r>
      <w:r w:rsidRPr="009F3E4E">
        <w:rPr>
          <w:lang w:val="es-ES_tradnl"/>
        </w:rPr>
        <w:t xml:space="preserve">violaciones de los derechos humanos que se habrían perpetrado en el contexto de </w:t>
      </w:r>
      <w:r>
        <w:rPr>
          <w:lang w:val="es-ES_tradnl"/>
        </w:rPr>
        <w:t>las protestas sociales</w:t>
      </w:r>
      <w:r w:rsidR="00EF249A">
        <w:rPr>
          <w:lang w:val="es-ES_tradnl"/>
        </w:rPr>
        <w:t xml:space="preserve"> en noviembre y diciembre de 2020 y</w:t>
      </w:r>
      <w:r>
        <w:rPr>
          <w:lang w:val="es-ES_tradnl"/>
        </w:rPr>
        <w:t xml:space="preserve"> desde el 7 de diciembre de 2022</w:t>
      </w:r>
      <w:r w:rsidRPr="009F3E4E">
        <w:rPr>
          <w:lang w:val="es-ES_tradnl"/>
        </w:rPr>
        <w:t>, que incluyen casos de uso excesivo</w:t>
      </w:r>
      <w:r w:rsidR="00EF249A">
        <w:rPr>
          <w:lang w:val="es-ES_tradnl"/>
        </w:rPr>
        <w:t>, indiscriminado</w:t>
      </w:r>
      <w:r w:rsidRPr="009F3E4E">
        <w:rPr>
          <w:lang w:val="es-ES_tradnl"/>
        </w:rPr>
        <w:t xml:space="preserve"> y desproporcionado de la fuerza</w:t>
      </w:r>
      <w:r>
        <w:rPr>
          <w:lang w:val="es-ES_tradnl"/>
        </w:rPr>
        <w:t xml:space="preserve"> </w:t>
      </w:r>
      <w:r w:rsidRPr="00974240">
        <w:rPr>
          <w:lang w:val="es-ES_tradnl"/>
        </w:rPr>
        <w:t>y de las armas de fuego por parte de las fuerzas de</w:t>
      </w:r>
      <w:r w:rsidR="00EF249A">
        <w:rPr>
          <w:lang w:val="es-ES_tradnl"/>
        </w:rPr>
        <w:t xml:space="preserve"> seguridad</w:t>
      </w:r>
      <w:r>
        <w:rPr>
          <w:lang w:val="es-ES_tradnl"/>
        </w:rPr>
        <w:t>,</w:t>
      </w:r>
      <w:r w:rsidRPr="009F3E4E">
        <w:rPr>
          <w:lang w:val="es-ES_tradnl"/>
        </w:rPr>
        <w:t xml:space="preserve"> </w:t>
      </w:r>
      <w:r>
        <w:rPr>
          <w:lang w:val="es-ES_tradnl"/>
        </w:rPr>
        <w:t>ejecuciones extrajudiciales</w:t>
      </w:r>
      <w:r w:rsidRPr="009F3E4E">
        <w:rPr>
          <w:lang w:val="es-ES_tradnl"/>
        </w:rPr>
        <w:t>,</w:t>
      </w:r>
      <w:r>
        <w:rPr>
          <w:lang w:val="es-ES_tradnl"/>
        </w:rPr>
        <w:t xml:space="preserve"> detenciones arbitrarias masivas</w:t>
      </w:r>
      <w:r w:rsidRPr="009F3E4E">
        <w:rPr>
          <w:lang w:val="es-ES_tradnl"/>
        </w:rPr>
        <w:t xml:space="preserve"> y casos de violencia </w:t>
      </w:r>
      <w:r w:rsidR="00736AC9">
        <w:rPr>
          <w:lang w:val="es-ES_tradnl"/>
        </w:rPr>
        <w:t>por motivos</w:t>
      </w:r>
      <w:r w:rsidRPr="009F3E4E">
        <w:rPr>
          <w:lang w:val="es-ES_tradnl"/>
        </w:rPr>
        <w:t xml:space="preserve"> racista</w:t>
      </w:r>
      <w:r w:rsidR="00736AC9">
        <w:rPr>
          <w:lang w:val="es-ES_tradnl"/>
        </w:rPr>
        <w:t>s o discriminatorios</w:t>
      </w:r>
      <w:r>
        <w:rPr>
          <w:lang w:val="es-ES_tradnl"/>
        </w:rPr>
        <w:t>, siendo las personas indígenas y campesin</w:t>
      </w:r>
      <w:r w:rsidR="00EF249A">
        <w:rPr>
          <w:lang w:val="es-ES_tradnl"/>
        </w:rPr>
        <w:t>a</w:t>
      </w:r>
      <w:r>
        <w:rPr>
          <w:lang w:val="es-ES_tradnl"/>
        </w:rPr>
        <w:t xml:space="preserve">s, </w:t>
      </w:r>
      <w:r w:rsidR="00736AC9">
        <w:rPr>
          <w:lang w:val="es-ES_tradnl"/>
        </w:rPr>
        <w:t xml:space="preserve">de </w:t>
      </w:r>
      <w:r>
        <w:rPr>
          <w:lang w:val="es-ES_tradnl"/>
        </w:rPr>
        <w:t>zonas particularmente desfavorecidas e históricamente objeto de discriminación estructural</w:t>
      </w:r>
      <w:r w:rsidR="00736AC9">
        <w:rPr>
          <w:lang w:val="es-ES_tradnl"/>
        </w:rPr>
        <w:t>,</w:t>
      </w:r>
      <w:r>
        <w:rPr>
          <w:lang w:val="es-ES_tradnl"/>
        </w:rPr>
        <w:t xml:space="preserve"> como Apurímac, Ayacucho</w:t>
      </w:r>
      <w:r w:rsidR="005F3620">
        <w:rPr>
          <w:lang w:val="es-ES_tradnl"/>
        </w:rPr>
        <w:t xml:space="preserve">, </w:t>
      </w:r>
      <w:r w:rsidR="005F3620" w:rsidRPr="005F3620">
        <w:t>Arequipa, Cusco, Junín, La Libertad, Lima</w:t>
      </w:r>
      <w:r w:rsidR="005F3620">
        <w:rPr>
          <w:lang w:val="es-ES_tradnl"/>
        </w:rPr>
        <w:t xml:space="preserve"> </w:t>
      </w:r>
      <w:r>
        <w:rPr>
          <w:lang w:val="es-ES_tradnl"/>
        </w:rPr>
        <w:t>y Puno, las principales víctimas</w:t>
      </w:r>
      <w:r w:rsidRPr="009F3E4E">
        <w:rPr>
          <w:lang w:val="es-ES_tradnl"/>
        </w:rPr>
        <w:t xml:space="preserve">. Mientras toma nota de las investigaciones en curso, </w:t>
      </w:r>
      <w:r>
        <w:rPr>
          <w:lang w:val="es-ES_tradnl"/>
        </w:rPr>
        <w:t xml:space="preserve">el Comité </w:t>
      </w:r>
      <w:r w:rsidRPr="009F3E4E">
        <w:rPr>
          <w:lang w:val="es-ES_tradnl"/>
        </w:rPr>
        <w:t>observa con</w:t>
      </w:r>
      <w:r>
        <w:rPr>
          <w:lang w:val="es-ES_tradnl"/>
        </w:rPr>
        <w:t xml:space="preserve"> profunda</w:t>
      </w:r>
      <w:r w:rsidRPr="009F3E4E">
        <w:rPr>
          <w:lang w:val="es-ES_tradnl"/>
        </w:rPr>
        <w:t xml:space="preserve"> preocupación </w:t>
      </w:r>
      <w:r w:rsidR="00736AC9">
        <w:rPr>
          <w:lang w:val="es-ES_tradnl"/>
        </w:rPr>
        <w:t>que</w:t>
      </w:r>
      <w:r>
        <w:rPr>
          <w:lang w:val="es-ES_tradnl"/>
        </w:rPr>
        <w:t xml:space="preserve"> la Ley </w:t>
      </w:r>
      <w:r w:rsidR="006D4018">
        <w:rPr>
          <w:lang w:val="es-ES_tradnl"/>
        </w:rPr>
        <w:t>n</w:t>
      </w:r>
      <w:r>
        <w:rPr>
          <w:lang w:val="es-ES_tradnl"/>
        </w:rPr>
        <w:t>úm. 30151</w:t>
      </w:r>
      <w:r w:rsidR="006D4018">
        <w:rPr>
          <w:lang w:val="es-ES_tradnl"/>
        </w:rPr>
        <w:t xml:space="preserve"> </w:t>
      </w:r>
      <w:r>
        <w:rPr>
          <w:lang w:val="es-ES_tradnl"/>
        </w:rPr>
        <w:t xml:space="preserve">(2014) </w:t>
      </w:r>
      <w:r w:rsidR="00DF0338">
        <w:t>da nueva redacción al artículo 20 del Código Penal de modo que dificulta la exigencia de responsabilidad</w:t>
      </w:r>
      <w:r w:rsidR="00DF0338">
        <w:rPr>
          <w:lang w:val="es-ES_tradnl"/>
        </w:rPr>
        <w:t xml:space="preserve"> </w:t>
      </w:r>
      <w:r>
        <w:rPr>
          <w:lang w:val="es-ES_tradnl"/>
        </w:rPr>
        <w:t>penal de los miembros de las Fuerzas Armadas y de la Polic</w:t>
      </w:r>
      <w:r w:rsidR="006D4018">
        <w:rPr>
          <w:lang w:val="es-ES_tradnl"/>
        </w:rPr>
        <w:t>ía</w:t>
      </w:r>
      <w:r>
        <w:rPr>
          <w:lang w:val="es-ES_tradnl"/>
        </w:rPr>
        <w:t xml:space="preserve"> Nacional que causen muertes o lesiones en el cumplimiento de su deber y en uso de sus armas</w:t>
      </w:r>
      <w:r w:rsidR="006D4018">
        <w:rPr>
          <w:lang w:val="es-ES_tradnl"/>
        </w:rPr>
        <w:t>. Observa también con profunda preocupación</w:t>
      </w:r>
      <w:r>
        <w:rPr>
          <w:lang w:val="es-ES_tradnl"/>
        </w:rPr>
        <w:t xml:space="preserve"> </w:t>
      </w:r>
      <w:r w:rsidR="00AE0FAE">
        <w:rPr>
          <w:lang w:val="es-ES_tradnl"/>
        </w:rPr>
        <w:t xml:space="preserve">que </w:t>
      </w:r>
      <w:r>
        <w:rPr>
          <w:lang w:val="es-ES_tradnl"/>
        </w:rPr>
        <w:t xml:space="preserve">la Ley </w:t>
      </w:r>
      <w:r w:rsidR="006D4018">
        <w:rPr>
          <w:lang w:val="es-ES_tradnl"/>
        </w:rPr>
        <w:t>n</w:t>
      </w:r>
      <w:r>
        <w:rPr>
          <w:lang w:val="es-ES_tradnl"/>
        </w:rPr>
        <w:t>úm. 31012</w:t>
      </w:r>
      <w:r w:rsidR="006D4018">
        <w:rPr>
          <w:lang w:val="es-ES_tradnl"/>
        </w:rPr>
        <w:t xml:space="preserve"> (20</w:t>
      </w:r>
      <w:r w:rsidR="00CA5B39">
        <w:rPr>
          <w:lang w:val="es-ES_tradnl"/>
        </w:rPr>
        <w:t>20</w:t>
      </w:r>
      <w:r w:rsidR="006D4018">
        <w:rPr>
          <w:lang w:val="es-ES_tradnl"/>
        </w:rPr>
        <w:t>)</w:t>
      </w:r>
      <w:r>
        <w:rPr>
          <w:lang w:val="es-ES_tradnl"/>
        </w:rPr>
        <w:t xml:space="preserve"> de Protección Policial </w:t>
      </w:r>
      <w:r>
        <w:rPr>
          <w:lang w:val="es-ES_tradnl"/>
        </w:rPr>
        <w:lastRenderedPageBreak/>
        <w:t>modific</w:t>
      </w:r>
      <w:r w:rsidR="006D4018">
        <w:rPr>
          <w:lang w:val="es-ES_tradnl"/>
        </w:rPr>
        <w:t>a</w:t>
      </w:r>
      <w:r>
        <w:rPr>
          <w:lang w:val="es-ES_tradnl"/>
        </w:rPr>
        <w:t xml:space="preserve"> la causal de exención de responsabilidad penal prevista para los miembros de la Policía Nacional y de las Fuerzas Armadas</w:t>
      </w:r>
      <w:r w:rsidR="001F55C7">
        <w:rPr>
          <w:lang w:val="es-ES_tradnl"/>
        </w:rPr>
        <w:t>,</w:t>
      </w:r>
      <w:r w:rsidR="00A63284">
        <w:rPr>
          <w:lang w:val="es-ES_tradnl"/>
        </w:rPr>
        <w:t xml:space="preserve"> prohíbe la imposición de la prisión preventiva a policía</w:t>
      </w:r>
      <w:r w:rsidR="006D4018">
        <w:rPr>
          <w:lang w:val="es-ES_tradnl"/>
        </w:rPr>
        <w:t>s</w:t>
      </w:r>
      <w:r w:rsidR="00A63284">
        <w:rPr>
          <w:lang w:val="es-ES_tradnl"/>
        </w:rPr>
        <w:t xml:space="preserve"> acusad</w:t>
      </w:r>
      <w:r w:rsidR="006D4018">
        <w:rPr>
          <w:lang w:val="es-ES_tradnl"/>
        </w:rPr>
        <w:t>os</w:t>
      </w:r>
      <w:r w:rsidR="00A63284">
        <w:rPr>
          <w:lang w:val="es-ES_tradnl"/>
        </w:rPr>
        <w:t xml:space="preserve"> de actos en uso de su arma</w:t>
      </w:r>
      <w:r w:rsidR="001F55C7">
        <w:rPr>
          <w:lang w:val="es-ES_tradnl"/>
        </w:rPr>
        <w:t xml:space="preserve"> y derog</w:t>
      </w:r>
      <w:r w:rsidR="006D4018">
        <w:rPr>
          <w:lang w:val="es-ES_tradnl"/>
        </w:rPr>
        <w:t>a</w:t>
      </w:r>
      <w:r w:rsidR="001F55C7">
        <w:rPr>
          <w:lang w:val="es-ES_tradnl"/>
        </w:rPr>
        <w:t xml:space="preserve"> el principio de proporcionalidad en el uso de la fuerza, reconocido en el artículo 4</w:t>
      </w:r>
      <w:r w:rsidR="006D4018">
        <w:rPr>
          <w:lang w:val="es-ES_tradnl"/>
        </w:rPr>
        <w:t xml:space="preserve">, párrafo </w:t>
      </w:r>
      <w:r w:rsidR="001F55C7">
        <w:rPr>
          <w:lang w:val="es-ES_tradnl"/>
        </w:rPr>
        <w:t>1</w:t>
      </w:r>
      <w:r w:rsidR="006D4018">
        <w:rPr>
          <w:lang w:val="es-ES_tradnl"/>
        </w:rPr>
        <w:t xml:space="preserve"> </w:t>
      </w:r>
      <w:r w:rsidR="001F55C7">
        <w:rPr>
          <w:lang w:val="es-ES_tradnl"/>
        </w:rPr>
        <w:t>c)</w:t>
      </w:r>
      <w:r w:rsidR="006D4018">
        <w:rPr>
          <w:lang w:val="es-ES_tradnl"/>
        </w:rPr>
        <w:t>,</w:t>
      </w:r>
      <w:r w:rsidR="001F55C7">
        <w:rPr>
          <w:lang w:val="es-ES_tradnl"/>
        </w:rPr>
        <w:t xml:space="preserve"> del Decreto Legislativo </w:t>
      </w:r>
      <w:r w:rsidR="006D4018">
        <w:rPr>
          <w:lang w:val="es-ES_tradnl"/>
        </w:rPr>
        <w:t>núm</w:t>
      </w:r>
      <w:r w:rsidR="001F55C7">
        <w:rPr>
          <w:lang w:val="es-ES_tradnl"/>
        </w:rPr>
        <w:t>. 1186</w:t>
      </w:r>
      <w:r w:rsidR="00AD483F">
        <w:rPr>
          <w:lang w:val="es-ES_tradnl"/>
        </w:rPr>
        <w:t xml:space="preserve"> (2015)</w:t>
      </w:r>
      <w:r w:rsidR="001F55C7">
        <w:rPr>
          <w:lang w:val="es-ES_tradnl"/>
        </w:rPr>
        <w:t xml:space="preserve">, </w:t>
      </w:r>
      <w:r w:rsidR="00F80B9D">
        <w:t xml:space="preserve">y aunque esta </w:t>
      </w:r>
      <w:r w:rsidR="006D4018">
        <w:t>L</w:t>
      </w:r>
      <w:r w:rsidR="00F80B9D">
        <w:t xml:space="preserve">ey ha de ser interpretada con arreglo a la Constitución y los tratados internacionales </w:t>
      </w:r>
      <w:r w:rsidR="006D4018">
        <w:t xml:space="preserve">en </w:t>
      </w:r>
      <w:r w:rsidR="00F80B9D">
        <w:t xml:space="preserve">los que </w:t>
      </w:r>
      <w:r w:rsidR="006D4018">
        <w:t xml:space="preserve">el </w:t>
      </w:r>
      <w:r w:rsidR="00F80B9D">
        <w:t>Perú es parte, su aplicación puede plantear</w:t>
      </w:r>
      <w:r w:rsidR="00F80B9D" w:rsidDel="00F80B9D">
        <w:rPr>
          <w:lang w:val="es-ES_tradnl"/>
        </w:rPr>
        <w:t xml:space="preserve"> </w:t>
      </w:r>
      <w:r w:rsidR="001F55C7">
        <w:rPr>
          <w:lang w:val="es-ES_tradnl"/>
        </w:rPr>
        <w:t xml:space="preserve">serios </w:t>
      </w:r>
      <w:r w:rsidR="00DF0338">
        <w:rPr>
          <w:lang w:val="es-ES_tradnl"/>
        </w:rPr>
        <w:t>obstáculos</w:t>
      </w:r>
      <w:r w:rsidR="001F55C7">
        <w:rPr>
          <w:lang w:val="es-ES_tradnl"/>
        </w:rPr>
        <w:t xml:space="preserve"> para la lucha contra la impunidad, la rendición de cuentas y el acceso a la justicia</w:t>
      </w:r>
      <w:r>
        <w:rPr>
          <w:lang w:val="es-ES_tradnl"/>
        </w:rPr>
        <w:t xml:space="preserve"> </w:t>
      </w:r>
      <w:r w:rsidRPr="009F3E4E">
        <w:rPr>
          <w:lang w:val="es-ES_tradnl"/>
        </w:rPr>
        <w:t>(arts. 2, 6, 7, 14, 19 y 21).</w:t>
      </w:r>
    </w:p>
    <w:p w14:paraId="3CF50A86" w14:textId="0F297502" w:rsidR="0051379A" w:rsidRPr="00CC69F8" w:rsidRDefault="0051379A" w:rsidP="0051379A">
      <w:pPr>
        <w:spacing w:after="120"/>
        <w:ind w:left="1134" w:right="1134"/>
        <w:jc w:val="both"/>
        <w:rPr>
          <w:lang w:val="es-ES_tradnl"/>
        </w:rPr>
      </w:pPr>
      <w:r>
        <w:rPr>
          <w:lang w:val="es-ES_tradnl"/>
        </w:rPr>
        <w:t>2</w:t>
      </w:r>
      <w:r w:rsidR="00A44737">
        <w:rPr>
          <w:lang w:val="es-ES_tradnl"/>
        </w:rPr>
        <w:t>7</w:t>
      </w:r>
      <w:r w:rsidRPr="00AA2853">
        <w:rPr>
          <w:lang w:val="es-ES_tradnl"/>
        </w:rPr>
        <w:t>.</w:t>
      </w:r>
      <w:r>
        <w:rPr>
          <w:lang w:val="es-ES_tradnl"/>
        </w:rPr>
        <w:t xml:space="preserve"> </w:t>
      </w:r>
      <w:r>
        <w:rPr>
          <w:lang w:val="es-ES_tradnl"/>
        </w:rPr>
        <w:tab/>
      </w:r>
      <w:r w:rsidRPr="00CC69F8">
        <w:rPr>
          <w:b/>
          <w:bCs/>
        </w:rPr>
        <w:t>Teniendo en cuenta la</w:t>
      </w:r>
      <w:r w:rsidR="00D855C6">
        <w:rPr>
          <w:b/>
          <w:bCs/>
        </w:rPr>
        <w:t>s</w:t>
      </w:r>
      <w:r w:rsidRPr="00CC69F8">
        <w:rPr>
          <w:b/>
          <w:bCs/>
        </w:rPr>
        <w:t xml:space="preserve"> observaci</w:t>
      </w:r>
      <w:r w:rsidR="00D855C6">
        <w:rPr>
          <w:b/>
          <w:bCs/>
        </w:rPr>
        <w:t>ones</w:t>
      </w:r>
      <w:r w:rsidRPr="00CC69F8">
        <w:rPr>
          <w:b/>
          <w:bCs/>
        </w:rPr>
        <w:t xml:space="preserve"> general</w:t>
      </w:r>
      <w:r w:rsidR="00D855C6">
        <w:rPr>
          <w:b/>
          <w:bCs/>
        </w:rPr>
        <w:t>es</w:t>
      </w:r>
      <w:r w:rsidRPr="00CC69F8">
        <w:rPr>
          <w:b/>
          <w:bCs/>
        </w:rPr>
        <w:t xml:space="preserve"> </w:t>
      </w:r>
      <w:r w:rsidR="00D855C6">
        <w:rPr>
          <w:b/>
          <w:bCs/>
        </w:rPr>
        <w:t xml:space="preserve">del Comité </w:t>
      </w:r>
      <w:r w:rsidRPr="00CC69F8">
        <w:rPr>
          <w:b/>
          <w:bCs/>
        </w:rPr>
        <w:t xml:space="preserve">núm. </w:t>
      </w:r>
      <w:r>
        <w:rPr>
          <w:b/>
          <w:bCs/>
        </w:rPr>
        <w:t>37</w:t>
      </w:r>
      <w:r w:rsidRPr="00CC69F8">
        <w:rPr>
          <w:b/>
          <w:bCs/>
        </w:rPr>
        <w:t xml:space="preserve"> (20</w:t>
      </w:r>
      <w:r>
        <w:rPr>
          <w:b/>
          <w:bCs/>
        </w:rPr>
        <w:t>20</w:t>
      </w:r>
      <w:r w:rsidRPr="00CC69F8">
        <w:rPr>
          <w:b/>
          <w:bCs/>
        </w:rPr>
        <w:t>)</w:t>
      </w:r>
      <w:r w:rsidR="00D855C6">
        <w:rPr>
          <w:b/>
          <w:bCs/>
        </w:rPr>
        <w:t>,</w:t>
      </w:r>
      <w:r w:rsidRPr="00CC69F8">
        <w:rPr>
          <w:b/>
          <w:bCs/>
        </w:rPr>
        <w:t xml:space="preserve"> </w:t>
      </w:r>
      <w:r w:rsidRPr="0063606F">
        <w:rPr>
          <w:b/>
          <w:bCs/>
          <w:lang w:val="es-ES_tradnl"/>
        </w:rPr>
        <w:t>relativa al derecho de reunión pacífica</w:t>
      </w:r>
      <w:r w:rsidRPr="00984712">
        <w:rPr>
          <w:b/>
          <w:bCs/>
        </w:rPr>
        <w:t xml:space="preserve">, </w:t>
      </w:r>
      <w:r w:rsidR="00984712" w:rsidRPr="00984712">
        <w:rPr>
          <w:b/>
          <w:bCs/>
        </w:rPr>
        <w:t>y núm. 36 (2018)</w:t>
      </w:r>
      <w:r w:rsidR="00D855C6">
        <w:rPr>
          <w:b/>
          <w:bCs/>
        </w:rPr>
        <w:t>,</w:t>
      </w:r>
      <w:r w:rsidR="00984712">
        <w:rPr>
          <w:b/>
          <w:bCs/>
        </w:rPr>
        <w:t xml:space="preserve"> </w:t>
      </w:r>
      <w:r w:rsidR="00D855C6">
        <w:rPr>
          <w:b/>
          <w:bCs/>
        </w:rPr>
        <w:t>relativa al</w:t>
      </w:r>
      <w:r w:rsidR="00984712" w:rsidRPr="00984712">
        <w:rPr>
          <w:b/>
          <w:bCs/>
        </w:rPr>
        <w:t xml:space="preserve"> derecho a la vida</w:t>
      </w:r>
      <w:r w:rsidR="00984712">
        <w:rPr>
          <w:b/>
          <w:bCs/>
        </w:rPr>
        <w:t xml:space="preserve">, </w:t>
      </w:r>
      <w:r w:rsidRPr="00984712">
        <w:rPr>
          <w:b/>
          <w:bCs/>
        </w:rPr>
        <w:t>el</w:t>
      </w:r>
      <w:r w:rsidRPr="00CC69F8">
        <w:rPr>
          <w:b/>
          <w:bCs/>
        </w:rPr>
        <w:t xml:space="preserve"> Estado parte debe</w:t>
      </w:r>
      <w:r>
        <w:rPr>
          <w:b/>
          <w:bCs/>
        </w:rPr>
        <w:t xml:space="preserve"> </w:t>
      </w:r>
      <w:r w:rsidRPr="0063606F">
        <w:rPr>
          <w:b/>
          <w:bCs/>
        </w:rPr>
        <w:t xml:space="preserve">adoptar medidas para prevenir y eliminar de manera efectiva todas las formas de uso excesivo de la fuerza por parte de las fuerzas de orden, </w:t>
      </w:r>
      <w:r w:rsidRPr="006177E7">
        <w:rPr>
          <w:b/>
          <w:bCs/>
        </w:rPr>
        <w:t>en particular en el marco de reuniones pacíficas</w:t>
      </w:r>
      <w:r>
        <w:rPr>
          <w:b/>
          <w:bCs/>
        </w:rPr>
        <w:t>. En ese sentido, el Estado parte debe</w:t>
      </w:r>
      <w:r w:rsidRPr="0063606F">
        <w:rPr>
          <w:b/>
          <w:bCs/>
        </w:rPr>
        <w:t>:</w:t>
      </w:r>
    </w:p>
    <w:p w14:paraId="1FA19CCF" w14:textId="674794B8" w:rsidR="0051379A" w:rsidRPr="00A73CAA" w:rsidRDefault="0051379A" w:rsidP="0051379A">
      <w:pPr>
        <w:spacing w:after="120"/>
        <w:ind w:left="1134" w:right="1133" w:firstLine="567"/>
        <w:jc w:val="both"/>
        <w:rPr>
          <w:b/>
          <w:bCs/>
        </w:rPr>
      </w:pPr>
      <w:r w:rsidRPr="00A73CAA">
        <w:rPr>
          <w:b/>
          <w:bCs/>
        </w:rPr>
        <w:t>a)</w:t>
      </w:r>
      <w:r w:rsidRPr="00A73CAA">
        <w:rPr>
          <w:b/>
          <w:bCs/>
        </w:rPr>
        <w:tab/>
        <w:t xml:space="preserve">Revisar </w:t>
      </w:r>
      <w:r w:rsidR="00AE0FAE" w:rsidRPr="00A73CAA">
        <w:rPr>
          <w:b/>
          <w:bCs/>
        </w:rPr>
        <w:t xml:space="preserve">urgentemente las </w:t>
      </w:r>
      <w:r w:rsidR="00CA5B39" w:rsidRPr="00A73CAA">
        <w:rPr>
          <w:b/>
          <w:bCs/>
        </w:rPr>
        <w:t>L</w:t>
      </w:r>
      <w:r w:rsidR="00AE0FAE" w:rsidRPr="00A73CAA">
        <w:rPr>
          <w:b/>
          <w:bCs/>
        </w:rPr>
        <w:t xml:space="preserve">eyes </w:t>
      </w:r>
      <w:r w:rsidR="00CA5B39" w:rsidRPr="00A73CAA">
        <w:rPr>
          <w:b/>
          <w:bCs/>
        </w:rPr>
        <w:t>n</w:t>
      </w:r>
      <w:r w:rsidR="00AE0FAE" w:rsidRPr="00A73CAA">
        <w:rPr>
          <w:b/>
          <w:bCs/>
        </w:rPr>
        <w:t xml:space="preserve">úm. 30151 (2014) y </w:t>
      </w:r>
      <w:r w:rsidR="00CA5B39" w:rsidRPr="00A73CAA">
        <w:rPr>
          <w:b/>
          <w:bCs/>
        </w:rPr>
        <w:t>n</w:t>
      </w:r>
      <w:r w:rsidR="00AE0FAE" w:rsidRPr="00A73CAA">
        <w:rPr>
          <w:b/>
          <w:bCs/>
        </w:rPr>
        <w:t xml:space="preserve">úm. 31012 (2020) </w:t>
      </w:r>
      <w:r w:rsidRPr="00A73CAA">
        <w:rPr>
          <w:b/>
          <w:bCs/>
        </w:rPr>
        <w:t>y adecuar el marco legislativo con base en el Pacto</w:t>
      </w:r>
      <w:r w:rsidR="00984712" w:rsidRPr="00A73CAA">
        <w:rPr>
          <w:b/>
          <w:bCs/>
        </w:rPr>
        <w:t xml:space="preserve"> </w:t>
      </w:r>
      <w:r w:rsidRPr="00A73CAA">
        <w:rPr>
          <w:b/>
          <w:bCs/>
        </w:rPr>
        <w:t>y los Principios Básicos sobre el Empleo de la Fuerza y de Armas de Fuego por los Funcionarios Encargados de Hacer Cumplir la Ley;</w:t>
      </w:r>
    </w:p>
    <w:p w14:paraId="16097AC8" w14:textId="5B650A25" w:rsidR="0051379A" w:rsidRPr="00A73CAA" w:rsidRDefault="0051379A" w:rsidP="0051379A">
      <w:pPr>
        <w:spacing w:after="120"/>
        <w:ind w:left="1134" w:right="1134" w:firstLine="567"/>
        <w:jc w:val="both"/>
        <w:rPr>
          <w:b/>
          <w:bCs/>
        </w:rPr>
      </w:pPr>
      <w:r w:rsidRPr="00A73CAA">
        <w:rPr>
          <w:b/>
          <w:bCs/>
        </w:rPr>
        <w:t>b)</w:t>
      </w:r>
      <w:r w:rsidRPr="00A73CAA">
        <w:rPr>
          <w:b/>
          <w:bCs/>
        </w:rPr>
        <w:tab/>
        <w:t xml:space="preserve">Garantizar que las </w:t>
      </w:r>
      <w:r w:rsidR="00F80B9D" w:rsidRPr="00A73CAA">
        <w:rPr>
          <w:b/>
          <w:bCs/>
        </w:rPr>
        <w:t xml:space="preserve">presuntas </w:t>
      </w:r>
      <w:r w:rsidRPr="00A73CAA">
        <w:rPr>
          <w:b/>
          <w:bCs/>
        </w:rPr>
        <w:t xml:space="preserve">violaciones de los derechos humanos </w:t>
      </w:r>
      <w:r w:rsidR="00F80B9D" w:rsidRPr="00A73CAA">
        <w:rPr>
          <w:b/>
          <w:bCs/>
        </w:rPr>
        <w:t xml:space="preserve">que pudieran haberse </w:t>
      </w:r>
      <w:r w:rsidRPr="00A73CAA">
        <w:rPr>
          <w:b/>
          <w:bCs/>
        </w:rPr>
        <w:t>cometid</w:t>
      </w:r>
      <w:r w:rsidR="00F80B9D" w:rsidRPr="00A73CAA">
        <w:rPr>
          <w:b/>
          <w:bCs/>
        </w:rPr>
        <w:t>o</w:t>
      </w:r>
      <w:r w:rsidRPr="00A73CAA">
        <w:rPr>
          <w:b/>
          <w:bCs/>
        </w:rPr>
        <w:t xml:space="preserve"> en el marco de manifestaciones, incluyendo aquellas que </w:t>
      </w:r>
      <w:r w:rsidR="00F80B9D" w:rsidRPr="00A73CAA">
        <w:rPr>
          <w:b/>
          <w:bCs/>
        </w:rPr>
        <w:t xml:space="preserve">hubieran podido tener </w:t>
      </w:r>
      <w:r w:rsidRPr="00A73CAA">
        <w:rPr>
          <w:b/>
          <w:bCs/>
        </w:rPr>
        <w:t>lugar en el marco de las protestas sociales desde el 7 de diciembre de 2022, sean investigadas sin demora y de manera exhaustiva, imparcial</w:t>
      </w:r>
      <w:r w:rsidR="00301A47" w:rsidRPr="00A73CAA">
        <w:rPr>
          <w:b/>
          <w:bCs/>
        </w:rPr>
        <w:t xml:space="preserve"> y eficaz</w:t>
      </w:r>
      <w:r w:rsidRPr="00A73CAA">
        <w:rPr>
          <w:b/>
          <w:bCs/>
        </w:rPr>
        <w:t xml:space="preserve">; </w:t>
      </w:r>
    </w:p>
    <w:p w14:paraId="04B80C5F" w14:textId="357124A2" w:rsidR="0051379A" w:rsidRPr="00A73CAA" w:rsidRDefault="0051379A" w:rsidP="0051379A">
      <w:pPr>
        <w:spacing w:after="120"/>
        <w:ind w:left="1134" w:right="1134" w:firstLine="567"/>
        <w:jc w:val="both"/>
        <w:rPr>
          <w:b/>
          <w:bCs/>
        </w:rPr>
      </w:pPr>
      <w:r w:rsidRPr="00A73CAA">
        <w:rPr>
          <w:b/>
          <w:bCs/>
        </w:rPr>
        <w:t>c)</w:t>
      </w:r>
      <w:r w:rsidRPr="00A73CAA">
        <w:rPr>
          <w:b/>
          <w:bCs/>
        </w:rPr>
        <w:tab/>
        <w:t xml:space="preserve">Adoptar medidas para proteger </w:t>
      </w:r>
      <w:r w:rsidR="005F3620" w:rsidRPr="00A73CAA">
        <w:rPr>
          <w:b/>
          <w:bCs/>
        </w:rPr>
        <w:t xml:space="preserve">las investigaciones de violaciones de derechos humanos </w:t>
      </w:r>
      <w:r w:rsidRPr="00A73CAA">
        <w:rPr>
          <w:b/>
          <w:bCs/>
        </w:rPr>
        <w:t>contra la impunidad</w:t>
      </w:r>
      <w:r w:rsidR="005F3620" w:rsidRPr="00A73CAA">
        <w:rPr>
          <w:b/>
          <w:bCs/>
        </w:rPr>
        <w:t xml:space="preserve">, y </w:t>
      </w:r>
      <w:r w:rsidRPr="00A73CAA">
        <w:rPr>
          <w:b/>
          <w:bCs/>
        </w:rPr>
        <w:t xml:space="preserve">asegurar que los presuntos autores comparezcan ante </w:t>
      </w:r>
      <w:r w:rsidR="00301A47" w:rsidRPr="00A73CAA">
        <w:rPr>
          <w:b/>
          <w:bCs/>
        </w:rPr>
        <w:t xml:space="preserve">el órgano judicial predeterminado por la ley que ha de ofrecer plenas garantías de independencia e imparcialidad </w:t>
      </w:r>
      <w:bookmarkStart w:id="4" w:name="_Hlk129965979"/>
      <w:r w:rsidR="00301A47" w:rsidRPr="00A73CAA">
        <w:rPr>
          <w:b/>
          <w:bCs/>
        </w:rPr>
        <w:t>y que</w:t>
      </w:r>
      <w:r w:rsidRPr="00A73CAA">
        <w:rPr>
          <w:b/>
          <w:bCs/>
        </w:rPr>
        <w:t xml:space="preserve"> los responsables </w:t>
      </w:r>
      <w:r w:rsidR="001F0552" w:rsidRPr="00A73CAA">
        <w:rPr>
          <w:b/>
          <w:bCs/>
        </w:rPr>
        <w:t xml:space="preserve">materiales e intelectuales </w:t>
      </w:r>
      <w:r w:rsidRPr="00A73CAA">
        <w:rPr>
          <w:b/>
          <w:bCs/>
        </w:rPr>
        <w:t>sean sancionados adecuadamente</w:t>
      </w:r>
      <w:bookmarkEnd w:id="4"/>
      <w:r w:rsidRPr="00A73CAA">
        <w:rPr>
          <w:b/>
          <w:bCs/>
        </w:rPr>
        <w:t xml:space="preserve">, y que las víctimas reciban </w:t>
      </w:r>
      <w:r w:rsidR="00B446A3" w:rsidRPr="00A73CAA">
        <w:rPr>
          <w:b/>
          <w:bCs/>
        </w:rPr>
        <w:t>una reparación completa, entre otras cosas en forma de indemnización, rehabilitación, satisfacción y garantías de no repetición</w:t>
      </w:r>
      <w:r w:rsidRPr="00A73CAA">
        <w:rPr>
          <w:b/>
          <w:bCs/>
        </w:rPr>
        <w:t>;</w:t>
      </w:r>
    </w:p>
    <w:p w14:paraId="23BF5774" w14:textId="25129FCA" w:rsidR="0051379A" w:rsidRDefault="0051379A" w:rsidP="0051379A">
      <w:pPr>
        <w:spacing w:after="120"/>
        <w:ind w:left="1134" w:right="1134" w:firstLine="567"/>
        <w:jc w:val="both"/>
        <w:rPr>
          <w:b/>
          <w:bCs/>
        </w:rPr>
      </w:pPr>
      <w:r w:rsidRPr="00A73CAA">
        <w:rPr>
          <w:b/>
          <w:bCs/>
        </w:rPr>
        <w:t>d)</w:t>
      </w:r>
      <w:r>
        <w:rPr>
          <w:b/>
          <w:bCs/>
        </w:rPr>
        <w:tab/>
        <w:t>C</w:t>
      </w:r>
      <w:r w:rsidRPr="006177E7">
        <w:rPr>
          <w:b/>
          <w:bCs/>
        </w:rPr>
        <w:t xml:space="preserve">ontinuar adoptando medidas para prevenir y eliminar de manera efectiva el uso excesivo de la fuerza por los agentes de las fuerzas </w:t>
      </w:r>
      <w:r>
        <w:rPr>
          <w:b/>
          <w:bCs/>
        </w:rPr>
        <w:t>de seguridad, incluidas las Fuerzas Armadas</w:t>
      </w:r>
      <w:r w:rsidRPr="006177E7">
        <w:rPr>
          <w:b/>
          <w:bCs/>
        </w:rPr>
        <w:t xml:space="preserve">, especialmente en el contexto de manifestaciones, entre otras cosas intensificando </w:t>
      </w:r>
      <w:r w:rsidR="005F3620">
        <w:rPr>
          <w:b/>
          <w:bCs/>
        </w:rPr>
        <w:t>la</w:t>
      </w:r>
      <w:r w:rsidR="005F3620" w:rsidRPr="006177E7">
        <w:rPr>
          <w:b/>
          <w:bCs/>
        </w:rPr>
        <w:t xml:space="preserve"> </w:t>
      </w:r>
      <w:r>
        <w:rPr>
          <w:b/>
          <w:bCs/>
        </w:rPr>
        <w:t xml:space="preserve">formación y </w:t>
      </w:r>
      <w:r w:rsidRPr="006177E7">
        <w:rPr>
          <w:b/>
          <w:bCs/>
        </w:rPr>
        <w:t>capacitación</w:t>
      </w:r>
      <w:r w:rsidR="005F3620">
        <w:rPr>
          <w:b/>
          <w:bCs/>
        </w:rPr>
        <w:t xml:space="preserve"> de todos los agentes desplegados para el control de manifestaciones</w:t>
      </w:r>
      <w:r>
        <w:rPr>
          <w:b/>
          <w:bCs/>
        </w:rPr>
        <w:t>.</w:t>
      </w:r>
    </w:p>
    <w:p w14:paraId="59559EC2" w14:textId="72EA54C2" w:rsidR="005A5A0C" w:rsidRPr="00DE00B5" w:rsidRDefault="00B953F0" w:rsidP="00B953F0">
      <w:pPr>
        <w:pStyle w:val="H23G"/>
      </w:pPr>
      <w:r>
        <w:rPr>
          <w:lang w:val="es-ES_tradnl"/>
        </w:rPr>
        <w:tab/>
      </w:r>
      <w:r>
        <w:rPr>
          <w:lang w:val="es-ES_tradnl"/>
        </w:rPr>
        <w:tab/>
      </w:r>
      <w:r w:rsidR="002C72FE" w:rsidRPr="00B01671">
        <w:rPr>
          <w:lang w:val="es-ES_tradnl"/>
        </w:rPr>
        <w:t>P</w:t>
      </w:r>
      <w:r w:rsidR="005A5A0C" w:rsidRPr="00B01671">
        <w:rPr>
          <w:lang w:val="es-ES_tradnl"/>
        </w:rPr>
        <w:t xml:space="preserve">rohibición de la tortura y otros tratos y penas crueles, inhumanos o degradantes </w:t>
      </w:r>
    </w:p>
    <w:p w14:paraId="6236D689" w14:textId="4021406B" w:rsidR="00D56C68" w:rsidRDefault="00D56C68" w:rsidP="007B0B21">
      <w:pPr>
        <w:pStyle w:val="SingleTxtG"/>
        <w:rPr>
          <w:bCs/>
          <w:lang w:val="es-ES_tradnl"/>
        </w:rPr>
      </w:pPr>
      <w:r>
        <w:rPr>
          <w:bCs/>
          <w:lang w:val="es-ES_tradnl"/>
        </w:rPr>
        <w:t>2</w:t>
      </w:r>
      <w:r w:rsidR="00A44737">
        <w:rPr>
          <w:bCs/>
          <w:lang w:val="es-ES_tradnl"/>
        </w:rPr>
        <w:t>8</w:t>
      </w:r>
      <w:r>
        <w:rPr>
          <w:bCs/>
          <w:lang w:val="es-ES_tradnl"/>
        </w:rPr>
        <w:t>.</w:t>
      </w:r>
      <w:r>
        <w:rPr>
          <w:bCs/>
          <w:lang w:val="es-ES_tradnl"/>
        </w:rPr>
        <w:tab/>
      </w:r>
      <w:r w:rsidR="002C72FE">
        <w:rPr>
          <w:bCs/>
          <w:lang w:val="es-ES_tradnl"/>
        </w:rPr>
        <w:t xml:space="preserve">Si bien </w:t>
      </w:r>
      <w:r w:rsidR="00F95EF2">
        <w:rPr>
          <w:bCs/>
          <w:lang w:val="es-ES_tradnl"/>
        </w:rPr>
        <w:t xml:space="preserve">observa </w:t>
      </w:r>
      <w:r w:rsidR="002C72FE">
        <w:rPr>
          <w:bCs/>
          <w:lang w:val="es-ES_tradnl"/>
        </w:rPr>
        <w:t xml:space="preserve">las </w:t>
      </w:r>
      <w:r w:rsidR="00D924EC">
        <w:rPr>
          <w:bCs/>
          <w:lang w:val="es-ES_tradnl"/>
        </w:rPr>
        <w:t>acciones tomadas para</w:t>
      </w:r>
      <w:r w:rsidR="00D03CCE" w:rsidRPr="00D03CCE">
        <w:t xml:space="preserve"> </w:t>
      </w:r>
      <w:r w:rsidR="00D03CCE" w:rsidRPr="00D03CCE">
        <w:rPr>
          <w:bCs/>
          <w:lang w:val="es-ES_tradnl"/>
        </w:rPr>
        <w:t xml:space="preserve">prevenir la tortura y </w:t>
      </w:r>
      <w:bookmarkStart w:id="5" w:name="_Hlk129595394"/>
      <w:r w:rsidR="0097077D">
        <w:rPr>
          <w:bCs/>
          <w:lang w:val="es-ES_tradnl"/>
        </w:rPr>
        <w:t>otros tratos y penas crueles, inhumanos o degradantes</w:t>
      </w:r>
      <w:bookmarkEnd w:id="5"/>
      <w:r w:rsidR="00D03CCE">
        <w:rPr>
          <w:bCs/>
          <w:lang w:val="es-ES_tradnl"/>
        </w:rPr>
        <w:t xml:space="preserve"> bajo el Mecanismo Nacional de Prevención de la Tortura, le preocupa</w:t>
      </w:r>
      <w:r w:rsidR="00E27775">
        <w:rPr>
          <w:bCs/>
          <w:lang w:val="es-ES_tradnl"/>
        </w:rPr>
        <w:t>n</w:t>
      </w:r>
      <w:r w:rsidR="00D03CCE">
        <w:rPr>
          <w:bCs/>
          <w:lang w:val="es-ES_tradnl"/>
        </w:rPr>
        <w:t xml:space="preserve"> al Comité </w:t>
      </w:r>
      <w:r w:rsidR="00D03CCE" w:rsidRPr="00D03CCE">
        <w:rPr>
          <w:bCs/>
          <w:lang w:val="es-ES_tradnl"/>
        </w:rPr>
        <w:t xml:space="preserve">las denuncias de torturas y malos tratos, en particular en el contexto de las </w:t>
      </w:r>
      <w:r w:rsidR="00E27775">
        <w:rPr>
          <w:bCs/>
          <w:lang w:val="es-ES_tradnl"/>
        </w:rPr>
        <w:t>actuaciones</w:t>
      </w:r>
      <w:r w:rsidR="00E27775" w:rsidRPr="00D03CCE">
        <w:rPr>
          <w:bCs/>
          <w:lang w:val="es-ES_tradnl"/>
        </w:rPr>
        <w:t xml:space="preserve"> </w:t>
      </w:r>
      <w:r w:rsidR="00D03CCE" w:rsidRPr="00D03CCE">
        <w:rPr>
          <w:bCs/>
          <w:lang w:val="es-ES_tradnl"/>
        </w:rPr>
        <w:t xml:space="preserve">policiales y </w:t>
      </w:r>
      <w:r w:rsidR="002518BC">
        <w:rPr>
          <w:bCs/>
          <w:lang w:val="es-ES_tradnl"/>
        </w:rPr>
        <w:t>en el</w:t>
      </w:r>
      <w:r w:rsidR="0075176D">
        <w:rPr>
          <w:bCs/>
          <w:lang w:val="es-ES_tradnl"/>
        </w:rPr>
        <w:t xml:space="preserve"> contexto</w:t>
      </w:r>
      <w:r w:rsidR="00D03CCE" w:rsidRPr="00D03CCE">
        <w:rPr>
          <w:bCs/>
          <w:lang w:val="es-ES_tradnl"/>
        </w:rPr>
        <w:t xml:space="preserve"> de </w:t>
      </w:r>
      <w:r w:rsidR="00F95EF2">
        <w:rPr>
          <w:bCs/>
          <w:lang w:val="es-ES_tradnl"/>
        </w:rPr>
        <w:t xml:space="preserve">la </w:t>
      </w:r>
      <w:r w:rsidR="00D03CCE" w:rsidRPr="00D03CCE">
        <w:rPr>
          <w:bCs/>
          <w:lang w:val="es-ES_tradnl"/>
        </w:rPr>
        <w:t>privación de libertad</w:t>
      </w:r>
      <w:r w:rsidR="00BE6B65">
        <w:rPr>
          <w:bCs/>
          <w:lang w:val="es-ES_tradnl"/>
        </w:rPr>
        <w:t xml:space="preserve">, </w:t>
      </w:r>
      <w:r w:rsidR="00BE6B65">
        <w:t>especialmente en las producidas como consecuencia de la crisis social y política desencadenada tras los acontecimientos del 7 de diciembre de 2022</w:t>
      </w:r>
      <w:r w:rsidR="007B0B21">
        <w:rPr>
          <w:bCs/>
          <w:lang w:val="es-ES_tradnl"/>
        </w:rPr>
        <w:t xml:space="preserve"> </w:t>
      </w:r>
      <w:r w:rsidR="007B0B21" w:rsidRPr="007B0B21">
        <w:rPr>
          <w:bCs/>
          <w:lang w:val="es-ES_tradnl"/>
        </w:rPr>
        <w:t>(arts. 3, 6, 7, 9, 14, 19 y 21)</w:t>
      </w:r>
      <w:r w:rsidR="007B0B21">
        <w:rPr>
          <w:bCs/>
          <w:lang w:val="es-ES_tradnl"/>
        </w:rPr>
        <w:t>.</w:t>
      </w:r>
    </w:p>
    <w:p w14:paraId="74261AC6" w14:textId="56B12016" w:rsidR="00D56C68" w:rsidRPr="00C13B87" w:rsidRDefault="00D56C68" w:rsidP="007B0B21">
      <w:pPr>
        <w:pStyle w:val="SingleTxtG"/>
        <w:rPr>
          <w:bCs/>
          <w:lang w:val="es-ES_tradnl"/>
        </w:rPr>
      </w:pPr>
      <w:r>
        <w:rPr>
          <w:bCs/>
          <w:lang w:val="es-ES_tradnl"/>
        </w:rPr>
        <w:t>2</w:t>
      </w:r>
      <w:r w:rsidR="00A44737">
        <w:rPr>
          <w:bCs/>
          <w:lang w:val="es-ES_tradnl"/>
        </w:rPr>
        <w:t>9</w:t>
      </w:r>
      <w:r>
        <w:rPr>
          <w:bCs/>
          <w:lang w:val="es-ES_tradnl"/>
        </w:rPr>
        <w:t>.</w:t>
      </w:r>
      <w:r>
        <w:rPr>
          <w:bCs/>
          <w:lang w:val="es-ES_tradnl"/>
        </w:rPr>
        <w:tab/>
      </w:r>
      <w:r w:rsidR="000611BE" w:rsidRPr="000611BE">
        <w:rPr>
          <w:b/>
          <w:bCs/>
        </w:rPr>
        <w:t>El Estado parte debe</w:t>
      </w:r>
      <w:r w:rsidR="000611BE">
        <w:rPr>
          <w:b/>
          <w:bCs/>
        </w:rPr>
        <w:t xml:space="preserve"> </w:t>
      </w:r>
      <w:r w:rsidR="000611BE" w:rsidRPr="000611BE">
        <w:rPr>
          <w:b/>
          <w:bCs/>
        </w:rPr>
        <w:t xml:space="preserve">velar por que se lleven a cabo </w:t>
      </w:r>
      <w:r w:rsidR="000611BE" w:rsidRPr="00301A47">
        <w:rPr>
          <w:b/>
          <w:bCs/>
        </w:rPr>
        <w:t>sin demora investigaciones exhaustivas</w:t>
      </w:r>
      <w:r w:rsidR="00301A47" w:rsidRPr="00301A47">
        <w:rPr>
          <w:b/>
          <w:bCs/>
        </w:rPr>
        <w:t>, imparciales</w:t>
      </w:r>
      <w:r w:rsidR="000611BE" w:rsidRPr="00301A47">
        <w:rPr>
          <w:b/>
          <w:bCs/>
        </w:rPr>
        <w:t xml:space="preserve"> y eficaces sobre</w:t>
      </w:r>
      <w:r w:rsidR="000611BE" w:rsidRPr="000611BE">
        <w:rPr>
          <w:b/>
          <w:bCs/>
        </w:rPr>
        <w:t xml:space="preserve"> todas las denuncias de tortura y </w:t>
      </w:r>
      <w:r w:rsidR="0097077D" w:rsidRPr="0097077D">
        <w:rPr>
          <w:b/>
          <w:bCs/>
          <w:lang w:val="es-ES_tradnl"/>
        </w:rPr>
        <w:t>otros tratos y penas crueles, inhumanos o degradantes</w:t>
      </w:r>
      <w:r w:rsidR="000611BE" w:rsidRPr="000611BE">
        <w:rPr>
          <w:b/>
          <w:bCs/>
        </w:rPr>
        <w:t>, enjuiciar a los autores y, en caso de que sean declarados culpables, sancionarlos con penas proporcionales a la gravedad del delito, y proporcionar a las víctimas recursos efectivos que incluyan su rehabilitación</w:t>
      </w:r>
      <w:r w:rsidR="0097077D">
        <w:rPr>
          <w:b/>
          <w:bCs/>
        </w:rPr>
        <w:t xml:space="preserve"> física y mental</w:t>
      </w:r>
      <w:r w:rsidR="000611BE">
        <w:rPr>
          <w:b/>
          <w:bCs/>
        </w:rPr>
        <w:t>.</w:t>
      </w:r>
      <w:r w:rsidR="000611BE" w:rsidRPr="000611BE">
        <w:rPr>
          <w:b/>
          <w:bCs/>
        </w:rPr>
        <w:t xml:space="preserve"> </w:t>
      </w:r>
      <w:r w:rsidR="000611BE">
        <w:rPr>
          <w:b/>
          <w:bCs/>
        </w:rPr>
        <w:t xml:space="preserve">Asimismo, debe </w:t>
      </w:r>
      <w:r w:rsidR="00B01671">
        <w:rPr>
          <w:b/>
          <w:bCs/>
        </w:rPr>
        <w:t>intensificar sus esfuerzos</w:t>
      </w:r>
      <w:r w:rsidR="000611BE" w:rsidRPr="000611BE">
        <w:rPr>
          <w:b/>
          <w:bCs/>
        </w:rPr>
        <w:t xml:space="preserve"> para prevenir la tortura, en particular reforzando </w:t>
      </w:r>
      <w:r w:rsidR="0097077D">
        <w:rPr>
          <w:b/>
          <w:bCs/>
        </w:rPr>
        <w:t>el presupuesto d</w:t>
      </w:r>
      <w:r w:rsidR="00B01671">
        <w:rPr>
          <w:b/>
          <w:bCs/>
        </w:rPr>
        <w:t xml:space="preserve">el Mecanismo Nacional de Prevención de la Tortura y </w:t>
      </w:r>
      <w:r w:rsidR="000611BE" w:rsidRPr="000611BE">
        <w:rPr>
          <w:b/>
          <w:bCs/>
        </w:rPr>
        <w:t>la educación y la capacitación de los jueces, los fiscales, la policía y las fuerzas de seguridad</w:t>
      </w:r>
      <w:r w:rsidR="00B01671">
        <w:rPr>
          <w:b/>
          <w:bCs/>
        </w:rPr>
        <w:t>.</w:t>
      </w:r>
      <w:r w:rsidR="0097077D">
        <w:rPr>
          <w:b/>
          <w:bCs/>
        </w:rPr>
        <w:t xml:space="preserve"> </w:t>
      </w:r>
    </w:p>
    <w:p w14:paraId="1C8013EF" w14:textId="5623045B" w:rsidR="004E0AD2" w:rsidRPr="007C5F35" w:rsidRDefault="00B953F0" w:rsidP="00B953F0">
      <w:pPr>
        <w:pStyle w:val="H23G"/>
      </w:pPr>
      <w:r>
        <w:rPr>
          <w:lang w:val="es-ES_tradnl"/>
        </w:rPr>
        <w:tab/>
      </w:r>
      <w:r>
        <w:rPr>
          <w:lang w:val="es-ES_tradnl"/>
        </w:rPr>
        <w:tab/>
      </w:r>
      <w:r w:rsidR="005B171C" w:rsidRPr="005B171C">
        <w:rPr>
          <w:lang w:val="es-ES_tradnl"/>
        </w:rPr>
        <w:t>Personas privadas de libertad y condiciones de detención</w:t>
      </w:r>
    </w:p>
    <w:p w14:paraId="64B0884E" w14:textId="05AB6D5F" w:rsidR="004E0AD2" w:rsidRPr="00284DF1" w:rsidRDefault="00A44737" w:rsidP="007D6106">
      <w:pPr>
        <w:spacing w:after="120"/>
        <w:ind w:left="1134" w:right="1134" w:firstLine="6"/>
        <w:jc w:val="both"/>
      </w:pPr>
      <w:r>
        <w:t>30</w:t>
      </w:r>
      <w:r w:rsidR="004E0AD2" w:rsidRPr="00A61D3E">
        <w:t>.</w:t>
      </w:r>
      <w:r w:rsidR="004E0AD2" w:rsidRPr="00A61D3E">
        <w:tab/>
      </w:r>
      <w:r w:rsidR="00A61D3E" w:rsidRPr="00A61D3E">
        <w:t xml:space="preserve">El Comité, si bien toma nota de los esfuerzos del Estado parte por reducir </w:t>
      </w:r>
      <w:r w:rsidR="00D42D2A">
        <w:t>la sobrepoblación</w:t>
      </w:r>
      <w:r w:rsidR="00A61D3E" w:rsidRPr="00A61D3E">
        <w:t xml:space="preserve"> </w:t>
      </w:r>
      <w:r w:rsidR="00D42D2A">
        <w:t xml:space="preserve">carcelaria </w:t>
      </w:r>
      <w:r w:rsidR="00284DF1">
        <w:t xml:space="preserve">en el contexto de la pandemia </w:t>
      </w:r>
      <w:r w:rsidR="00F95EF2">
        <w:rPr>
          <w:color w:val="000000"/>
          <w:lang w:val="es-EC" w:eastAsia="en-GB"/>
        </w:rPr>
        <w:t xml:space="preserve">de enfermedad </w:t>
      </w:r>
      <w:r w:rsidR="00F95EF2" w:rsidRPr="001D6C51">
        <w:rPr>
          <w:color w:val="000000"/>
          <w:lang w:val="es-EC" w:eastAsia="en-GB"/>
        </w:rPr>
        <w:t>por coronavirus (COVID-19)</w:t>
      </w:r>
      <w:r w:rsidR="00284DF1">
        <w:t xml:space="preserve">, </w:t>
      </w:r>
      <w:r w:rsidR="00A61D3E" w:rsidRPr="00A61D3E">
        <w:t xml:space="preserve">sigue preocupado por </w:t>
      </w:r>
      <w:r w:rsidR="00470AD2">
        <w:t xml:space="preserve">la persistencia de altos niveles de hacinamiento </w:t>
      </w:r>
      <w:r w:rsidR="00F95EF2">
        <w:t xml:space="preserve">en </w:t>
      </w:r>
      <w:r w:rsidR="00470AD2">
        <w:t xml:space="preserve">el </w:t>
      </w:r>
      <w:r w:rsidR="00470AD2">
        <w:lastRenderedPageBreak/>
        <w:t>sistema penitenciario</w:t>
      </w:r>
      <w:r w:rsidR="00A61D3E" w:rsidRPr="00A61D3E">
        <w:t xml:space="preserve">, con una ocupación </w:t>
      </w:r>
      <w:r w:rsidR="00284DF1">
        <w:t>en algunas</w:t>
      </w:r>
      <w:r w:rsidR="00A61D3E" w:rsidRPr="00A61D3E">
        <w:t xml:space="preserve"> prisiones superior al </w:t>
      </w:r>
      <w:r w:rsidR="00F95EF2">
        <w:t>4</w:t>
      </w:r>
      <w:r w:rsidR="00F95EF2" w:rsidRPr="00A61D3E">
        <w:t>00</w:t>
      </w:r>
      <w:r w:rsidR="00F95EF2">
        <w:t> </w:t>
      </w:r>
      <w:r w:rsidR="00A61D3E" w:rsidRPr="00A61D3E">
        <w:t>% de su capacidad</w:t>
      </w:r>
      <w:r w:rsidR="00470AD2">
        <w:t xml:space="preserve">, </w:t>
      </w:r>
      <w:r w:rsidR="00CA4919">
        <w:t>y</w:t>
      </w:r>
      <w:r w:rsidR="00470AD2">
        <w:t xml:space="preserve"> </w:t>
      </w:r>
      <w:r w:rsidR="00E27775">
        <w:t xml:space="preserve">por </w:t>
      </w:r>
      <w:r w:rsidR="00F95EF2">
        <w:t xml:space="preserve">el </w:t>
      </w:r>
      <w:r w:rsidR="00470AD2">
        <w:t xml:space="preserve">alto número de </w:t>
      </w:r>
      <w:r w:rsidR="0097077D">
        <w:t xml:space="preserve">personas privadas de libertad sin sentencia o en prisión </w:t>
      </w:r>
      <w:r w:rsidR="0047118F">
        <w:t>preventiva.</w:t>
      </w:r>
      <w:r w:rsidR="00A61D3E" w:rsidRPr="00A61D3E">
        <w:t xml:space="preserve"> </w:t>
      </w:r>
      <w:r w:rsidR="00284DF1">
        <w:t xml:space="preserve">Lamenta la falta de información sobre la aplicación de medidas no privativas de libertad como alternativa a la prisión. </w:t>
      </w:r>
      <w:r w:rsidR="00A61D3E" w:rsidRPr="00A61D3E">
        <w:t xml:space="preserve">El Comité también observa con preocupación que </w:t>
      </w:r>
      <w:r w:rsidR="0097077D">
        <w:t>muchas personas privadas de libertad</w:t>
      </w:r>
      <w:r w:rsidR="00A61D3E" w:rsidRPr="00A61D3E">
        <w:t xml:space="preserve"> no disponen de un acceso adecuado a alimentación, agua </w:t>
      </w:r>
      <w:r w:rsidR="00D42D2A">
        <w:t>potable</w:t>
      </w:r>
      <w:r w:rsidR="00D42D2A" w:rsidRPr="00A61D3E">
        <w:t xml:space="preserve"> </w:t>
      </w:r>
      <w:r w:rsidR="00A61D3E" w:rsidRPr="00A61D3E">
        <w:t xml:space="preserve">y tratamiento médico. Además, resultan inquietantes las informaciones sobre </w:t>
      </w:r>
      <w:r w:rsidR="00470AD2">
        <w:t xml:space="preserve">las condiciones de detención </w:t>
      </w:r>
      <w:r w:rsidR="00CA4919">
        <w:t>para</w:t>
      </w:r>
      <w:r w:rsidR="00470AD2">
        <w:t xml:space="preserve"> las personas </w:t>
      </w:r>
      <w:bookmarkStart w:id="6" w:name="_Hlk129304711"/>
      <w:r w:rsidR="00CA4919">
        <w:t>investigadas por la presunta comisión del delito del terrorismo</w:t>
      </w:r>
      <w:bookmarkEnd w:id="6"/>
      <w:r w:rsidR="00CA4919">
        <w:t xml:space="preserve">, </w:t>
      </w:r>
      <w:r w:rsidR="00E27775">
        <w:t>alguna de las cuales</w:t>
      </w:r>
      <w:r w:rsidR="00CA4919">
        <w:t xml:space="preserve"> son confinadas en celdas de 1,5 x 2</w:t>
      </w:r>
      <w:r w:rsidR="00F95EF2">
        <w:t xml:space="preserve"> </w:t>
      </w:r>
      <w:r w:rsidR="00CA4919">
        <w:t xml:space="preserve">m </w:t>
      </w:r>
      <w:r w:rsidR="00A61D3E" w:rsidRPr="00A61D3E">
        <w:t xml:space="preserve">(arts. </w:t>
      </w:r>
      <w:r w:rsidR="00CC3DD5">
        <w:t>7, 9</w:t>
      </w:r>
      <w:r w:rsidR="00A61D3E" w:rsidRPr="00284DF1">
        <w:t xml:space="preserve"> y 10).</w:t>
      </w:r>
      <w:r w:rsidR="00F95EF2">
        <w:t xml:space="preserve"> </w:t>
      </w:r>
    </w:p>
    <w:p w14:paraId="526D0EFB" w14:textId="06B579BC" w:rsidR="00284DF1" w:rsidRPr="00B953F0" w:rsidRDefault="0051379A" w:rsidP="00B953F0">
      <w:pPr>
        <w:pStyle w:val="SingleTxtG"/>
        <w:rPr>
          <w:b/>
          <w:bCs/>
        </w:rPr>
      </w:pPr>
      <w:r w:rsidRPr="00467136">
        <w:t>3</w:t>
      </w:r>
      <w:r w:rsidR="00A44737" w:rsidRPr="00467136">
        <w:t>1</w:t>
      </w:r>
      <w:r w:rsidR="004E0AD2" w:rsidRPr="00467136">
        <w:t>.</w:t>
      </w:r>
      <w:r w:rsidR="004E0AD2" w:rsidRPr="00467136">
        <w:tab/>
      </w:r>
      <w:r w:rsidR="00284DF1" w:rsidRPr="00467136">
        <w:rPr>
          <w:b/>
          <w:bCs/>
        </w:rPr>
        <w:t>El Estado parte debe intensificar sus esfuerzos para garantizar que las condiciones de detención se ajusten plenamente a las normas internacionales de derechos humanos pertinentes, entre ellas las Reglas Mínimas de las Naciones Unidas para el Tratamiento de los Reclusos (Reglas Nelson Mandela). En particular, el Estado parte debe:</w:t>
      </w:r>
    </w:p>
    <w:p w14:paraId="3CE4A4DA" w14:textId="72D79D3E" w:rsidR="00284DF1" w:rsidRPr="00A73CAA" w:rsidRDefault="00B953F0" w:rsidP="00B953F0">
      <w:pPr>
        <w:pStyle w:val="SingleTxtG"/>
        <w:rPr>
          <w:b/>
          <w:bCs/>
        </w:rPr>
      </w:pPr>
      <w:r>
        <w:rPr>
          <w:b/>
          <w:bCs/>
        </w:rPr>
        <w:tab/>
      </w:r>
      <w:r w:rsidR="00284DF1" w:rsidRPr="00A73CAA">
        <w:rPr>
          <w:b/>
          <w:bCs/>
        </w:rPr>
        <w:t xml:space="preserve">a) </w:t>
      </w:r>
      <w:r w:rsidR="00284DF1" w:rsidRPr="00A73CAA">
        <w:rPr>
          <w:b/>
          <w:bCs/>
        </w:rPr>
        <w:tab/>
        <w:t xml:space="preserve">Reducir considerablemente el hacinamiento en las cárceles, </w:t>
      </w:r>
      <w:r w:rsidR="006B567C" w:rsidRPr="00A73CAA">
        <w:rPr>
          <w:b/>
          <w:bCs/>
        </w:rPr>
        <w:t xml:space="preserve">en particular mediante la promoción de alternativas a la privación de libertad, y asegurar que la </w:t>
      </w:r>
      <w:r w:rsidR="0097077D" w:rsidRPr="00A73CAA">
        <w:rPr>
          <w:b/>
          <w:bCs/>
        </w:rPr>
        <w:t>prisión preventiva</w:t>
      </w:r>
      <w:r w:rsidR="006B567C" w:rsidRPr="00A73CAA">
        <w:rPr>
          <w:b/>
          <w:bCs/>
        </w:rPr>
        <w:t xml:space="preserve"> sea excepcional, razonable, necesaria en toda circunstancia y lo más breve posible</w:t>
      </w:r>
      <w:r w:rsidR="00284DF1" w:rsidRPr="00A73CAA">
        <w:rPr>
          <w:b/>
          <w:bCs/>
        </w:rPr>
        <w:t>;</w:t>
      </w:r>
    </w:p>
    <w:p w14:paraId="2D306F60" w14:textId="54B84BEF" w:rsidR="00B907F8" w:rsidRPr="00B953F0" w:rsidRDefault="00B953F0" w:rsidP="00B953F0">
      <w:pPr>
        <w:pStyle w:val="SingleTxtG"/>
        <w:rPr>
          <w:b/>
          <w:bCs/>
        </w:rPr>
      </w:pPr>
      <w:r w:rsidRPr="00A73CAA">
        <w:rPr>
          <w:b/>
          <w:bCs/>
        </w:rPr>
        <w:tab/>
      </w:r>
      <w:r w:rsidR="00284DF1" w:rsidRPr="00A73CAA">
        <w:rPr>
          <w:b/>
          <w:bCs/>
        </w:rPr>
        <w:t xml:space="preserve">b) </w:t>
      </w:r>
      <w:r w:rsidR="00284DF1" w:rsidRPr="00A73CAA">
        <w:rPr>
          <w:b/>
          <w:bCs/>
        </w:rPr>
        <w:tab/>
        <w:t>Intensificar sus esfuerzos para mejorar las condiciones de detención y garantizar</w:t>
      </w:r>
      <w:r w:rsidR="00284DF1" w:rsidRPr="00B953F0">
        <w:rPr>
          <w:b/>
          <w:bCs/>
        </w:rPr>
        <w:t xml:space="preserve"> el acceso adecuado a la alimentación, </w:t>
      </w:r>
      <w:r w:rsidR="00F32A0A" w:rsidRPr="00B953F0">
        <w:rPr>
          <w:b/>
          <w:bCs/>
        </w:rPr>
        <w:t>a</w:t>
      </w:r>
      <w:r w:rsidR="00284DF1" w:rsidRPr="00B953F0">
        <w:rPr>
          <w:b/>
          <w:bCs/>
        </w:rPr>
        <w:t xml:space="preserve">l agua </w:t>
      </w:r>
      <w:r w:rsidR="00F32A0A" w:rsidRPr="00B953F0">
        <w:rPr>
          <w:b/>
          <w:bCs/>
        </w:rPr>
        <w:t xml:space="preserve">potable </w:t>
      </w:r>
      <w:r w:rsidR="00284DF1" w:rsidRPr="00B953F0">
        <w:rPr>
          <w:b/>
          <w:bCs/>
        </w:rPr>
        <w:t xml:space="preserve">y </w:t>
      </w:r>
      <w:r w:rsidR="00F32A0A" w:rsidRPr="00B953F0">
        <w:rPr>
          <w:b/>
          <w:bCs/>
        </w:rPr>
        <w:t xml:space="preserve">a </w:t>
      </w:r>
      <w:r w:rsidR="00284DF1" w:rsidRPr="00B953F0">
        <w:rPr>
          <w:b/>
          <w:bCs/>
        </w:rPr>
        <w:t xml:space="preserve">la atención </w:t>
      </w:r>
      <w:r w:rsidR="00F32A0A" w:rsidRPr="00B953F0">
        <w:rPr>
          <w:b/>
          <w:bCs/>
        </w:rPr>
        <w:t>sanitaria</w:t>
      </w:r>
      <w:r w:rsidR="00284DF1" w:rsidRPr="00B953F0">
        <w:rPr>
          <w:b/>
          <w:bCs/>
        </w:rPr>
        <w:t xml:space="preserve"> de l</w:t>
      </w:r>
      <w:r w:rsidR="00F32A0A" w:rsidRPr="00B953F0">
        <w:rPr>
          <w:b/>
          <w:bCs/>
        </w:rPr>
        <w:t>a</w:t>
      </w:r>
      <w:r w:rsidR="00284DF1" w:rsidRPr="00B953F0">
        <w:rPr>
          <w:b/>
          <w:bCs/>
        </w:rPr>
        <w:t>s</w:t>
      </w:r>
      <w:r w:rsidR="00F32A0A" w:rsidRPr="00B953F0">
        <w:rPr>
          <w:b/>
          <w:bCs/>
        </w:rPr>
        <w:t xml:space="preserve"> personas</w:t>
      </w:r>
      <w:r w:rsidR="00284DF1" w:rsidRPr="00B953F0">
        <w:rPr>
          <w:b/>
          <w:bCs/>
        </w:rPr>
        <w:t xml:space="preserve"> reclus</w:t>
      </w:r>
      <w:r w:rsidR="00F32A0A" w:rsidRPr="00B953F0">
        <w:rPr>
          <w:b/>
          <w:bCs/>
        </w:rPr>
        <w:t>a</w:t>
      </w:r>
      <w:r w:rsidR="00284DF1" w:rsidRPr="00B953F0">
        <w:rPr>
          <w:b/>
          <w:bCs/>
        </w:rPr>
        <w:t xml:space="preserve">s en todos los lugares de privación de libertad, en particular en los lugares de detención </w:t>
      </w:r>
      <w:r w:rsidR="006B567C" w:rsidRPr="00B953F0">
        <w:rPr>
          <w:b/>
          <w:bCs/>
        </w:rPr>
        <w:t>para</w:t>
      </w:r>
      <w:r w:rsidR="00F32A0A" w:rsidRPr="00B953F0">
        <w:rPr>
          <w:b/>
          <w:bCs/>
        </w:rPr>
        <w:t xml:space="preserve"> menores de edad y</w:t>
      </w:r>
      <w:r w:rsidR="006B567C" w:rsidRPr="00B953F0">
        <w:rPr>
          <w:b/>
          <w:bCs/>
        </w:rPr>
        <w:t xml:space="preserve"> las personas investigadas por la presunta comisión del delito del terrorismo.</w:t>
      </w:r>
    </w:p>
    <w:p w14:paraId="2E0A30CF" w14:textId="234A206D" w:rsidR="005A5A0C" w:rsidRPr="0053684E" w:rsidRDefault="00B953F0" w:rsidP="00B953F0">
      <w:pPr>
        <w:pStyle w:val="H23G"/>
        <w:rPr>
          <w:lang w:val="es-ES_tradnl"/>
        </w:rPr>
      </w:pPr>
      <w:r>
        <w:rPr>
          <w:lang w:val="es-ES_tradnl"/>
        </w:rPr>
        <w:tab/>
      </w:r>
      <w:r>
        <w:rPr>
          <w:lang w:val="es-ES_tradnl"/>
        </w:rPr>
        <w:tab/>
      </w:r>
      <w:r w:rsidR="00677ADC">
        <w:rPr>
          <w:lang w:val="es-ES_tradnl"/>
        </w:rPr>
        <w:t>T</w:t>
      </w:r>
      <w:r w:rsidR="005A5A0C">
        <w:rPr>
          <w:lang w:val="es-ES_tradnl"/>
        </w:rPr>
        <w:t>rata</w:t>
      </w:r>
      <w:r w:rsidR="00C13B87">
        <w:rPr>
          <w:lang w:val="es-ES_tradnl"/>
        </w:rPr>
        <w:t xml:space="preserve"> de personas y trabajo forzoso</w:t>
      </w:r>
    </w:p>
    <w:p w14:paraId="781DE596" w14:textId="0F870643" w:rsidR="005C217B" w:rsidRPr="00677ADC" w:rsidRDefault="0051379A" w:rsidP="00B953F0">
      <w:pPr>
        <w:pStyle w:val="SingleTxtG"/>
      </w:pPr>
      <w:r w:rsidRPr="00AD483F">
        <w:t>3</w:t>
      </w:r>
      <w:r w:rsidR="00A44737" w:rsidRPr="00AD483F">
        <w:t>2</w:t>
      </w:r>
      <w:r w:rsidR="00C13B87" w:rsidRPr="00AD483F">
        <w:t>.</w:t>
      </w:r>
      <w:r w:rsidR="00C13B87" w:rsidRPr="00AD483F">
        <w:tab/>
        <w:t xml:space="preserve">El Comité saluda </w:t>
      </w:r>
      <w:r w:rsidR="00677ADC" w:rsidRPr="00AD483F">
        <w:t>los esfuerzos</w:t>
      </w:r>
      <w:r w:rsidR="00C13B87" w:rsidRPr="00AD483F">
        <w:t xml:space="preserve"> </w:t>
      </w:r>
      <w:r w:rsidR="00677ADC" w:rsidRPr="00AD483F">
        <w:t>d</w:t>
      </w:r>
      <w:r w:rsidR="00C13B87" w:rsidRPr="00AD483F">
        <w:t>el Estado parte para prevenir y combatir la trata de personas y el trabajo forzoso</w:t>
      </w:r>
      <w:r w:rsidR="00FE3268" w:rsidRPr="00AD483F">
        <w:t>, especialmente las medidas para apoyar la reinserción laboral de las víctimas</w:t>
      </w:r>
      <w:r w:rsidR="00C13B87" w:rsidRPr="00AD483F">
        <w:t xml:space="preserve">. Sin embargo, le preocupa la información que señala que el fenómeno de la trata de personas </w:t>
      </w:r>
      <w:r w:rsidR="00677ADC" w:rsidRPr="00AD483F">
        <w:t xml:space="preserve">y el trabajo forzoso </w:t>
      </w:r>
      <w:r w:rsidR="00C13B87" w:rsidRPr="00AD483F">
        <w:t>persiste</w:t>
      </w:r>
      <w:r w:rsidR="00677ADC" w:rsidRPr="00AD483F">
        <w:t>, especialmente en las industrias extractivas</w:t>
      </w:r>
      <w:r w:rsidR="009A0CED" w:rsidRPr="00AD483F">
        <w:t>, como</w:t>
      </w:r>
      <w:r w:rsidR="00677ADC" w:rsidRPr="00AD483F">
        <w:t xml:space="preserve"> </w:t>
      </w:r>
      <w:r w:rsidR="009A0CED" w:rsidRPr="00AD483F">
        <w:t>las</w:t>
      </w:r>
      <w:r w:rsidR="00677ADC" w:rsidRPr="00AD483F">
        <w:t xml:space="preserve"> zonas con actividades mineras importantes y en la minería informal y a pequeña escala. </w:t>
      </w:r>
      <w:r w:rsidR="00C13B87" w:rsidRPr="00AD483F">
        <w:t>Asimismo, lamenta no haber recibido información acerca de</w:t>
      </w:r>
      <w:r w:rsidR="00682052" w:rsidRPr="00AD483F">
        <w:t xml:space="preserve"> la asistencia y protección proporcionada a las personas migrantes </w:t>
      </w:r>
      <w:r w:rsidR="00994FAF" w:rsidRPr="00AD483F">
        <w:t>y refugiad</w:t>
      </w:r>
      <w:r w:rsidR="00F32A0A" w:rsidRPr="00AD483F">
        <w:t>a</w:t>
      </w:r>
      <w:r w:rsidR="00994FAF" w:rsidRPr="00AD483F">
        <w:t xml:space="preserve">s </w:t>
      </w:r>
      <w:r w:rsidR="00682052" w:rsidRPr="00AD483F">
        <w:t>víctimas de trata o explotación (</w:t>
      </w:r>
      <w:r w:rsidR="00C13B87" w:rsidRPr="00AD483F">
        <w:t xml:space="preserve">arts. </w:t>
      </w:r>
      <w:r w:rsidR="00677ADC" w:rsidRPr="00AD483F">
        <w:t xml:space="preserve">7, </w:t>
      </w:r>
      <w:r w:rsidR="00C13B87" w:rsidRPr="00AD483F">
        <w:t>8</w:t>
      </w:r>
      <w:r w:rsidR="00677ADC" w:rsidRPr="00AD483F">
        <w:t>, 14</w:t>
      </w:r>
      <w:r w:rsidR="00C13B87" w:rsidRPr="00AD483F">
        <w:t xml:space="preserve"> y 24).</w:t>
      </w:r>
      <w:r w:rsidR="00FE3268">
        <w:t xml:space="preserve"> </w:t>
      </w:r>
    </w:p>
    <w:p w14:paraId="26885C68" w14:textId="2C1F8BE9" w:rsidR="00C13B87" w:rsidRPr="00B953F0" w:rsidRDefault="00290699" w:rsidP="00B953F0">
      <w:pPr>
        <w:pStyle w:val="SingleTxtG"/>
        <w:rPr>
          <w:b/>
          <w:bCs/>
        </w:rPr>
      </w:pPr>
      <w:r>
        <w:t>3</w:t>
      </w:r>
      <w:r w:rsidR="00A44737">
        <w:t>3</w:t>
      </w:r>
      <w:r w:rsidR="00C13B87" w:rsidRPr="00677ADC">
        <w:t>.</w:t>
      </w:r>
      <w:r w:rsidR="00C13B87" w:rsidRPr="00677ADC">
        <w:tab/>
      </w:r>
      <w:r w:rsidR="00C13B87" w:rsidRPr="00B953F0">
        <w:rPr>
          <w:b/>
          <w:bCs/>
        </w:rPr>
        <w:t>El Estado parte debe seguir intensificando sus esfuerzos para combatir, prevenir, erradicar y castigar la trata de personas y el trabajo forzoso. En particular, el Estado parte debe:</w:t>
      </w:r>
    </w:p>
    <w:p w14:paraId="584DC37E" w14:textId="1C8F99C6" w:rsidR="00C13B87" w:rsidRPr="00A73CAA" w:rsidRDefault="00B953F0" w:rsidP="00B953F0">
      <w:pPr>
        <w:pStyle w:val="SingleTxtG"/>
        <w:rPr>
          <w:b/>
          <w:bCs/>
        </w:rPr>
      </w:pPr>
      <w:r>
        <w:rPr>
          <w:b/>
          <w:bCs/>
        </w:rPr>
        <w:tab/>
      </w:r>
      <w:r w:rsidR="00C13B87" w:rsidRPr="00A73CAA">
        <w:rPr>
          <w:b/>
          <w:bCs/>
        </w:rPr>
        <w:t>a)</w:t>
      </w:r>
      <w:r w:rsidR="00C36922" w:rsidRPr="00A73CAA">
        <w:rPr>
          <w:b/>
          <w:bCs/>
        </w:rPr>
        <w:tab/>
        <w:t xml:space="preserve">Garantizar que los casos de trata de personas y trabajo forzoso sean investigados </w:t>
      </w:r>
      <w:bookmarkStart w:id="7" w:name="_Hlk129522657"/>
      <w:r w:rsidR="00301A47" w:rsidRPr="00A73CAA">
        <w:rPr>
          <w:b/>
          <w:bCs/>
        </w:rPr>
        <w:t>de manera pronta, exhaustiva, imparcial y eficaz</w:t>
      </w:r>
      <w:bookmarkEnd w:id="7"/>
      <w:r w:rsidR="00C36922" w:rsidRPr="00A73CAA">
        <w:rPr>
          <w:b/>
          <w:bCs/>
        </w:rPr>
        <w:t>; que los responsables sean sancionados adecuadamente</w:t>
      </w:r>
      <w:r w:rsidR="00F32A0A" w:rsidRPr="00A73CAA">
        <w:rPr>
          <w:b/>
          <w:bCs/>
        </w:rPr>
        <w:t>,</w:t>
      </w:r>
      <w:r w:rsidR="00C36922" w:rsidRPr="00A73CAA">
        <w:rPr>
          <w:b/>
          <w:bCs/>
        </w:rPr>
        <w:t xml:space="preserve"> y que las víctimas reciban reparación integral;</w:t>
      </w:r>
    </w:p>
    <w:p w14:paraId="4E7144FA" w14:textId="4709B324" w:rsidR="00C36922" w:rsidRPr="00A73CAA" w:rsidRDefault="00B953F0" w:rsidP="00B953F0">
      <w:pPr>
        <w:pStyle w:val="SingleTxtG"/>
        <w:rPr>
          <w:b/>
          <w:bCs/>
        </w:rPr>
      </w:pPr>
      <w:r w:rsidRPr="00A73CAA">
        <w:rPr>
          <w:b/>
          <w:bCs/>
        </w:rPr>
        <w:tab/>
      </w:r>
      <w:r w:rsidR="00C36922" w:rsidRPr="00A73CAA">
        <w:rPr>
          <w:b/>
          <w:bCs/>
        </w:rPr>
        <w:t>b)</w:t>
      </w:r>
      <w:r w:rsidR="00C36922" w:rsidRPr="00A73CAA">
        <w:rPr>
          <w:b/>
          <w:bCs/>
        </w:rPr>
        <w:tab/>
        <w:t xml:space="preserve">Continuar y reforzar las campañas de prevención y sensibilización de la población respecto a los efectos negativos de la trata, así como sus medidas de capacitación, especialización y sensibilización de los funcionarios </w:t>
      </w:r>
      <w:r w:rsidR="00F32A0A" w:rsidRPr="00A73CAA">
        <w:rPr>
          <w:b/>
          <w:bCs/>
        </w:rPr>
        <w:t xml:space="preserve">y las funcionarias </w:t>
      </w:r>
      <w:r w:rsidR="00C36922" w:rsidRPr="00A73CAA">
        <w:rPr>
          <w:b/>
          <w:bCs/>
        </w:rPr>
        <w:t xml:space="preserve">y otras personas encargadas de investigar </w:t>
      </w:r>
      <w:r w:rsidR="00F32A0A" w:rsidRPr="00A73CAA">
        <w:rPr>
          <w:b/>
          <w:bCs/>
        </w:rPr>
        <w:t xml:space="preserve">y juzgar </w:t>
      </w:r>
      <w:r w:rsidR="00C36922" w:rsidRPr="00A73CAA">
        <w:rPr>
          <w:b/>
          <w:bCs/>
        </w:rPr>
        <w:t>esos delitos y prestar protección, atención e identificar a las víctimas, en particular en puestos fronterizos</w:t>
      </w:r>
      <w:r w:rsidR="00D67909" w:rsidRPr="00A73CAA">
        <w:rPr>
          <w:b/>
          <w:bCs/>
        </w:rPr>
        <w:t xml:space="preserve"> y en zonas de las industrias extractivas</w:t>
      </w:r>
      <w:r w:rsidR="00C36922" w:rsidRPr="00A73CAA">
        <w:rPr>
          <w:b/>
          <w:bCs/>
        </w:rPr>
        <w:t>;</w:t>
      </w:r>
    </w:p>
    <w:p w14:paraId="7845D8DC" w14:textId="5A2A4A69" w:rsidR="00677ADC" w:rsidRPr="00A73CAA" w:rsidRDefault="00B953F0" w:rsidP="00B953F0">
      <w:pPr>
        <w:pStyle w:val="SingleTxtG"/>
        <w:rPr>
          <w:b/>
          <w:bCs/>
        </w:rPr>
      </w:pPr>
      <w:r w:rsidRPr="00A73CAA">
        <w:rPr>
          <w:b/>
          <w:bCs/>
        </w:rPr>
        <w:tab/>
      </w:r>
      <w:r w:rsidR="00C36922" w:rsidRPr="00A73CAA">
        <w:rPr>
          <w:b/>
          <w:bCs/>
        </w:rPr>
        <w:t>c)</w:t>
      </w:r>
      <w:r w:rsidR="00C36922" w:rsidRPr="00A73CAA">
        <w:rPr>
          <w:b/>
          <w:bCs/>
        </w:rPr>
        <w:tab/>
      </w:r>
      <w:r w:rsidR="00D67909" w:rsidRPr="00A73CAA">
        <w:rPr>
          <w:b/>
          <w:bCs/>
        </w:rPr>
        <w:t>Garantizar la asignación de los recursos financieros, técnicos y de personal adecuados para todas las instituciones encargadas de prevenir, combatir y sancionar la trata de personas y el trabajo forzoso, así como de brindar protección y asistencia a las víctimas;</w:t>
      </w:r>
    </w:p>
    <w:p w14:paraId="2A9D5C45" w14:textId="4C0B069D" w:rsidR="00677ADC" w:rsidRPr="00B953F0" w:rsidRDefault="00B953F0" w:rsidP="00B953F0">
      <w:pPr>
        <w:pStyle w:val="SingleTxtG"/>
        <w:rPr>
          <w:b/>
          <w:bCs/>
        </w:rPr>
      </w:pPr>
      <w:r w:rsidRPr="00A73CAA">
        <w:rPr>
          <w:b/>
          <w:bCs/>
        </w:rPr>
        <w:tab/>
      </w:r>
      <w:r w:rsidR="00677ADC" w:rsidRPr="00A73CAA">
        <w:rPr>
          <w:b/>
          <w:bCs/>
        </w:rPr>
        <w:t>d)</w:t>
      </w:r>
      <w:r w:rsidR="00C36922" w:rsidRPr="00B953F0">
        <w:rPr>
          <w:b/>
          <w:bCs/>
        </w:rPr>
        <w:tab/>
      </w:r>
      <w:r w:rsidR="00D67909" w:rsidRPr="00B953F0">
        <w:rPr>
          <w:b/>
          <w:bCs/>
        </w:rPr>
        <w:t xml:space="preserve">Redoblar sus esfuerzos para identificar a las víctimas de trata de personas y proveerles medios de protección y asistencia adecuados, especialmente a personas migrantes </w:t>
      </w:r>
      <w:r w:rsidR="00994FAF" w:rsidRPr="00B953F0">
        <w:rPr>
          <w:b/>
          <w:bCs/>
        </w:rPr>
        <w:t xml:space="preserve">y refugiados </w:t>
      </w:r>
      <w:r w:rsidR="00D67909" w:rsidRPr="00B953F0">
        <w:rPr>
          <w:b/>
          <w:bCs/>
        </w:rPr>
        <w:t xml:space="preserve">víctimas de trata, asegurando la suficiente cobertura geográfica de los refugios que brinden servicios integrales; y </w:t>
      </w:r>
      <w:r w:rsidR="00186074" w:rsidRPr="00B953F0">
        <w:rPr>
          <w:b/>
          <w:bCs/>
        </w:rPr>
        <w:t xml:space="preserve">ofrecer </w:t>
      </w:r>
      <w:r w:rsidR="00D67909" w:rsidRPr="00B953F0">
        <w:rPr>
          <w:b/>
          <w:bCs/>
        </w:rPr>
        <w:t>apoyo a las familias vulnerables al trabajo forzoso.</w:t>
      </w:r>
    </w:p>
    <w:p w14:paraId="69D429B3" w14:textId="2F73B88F" w:rsidR="00290699" w:rsidRPr="00B92B34" w:rsidRDefault="00B953F0" w:rsidP="00B953F0">
      <w:pPr>
        <w:pStyle w:val="H23G"/>
      </w:pPr>
      <w:r>
        <w:lastRenderedPageBreak/>
        <w:tab/>
      </w:r>
      <w:r>
        <w:tab/>
      </w:r>
      <w:r w:rsidR="00290699" w:rsidRPr="00FB0D07">
        <w:t>Migrantes, solicitantes de asilo y refugiados</w:t>
      </w:r>
    </w:p>
    <w:p w14:paraId="6835D5D6" w14:textId="2F7C5AB4" w:rsidR="000F25C9" w:rsidRDefault="00290699" w:rsidP="00FB0D07">
      <w:pPr>
        <w:spacing w:after="120"/>
        <w:ind w:left="1134" w:right="1134"/>
        <w:jc w:val="both"/>
      </w:pPr>
      <w:r>
        <w:tab/>
        <w:t>3</w:t>
      </w:r>
      <w:r w:rsidR="00A44737">
        <w:t>4</w:t>
      </w:r>
      <w:r>
        <w:t>.</w:t>
      </w:r>
      <w:r>
        <w:tab/>
      </w:r>
      <w:r w:rsidR="001A4CA9" w:rsidRPr="001A4CA9">
        <w:t xml:space="preserve">El Comité </w:t>
      </w:r>
      <w:r w:rsidR="000F25C9">
        <w:t>acoge con beneplácito</w:t>
      </w:r>
      <w:r w:rsidR="000F25C9" w:rsidRPr="001A4CA9">
        <w:t xml:space="preserve"> </w:t>
      </w:r>
      <w:r w:rsidR="000F25C9">
        <w:t>el avance del Estado parte en las políticas públicas para responder a las necesidades de la población refugiada y migrante en el país. Sin embargo</w:t>
      </w:r>
      <w:r w:rsidR="001A4CA9" w:rsidRPr="001A4CA9">
        <w:t>,</w:t>
      </w:r>
      <w:r w:rsidR="00B338FD">
        <w:t xml:space="preserve"> preocupa</w:t>
      </w:r>
      <w:r w:rsidR="00B54AD5">
        <w:t xml:space="preserve"> al Comité la presentación de iniciativas legislativas </w:t>
      </w:r>
      <w:r w:rsidR="00EA7EF6">
        <w:t xml:space="preserve">que </w:t>
      </w:r>
      <w:r w:rsidR="00983407">
        <w:t xml:space="preserve">pudieran contener </w:t>
      </w:r>
      <w:r w:rsidR="00EA7EF6">
        <w:t>elementos discriminatorios hacia los migrantes</w:t>
      </w:r>
      <w:r w:rsidR="00845EEA">
        <w:t xml:space="preserve"> </w:t>
      </w:r>
      <w:r w:rsidR="00EA7EF6">
        <w:t xml:space="preserve">y que buscan limitar el acceso a derechos a personas </w:t>
      </w:r>
      <w:r w:rsidR="00F32A0A">
        <w:t xml:space="preserve">refugiadas y </w:t>
      </w:r>
      <w:r w:rsidR="00EA7EF6">
        <w:t xml:space="preserve">migrantes en </w:t>
      </w:r>
      <w:r w:rsidR="00F32A0A">
        <w:t>el país</w:t>
      </w:r>
      <w:r w:rsidR="00845EEA">
        <w:t xml:space="preserve">, como la </w:t>
      </w:r>
      <w:r w:rsidR="00F32A0A">
        <w:t xml:space="preserve">modificación en enero </w:t>
      </w:r>
      <w:r w:rsidR="00AD483F">
        <w:t xml:space="preserve">de </w:t>
      </w:r>
      <w:r w:rsidR="00F32A0A">
        <w:t>2023 de</w:t>
      </w:r>
      <w:r w:rsidR="00845EEA">
        <w:t xml:space="preserve">l Decreto Legislativo </w:t>
      </w:r>
      <w:r w:rsidR="00AD483F">
        <w:t xml:space="preserve">núm. </w:t>
      </w:r>
      <w:r w:rsidR="00845EEA">
        <w:t>1350</w:t>
      </w:r>
      <w:r w:rsidR="00AD483F">
        <w:t xml:space="preserve"> (2017),</w:t>
      </w:r>
      <w:r w:rsidR="00845EEA">
        <w:t xml:space="preserve"> que limita </w:t>
      </w:r>
      <w:r w:rsidR="00F32A0A" w:rsidRPr="00F32A0A">
        <w:t>el ingreso y tránsito de los extranjeros y los obliga a acreditar una situación migratoria regular para alquilar un inmueble</w:t>
      </w:r>
      <w:r w:rsidR="00AD483F">
        <w:t xml:space="preserve">. </w:t>
      </w:r>
      <w:r w:rsidR="00AD483F" w:rsidRPr="002D75E1">
        <w:t xml:space="preserve">Preocupa también al Comité </w:t>
      </w:r>
      <w:r w:rsidR="002D75E1" w:rsidRPr="002165FD">
        <w:t xml:space="preserve">que dichas </w:t>
      </w:r>
      <w:r w:rsidR="00AD483F" w:rsidRPr="002D75E1">
        <w:t xml:space="preserve">iniciativas </w:t>
      </w:r>
      <w:r w:rsidR="00AD483F" w:rsidRPr="002165FD">
        <w:t xml:space="preserve">legislativas </w:t>
      </w:r>
      <w:r w:rsidR="00AD483F" w:rsidRPr="002D75E1">
        <w:t xml:space="preserve">pudieran </w:t>
      </w:r>
      <w:r w:rsidR="00EA7EF6" w:rsidRPr="002D75E1">
        <w:t>perpet</w:t>
      </w:r>
      <w:r w:rsidR="00AD483F" w:rsidRPr="002D75E1">
        <w:t>u</w:t>
      </w:r>
      <w:r w:rsidR="00EA7EF6" w:rsidRPr="002D75E1">
        <w:t xml:space="preserve">ar estereotipos </w:t>
      </w:r>
      <w:r w:rsidR="00AD483F" w:rsidRPr="002D75E1">
        <w:t xml:space="preserve">de carácter </w:t>
      </w:r>
      <w:r w:rsidR="00EA7EF6" w:rsidRPr="002D75E1">
        <w:t>xen</w:t>
      </w:r>
      <w:r w:rsidR="00AD483F" w:rsidRPr="002D75E1">
        <w:t>ófobo</w:t>
      </w:r>
      <w:r w:rsidR="00AD483F">
        <w:t>,</w:t>
      </w:r>
      <w:r w:rsidR="00EA7EF6">
        <w:t xml:space="preserve"> que asocian la seguridad ciudadana con el aumento de personas refugiad</w:t>
      </w:r>
      <w:r w:rsidR="00AD483F">
        <w:t>a</w:t>
      </w:r>
      <w:r w:rsidR="00EA7EF6">
        <w:t>s y migrantes en el país</w:t>
      </w:r>
      <w:r w:rsidR="00590E35">
        <w:t xml:space="preserve">. Asimismo, </w:t>
      </w:r>
      <w:r w:rsidR="00AD483F">
        <w:t xml:space="preserve">le </w:t>
      </w:r>
      <w:r w:rsidR="00590E35">
        <w:t>preocupan:</w:t>
      </w:r>
    </w:p>
    <w:p w14:paraId="74595425" w14:textId="50B082FB" w:rsidR="000F25C9" w:rsidRDefault="000F25C9" w:rsidP="00FB0D07">
      <w:pPr>
        <w:spacing w:after="120"/>
        <w:ind w:left="1134" w:right="1134" w:firstLine="567"/>
        <w:jc w:val="both"/>
      </w:pPr>
      <w:r>
        <w:t xml:space="preserve">a) </w:t>
      </w:r>
      <w:r>
        <w:tab/>
        <w:t xml:space="preserve">Las denuncias de expulsiones masivas de migrantes y solicitantes de asilo, en </w:t>
      </w:r>
      <w:r w:rsidR="00EA7EF6">
        <w:t xml:space="preserve">violación del debido proceso y </w:t>
      </w:r>
      <w:r w:rsidR="00AD483F">
        <w:t>de</w:t>
      </w:r>
      <w:r w:rsidR="00EA7EF6">
        <w:t>l principio de no devolución</w:t>
      </w:r>
      <w:r>
        <w:t>;</w:t>
      </w:r>
    </w:p>
    <w:p w14:paraId="10C86751" w14:textId="55BBFBF1" w:rsidR="000F25C9" w:rsidRDefault="00590E35" w:rsidP="00FB0D07">
      <w:pPr>
        <w:spacing w:after="120"/>
        <w:ind w:left="1134" w:right="1134" w:firstLine="567"/>
        <w:jc w:val="both"/>
      </w:pPr>
      <w:r>
        <w:t>b</w:t>
      </w:r>
      <w:r w:rsidR="000F25C9">
        <w:t>)</w:t>
      </w:r>
      <w:r w:rsidR="000F25C9">
        <w:tab/>
        <w:t xml:space="preserve">Los obstáculos prácticos </w:t>
      </w:r>
      <w:r w:rsidR="00EA7EF6">
        <w:t>para conseguir documentación adecuada, creando barreras para acceder al trabajo formal y a los servicios sociales, y para</w:t>
      </w:r>
      <w:r w:rsidR="000F25C9">
        <w:t xml:space="preserve"> la inscripción de los nacimientos de los hijos de los extranjeros, incluidos los hijos de refugiados y solicitantes de asilo, lo que puede hacer que esos niños sean apátridas;</w:t>
      </w:r>
    </w:p>
    <w:p w14:paraId="7C6DE406" w14:textId="5494DF85" w:rsidR="00590E35" w:rsidRDefault="00590E35" w:rsidP="00FB0D07">
      <w:pPr>
        <w:spacing w:after="120"/>
        <w:ind w:left="1134" w:right="1134" w:firstLine="567"/>
        <w:jc w:val="both"/>
      </w:pPr>
      <w:r>
        <w:t>c)</w:t>
      </w:r>
      <w:r w:rsidR="00646285">
        <w:tab/>
        <w:t>Las informaciones sobre el aumento de actos de discriminación y de discurso de odio hacia las personas migrantes, solicitantes de asilo y refugiados, en particular</w:t>
      </w:r>
      <w:r w:rsidR="003C425F">
        <w:t xml:space="preserve"> hacia las </w:t>
      </w:r>
      <w:r w:rsidR="00AD483F" w:rsidRPr="002D75E1">
        <w:t>personas</w:t>
      </w:r>
      <w:r w:rsidR="00AD483F">
        <w:t xml:space="preserve"> </w:t>
      </w:r>
      <w:r w:rsidR="003C425F">
        <w:t>migrantes de nacionalidad venezolana,</w:t>
      </w:r>
      <w:r w:rsidR="00646285">
        <w:t xml:space="preserve"> </w:t>
      </w:r>
      <w:r w:rsidR="003C425F">
        <w:t xml:space="preserve">incluso </w:t>
      </w:r>
      <w:r w:rsidR="00646285">
        <w:t xml:space="preserve">de autoridades de alto nivel </w:t>
      </w:r>
      <w:r w:rsidR="001A4CA9" w:rsidRPr="001A4CA9">
        <w:t xml:space="preserve">(arts. 2, </w:t>
      </w:r>
      <w:r w:rsidR="00BE6B65">
        <w:t xml:space="preserve">6, </w:t>
      </w:r>
      <w:r w:rsidR="001A4CA9" w:rsidRPr="001A4CA9">
        <w:t>7, 12, 13 y 14).</w:t>
      </w:r>
    </w:p>
    <w:p w14:paraId="1EA8F199" w14:textId="23736217" w:rsidR="00D64848" w:rsidRPr="00D64848" w:rsidRDefault="00290699" w:rsidP="00FB0D07">
      <w:pPr>
        <w:spacing w:after="120"/>
        <w:ind w:left="1134" w:right="1134"/>
        <w:jc w:val="both"/>
      </w:pPr>
      <w:r>
        <w:t>3</w:t>
      </w:r>
      <w:r w:rsidR="00A44737">
        <w:t>5</w:t>
      </w:r>
      <w:r>
        <w:t>.</w:t>
      </w:r>
      <w:r>
        <w:tab/>
      </w:r>
      <w:r w:rsidR="00D64848" w:rsidRPr="00D64848">
        <w:rPr>
          <w:b/>
          <w:bCs/>
        </w:rPr>
        <w:t>El Estado parte debe redoblar sus esfuerzos con miras a:</w:t>
      </w:r>
    </w:p>
    <w:p w14:paraId="52493DDE" w14:textId="4E43069B" w:rsidR="00D64848" w:rsidRPr="00A73CAA" w:rsidRDefault="00D64848" w:rsidP="00FB0D07">
      <w:pPr>
        <w:spacing w:after="120"/>
        <w:ind w:left="1134" w:right="1134" w:firstLine="567"/>
        <w:jc w:val="both"/>
        <w:rPr>
          <w:b/>
          <w:bCs/>
        </w:rPr>
      </w:pPr>
      <w:r w:rsidRPr="00A73CAA">
        <w:rPr>
          <w:b/>
          <w:bCs/>
        </w:rPr>
        <w:t xml:space="preserve">a) </w:t>
      </w:r>
      <w:r w:rsidR="008302B1" w:rsidRPr="00A73CAA">
        <w:rPr>
          <w:b/>
          <w:bCs/>
        </w:rPr>
        <w:tab/>
        <w:t xml:space="preserve">Revisar la legislación de reconocimiento y control de los refugiados, con el fin de </w:t>
      </w:r>
      <w:r w:rsidR="00F80B9D" w:rsidRPr="00A73CAA">
        <w:rPr>
          <w:b/>
          <w:bCs/>
        </w:rPr>
        <w:t xml:space="preserve">eliminar cualquier elemento discriminatorio y </w:t>
      </w:r>
      <w:r w:rsidR="008302B1" w:rsidRPr="00A73CAA">
        <w:rPr>
          <w:b/>
          <w:bCs/>
        </w:rPr>
        <w:t>asegurar que se ajuste plenamente al Pacto y a las normas internacionales pertinentes;</w:t>
      </w:r>
    </w:p>
    <w:p w14:paraId="146BD271" w14:textId="1E9DBDFD" w:rsidR="00FB0D07" w:rsidRPr="00A73CAA" w:rsidRDefault="00D64848" w:rsidP="00FB0D07">
      <w:pPr>
        <w:spacing w:after="120"/>
        <w:ind w:left="1134" w:right="1134" w:firstLine="567"/>
        <w:jc w:val="both"/>
        <w:rPr>
          <w:b/>
          <w:bCs/>
        </w:rPr>
      </w:pPr>
      <w:r w:rsidRPr="00A73CAA">
        <w:rPr>
          <w:b/>
          <w:bCs/>
        </w:rPr>
        <w:t xml:space="preserve">b) </w:t>
      </w:r>
      <w:r w:rsidR="00FB0D07" w:rsidRPr="00A73CAA">
        <w:rPr>
          <w:b/>
          <w:bCs/>
        </w:rPr>
        <w:tab/>
        <w:t>Asegurar la aplicación de la le</w:t>
      </w:r>
      <w:r w:rsidR="00AD483F" w:rsidRPr="00A73CAA">
        <w:rPr>
          <w:b/>
          <w:bCs/>
        </w:rPr>
        <w:t>gislación</w:t>
      </w:r>
      <w:r w:rsidR="00FB0D07" w:rsidRPr="00A73CAA">
        <w:rPr>
          <w:b/>
          <w:bCs/>
        </w:rPr>
        <w:t xml:space="preserve"> sobre el derecho de asilo y la condición de refugiado</w:t>
      </w:r>
      <w:r w:rsidR="00AD483F" w:rsidRPr="00A73CAA">
        <w:rPr>
          <w:b/>
          <w:bCs/>
        </w:rPr>
        <w:t>,</w:t>
      </w:r>
      <w:r w:rsidR="00FB0D07" w:rsidRPr="00A73CAA">
        <w:rPr>
          <w:b/>
          <w:bCs/>
        </w:rPr>
        <w:t xml:space="preserve"> y establecer procedimientos justos y eficaces de asilo que ofrezcan una protección eficaz contra la devolución;</w:t>
      </w:r>
    </w:p>
    <w:p w14:paraId="7439F3A3" w14:textId="6ADD70FB" w:rsidR="00FB0D07" w:rsidRPr="00A73CAA" w:rsidRDefault="00D64848" w:rsidP="00FB0D07">
      <w:pPr>
        <w:spacing w:after="120"/>
        <w:ind w:left="1134" w:right="1134" w:firstLine="567"/>
        <w:jc w:val="both"/>
        <w:rPr>
          <w:b/>
          <w:bCs/>
        </w:rPr>
      </w:pPr>
      <w:r w:rsidRPr="00A73CAA">
        <w:rPr>
          <w:b/>
          <w:bCs/>
        </w:rPr>
        <w:t xml:space="preserve">c) </w:t>
      </w:r>
      <w:r w:rsidR="00FB0D07" w:rsidRPr="00A73CAA">
        <w:rPr>
          <w:b/>
          <w:bCs/>
        </w:rPr>
        <w:tab/>
        <w:t>Garantizar que todas las solicitudes de protección internacional realizadas en cualquier lugar del territorio sean efectivamente recibidas, registradas y remitidas sin demora a las autoridades encargadas de darles trámite;</w:t>
      </w:r>
    </w:p>
    <w:p w14:paraId="04851096" w14:textId="379B596B" w:rsidR="00D64848" w:rsidRPr="00A73CAA" w:rsidRDefault="00FB0D07" w:rsidP="00FB0D07">
      <w:pPr>
        <w:spacing w:after="120"/>
        <w:ind w:left="1134" w:right="1134" w:firstLine="567"/>
        <w:jc w:val="both"/>
        <w:rPr>
          <w:b/>
          <w:bCs/>
        </w:rPr>
      </w:pPr>
      <w:r w:rsidRPr="00A73CAA">
        <w:rPr>
          <w:b/>
          <w:bCs/>
        </w:rPr>
        <w:t xml:space="preserve">d) </w:t>
      </w:r>
      <w:r w:rsidRPr="00A73CAA">
        <w:rPr>
          <w:b/>
          <w:bCs/>
        </w:rPr>
        <w:tab/>
      </w:r>
      <w:r w:rsidR="00D64848" w:rsidRPr="00A73CAA">
        <w:rPr>
          <w:b/>
          <w:bCs/>
        </w:rPr>
        <w:t>Continuar y fortalecer la capacitación del personal de las instituciones migratorias y de fronteras en lo que respecta a la identificación de personas con necesidad de protección internacional para ser informadas sobre los procedimientos a seguir en la solicitud de asilo;</w:t>
      </w:r>
    </w:p>
    <w:p w14:paraId="07D066A3" w14:textId="3A255CBE" w:rsidR="00B338FD" w:rsidRPr="00A73CAA" w:rsidRDefault="00FB0D07" w:rsidP="00FB0D07">
      <w:pPr>
        <w:spacing w:after="120"/>
        <w:ind w:left="1134" w:right="1134" w:firstLine="567"/>
        <w:jc w:val="both"/>
        <w:rPr>
          <w:b/>
          <w:bCs/>
        </w:rPr>
      </w:pPr>
      <w:r w:rsidRPr="00A73CAA">
        <w:rPr>
          <w:b/>
          <w:bCs/>
        </w:rPr>
        <w:t>e</w:t>
      </w:r>
      <w:r w:rsidR="00D64848" w:rsidRPr="00A73CAA">
        <w:rPr>
          <w:b/>
          <w:bCs/>
        </w:rPr>
        <w:t xml:space="preserve">) </w:t>
      </w:r>
      <w:r w:rsidRPr="00A73CAA">
        <w:rPr>
          <w:b/>
          <w:bCs/>
        </w:rPr>
        <w:tab/>
        <w:t>Expedir y renovar de manera oportuna los documentos de identidad de los solicitantes de asilo y los refugiados, a fin de facilitar su acceso a los servicios sociales básicos y prevenir su detención arbitraria</w:t>
      </w:r>
      <w:r w:rsidR="00AD483F" w:rsidRPr="00A73CAA">
        <w:rPr>
          <w:b/>
          <w:bCs/>
        </w:rPr>
        <w:t>,</w:t>
      </w:r>
      <w:r w:rsidRPr="00A73CAA">
        <w:rPr>
          <w:b/>
          <w:bCs/>
        </w:rPr>
        <w:t xml:space="preserve"> y </w:t>
      </w:r>
      <w:r w:rsidR="001F0552" w:rsidRPr="00A73CAA">
        <w:rPr>
          <w:b/>
          <w:bCs/>
        </w:rPr>
        <w:t xml:space="preserve">continuar </w:t>
      </w:r>
      <w:r w:rsidRPr="00A73CAA">
        <w:rPr>
          <w:b/>
          <w:bCs/>
        </w:rPr>
        <w:t>los esfuerzos por eliminar los obstáculos prácticos a la inscripción del nacimiento de todos los niños nacidos en el territorio a padres extranjeros</w:t>
      </w:r>
      <w:r w:rsidR="00B338FD" w:rsidRPr="00A73CAA">
        <w:rPr>
          <w:b/>
          <w:bCs/>
        </w:rPr>
        <w:t>, incluidos los hijos de refugiados y solicitantes de asilo</w:t>
      </w:r>
      <w:r w:rsidRPr="00A73CAA">
        <w:rPr>
          <w:b/>
          <w:bCs/>
        </w:rPr>
        <w:t>;</w:t>
      </w:r>
    </w:p>
    <w:p w14:paraId="056E0C22" w14:textId="13E7DFA5" w:rsidR="00290699" w:rsidRPr="00F64599" w:rsidRDefault="00FB0D07" w:rsidP="00FB0D07">
      <w:pPr>
        <w:spacing w:after="120"/>
        <w:ind w:left="1134" w:right="1134" w:firstLine="567"/>
        <w:jc w:val="both"/>
        <w:rPr>
          <w:b/>
          <w:bCs/>
          <w:lang w:val="es-419"/>
        </w:rPr>
      </w:pPr>
      <w:r w:rsidRPr="00A73CAA">
        <w:rPr>
          <w:b/>
          <w:bCs/>
        </w:rPr>
        <w:t>f</w:t>
      </w:r>
      <w:r w:rsidR="00B338FD" w:rsidRPr="00A73CAA">
        <w:rPr>
          <w:b/>
          <w:bCs/>
        </w:rPr>
        <w:t>)</w:t>
      </w:r>
      <w:r w:rsidR="00B338FD" w:rsidRPr="00B338FD">
        <w:rPr>
          <w:b/>
          <w:bCs/>
        </w:rPr>
        <w:t xml:space="preserve"> </w:t>
      </w:r>
      <w:r>
        <w:rPr>
          <w:b/>
          <w:bCs/>
        </w:rPr>
        <w:tab/>
      </w:r>
      <w:r w:rsidR="00B338FD" w:rsidRPr="00B338FD">
        <w:rPr>
          <w:b/>
          <w:bCs/>
        </w:rPr>
        <w:t>Velar por que los agentes del orden actúen de conformidad con los artículos 6 y 7 del Pacto al expulsar a extranjeros, en particular supervisando sus actividades e investigando, enjuiciando y castigando con penas adecuadas a los autores de vulneraciones de los derechos humanos.</w:t>
      </w:r>
    </w:p>
    <w:p w14:paraId="179D82D3" w14:textId="3DC3C473" w:rsidR="003657DF" w:rsidRPr="003657DF" w:rsidRDefault="00B953F0" w:rsidP="00B953F0">
      <w:pPr>
        <w:pStyle w:val="H23G"/>
      </w:pPr>
      <w:r>
        <w:tab/>
      </w:r>
      <w:r>
        <w:tab/>
      </w:r>
      <w:r w:rsidR="00C319F5" w:rsidRPr="00AC5A7F">
        <w:t>D</w:t>
      </w:r>
      <w:r w:rsidR="003657DF" w:rsidRPr="00AC5A7F">
        <w:t xml:space="preserve">erecho </w:t>
      </w:r>
      <w:r w:rsidR="00C319F5" w:rsidRPr="00AC5A7F">
        <w:t xml:space="preserve">a participar en los asuntos públicos y </w:t>
      </w:r>
      <w:r w:rsidR="003657DF" w:rsidRPr="00AC5A7F">
        <w:t>a un juicio imparcial</w:t>
      </w:r>
    </w:p>
    <w:p w14:paraId="0E4A0478" w14:textId="248E4E7B" w:rsidR="005B21F9" w:rsidRPr="00606841" w:rsidRDefault="003F364F" w:rsidP="00BB7291">
      <w:pPr>
        <w:pStyle w:val="SingleTxtG"/>
        <w:rPr>
          <w:bCs/>
        </w:rPr>
      </w:pPr>
      <w:r>
        <w:rPr>
          <w:bCs/>
        </w:rPr>
        <w:t>3</w:t>
      </w:r>
      <w:r w:rsidR="00A44737">
        <w:rPr>
          <w:bCs/>
        </w:rPr>
        <w:t>6</w:t>
      </w:r>
      <w:r>
        <w:rPr>
          <w:bCs/>
        </w:rPr>
        <w:t>.</w:t>
      </w:r>
      <w:r>
        <w:rPr>
          <w:bCs/>
        </w:rPr>
        <w:tab/>
      </w:r>
      <w:r w:rsidR="00186074">
        <w:t xml:space="preserve">El </w:t>
      </w:r>
      <w:r w:rsidR="0047118F">
        <w:t>C</w:t>
      </w:r>
      <w:r w:rsidR="00186074">
        <w:t xml:space="preserve">omité se muestra preocupado por la crisis política y social que está viviendo </w:t>
      </w:r>
      <w:r w:rsidR="00AD483F">
        <w:t xml:space="preserve">el </w:t>
      </w:r>
      <w:r w:rsidR="00186074">
        <w:t>Perú desde los acontecimientos del 7 de diciembre de 2022</w:t>
      </w:r>
      <w:r w:rsidR="00AD483F">
        <w:t>,</w:t>
      </w:r>
      <w:r w:rsidR="00186074">
        <w:t xml:space="preserve"> que provocaron el relevo en la Presidencia de la República, con el consiguiente clima de polarización que vive el país </w:t>
      </w:r>
      <w:r w:rsidR="00AD483F">
        <w:t xml:space="preserve">y </w:t>
      </w:r>
      <w:r w:rsidR="00186074">
        <w:t xml:space="preserve">del que son reflejo las manifestaciones a las que se ha aludido en </w:t>
      </w:r>
      <w:r w:rsidR="00AD483F">
        <w:t xml:space="preserve">párrafos </w:t>
      </w:r>
      <w:r w:rsidR="00186074">
        <w:t>anteriores. En concreto</w:t>
      </w:r>
      <w:r w:rsidR="00AD483F">
        <w:t>,</w:t>
      </w:r>
      <w:r w:rsidR="00186074">
        <w:t xml:space="preserve"> al Comité le preocupa que en el desarrollo de </w:t>
      </w:r>
      <w:r w:rsidR="00186074" w:rsidRPr="009673D3">
        <w:t>los hechos</w:t>
      </w:r>
      <w:r w:rsidR="0047118F" w:rsidRPr="009673D3">
        <w:t xml:space="preserve"> </w:t>
      </w:r>
      <w:r w:rsidR="00F63E3F" w:rsidRPr="009673D3">
        <w:t xml:space="preserve">no </w:t>
      </w:r>
      <w:r w:rsidR="00186074" w:rsidRPr="009673D3">
        <w:t>se hayan respetado los</w:t>
      </w:r>
      <w:r w:rsidR="00186074">
        <w:t xml:space="preserve"> derechos derivados del Pacto </w:t>
      </w:r>
      <w:r w:rsidR="005B21F9" w:rsidRPr="00606841">
        <w:rPr>
          <w:bCs/>
        </w:rPr>
        <w:t>(arts. 2, 9</w:t>
      </w:r>
      <w:r w:rsidR="005B21F9">
        <w:rPr>
          <w:bCs/>
        </w:rPr>
        <w:t xml:space="preserve">, </w:t>
      </w:r>
      <w:r w:rsidR="005B21F9" w:rsidRPr="00606841">
        <w:rPr>
          <w:bCs/>
        </w:rPr>
        <w:t>14</w:t>
      </w:r>
      <w:r w:rsidR="005B21F9">
        <w:rPr>
          <w:bCs/>
        </w:rPr>
        <w:t xml:space="preserve"> y 25</w:t>
      </w:r>
      <w:r w:rsidR="005B21F9" w:rsidRPr="00606841">
        <w:rPr>
          <w:bCs/>
        </w:rPr>
        <w:t>).</w:t>
      </w:r>
    </w:p>
    <w:p w14:paraId="506E47DD" w14:textId="69647CCA" w:rsidR="00186074" w:rsidRPr="00186074" w:rsidRDefault="003F364F" w:rsidP="00186074">
      <w:pPr>
        <w:pStyle w:val="SingleTxtG"/>
        <w:rPr>
          <w:b/>
          <w:bCs/>
          <w:lang w:val="es-AR"/>
        </w:rPr>
      </w:pPr>
      <w:r>
        <w:rPr>
          <w:bCs/>
        </w:rPr>
        <w:t>3</w:t>
      </w:r>
      <w:r w:rsidR="00A44737">
        <w:rPr>
          <w:bCs/>
        </w:rPr>
        <w:t>7</w:t>
      </w:r>
      <w:r>
        <w:rPr>
          <w:bCs/>
        </w:rPr>
        <w:t>.</w:t>
      </w:r>
      <w:r>
        <w:rPr>
          <w:bCs/>
        </w:rPr>
        <w:tab/>
      </w:r>
      <w:r w:rsidR="00186074" w:rsidRPr="00186074">
        <w:rPr>
          <w:b/>
          <w:bCs/>
          <w:lang w:val="es-AR"/>
        </w:rPr>
        <w:t>El Estado parte debe</w:t>
      </w:r>
      <w:r w:rsidR="00DA620A">
        <w:rPr>
          <w:b/>
          <w:bCs/>
          <w:lang w:val="es-AR"/>
        </w:rPr>
        <w:t>:</w:t>
      </w:r>
    </w:p>
    <w:p w14:paraId="31C7D82E" w14:textId="0C1293CD" w:rsidR="00186074" w:rsidRPr="00A73CAA" w:rsidRDefault="00186074" w:rsidP="00186074">
      <w:pPr>
        <w:pStyle w:val="SingleTxtG"/>
        <w:rPr>
          <w:b/>
          <w:bCs/>
          <w:lang w:val="es-AR"/>
        </w:rPr>
      </w:pPr>
      <w:r>
        <w:rPr>
          <w:b/>
          <w:bCs/>
          <w:lang w:val="es-AR"/>
        </w:rPr>
        <w:lastRenderedPageBreak/>
        <w:tab/>
      </w:r>
      <w:r w:rsidRPr="00A73CAA">
        <w:rPr>
          <w:b/>
          <w:bCs/>
          <w:lang w:val="es-AR"/>
        </w:rPr>
        <w:t xml:space="preserve">a) </w:t>
      </w:r>
      <w:r w:rsidRPr="00A73CAA">
        <w:rPr>
          <w:b/>
          <w:bCs/>
          <w:lang w:val="es-AR"/>
        </w:rPr>
        <w:tab/>
      </w:r>
      <w:r w:rsidR="00DA620A" w:rsidRPr="00A73CAA">
        <w:rPr>
          <w:b/>
          <w:bCs/>
          <w:lang w:val="es-AR"/>
        </w:rPr>
        <w:t>Velar por que</w:t>
      </w:r>
      <w:r w:rsidR="007D79DD" w:rsidRPr="00A73CAA">
        <w:rPr>
          <w:b/>
          <w:bCs/>
          <w:lang w:val="es-AR"/>
        </w:rPr>
        <w:t xml:space="preserve"> el proceso de</w:t>
      </w:r>
      <w:r w:rsidRPr="00A73CAA">
        <w:rPr>
          <w:b/>
          <w:bCs/>
          <w:lang w:val="es-AR"/>
        </w:rPr>
        <w:t xml:space="preserve"> vacancia presidencial </w:t>
      </w:r>
      <w:r w:rsidR="00A771ED" w:rsidRPr="00A73CAA">
        <w:rPr>
          <w:b/>
          <w:bCs/>
          <w:lang w:val="es-AR"/>
        </w:rPr>
        <w:t>siempre se lleve a cabo de plena conformidad con</w:t>
      </w:r>
      <w:r w:rsidR="007D79DD" w:rsidRPr="00A73CAA">
        <w:rPr>
          <w:b/>
          <w:bCs/>
        </w:rPr>
        <w:t xml:space="preserve"> los principios básicos del debido proceso y juicio justo, y </w:t>
      </w:r>
      <w:r w:rsidRPr="00A73CAA">
        <w:rPr>
          <w:b/>
          <w:bCs/>
          <w:lang w:val="es-AR"/>
        </w:rPr>
        <w:t>con pleno respeto d</w:t>
      </w:r>
      <w:r w:rsidR="00DA620A" w:rsidRPr="00A73CAA">
        <w:rPr>
          <w:b/>
          <w:bCs/>
          <w:lang w:val="es-AR"/>
        </w:rPr>
        <w:t>e</w:t>
      </w:r>
      <w:r w:rsidRPr="00A73CAA">
        <w:rPr>
          <w:b/>
          <w:bCs/>
          <w:lang w:val="es-AR"/>
        </w:rPr>
        <w:t>l artículo 25 del Pacto</w:t>
      </w:r>
      <w:r w:rsidR="00AD483F" w:rsidRPr="00A73CAA">
        <w:rPr>
          <w:b/>
          <w:bCs/>
          <w:lang w:val="es-AR"/>
        </w:rPr>
        <w:t>,</w:t>
      </w:r>
      <w:r w:rsidRPr="00A73CAA">
        <w:rPr>
          <w:b/>
          <w:bCs/>
          <w:lang w:val="es-AR"/>
        </w:rPr>
        <w:t xml:space="preserve"> si ello fuera necesario mediante la correspondiente reforma legislativa</w:t>
      </w:r>
      <w:r w:rsidR="001F0552" w:rsidRPr="00A73CAA">
        <w:rPr>
          <w:b/>
          <w:bCs/>
          <w:lang w:val="es-AR"/>
        </w:rPr>
        <w:t xml:space="preserve">, incluso constitucional, de forma </w:t>
      </w:r>
      <w:r w:rsidR="009673D3" w:rsidRPr="00A73CAA">
        <w:rPr>
          <w:b/>
          <w:bCs/>
          <w:lang w:val="es-AR"/>
        </w:rPr>
        <w:t xml:space="preserve">que se garantice </w:t>
      </w:r>
      <w:r w:rsidR="001F0552" w:rsidRPr="00A73CAA">
        <w:rPr>
          <w:b/>
          <w:bCs/>
          <w:lang w:val="es-AR"/>
        </w:rPr>
        <w:t>un adecuado sistema de contrapoderes entre los diversos poderes del Estado</w:t>
      </w:r>
      <w:r w:rsidR="007D79DD" w:rsidRPr="00A73CAA">
        <w:rPr>
          <w:b/>
          <w:bCs/>
          <w:lang w:val="es-AR"/>
        </w:rPr>
        <w:t>;</w:t>
      </w:r>
    </w:p>
    <w:p w14:paraId="72D76E8A" w14:textId="3FBCC96F" w:rsidR="00BB7291" w:rsidRPr="00186074" w:rsidRDefault="00186074" w:rsidP="00186074">
      <w:pPr>
        <w:pStyle w:val="SingleTxtG"/>
        <w:rPr>
          <w:b/>
          <w:bCs/>
          <w:lang w:val="es-AR"/>
        </w:rPr>
      </w:pPr>
      <w:r w:rsidRPr="00A73CAA">
        <w:rPr>
          <w:b/>
          <w:bCs/>
          <w:lang w:val="es-AR"/>
        </w:rPr>
        <w:tab/>
        <w:t>b)</w:t>
      </w:r>
      <w:r w:rsidRPr="00186074">
        <w:rPr>
          <w:b/>
          <w:bCs/>
          <w:lang w:val="es-AR"/>
        </w:rPr>
        <w:t xml:space="preserve"> </w:t>
      </w:r>
      <w:r>
        <w:rPr>
          <w:b/>
          <w:bCs/>
          <w:lang w:val="es-AR"/>
        </w:rPr>
        <w:tab/>
      </w:r>
      <w:r w:rsidR="00DA620A">
        <w:rPr>
          <w:b/>
          <w:bCs/>
          <w:lang w:val="es-AR"/>
        </w:rPr>
        <w:t>Garantizar q</w:t>
      </w:r>
      <w:r w:rsidRPr="00186074">
        <w:rPr>
          <w:b/>
          <w:bCs/>
          <w:lang w:val="es-AR"/>
        </w:rPr>
        <w:t xml:space="preserve">ue el proceso penal seguido contra Pedro Castillo, </w:t>
      </w:r>
      <w:r w:rsidRPr="00DA620A">
        <w:rPr>
          <w:b/>
          <w:bCs/>
          <w:lang w:val="es-AR"/>
        </w:rPr>
        <w:t>actualmente en prisión provisional</w:t>
      </w:r>
      <w:r w:rsidRPr="00186074">
        <w:rPr>
          <w:b/>
          <w:bCs/>
          <w:lang w:val="es-AR"/>
        </w:rPr>
        <w:t>, se desarrolle con pleno cumplimiento de las garantías propias del derecho a un juicio justo</w:t>
      </w:r>
      <w:r w:rsidR="00AD483F">
        <w:rPr>
          <w:b/>
          <w:bCs/>
          <w:lang w:val="es-AR"/>
        </w:rPr>
        <w:t>,</w:t>
      </w:r>
      <w:r w:rsidRPr="00186074">
        <w:rPr>
          <w:b/>
          <w:bCs/>
          <w:lang w:val="es-AR"/>
        </w:rPr>
        <w:t xml:space="preserve"> tal como se reconocen en el artículo 14 del Pacto</w:t>
      </w:r>
      <w:r>
        <w:rPr>
          <w:b/>
          <w:bCs/>
          <w:lang w:val="es-AR"/>
        </w:rPr>
        <w:t>.</w:t>
      </w:r>
    </w:p>
    <w:p w14:paraId="34309426" w14:textId="3E25EFE2" w:rsidR="00EC69AC" w:rsidRPr="00EC69AC" w:rsidRDefault="00B953F0" w:rsidP="00B953F0">
      <w:pPr>
        <w:pStyle w:val="H23G"/>
      </w:pPr>
      <w:r>
        <w:tab/>
      </w:r>
      <w:r>
        <w:tab/>
      </w:r>
      <w:r w:rsidR="00EC69AC" w:rsidRPr="00EC69AC">
        <w:t>Libertad de expresión y derecho de reunión pacífica</w:t>
      </w:r>
    </w:p>
    <w:p w14:paraId="70D2138B" w14:textId="42522EC9" w:rsidR="00290699" w:rsidRPr="00FC37EE" w:rsidRDefault="00FC37EE" w:rsidP="007C108E">
      <w:pPr>
        <w:pStyle w:val="SingleTxtG"/>
        <w:rPr>
          <w:bCs/>
        </w:rPr>
      </w:pPr>
      <w:r w:rsidRPr="00FC37EE">
        <w:rPr>
          <w:bCs/>
        </w:rPr>
        <w:t>3</w:t>
      </w:r>
      <w:r w:rsidR="00A44737">
        <w:rPr>
          <w:bCs/>
        </w:rPr>
        <w:t>8</w:t>
      </w:r>
      <w:r w:rsidRPr="00FC37EE">
        <w:rPr>
          <w:bCs/>
        </w:rPr>
        <w:t>.</w:t>
      </w:r>
      <w:r w:rsidR="000D7AE9">
        <w:rPr>
          <w:bCs/>
        </w:rPr>
        <w:tab/>
        <w:t xml:space="preserve">Si bien toma nota de los esfuerzos del Estado con relación a la protección de las personas defensoras de derechos humanos, </w:t>
      </w:r>
      <w:r w:rsidR="00373B0A">
        <w:rPr>
          <w:bCs/>
        </w:rPr>
        <w:t xml:space="preserve">como </w:t>
      </w:r>
      <w:r w:rsidR="000D7AE9">
        <w:rPr>
          <w:bCs/>
        </w:rPr>
        <w:t xml:space="preserve">la creación en 2021 del </w:t>
      </w:r>
      <w:r w:rsidR="000D7AE9" w:rsidRPr="000D7AE9">
        <w:rPr>
          <w:bCs/>
        </w:rPr>
        <w:t>Mecanismo intersectorial para la protección de las personas defensoras de derechos humanos</w:t>
      </w:r>
      <w:r w:rsidR="000D7AE9">
        <w:rPr>
          <w:bCs/>
        </w:rPr>
        <w:t xml:space="preserve"> y, en 2020, del </w:t>
      </w:r>
      <w:r w:rsidR="000D7AE9" w:rsidRPr="000D7AE9">
        <w:rPr>
          <w:bCs/>
        </w:rPr>
        <w:t>Registro sobre situaciones de riesgo de personas defensoras de derechos humanos</w:t>
      </w:r>
      <w:r w:rsidR="000D7AE9">
        <w:rPr>
          <w:bCs/>
        </w:rPr>
        <w:t xml:space="preserve">, preocupan </w:t>
      </w:r>
      <w:r w:rsidR="000D7AE9" w:rsidRPr="000D7AE9">
        <w:t xml:space="preserve">al Comité las alegaciones de </w:t>
      </w:r>
      <w:r w:rsidR="000D7AE9">
        <w:t xml:space="preserve">insultos, amenazas, </w:t>
      </w:r>
      <w:r w:rsidR="000D7AE9" w:rsidRPr="000D7AE9">
        <w:t xml:space="preserve">hostigamiento e intimidación contra </w:t>
      </w:r>
      <w:r w:rsidR="00D42D2A">
        <w:t xml:space="preserve">personas </w:t>
      </w:r>
      <w:r w:rsidR="00D42D2A" w:rsidRPr="000D7AE9">
        <w:t>defensor</w:t>
      </w:r>
      <w:r w:rsidR="00D42D2A">
        <w:t>a</w:t>
      </w:r>
      <w:r w:rsidR="00D42D2A" w:rsidRPr="000D7AE9">
        <w:t xml:space="preserve">s </w:t>
      </w:r>
      <w:r w:rsidR="000D7AE9" w:rsidRPr="000D7AE9">
        <w:t>de derechos humanos</w:t>
      </w:r>
      <w:r w:rsidR="000E6E85">
        <w:t>, incluyendo abogados, miembros del Jurado Nacional de Elecciones</w:t>
      </w:r>
      <w:r w:rsidR="000D7AE9" w:rsidRPr="000D7AE9">
        <w:t xml:space="preserve"> y periodistas. </w:t>
      </w:r>
      <w:r w:rsidR="000D7AE9" w:rsidRPr="00301A47">
        <w:t>También le preocupa que</w:t>
      </w:r>
      <w:r w:rsidR="008F05D6" w:rsidRPr="00301A47">
        <w:t xml:space="preserve"> </w:t>
      </w:r>
      <w:r w:rsidR="00301A47" w:rsidRPr="00301A47">
        <w:t xml:space="preserve">la tipificación de los delitos de </w:t>
      </w:r>
      <w:r w:rsidR="000D7AE9" w:rsidRPr="00301A47">
        <w:t xml:space="preserve">difamación, calumnia </w:t>
      </w:r>
      <w:r w:rsidR="00301A47" w:rsidRPr="00301A47">
        <w:t>e</w:t>
      </w:r>
      <w:r w:rsidR="000D7AE9" w:rsidRPr="00301A47">
        <w:t xml:space="preserve"> injuria</w:t>
      </w:r>
      <w:r w:rsidR="00301A47">
        <w:t xml:space="preserve"> </w:t>
      </w:r>
      <w:r w:rsidR="00301A47" w:rsidRPr="00301A47">
        <w:t>se haga de modo que impida la libertad de expresión e información y su ejercicio por parte de periodistas y defensores de derechos humanos</w:t>
      </w:r>
      <w:r w:rsidR="00EC69AC">
        <w:t xml:space="preserve">. </w:t>
      </w:r>
      <w:r w:rsidR="00EC69AC" w:rsidRPr="00EC69AC">
        <w:rPr>
          <w:bCs/>
        </w:rPr>
        <w:t xml:space="preserve">Al Comité le inquietan las supuestas vulneraciones del derecho a la libertad de expresión y del derecho de reunión pacífica que tuvieron lugar en el contexto de las manifestaciones </w:t>
      </w:r>
      <w:r w:rsidR="000E6E85">
        <w:rPr>
          <w:bCs/>
        </w:rPr>
        <w:t xml:space="preserve">de noviembre 2020 y </w:t>
      </w:r>
      <w:r w:rsidR="00EC69AC" w:rsidRPr="00EC69AC">
        <w:rPr>
          <w:bCs/>
        </w:rPr>
        <w:t>de</w:t>
      </w:r>
      <w:r w:rsidR="00EC69AC">
        <w:rPr>
          <w:bCs/>
        </w:rPr>
        <w:t>sde el 7 de diciembre 202</w:t>
      </w:r>
      <w:r w:rsidR="000E6E85">
        <w:rPr>
          <w:bCs/>
        </w:rPr>
        <w:t>2</w:t>
      </w:r>
      <w:r w:rsidR="00EC69AC" w:rsidRPr="00EC69AC">
        <w:rPr>
          <w:bCs/>
        </w:rPr>
        <w:t xml:space="preserve">, en particular el uso excesivo de la fuerza contra manifestantes </w:t>
      </w:r>
      <w:r w:rsidR="00D42D2A">
        <w:rPr>
          <w:bCs/>
        </w:rPr>
        <w:t xml:space="preserve">y periodistas </w:t>
      </w:r>
      <w:r w:rsidR="00EC69AC" w:rsidRPr="00EC69AC">
        <w:rPr>
          <w:bCs/>
        </w:rPr>
        <w:t>por los efectivos de</w:t>
      </w:r>
      <w:r w:rsidR="000E6E85">
        <w:rPr>
          <w:bCs/>
        </w:rPr>
        <w:t xml:space="preserve"> la fuerza de</w:t>
      </w:r>
      <w:r w:rsidR="00EC69AC" w:rsidRPr="00EC69AC">
        <w:rPr>
          <w:bCs/>
        </w:rPr>
        <w:t xml:space="preserve"> seguridad, que causó heridos y muertos</w:t>
      </w:r>
      <w:r w:rsidR="00F23EB7">
        <w:t xml:space="preserve"> </w:t>
      </w:r>
      <w:r w:rsidR="00F23EB7" w:rsidRPr="00F23EB7">
        <w:t>(art</w:t>
      </w:r>
      <w:r w:rsidR="00AD483F">
        <w:t>s</w:t>
      </w:r>
      <w:r w:rsidR="00F23EB7" w:rsidRPr="00F23EB7">
        <w:t>. 6, 7, 9, 14</w:t>
      </w:r>
      <w:r w:rsidR="00EC69AC">
        <w:t>,</w:t>
      </w:r>
      <w:r w:rsidR="00F23EB7" w:rsidRPr="00F23EB7">
        <w:t xml:space="preserve"> 19</w:t>
      </w:r>
      <w:r w:rsidR="00EC69AC">
        <w:t>, 21</w:t>
      </w:r>
      <w:r w:rsidR="00855B82">
        <w:t xml:space="preserve"> </w:t>
      </w:r>
      <w:r w:rsidR="00EC69AC">
        <w:t>y 26</w:t>
      </w:r>
      <w:r w:rsidR="00F23EB7" w:rsidRPr="00F23EB7">
        <w:t>)</w:t>
      </w:r>
      <w:r w:rsidR="00373B0A">
        <w:t>.</w:t>
      </w:r>
    </w:p>
    <w:p w14:paraId="001C86DB" w14:textId="04B5E1AA" w:rsidR="00F66054" w:rsidRDefault="005B21F9" w:rsidP="002E5F2D">
      <w:pPr>
        <w:pStyle w:val="SingleTxtG"/>
        <w:rPr>
          <w:bCs/>
        </w:rPr>
      </w:pPr>
      <w:r>
        <w:rPr>
          <w:bCs/>
        </w:rPr>
        <w:t>3</w:t>
      </w:r>
      <w:r w:rsidR="00A44737">
        <w:rPr>
          <w:bCs/>
        </w:rPr>
        <w:t>9</w:t>
      </w:r>
      <w:r w:rsidR="00FC37EE" w:rsidRPr="00FC37EE">
        <w:rPr>
          <w:bCs/>
        </w:rPr>
        <w:t>.</w:t>
      </w:r>
      <w:r w:rsidR="002E5F2D">
        <w:rPr>
          <w:bCs/>
        </w:rPr>
        <w:tab/>
      </w:r>
      <w:r w:rsidR="00F66054" w:rsidRPr="000D7AE9">
        <w:rPr>
          <w:b/>
          <w:bCs/>
        </w:rPr>
        <w:t xml:space="preserve">El Estado parte debe adoptar las medidas necesarias a fin de garantizar el pleno disfrute de la libertad de expresión y reunión pacífica de todas las personas, teniendo en cuenta </w:t>
      </w:r>
      <w:r w:rsidR="00F66054" w:rsidRPr="00F66054">
        <w:rPr>
          <w:b/>
          <w:bCs/>
        </w:rPr>
        <w:t>las observaciones generales</w:t>
      </w:r>
      <w:r w:rsidR="00F66054">
        <w:rPr>
          <w:b/>
          <w:bCs/>
        </w:rPr>
        <w:t xml:space="preserve"> </w:t>
      </w:r>
      <w:r w:rsidR="00AD483F" w:rsidRPr="00F66054">
        <w:rPr>
          <w:b/>
          <w:bCs/>
        </w:rPr>
        <w:t xml:space="preserve">del Comité </w:t>
      </w:r>
      <w:r w:rsidR="00F66054" w:rsidRPr="00F66054">
        <w:rPr>
          <w:b/>
          <w:bCs/>
        </w:rPr>
        <w:t>núm. 34 (2011)</w:t>
      </w:r>
      <w:r w:rsidR="00AD483F">
        <w:rPr>
          <w:b/>
          <w:bCs/>
        </w:rPr>
        <w:t xml:space="preserve">, relativa a </w:t>
      </w:r>
      <w:r w:rsidR="00AD483F" w:rsidRPr="00F66054">
        <w:rPr>
          <w:b/>
          <w:bCs/>
        </w:rPr>
        <w:t>la libertad de opinión y la libertad de expresión</w:t>
      </w:r>
      <w:r w:rsidR="00AD483F">
        <w:rPr>
          <w:b/>
          <w:bCs/>
        </w:rPr>
        <w:t>,</w:t>
      </w:r>
      <w:r w:rsidR="00F66054" w:rsidRPr="00F66054">
        <w:rPr>
          <w:b/>
          <w:bCs/>
        </w:rPr>
        <w:t xml:space="preserve"> y núm.</w:t>
      </w:r>
      <w:r w:rsidR="001B3FDD">
        <w:rPr>
          <w:b/>
          <w:bCs/>
        </w:rPr>
        <w:t xml:space="preserve"> </w:t>
      </w:r>
      <w:r w:rsidR="00F66054" w:rsidRPr="00F66054">
        <w:rPr>
          <w:b/>
          <w:bCs/>
        </w:rPr>
        <w:t>37 (2020)</w:t>
      </w:r>
      <w:r w:rsidR="00AD483F">
        <w:rPr>
          <w:b/>
          <w:bCs/>
        </w:rPr>
        <w:t>, relativa al</w:t>
      </w:r>
      <w:r w:rsidR="00F66054" w:rsidRPr="00F66054">
        <w:rPr>
          <w:b/>
          <w:bCs/>
        </w:rPr>
        <w:t xml:space="preserve"> derecho de reunión pac</w:t>
      </w:r>
      <w:r w:rsidR="00AD483F">
        <w:rPr>
          <w:b/>
          <w:bCs/>
        </w:rPr>
        <w:t>í</w:t>
      </w:r>
      <w:r w:rsidR="00F66054" w:rsidRPr="00F66054">
        <w:rPr>
          <w:b/>
          <w:bCs/>
        </w:rPr>
        <w:t>fica</w:t>
      </w:r>
      <w:r w:rsidR="00F66054" w:rsidRPr="000D7AE9">
        <w:rPr>
          <w:b/>
          <w:bCs/>
        </w:rPr>
        <w:t>. En particular, el Comité insta al Estado parte a:</w:t>
      </w:r>
    </w:p>
    <w:p w14:paraId="03A52B9A" w14:textId="0DF2FA5C" w:rsidR="00F66054" w:rsidRPr="00A73CAA" w:rsidRDefault="00F66054" w:rsidP="00F66054">
      <w:pPr>
        <w:pStyle w:val="SingleTxtG"/>
        <w:rPr>
          <w:b/>
          <w:bCs/>
        </w:rPr>
      </w:pPr>
      <w:r w:rsidRPr="00F66054">
        <w:rPr>
          <w:b/>
          <w:bCs/>
        </w:rPr>
        <w:tab/>
      </w:r>
      <w:r w:rsidRPr="00A73CAA">
        <w:rPr>
          <w:b/>
          <w:bCs/>
        </w:rPr>
        <w:t xml:space="preserve">a) </w:t>
      </w:r>
      <w:r w:rsidRPr="00A73CAA">
        <w:rPr>
          <w:b/>
          <w:bCs/>
        </w:rPr>
        <w:tab/>
        <w:t xml:space="preserve">Redoblar sus esfuerzos para prevenir los actos de hostigamiento e intimidación contra </w:t>
      </w:r>
      <w:r w:rsidR="00D42D2A" w:rsidRPr="00A73CAA">
        <w:rPr>
          <w:b/>
          <w:bCs/>
        </w:rPr>
        <w:t xml:space="preserve">personas defensoras </w:t>
      </w:r>
      <w:r w:rsidRPr="00A73CAA">
        <w:rPr>
          <w:b/>
          <w:bCs/>
        </w:rPr>
        <w:t>de derechos humanos y periodistas, así como tomar todas las medidas necesarias para garantizar su efectiva protección</w:t>
      </w:r>
      <w:r w:rsidR="000E6E85" w:rsidRPr="00A73CAA">
        <w:rPr>
          <w:b/>
          <w:bCs/>
        </w:rPr>
        <w:t>, incluso a través de la dotación de recursos suficientes a mecanismos de protección estatal</w:t>
      </w:r>
      <w:r w:rsidRPr="00A73CAA">
        <w:rPr>
          <w:b/>
          <w:bCs/>
        </w:rPr>
        <w:t xml:space="preserve"> y que </w:t>
      </w:r>
      <w:r w:rsidR="00D42D2A" w:rsidRPr="00A73CAA">
        <w:rPr>
          <w:b/>
          <w:bCs/>
        </w:rPr>
        <w:t xml:space="preserve">las y </w:t>
      </w:r>
      <w:r w:rsidRPr="00A73CAA">
        <w:rPr>
          <w:b/>
          <w:bCs/>
        </w:rPr>
        <w:t xml:space="preserve">los periodistas y trabajadores de los medios sean libres de desempeñar su labor sin miedo a ser víctimas de actos de violencia o represalias; </w:t>
      </w:r>
    </w:p>
    <w:p w14:paraId="72867388" w14:textId="2D3FEC4B" w:rsidR="00F66054" w:rsidRPr="00A73CAA" w:rsidRDefault="00F66054" w:rsidP="00F66054">
      <w:pPr>
        <w:pStyle w:val="SingleTxtG"/>
        <w:rPr>
          <w:b/>
          <w:bCs/>
        </w:rPr>
      </w:pPr>
      <w:r w:rsidRPr="00A73CAA">
        <w:rPr>
          <w:b/>
          <w:bCs/>
        </w:rPr>
        <w:tab/>
        <w:t xml:space="preserve">b) </w:t>
      </w:r>
      <w:r w:rsidRPr="00A73CAA">
        <w:rPr>
          <w:b/>
          <w:bCs/>
        </w:rPr>
        <w:tab/>
        <w:t>Asegurar que se investiguen de manera pronta, exhaustiva, imparcial</w:t>
      </w:r>
      <w:r w:rsidR="00301A47" w:rsidRPr="00A73CAA">
        <w:rPr>
          <w:b/>
          <w:bCs/>
        </w:rPr>
        <w:t xml:space="preserve"> y eficaz</w:t>
      </w:r>
      <w:r w:rsidRPr="00A73CAA">
        <w:rPr>
          <w:b/>
          <w:bCs/>
        </w:rPr>
        <w:t xml:space="preserve"> todas las alegaciones relativas a actos de hostigamiento e intimidación; que los autores sean llevados ante la justicia y debidamente sancionados; y que las víctimas reciban reparación integral; </w:t>
      </w:r>
    </w:p>
    <w:p w14:paraId="2B0B1847" w14:textId="7BFCEC6C" w:rsidR="00F66054" w:rsidRPr="00A73CAA" w:rsidRDefault="00F66054" w:rsidP="00972962">
      <w:pPr>
        <w:pStyle w:val="SingleTxtG"/>
        <w:rPr>
          <w:b/>
          <w:bCs/>
          <w:lang w:val="es-AR"/>
        </w:rPr>
      </w:pPr>
      <w:r w:rsidRPr="00A73CAA">
        <w:rPr>
          <w:b/>
          <w:bCs/>
        </w:rPr>
        <w:tab/>
        <w:t xml:space="preserve">c) </w:t>
      </w:r>
      <w:r w:rsidRPr="00A73CAA">
        <w:rPr>
          <w:b/>
          <w:bCs/>
        </w:rPr>
        <w:tab/>
      </w:r>
      <w:r w:rsidR="00972962" w:rsidRPr="00A73CAA">
        <w:rPr>
          <w:b/>
          <w:bCs/>
          <w:lang w:val="es-AR"/>
        </w:rPr>
        <w:t xml:space="preserve">En caso de mantener la tipificación como delitos de la difamación, la calumnia y la injuria, deberá velar por que la redacción de los correspondientes artículos del Código Penal no suponga un límite indebido a la libertad de expresión e información, sobre todo cuando esta es ejercida por periodistas, miembros de la oposición política y otras personas críticas </w:t>
      </w:r>
      <w:r w:rsidR="00AD483F" w:rsidRPr="00A73CAA">
        <w:rPr>
          <w:b/>
          <w:bCs/>
          <w:lang w:val="es-AR"/>
        </w:rPr>
        <w:t>con el G</w:t>
      </w:r>
      <w:r w:rsidR="00972962" w:rsidRPr="00A73CAA">
        <w:rPr>
          <w:b/>
          <w:bCs/>
          <w:lang w:val="es-AR"/>
        </w:rPr>
        <w:t>obierno</w:t>
      </w:r>
      <w:r w:rsidR="00E2635E" w:rsidRPr="00A73CAA">
        <w:rPr>
          <w:b/>
          <w:bCs/>
        </w:rPr>
        <w:t>;</w:t>
      </w:r>
    </w:p>
    <w:p w14:paraId="1657190C" w14:textId="6A507D12" w:rsidR="000D7AE9" w:rsidRPr="000D7AE9" w:rsidRDefault="00F66054" w:rsidP="00855B82">
      <w:pPr>
        <w:pStyle w:val="SingleTxtG"/>
        <w:rPr>
          <w:b/>
          <w:bCs/>
        </w:rPr>
      </w:pPr>
      <w:r w:rsidRPr="00A73CAA">
        <w:rPr>
          <w:b/>
          <w:bCs/>
        </w:rPr>
        <w:tab/>
        <w:t>d</w:t>
      </w:r>
      <w:r w:rsidR="000D7AE9" w:rsidRPr="00A73CAA">
        <w:rPr>
          <w:b/>
          <w:bCs/>
        </w:rPr>
        <w:t>)</w:t>
      </w:r>
      <w:r w:rsidR="000D7AE9" w:rsidRPr="000D7AE9">
        <w:rPr>
          <w:b/>
          <w:bCs/>
        </w:rPr>
        <w:t xml:space="preserve"> </w:t>
      </w:r>
      <w:r w:rsidR="00E477CF">
        <w:rPr>
          <w:b/>
          <w:bCs/>
        </w:rPr>
        <w:tab/>
      </w:r>
      <w:r w:rsidR="000D7AE9" w:rsidRPr="000D7AE9">
        <w:rPr>
          <w:b/>
          <w:bCs/>
        </w:rPr>
        <w:t xml:space="preserve">Garantizar y respetar los derechos de reunión </w:t>
      </w:r>
      <w:r w:rsidR="00D42D2A">
        <w:rPr>
          <w:b/>
          <w:bCs/>
        </w:rPr>
        <w:t xml:space="preserve">pacífica </w:t>
      </w:r>
      <w:r w:rsidR="000D7AE9" w:rsidRPr="000D7AE9">
        <w:rPr>
          <w:b/>
          <w:bCs/>
        </w:rPr>
        <w:t>y de manifestación de la población</w:t>
      </w:r>
      <w:r w:rsidR="00855B82">
        <w:rPr>
          <w:b/>
          <w:bCs/>
        </w:rPr>
        <w:t xml:space="preserve">, </w:t>
      </w:r>
      <w:r w:rsidR="000E6E85">
        <w:rPr>
          <w:b/>
          <w:bCs/>
        </w:rPr>
        <w:t xml:space="preserve">especialmente de las organizaciones indígenas y campesinas, </w:t>
      </w:r>
      <w:r w:rsidR="00855B82">
        <w:rPr>
          <w:b/>
          <w:bCs/>
        </w:rPr>
        <w:t>y velar</w:t>
      </w:r>
      <w:r w:rsidR="000D7AE9" w:rsidRPr="000D7AE9">
        <w:rPr>
          <w:b/>
          <w:bCs/>
        </w:rPr>
        <w:t xml:space="preserve"> por que la aplicación de los derechos a la libertad de opinión y de expresión y de reunión </w:t>
      </w:r>
      <w:r w:rsidR="00D42D2A">
        <w:rPr>
          <w:b/>
          <w:bCs/>
        </w:rPr>
        <w:t>pac</w:t>
      </w:r>
      <w:r w:rsidR="00BB7291">
        <w:rPr>
          <w:b/>
          <w:bCs/>
        </w:rPr>
        <w:t>í</w:t>
      </w:r>
      <w:r w:rsidR="00D42D2A">
        <w:rPr>
          <w:b/>
          <w:bCs/>
        </w:rPr>
        <w:t xml:space="preserve">fica </w:t>
      </w:r>
      <w:r w:rsidR="000D7AE9" w:rsidRPr="000D7AE9">
        <w:rPr>
          <w:b/>
          <w:bCs/>
        </w:rPr>
        <w:t xml:space="preserve">cumpla plenamente con los requisitos establecidos en los artículos 19, párrafo 3, </w:t>
      </w:r>
      <w:r w:rsidR="00855B82">
        <w:rPr>
          <w:b/>
          <w:bCs/>
        </w:rPr>
        <w:t xml:space="preserve">y </w:t>
      </w:r>
      <w:r w:rsidR="000D7AE9" w:rsidRPr="000D7AE9">
        <w:rPr>
          <w:b/>
          <w:bCs/>
        </w:rPr>
        <w:t>21 del Pacto.</w:t>
      </w:r>
    </w:p>
    <w:p w14:paraId="3CB7EDC8" w14:textId="3E0F310A" w:rsidR="00A444C1" w:rsidRDefault="00B953F0" w:rsidP="00B953F0">
      <w:pPr>
        <w:pStyle w:val="H23G"/>
      </w:pPr>
      <w:r>
        <w:tab/>
      </w:r>
      <w:r>
        <w:tab/>
      </w:r>
      <w:r w:rsidR="00290699" w:rsidRPr="00615B7E">
        <w:t>Derechos del niño</w:t>
      </w:r>
    </w:p>
    <w:p w14:paraId="61D1D206" w14:textId="57741A1B" w:rsidR="00FC37EE" w:rsidRPr="00313A43" w:rsidRDefault="00A44737" w:rsidP="00A444C1">
      <w:pPr>
        <w:pStyle w:val="SingleTxtG"/>
      </w:pPr>
      <w:r>
        <w:t>40</w:t>
      </w:r>
      <w:r w:rsidR="00FC37EE" w:rsidRPr="00313A43">
        <w:t>.</w:t>
      </w:r>
      <w:r w:rsidR="00553F5C" w:rsidRPr="00313A43">
        <w:tab/>
      </w:r>
      <w:r w:rsidR="00C11188" w:rsidRPr="00313A43">
        <w:t>El Comité toma nota con satisfacción de las amplias acciones tomadas para garantizar la inscripción de</w:t>
      </w:r>
      <w:r w:rsidR="00657214">
        <w:t>l</w:t>
      </w:r>
      <w:r w:rsidR="00C11188" w:rsidRPr="00313A43">
        <w:t xml:space="preserve"> nacimiento de todos los niños y las niñas nacidos en su territorio</w:t>
      </w:r>
      <w:r w:rsidR="00926849" w:rsidRPr="00313A43">
        <w:t xml:space="preserve"> o nacidos en el extranjero de madres o padres de nacionalidad peruana.</w:t>
      </w:r>
      <w:r w:rsidR="00DF0B4A" w:rsidRPr="00313A43">
        <w:t xml:space="preserve"> </w:t>
      </w:r>
      <w:r w:rsidR="008A685C" w:rsidRPr="00313A43">
        <w:t>Si bien</w:t>
      </w:r>
      <w:r w:rsidR="00553F5C" w:rsidRPr="00313A43">
        <w:t xml:space="preserve"> toma nota de las </w:t>
      </w:r>
      <w:r w:rsidR="00553F5C" w:rsidRPr="00313A43">
        <w:lastRenderedPageBreak/>
        <w:t>importantes medidas adoptadas por el Estado parte para proteger los derechos del niño</w:t>
      </w:r>
      <w:r w:rsidR="008A685C" w:rsidRPr="00313A43">
        <w:t xml:space="preserve"> y prevenir el trabajo infantil</w:t>
      </w:r>
      <w:r w:rsidR="00553F5C" w:rsidRPr="00313A43">
        <w:t xml:space="preserve">, como la </w:t>
      </w:r>
      <w:r w:rsidR="008A685C" w:rsidRPr="00313A43">
        <w:t xml:space="preserve">implementación de la Estrategia Nacional para la Prevención y la Erradicación del Trabajo Infantil y la aprobación en 2020 del Decreto Supremo </w:t>
      </w:r>
      <w:r w:rsidR="00657214">
        <w:t xml:space="preserve">núm. </w:t>
      </w:r>
      <w:r w:rsidR="008A685C" w:rsidRPr="00313A43">
        <w:t>018-2020-TR,</w:t>
      </w:r>
      <w:r w:rsidR="00553F5C" w:rsidRPr="00313A43">
        <w:t xml:space="preserve"> </w:t>
      </w:r>
      <w:r w:rsidR="008A685C" w:rsidRPr="00313A43">
        <w:t>el Comité</w:t>
      </w:r>
      <w:r w:rsidR="00553F5C" w:rsidRPr="00313A43">
        <w:t xml:space="preserve"> </w:t>
      </w:r>
      <w:r w:rsidR="008A685C" w:rsidRPr="00313A43">
        <w:t>considera preocupante que la tasa de trabajo infantil en el país siga siendo alta e incluso haya subido en los últimos años</w:t>
      </w:r>
      <w:r w:rsidR="00D315F9" w:rsidRPr="00313A43">
        <w:t xml:space="preserve"> (arts. 8, 16 y 24).</w:t>
      </w:r>
    </w:p>
    <w:p w14:paraId="130A9C5C" w14:textId="5B29A332" w:rsidR="00553F5C" w:rsidRPr="00B953F0" w:rsidRDefault="005B21F9" w:rsidP="00B953F0">
      <w:pPr>
        <w:pStyle w:val="SingleTxtG"/>
        <w:rPr>
          <w:b/>
          <w:bCs/>
        </w:rPr>
      </w:pPr>
      <w:r w:rsidRPr="00B953F0">
        <w:t>4</w:t>
      </w:r>
      <w:r w:rsidR="00A44737">
        <w:t>1</w:t>
      </w:r>
      <w:r w:rsidR="00FC37EE" w:rsidRPr="00B953F0">
        <w:t>.</w:t>
      </w:r>
      <w:r w:rsidR="00BE31B1" w:rsidRPr="00B953F0">
        <w:tab/>
      </w:r>
      <w:r w:rsidR="00553F5C" w:rsidRPr="00B953F0">
        <w:rPr>
          <w:b/>
          <w:bCs/>
        </w:rPr>
        <w:t>El Estado parte debe:</w:t>
      </w:r>
    </w:p>
    <w:p w14:paraId="191D406E" w14:textId="2CDB100E" w:rsidR="00553F5C" w:rsidRPr="00A73CAA" w:rsidRDefault="00553F5C" w:rsidP="00B953F0">
      <w:pPr>
        <w:pStyle w:val="SingleTxtG"/>
        <w:rPr>
          <w:b/>
          <w:bCs/>
        </w:rPr>
      </w:pPr>
      <w:r w:rsidRPr="00B953F0">
        <w:rPr>
          <w:b/>
          <w:bCs/>
        </w:rPr>
        <w:tab/>
      </w:r>
      <w:r w:rsidRPr="00A73CAA">
        <w:rPr>
          <w:b/>
          <w:bCs/>
        </w:rPr>
        <w:t>a)</w:t>
      </w:r>
      <w:r w:rsidR="00DF0B4A" w:rsidRPr="00A73CAA">
        <w:rPr>
          <w:b/>
          <w:bCs/>
        </w:rPr>
        <w:tab/>
        <w:t>Seguir sus esfuerzos para garantizar que todos los niños y niñas nacidos en su territorio estén registrados y reciban un certificado de nacimiento oficial;</w:t>
      </w:r>
    </w:p>
    <w:p w14:paraId="08A6B5A6" w14:textId="6B03ADDE" w:rsidR="00DF0B4A" w:rsidRPr="00A73CAA" w:rsidRDefault="00553F5C" w:rsidP="00B953F0">
      <w:pPr>
        <w:pStyle w:val="SingleTxtG"/>
        <w:rPr>
          <w:b/>
          <w:bCs/>
        </w:rPr>
      </w:pPr>
      <w:r w:rsidRPr="00A73CAA">
        <w:rPr>
          <w:b/>
          <w:bCs/>
        </w:rPr>
        <w:tab/>
        <w:t>b)</w:t>
      </w:r>
      <w:r w:rsidR="00DF0B4A" w:rsidRPr="00A73CAA">
        <w:rPr>
          <w:b/>
          <w:bCs/>
        </w:rPr>
        <w:tab/>
        <w:t>Redoblar sus esfuerzos para combatir y erradicar la explotación comercial de niños y el trabajo infantil, en particular en la industria extractiva y la minería ilegal, entre otras cosas aumentando las inspecciones de trabajo;</w:t>
      </w:r>
    </w:p>
    <w:p w14:paraId="123D689F" w14:textId="5B7A42A6" w:rsidR="00553F5C" w:rsidRPr="00A73CAA" w:rsidRDefault="00DF0B4A" w:rsidP="00B953F0">
      <w:pPr>
        <w:pStyle w:val="SingleTxtG"/>
        <w:rPr>
          <w:b/>
          <w:bCs/>
        </w:rPr>
      </w:pPr>
      <w:r w:rsidRPr="00A73CAA">
        <w:rPr>
          <w:b/>
          <w:bCs/>
        </w:rPr>
        <w:tab/>
        <w:t>c)</w:t>
      </w:r>
      <w:r w:rsidRPr="00A73CAA">
        <w:rPr>
          <w:b/>
          <w:bCs/>
        </w:rPr>
        <w:tab/>
      </w:r>
      <w:r w:rsidR="00553F5C" w:rsidRPr="00A73CAA">
        <w:rPr>
          <w:b/>
          <w:bCs/>
        </w:rPr>
        <w:t>Establecer mecanismos de denuncia adaptados a los niños y asegurar que todas las denuncias sean investigadas, que se enjuicie a los acusados y, cuando proceda, que se les imponga un castigo proporcionado, y que los niños que son víctimas puedan acceder a asistencia y reparación;</w:t>
      </w:r>
    </w:p>
    <w:p w14:paraId="6B3A74A2" w14:textId="7C5BC3E0" w:rsidR="00553F5C" w:rsidRPr="00B953F0" w:rsidRDefault="00553F5C" w:rsidP="00B953F0">
      <w:pPr>
        <w:pStyle w:val="SingleTxtG"/>
        <w:rPr>
          <w:b/>
          <w:bCs/>
        </w:rPr>
      </w:pPr>
      <w:r w:rsidRPr="00A73CAA">
        <w:rPr>
          <w:b/>
          <w:bCs/>
        </w:rPr>
        <w:tab/>
      </w:r>
      <w:r w:rsidR="006D14FB" w:rsidRPr="00A73CAA">
        <w:rPr>
          <w:b/>
          <w:bCs/>
        </w:rPr>
        <w:t>d</w:t>
      </w:r>
      <w:r w:rsidRPr="00A73CAA">
        <w:rPr>
          <w:b/>
          <w:bCs/>
        </w:rPr>
        <w:t>)</w:t>
      </w:r>
      <w:r w:rsidR="006D14FB" w:rsidRPr="00B953F0">
        <w:rPr>
          <w:b/>
          <w:bCs/>
        </w:rPr>
        <w:tab/>
      </w:r>
      <w:r w:rsidRPr="00B953F0">
        <w:rPr>
          <w:b/>
          <w:bCs/>
        </w:rPr>
        <w:t>Llevar a cabo actividades de sensibilización y capacitación entre la población, los representantes de la sociedad civil, los funcionarios públicos y los agentes del Estado a fin de mejorar la protección de los niños.</w:t>
      </w:r>
    </w:p>
    <w:p w14:paraId="4C2B8449" w14:textId="0732141D" w:rsidR="007C108E" w:rsidRPr="003A46DF" w:rsidRDefault="00B953F0" w:rsidP="00B953F0">
      <w:pPr>
        <w:pStyle w:val="H23G"/>
      </w:pPr>
      <w:r>
        <w:tab/>
      </w:r>
      <w:r>
        <w:tab/>
      </w:r>
      <w:r w:rsidR="000A4F4F" w:rsidRPr="000A4F4F">
        <w:t>Derechos de las minorías y de las comunidades indígenas</w:t>
      </w:r>
    </w:p>
    <w:p w14:paraId="2A6BD19A" w14:textId="3B8C8D5B" w:rsidR="00C87211" w:rsidRDefault="00FC37EE" w:rsidP="00C87211">
      <w:pPr>
        <w:spacing w:after="120"/>
        <w:ind w:left="1134" w:right="1134"/>
        <w:jc w:val="both"/>
        <w:rPr>
          <w:bCs/>
          <w:lang w:val="es-ES_tradnl"/>
        </w:rPr>
      </w:pPr>
      <w:r w:rsidRPr="00FC37EE">
        <w:rPr>
          <w:bCs/>
          <w:lang w:val="es-ES_tradnl"/>
        </w:rPr>
        <w:t>4</w:t>
      </w:r>
      <w:r w:rsidR="00A44737">
        <w:rPr>
          <w:bCs/>
          <w:lang w:val="es-ES_tradnl"/>
        </w:rPr>
        <w:t>2</w:t>
      </w:r>
      <w:r w:rsidRPr="00FC37EE">
        <w:rPr>
          <w:bCs/>
          <w:lang w:val="es-ES_tradnl"/>
        </w:rPr>
        <w:t>.</w:t>
      </w:r>
      <w:r w:rsidR="007736DA">
        <w:rPr>
          <w:bCs/>
          <w:lang w:val="es-ES_tradnl"/>
        </w:rPr>
        <w:tab/>
      </w:r>
      <w:r w:rsidR="00C87211">
        <w:rPr>
          <w:bCs/>
          <w:lang w:val="es-ES_tradnl"/>
        </w:rPr>
        <w:t>El Comité celebra los esfuerzos del Estado parte</w:t>
      </w:r>
      <w:r w:rsidR="007736DA">
        <w:rPr>
          <w:bCs/>
          <w:lang w:val="es-ES_tradnl"/>
        </w:rPr>
        <w:t xml:space="preserve"> </w:t>
      </w:r>
      <w:r w:rsidR="00F46392">
        <w:rPr>
          <w:bCs/>
          <w:lang w:val="es-ES_tradnl"/>
        </w:rPr>
        <w:t xml:space="preserve">para </w:t>
      </w:r>
      <w:r w:rsidR="00347213">
        <w:rPr>
          <w:bCs/>
          <w:lang w:val="es-ES_tradnl"/>
        </w:rPr>
        <w:t>promover los derechos de las comunidades indígenas</w:t>
      </w:r>
      <w:r w:rsidR="00C40CC9">
        <w:rPr>
          <w:bCs/>
          <w:lang w:val="es-ES_tradnl"/>
        </w:rPr>
        <w:t xml:space="preserve"> y afroperuan</w:t>
      </w:r>
      <w:r w:rsidR="002E740D">
        <w:rPr>
          <w:bCs/>
          <w:lang w:val="es-ES_tradnl"/>
        </w:rPr>
        <w:t>a</w:t>
      </w:r>
      <w:r w:rsidR="00C40CC9">
        <w:rPr>
          <w:bCs/>
          <w:lang w:val="es-ES_tradnl"/>
        </w:rPr>
        <w:t>s</w:t>
      </w:r>
      <w:r w:rsidR="00347213">
        <w:rPr>
          <w:bCs/>
          <w:lang w:val="es-ES_tradnl"/>
        </w:rPr>
        <w:t>, entre los que se incluye</w:t>
      </w:r>
      <w:r w:rsidR="00086309">
        <w:rPr>
          <w:bCs/>
          <w:lang w:val="es-ES_tradnl"/>
        </w:rPr>
        <w:t xml:space="preserve"> la aprobación</w:t>
      </w:r>
      <w:r w:rsidR="00C40CC9">
        <w:rPr>
          <w:bCs/>
          <w:lang w:val="es-ES_tradnl"/>
        </w:rPr>
        <w:t>,</w:t>
      </w:r>
      <w:r w:rsidR="00086309">
        <w:rPr>
          <w:bCs/>
          <w:lang w:val="es-ES_tradnl"/>
        </w:rPr>
        <w:t xml:space="preserve"> </w:t>
      </w:r>
      <w:r w:rsidR="00C40CC9">
        <w:rPr>
          <w:bCs/>
          <w:lang w:val="es-ES_tradnl"/>
        </w:rPr>
        <w:t xml:space="preserve">en julio de 2021, </w:t>
      </w:r>
      <w:r w:rsidR="00086309">
        <w:rPr>
          <w:bCs/>
          <w:lang w:val="es-ES_tradnl"/>
        </w:rPr>
        <w:t xml:space="preserve">de </w:t>
      </w:r>
      <w:r w:rsidR="00086309" w:rsidRPr="00086309">
        <w:rPr>
          <w:bCs/>
          <w:lang w:val="es-ES_tradnl"/>
        </w:rPr>
        <w:t>la Política Nacional de Lenguas Originarias, Tradición Oral e Interculturalidad al 2040</w:t>
      </w:r>
      <w:r w:rsidR="00C40CC9">
        <w:rPr>
          <w:bCs/>
          <w:lang w:val="es-ES_tradnl"/>
        </w:rPr>
        <w:t xml:space="preserve">, y </w:t>
      </w:r>
      <w:r w:rsidR="00657214">
        <w:rPr>
          <w:bCs/>
          <w:lang w:val="es-ES_tradnl"/>
        </w:rPr>
        <w:t xml:space="preserve">de </w:t>
      </w:r>
      <w:r w:rsidR="00C40CC9" w:rsidRPr="00C40CC9">
        <w:rPr>
          <w:bCs/>
          <w:lang w:val="es-ES_tradnl"/>
        </w:rPr>
        <w:t>la Política Nacional del Pueblo Afroperuano al 2030</w:t>
      </w:r>
      <w:r w:rsidR="00C40CC9">
        <w:rPr>
          <w:bCs/>
          <w:lang w:val="es-ES_tradnl"/>
        </w:rPr>
        <w:t xml:space="preserve"> en junio de 2022</w:t>
      </w:r>
      <w:r w:rsidR="00C87211" w:rsidRPr="00C87211">
        <w:rPr>
          <w:bCs/>
          <w:lang w:val="es-ES_tradnl"/>
        </w:rPr>
        <w:t xml:space="preserve">. </w:t>
      </w:r>
      <w:r w:rsidR="008A7D2E">
        <w:rPr>
          <w:bCs/>
          <w:lang w:val="es-ES_tradnl"/>
        </w:rPr>
        <w:t>No obstante</w:t>
      </w:r>
      <w:r w:rsidR="00C87211" w:rsidRPr="00C87211">
        <w:rPr>
          <w:bCs/>
          <w:lang w:val="es-ES_tradnl"/>
        </w:rPr>
        <w:t>,</w:t>
      </w:r>
      <w:r w:rsidR="008A7D2E">
        <w:rPr>
          <w:bCs/>
          <w:lang w:val="es-ES_tradnl"/>
        </w:rPr>
        <w:t xml:space="preserve"> sigue</w:t>
      </w:r>
      <w:r w:rsidR="00657214">
        <w:rPr>
          <w:bCs/>
          <w:lang w:val="es-ES_tradnl"/>
        </w:rPr>
        <w:t>n</w:t>
      </w:r>
      <w:r w:rsidR="008A7D2E">
        <w:rPr>
          <w:bCs/>
          <w:lang w:val="es-ES_tradnl"/>
        </w:rPr>
        <w:t xml:space="preserve"> preocupando al Comité, a pesar de los procesos de consulta previa llevados a cabo, las denuncias </w:t>
      </w:r>
      <w:r w:rsidR="00AD2275">
        <w:rPr>
          <w:bCs/>
          <w:lang w:val="es-ES_tradnl"/>
        </w:rPr>
        <w:t>sobre la falta de un diálogo equitativo</w:t>
      </w:r>
      <w:r w:rsidR="002E740D">
        <w:rPr>
          <w:bCs/>
          <w:lang w:val="es-ES_tradnl"/>
        </w:rPr>
        <w:t xml:space="preserve"> y transparente</w:t>
      </w:r>
      <w:r w:rsidR="00AD2275">
        <w:rPr>
          <w:bCs/>
          <w:lang w:val="es-ES_tradnl"/>
        </w:rPr>
        <w:t xml:space="preserve">, la presión para celebrar acuerdos, y </w:t>
      </w:r>
      <w:r w:rsidR="008A7D2E">
        <w:rPr>
          <w:bCs/>
          <w:lang w:val="es-ES_tradnl"/>
        </w:rPr>
        <w:t>que los acuerdos alcanzados no se cumplen debidamente. También preocupa la falta de seguridad jurídica respecto a la titulación de territorios nativos</w:t>
      </w:r>
      <w:r w:rsidR="00657214">
        <w:rPr>
          <w:bCs/>
          <w:lang w:val="es-ES_tradnl"/>
        </w:rPr>
        <w:t>,</w:t>
      </w:r>
      <w:r w:rsidR="008A7D2E">
        <w:rPr>
          <w:bCs/>
          <w:lang w:val="es-ES_tradnl"/>
        </w:rPr>
        <w:t xml:space="preserve"> que favorece los intereses de las actividades ilegales, la superposición de derechos sobre los territorios comunales por presión de las industrias extractivas, </w:t>
      </w:r>
      <w:r w:rsidR="008E56E2">
        <w:rPr>
          <w:bCs/>
          <w:lang w:val="es-ES_tradnl"/>
        </w:rPr>
        <w:t xml:space="preserve">la carencia de servicios públicos esenciales en los territorios de las comunidades indígenas en zonas rurales, y la </w:t>
      </w:r>
      <w:r w:rsidR="00657214">
        <w:rPr>
          <w:bCs/>
          <w:lang w:val="es-ES_tradnl"/>
        </w:rPr>
        <w:t xml:space="preserve">elevada </w:t>
      </w:r>
      <w:r w:rsidR="008E56E2">
        <w:rPr>
          <w:bCs/>
          <w:lang w:val="es-ES_tradnl"/>
        </w:rPr>
        <w:t xml:space="preserve">contaminación </w:t>
      </w:r>
      <w:r w:rsidR="002E740D">
        <w:rPr>
          <w:bCs/>
          <w:lang w:val="es-ES_tradnl"/>
        </w:rPr>
        <w:t>por hidrocarburos y minerales</w:t>
      </w:r>
      <w:r w:rsidR="000A4F4F">
        <w:rPr>
          <w:bCs/>
          <w:lang w:val="es-ES_tradnl"/>
        </w:rPr>
        <w:t>. Preocupa además</w:t>
      </w:r>
      <w:r w:rsidR="00B52528" w:rsidRPr="00B52528">
        <w:rPr>
          <w:bCs/>
          <w:lang w:val="es-ES_tradnl"/>
        </w:rPr>
        <w:t xml:space="preserve"> el incremento </w:t>
      </w:r>
      <w:r w:rsidR="00B52528">
        <w:rPr>
          <w:bCs/>
          <w:lang w:val="es-ES_tradnl"/>
        </w:rPr>
        <w:t>de</w:t>
      </w:r>
      <w:r w:rsidR="00B52528" w:rsidRPr="00B52528">
        <w:rPr>
          <w:bCs/>
          <w:lang w:val="es-ES_tradnl"/>
        </w:rPr>
        <w:t xml:space="preserve"> amenazas y </w:t>
      </w:r>
      <w:r w:rsidR="00B52528">
        <w:rPr>
          <w:bCs/>
          <w:lang w:val="es-ES_tradnl"/>
        </w:rPr>
        <w:t>asesinatos de</w:t>
      </w:r>
      <w:r w:rsidR="00B52528" w:rsidRPr="00B52528">
        <w:rPr>
          <w:bCs/>
          <w:lang w:val="es-ES_tradnl"/>
        </w:rPr>
        <w:t xml:space="preserve"> l</w:t>
      </w:r>
      <w:r w:rsidR="00657214">
        <w:rPr>
          <w:bCs/>
          <w:lang w:val="es-ES_tradnl"/>
        </w:rPr>
        <w:t>í</w:t>
      </w:r>
      <w:r w:rsidR="00B52528" w:rsidRPr="00B52528">
        <w:rPr>
          <w:bCs/>
          <w:lang w:val="es-ES_tradnl"/>
        </w:rPr>
        <w:t>deres y lideresas indígenas</w:t>
      </w:r>
      <w:r w:rsidR="00B52528">
        <w:rPr>
          <w:bCs/>
          <w:lang w:val="es-ES_tradnl"/>
        </w:rPr>
        <w:t xml:space="preserve"> con</w:t>
      </w:r>
      <w:r w:rsidR="000A4F4F">
        <w:rPr>
          <w:bCs/>
          <w:lang w:val="es-ES_tradnl"/>
        </w:rPr>
        <w:t xml:space="preserve"> </w:t>
      </w:r>
      <w:r w:rsidR="00B52528">
        <w:rPr>
          <w:bCs/>
          <w:lang w:val="es-ES_tradnl"/>
        </w:rPr>
        <w:t>el</w:t>
      </w:r>
      <w:r w:rsidR="00B52528" w:rsidRPr="00B52528">
        <w:rPr>
          <w:bCs/>
          <w:lang w:val="es-ES_tradnl"/>
        </w:rPr>
        <w:t xml:space="preserve"> </w:t>
      </w:r>
      <w:r w:rsidR="00B52528">
        <w:rPr>
          <w:bCs/>
          <w:lang w:val="es-ES_tradnl"/>
        </w:rPr>
        <w:t xml:space="preserve">avance de las economías ilegales, como el narcotráfico, la tala, la minería y el tráfico de tierras, especialmente </w:t>
      </w:r>
      <w:r w:rsidR="007201B3">
        <w:rPr>
          <w:bCs/>
          <w:lang w:val="es-ES_tradnl"/>
        </w:rPr>
        <w:t>e</w:t>
      </w:r>
      <w:r w:rsidR="00B52528">
        <w:rPr>
          <w:bCs/>
          <w:lang w:val="es-ES_tradnl"/>
        </w:rPr>
        <w:t xml:space="preserve">n la Amazonía peruana </w:t>
      </w:r>
      <w:r w:rsidR="001D2004">
        <w:rPr>
          <w:bCs/>
          <w:lang w:val="es-ES_tradnl"/>
        </w:rPr>
        <w:t>(arts. 2,</w:t>
      </w:r>
      <w:r w:rsidR="00C40CC9">
        <w:rPr>
          <w:bCs/>
          <w:lang w:val="es-ES_tradnl"/>
        </w:rPr>
        <w:t xml:space="preserve"> 6,</w:t>
      </w:r>
      <w:r w:rsidR="001D2004">
        <w:rPr>
          <w:bCs/>
          <w:lang w:val="es-ES_tradnl"/>
        </w:rPr>
        <w:t xml:space="preserve"> 25</w:t>
      </w:r>
      <w:r w:rsidR="00657214">
        <w:rPr>
          <w:bCs/>
          <w:lang w:val="es-ES_tradnl"/>
        </w:rPr>
        <w:t>, 26 y</w:t>
      </w:r>
      <w:r w:rsidR="001D2004">
        <w:rPr>
          <w:bCs/>
          <w:lang w:val="es-ES_tradnl"/>
        </w:rPr>
        <w:t xml:space="preserve"> 27)</w:t>
      </w:r>
      <w:r w:rsidR="00B52528">
        <w:rPr>
          <w:bCs/>
          <w:lang w:val="es-ES_tradnl"/>
        </w:rPr>
        <w:t>.</w:t>
      </w:r>
    </w:p>
    <w:p w14:paraId="07768FD8" w14:textId="3A47AE6E" w:rsidR="003A46DF" w:rsidRDefault="00FC37EE" w:rsidP="00450382">
      <w:pPr>
        <w:spacing w:after="120"/>
        <w:ind w:left="1134" w:right="1134"/>
        <w:jc w:val="both"/>
        <w:rPr>
          <w:b/>
        </w:rPr>
      </w:pPr>
      <w:r w:rsidRPr="00FC37EE">
        <w:rPr>
          <w:bCs/>
          <w:lang w:val="es-ES_tradnl"/>
        </w:rPr>
        <w:t>4</w:t>
      </w:r>
      <w:r w:rsidR="00A44737">
        <w:rPr>
          <w:bCs/>
          <w:lang w:val="es-ES_tradnl"/>
        </w:rPr>
        <w:t>3</w:t>
      </w:r>
      <w:r w:rsidRPr="00FC37EE">
        <w:rPr>
          <w:bCs/>
          <w:lang w:val="es-ES_tradnl"/>
        </w:rPr>
        <w:t>.</w:t>
      </w:r>
      <w:r w:rsidR="001D2004">
        <w:rPr>
          <w:bCs/>
          <w:lang w:val="es-ES_tradnl"/>
        </w:rPr>
        <w:tab/>
      </w:r>
      <w:r w:rsidR="001D2004">
        <w:rPr>
          <w:b/>
          <w:lang w:val="es-ES_tradnl"/>
        </w:rPr>
        <w:t>El Estado parte debe</w:t>
      </w:r>
      <w:r w:rsidR="000A4F4F">
        <w:rPr>
          <w:b/>
          <w:lang w:val="es-ES_tradnl"/>
        </w:rPr>
        <w:t xml:space="preserve"> </w:t>
      </w:r>
      <w:r w:rsidR="00450382" w:rsidRPr="000A4F4F">
        <w:rPr>
          <w:b/>
        </w:rPr>
        <w:t>redoblar</w:t>
      </w:r>
      <w:r w:rsidR="001D2004" w:rsidRPr="000A4F4F">
        <w:rPr>
          <w:b/>
        </w:rPr>
        <w:t xml:space="preserve"> sus esfuerzos para garantizar la promoción, </w:t>
      </w:r>
      <w:r w:rsidR="00657214">
        <w:rPr>
          <w:b/>
        </w:rPr>
        <w:t xml:space="preserve">la </w:t>
      </w:r>
      <w:r w:rsidR="001D2004" w:rsidRPr="000A4F4F">
        <w:rPr>
          <w:b/>
        </w:rPr>
        <w:t xml:space="preserve">protección y </w:t>
      </w:r>
      <w:r w:rsidR="00657214">
        <w:rPr>
          <w:b/>
        </w:rPr>
        <w:t xml:space="preserve">el </w:t>
      </w:r>
      <w:r w:rsidR="001D2004" w:rsidRPr="000A4F4F">
        <w:rPr>
          <w:b/>
        </w:rPr>
        <w:t xml:space="preserve">reconocimiento de los derechos de los pueblos indígenas, particularmente respecto a la tierra, </w:t>
      </w:r>
      <w:r w:rsidR="00657214">
        <w:rPr>
          <w:b/>
        </w:rPr>
        <w:t xml:space="preserve">el </w:t>
      </w:r>
      <w:r w:rsidR="001D2004" w:rsidRPr="000A4F4F">
        <w:rPr>
          <w:b/>
        </w:rPr>
        <w:t xml:space="preserve">territorio y </w:t>
      </w:r>
      <w:r w:rsidR="00657214">
        <w:rPr>
          <w:b/>
        </w:rPr>
        <w:t xml:space="preserve">los </w:t>
      </w:r>
      <w:r w:rsidR="001D2004" w:rsidRPr="000A4F4F">
        <w:rPr>
          <w:b/>
        </w:rPr>
        <w:t>recursos naturales, tanto en la legislación como en la práctica</w:t>
      </w:r>
      <w:r w:rsidR="000A4F4F">
        <w:rPr>
          <w:b/>
        </w:rPr>
        <w:t>. Asimismo, debe</w:t>
      </w:r>
      <w:r w:rsidR="003A46DF">
        <w:rPr>
          <w:b/>
        </w:rPr>
        <w:t>:</w:t>
      </w:r>
    </w:p>
    <w:p w14:paraId="4C637512" w14:textId="1A17C15D" w:rsidR="003A46DF" w:rsidRPr="00A73CAA" w:rsidRDefault="003A46DF" w:rsidP="003A46DF">
      <w:pPr>
        <w:spacing w:after="120"/>
        <w:ind w:left="1134" w:right="1134" w:firstLine="567"/>
        <w:jc w:val="both"/>
        <w:rPr>
          <w:b/>
        </w:rPr>
      </w:pPr>
      <w:r w:rsidRPr="00A73CAA">
        <w:rPr>
          <w:b/>
          <w:lang w:val="es-PE"/>
        </w:rPr>
        <w:t>a)</w:t>
      </w:r>
      <w:r w:rsidRPr="00A73CAA">
        <w:rPr>
          <w:b/>
          <w:lang w:val="es-PE"/>
        </w:rPr>
        <w:tab/>
      </w:r>
      <w:bookmarkStart w:id="8" w:name="_Hlk130200378"/>
      <w:r w:rsidRPr="00A73CAA">
        <w:rPr>
          <w:b/>
          <w:lang w:val="es-PE"/>
        </w:rPr>
        <w:t>F</w:t>
      </w:r>
      <w:r w:rsidR="007201B3" w:rsidRPr="00A73CAA">
        <w:rPr>
          <w:b/>
          <w:lang w:val="es-PE"/>
        </w:rPr>
        <w:t xml:space="preserve">ortalecer y garantizar la efectividad </w:t>
      </w:r>
      <w:r w:rsidR="002E740D" w:rsidRPr="00A73CAA">
        <w:rPr>
          <w:b/>
          <w:lang w:val="es-PE"/>
        </w:rPr>
        <w:t xml:space="preserve">y la aplicación sistemática </w:t>
      </w:r>
      <w:r w:rsidR="007201B3" w:rsidRPr="00A73CAA">
        <w:rPr>
          <w:b/>
          <w:lang w:val="es-PE"/>
        </w:rPr>
        <w:t xml:space="preserve">de </w:t>
      </w:r>
      <w:r w:rsidR="000E4C5A" w:rsidRPr="00A73CAA">
        <w:rPr>
          <w:b/>
          <w:lang w:val="es-PE"/>
        </w:rPr>
        <w:t xml:space="preserve">los procesos de participación y/o consulta necesarios para obtener </w:t>
      </w:r>
      <w:bookmarkStart w:id="9" w:name="_Hlk130216415"/>
      <w:r w:rsidR="000E4C5A" w:rsidRPr="00A73CAA">
        <w:rPr>
          <w:b/>
          <w:lang w:val="es-PE"/>
        </w:rPr>
        <w:t xml:space="preserve">el </w:t>
      </w:r>
      <w:r w:rsidR="00ED573E" w:rsidRPr="00A73CAA">
        <w:rPr>
          <w:b/>
          <w:lang w:val="es-PE"/>
        </w:rPr>
        <w:t>consentimiento libre, previo e informado</w:t>
      </w:r>
      <w:bookmarkEnd w:id="9"/>
      <w:r w:rsidR="007201B3" w:rsidRPr="00A73CAA">
        <w:rPr>
          <w:b/>
          <w:lang w:val="es-PE"/>
        </w:rPr>
        <w:t xml:space="preserve">, asegurando un diálogo equitativo y </w:t>
      </w:r>
      <w:r w:rsidR="00657214" w:rsidRPr="00A73CAA">
        <w:rPr>
          <w:b/>
          <w:lang w:val="es-PE"/>
        </w:rPr>
        <w:t xml:space="preserve">el </w:t>
      </w:r>
      <w:r w:rsidR="007201B3" w:rsidRPr="00A73CAA">
        <w:rPr>
          <w:b/>
          <w:lang w:val="es-PE"/>
        </w:rPr>
        <w:t xml:space="preserve">cumplimiento de los acuerdos pactados con el Estado y las empresas </w:t>
      </w:r>
      <w:r w:rsidR="002E740D" w:rsidRPr="00A73CAA">
        <w:rPr>
          <w:b/>
          <w:lang w:val="es-PE"/>
        </w:rPr>
        <w:t xml:space="preserve">públicas y </w:t>
      </w:r>
      <w:r w:rsidR="007201B3" w:rsidRPr="00A73CAA">
        <w:rPr>
          <w:b/>
          <w:lang w:val="es-PE"/>
        </w:rPr>
        <w:t>privadas</w:t>
      </w:r>
      <w:r w:rsidRPr="00A73CAA">
        <w:rPr>
          <w:b/>
        </w:rPr>
        <w:t>;</w:t>
      </w:r>
    </w:p>
    <w:bookmarkEnd w:id="8"/>
    <w:p w14:paraId="7FD4E3B6" w14:textId="5B0EEB8A" w:rsidR="003A46DF" w:rsidRPr="00A73CAA" w:rsidRDefault="003A46DF" w:rsidP="003A46DF">
      <w:pPr>
        <w:spacing w:after="120"/>
        <w:ind w:left="1134" w:right="1134" w:firstLine="567"/>
        <w:jc w:val="both"/>
        <w:rPr>
          <w:b/>
        </w:rPr>
      </w:pPr>
      <w:r w:rsidRPr="00A73CAA">
        <w:rPr>
          <w:b/>
        </w:rPr>
        <w:t>b)</w:t>
      </w:r>
      <w:r w:rsidRPr="00A73CAA">
        <w:rPr>
          <w:b/>
        </w:rPr>
        <w:tab/>
        <w:t>R</w:t>
      </w:r>
      <w:r w:rsidR="00450382" w:rsidRPr="00A73CAA">
        <w:rPr>
          <w:b/>
        </w:rPr>
        <w:t xml:space="preserve">evisar la normativa vigente sobre </w:t>
      </w:r>
      <w:r w:rsidR="00657214" w:rsidRPr="00A73CAA">
        <w:rPr>
          <w:b/>
        </w:rPr>
        <w:t xml:space="preserve">las </w:t>
      </w:r>
      <w:r w:rsidR="00450382" w:rsidRPr="00A73CAA">
        <w:rPr>
          <w:b/>
        </w:rPr>
        <w:t xml:space="preserve">tierras de los pueblos y </w:t>
      </w:r>
      <w:r w:rsidR="00657214" w:rsidRPr="00A73CAA">
        <w:rPr>
          <w:b/>
        </w:rPr>
        <w:t xml:space="preserve">las </w:t>
      </w:r>
      <w:r w:rsidR="00450382" w:rsidRPr="00A73CAA">
        <w:rPr>
          <w:b/>
        </w:rPr>
        <w:t xml:space="preserve">comunidades indígenas para asegurar su posesión, propiedad </w:t>
      </w:r>
      <w:r w:rsidR="00CA65A9" w:rsidRPr="00A73CAA">
        <w:rPr>
          <w:b/>
        </w:rPr>
        <w:t>y/</w:t>
      </w:r>
      <w:r w:rsidR="00450382" w:rsidRPr="00A73CAA">
        <w:rPr>
          <w:b/>
        </w:rPr>
        <w:t>o uso en el marco de los convenios internacionales ratificados por el país</w:t>
      </w:r>
      <w:r w:rsidRPr="00A73CAA">
        <w:rPr>
          <w:b/>
        </w:rPr>
        <w:t>;</w:t>
      </w:r>
    </w:p>
    <w:p w14:paraId="1D934642" w14:textId="3D70172C" w:rsidR="003A46DF" w:rsidRPr="00A73CAA" w:rsidRDefault="003A46DF" w:rsidP="003A46DF">
      <w:pPr>
        <w:spacing w:after="120"/>
        <w:ind w:left="1134" w:right="1134" w:firstLine="567"/>
        <w:jc w:val="both"/>
        <w:rPr>
          <w:b/>
        </w:rPr>
      </w:pPr>
      <w:r w:rsidRPr="00A73CAA">
        <w:rPr>
          <w:b/>
        </w:rPr>
        <w:t>c)</w:t>
      </w:r>
      <w:r w:rsidRPr="00A73CAA">
        <w:rPr>
          <w:b/>
        </w:rPr>
        <w:tab/>
      </w:r>
      <w:r w:rsidR="00450382" w:rsidRPr="00A73CAA">
        <w:rPr>
          <w:b/>
          <w:lang w:val="es-419"/>
        </w:rPr>
        <w:t>Mejorar la prestación de servicios públicos</w:t>
      </w:r>
      <w:r w:rsidR="002E740D" w:rsidRPr="00A73CAA">
        <w:rPr>
          <w:b/>
          <w:lang w:val="es-419"/>
        </w:rPr>
        <w:t xml:space="preserve"> </w:t>
      </w:r>
      <w:r w:rsidR="00450382" w:rsidRPr="00A73CAA">
        <w:rPr>
          <w:b/>
          <w:lang w:val="es-419"/>
        </w:rPr>
        <w:t>esenciales</w:t>
      </w:r>
      <w:r w:rsidR="002E740D" w:rsidRPr="00A73CAA">
        <w:rPr>
          <w:b/>
          <w:lang w:val="es-419"/>
        </w:rPr>
        <w:t xml:space="preserve">, especialmente el acceso a </w:t>
      </w:r>
      <w:r w:rsidR="00CA65A9" w:rsidRPr="00A73CAA">
        <w:rPr>
          <w:b/>
          <w:lang w:val="es-419"/>
        </w:rPr>
        <w:t>los establecimientos, bienes y servicios sanitarios</w:t>
      </w:r>
      <w:r w:rsidR="002E740D" w:rsidRPr="00A73CAA">
        <w:rPr>
          <w:b/>
          <w:lang w:val="es-419"/>
        </w:rPr>
        <w:t>,</w:t>
      </w:r>
      <w:r w:rsidR="00450382" w:rsidRPr="00A73CAA">
        <w:rPr>
          <w:b/>
          <w:lang w:val="es-419"/>
        </w:rPr>
        <w:t xml:space="preserve"> en los territorios indígenas y abordar la problemática de la contaminación de los territorios afectados</w:t>
      </w:r>
      <w:r w:rsidRPr="00A73CAA">
        <w:rPr>
          <w:b/>
        </w:rPr>
        <w:t>;</w:t>
      </w:r>
    </w:p>
    <w:p w14:paraId="3F33499C" w14:textId="077E6A08" w:rsidR="007C108E" w:rsidRDefault="003A46DF" w:rsidP="003A46DF">
      <w:pPr>
        <w:spacing w:after="120"/>
        <w:ind w:left="1134" w:right="1134" w:firstLine="567"/>
        <w:jc w:val="both"/>
        <w:rPr>
          <w:b/>
          <w:bCs/>
        </w:rPr>
      </w:pPr>
      <w:r w:rsidRPr="00A73CAA">
        <w:rPr>
          <w:b/>
        </w:rPr>
        <w:t>d)</w:t>
      </w:r>
      <w:r>
        <w:rPr>
          <w:b/>
          <w:bCs/>
        </w:rPr>
        <w:tab/>
        <w:t>A</w:t>
      </w:r>
      <w:r w:rsidR="007201B3">
        <w:rPr>
          <w:b/>
          <w:bCs/>
        </w:rPr>
        <w:t>doptar medidas para combatir las economías ilegales, especialmente en la Amazonía peruana,</w:t>
      </w:r>
      <w:r>
        <w:rPr>
          <w:b/>
          <w:bCs/>
        </w:rPr>
        <w:t xml:space="preserve"> e</w:t>
      </w:r>
      <w:r w:rsidR="007201B3">
        <w:rPr>
          <w:b/>
          <w:bCs/>
        </w:rPr>
        <w:t xml:space="preserve"> implementar medidas de protección </w:t>
      </w:r>
      <w:r w:rsidR="00657214">
        <w:rPr>
          <w:b/>
          <w:bCs/>
        </w:rPr>
        <w:t xml:space="preserve">de </w:t>
      </w:r>
      <w:r w:rsidR="007201B3">
        <w:rPr>
          <w:b/>
          <w:bCs/>
        </w:rPr>
        <w:t>los l</w:t>
      </w:r>
      <w:r w:rsidR="00657214">
        <w:rPr>
          <w:b/>
          <w:bCs/>
        </w:rPr>
        <w:t>í</w:t>
      </w:r>
      <w:r w:rsidR="007201B3">
        <w:rPr>
          <w:b/>
          <w:bCs/>
        </w:rPr>
        <w:t>deres y lideresas indígenas</w:t>
      </w:r>
      <w:r>
        <w:rPr>
          <w:b/>
          <w:bCs/>
        </w:rPr>
        <w:t>,</w:t>
      </w:r>
      <w:r w:rsidR="007201B3">
        <w:rPr>
          <w:b/>
          <w:bCs/>
        </w:rPr>
        <w:t xml:space="preserve"> </w:t>
      </w:r>
      <w:r w:rsidR="007201B3" w:rsidRPr="007201B3">
        <w:rPr>
          <w:b/>
          <w:bCs/>
        </w:rPr>
        <w:t>vela</w:t>
      </w:r>
      <w:r>
        <w:rPr>
          <w:b/>
          <w:bCs/>
        </w:rPr>
        <w:t>ndo</w:t>
      </w:r>
      <w:r w:rsidR="007201B3" w:rsidRPr="007201B3">
        <w:rPr>
          <w:b/>
          <w:bCs/>
        </w:rPr>
        <w:t xml:space="preserve"> por el acceso a reparaciones efectivas para todos los miembros de los grupos indígenas en caso de vulneración de sus derechos</w:t>
      </w:r>
      <w:r w:rsidR="00ED537A">
        <w:rPr>
          <w:b/>
          <w:bCs/>
        </w:rPr>
        <w:t>;</w:t>
      </w:r>
    </w:p>
    <w:p w14:paraId="3B3187FD" w14:textId="12711337" w:rsidR="00ED537A" w:rsidRPr="00450382" w:rsidRDefault="00ED537A" w:rsidP="003A46DF">
      <w:pPr>
        <w:spacing w:after="120"/>
        <w:ind w:left="1134" w:right="1134" w:firstLine="567"/>
        <w:jc w:val="both"/>
        <w:rPr>
          <w:b/>
          <w:bCs/>
        </w:rPr>
      </w:pPr>
      <w:r w:rsidRPr="00A73CAA">
        <w:rPr>
          <w:b/>
          <w:bCs/>
        </w:rPr>
        <w:lastRenderedPageBreak/>
        <w:t>e)</w:t>
      </w:r>
      <w:r>
        <w:rPr>
          <w:b/>
          <w:bCs/>
        </w:rPr>
        <w:tab/>
      </w:r>
      <w:r w:rsidRPr="00ED537A">
        <w:rPr>
          <w:b/>
          <w:bCs/>
        </w:rPr>
        <w:t xml:space="preserve">Adoptar todas las medidas necesarias para que la Política Nacional del Pueblo Afroperuano </w:t>
      </w:r>
      <w:r w:rsidR="00E77DF2">
        <w:rPr>
          <w:b/>
          <w:bCs/>
        </w:rPr>
        <w:t xml:space="preserve">al 2030 </w:t>
      </w:r>
      <w:r w:rsidRPr="00ED537A">
        <w:rPr>
          <w:b/>
          <w:bCs/>
        </w:rPr>
        <w:t>produzca reales avances en la protección y el reconocimiento de los derechos de esta comunidad.</w:t>
      </w:r>
    </w:p>
    <w:p w14:paraId="62F6037C" w14:textId="77777777" w:rsidR="00DD5762" w:rsidRPr="00B95DBE" w:rsidRDefault="00DD5762" w:rsidP="00DD5762">
      <w:pPr>
        <w:pStyle w:val="H1G"/>
      </w:pPr>
      <w:r w:rsidRPr="00B95DBE">
        <w:tab/>
        <w:t>D.</w:t>
      </w:r>
      <w:r w:rsidRPr="00B95DBE">
        <w:tab/>
        <w:t>Difusión y seguimiento</w:t>
      </w:r>
    </w:p>
    <w:p w14:paraId="12F0922B" w14:textId="17B66BE8" w:rsidR="00DD5762" w:rsidRPr="00B953F0" w:rsidRDefault="00DD5762" w:rsidP="00DD5762">
      <w:pPr>
        <w:spacing w:after="120"/>
        <w:ind w:left="1134" w:right="1134"/>
        <w:jc w:val="both"/>
      </w:pPr>
      <w:r w:rsidRPr="00B95DBE">
        <w:t>4</w:t>
      </w:r>
      <w:r w:rsidR="00A44737">
        <w:t>4</w:t>
      </w:r>
      <w:r w:rsidRPr="00B95DBE">
        <w:t>.</w:t>
      </w:r>
      <w:r w:rsidRPr="00B95DBE">
        <w:tab/>
      </w:r>
      <w:r w:rsidR="007D78EB" w:rsidRPr="004806A4">
        <w:rPr>
          <w:b/>
          <w:bCs/>
        </w:rPr>
        <w:t xml:space="preserve">El Estado parte debe difundir ampliamente el Pacto, sus dos Protocolos Facultativos, su </w:t>
      </w:r>
      <w:r w:rsidR="0079669F">
        <w:rPr>
          <w:b/>
          <w:bCs/>
        </w:rPr>
        <w:t>sexto</w:t>
      </w:r>
      <w:r w:rsidR="007D78EB" w:rsidRPr="004806A4">
        <w:rPr>
          <w:b/>
          <w:bCs/>
        </w:rPr>
        <w:t xml:space="preserve"> informe periódico y las presentes observaciones finales con vistas a aumentar la conciencia sobre los derechos consagrados en el Pacto entre las autoridades judiciales, legislativas y administrativas, la sociedad civil y las organizaciones no gubernamentales que actúan en el país, y la población en general</w:t>
      </w:r>
      <w:r w:rsidR="002D75E1">
        <w:rPr>
          <w:b/>
          <w:bCs/>
        </w:rPr>
        <w:t>, incluyendo los miembros de comunidades minoritarias y pueblos indígenas</w:t>
      </w:r>
      <w:r w:rsidR="007D78EB" w:rsidRPr="004806A4">
        <w:rPr>
          <w:b/>
          <w:bCs/>
        </w:rPr>
        <w:t>.</w:t>
      </w:r>
      <w:r w:rsidR="007D78EB" w:rsidRPr="004806A4">
        <w:t xml:space="preserve"> </w:t>
      </w:r>
      <w:r w:rsidR="007D78EB" w:rsidRPr="004806A4">
        <w:rPr>
          <w:b/>
          <w:bCs/>
        </w:rPr>
        <w:t xml:space="preserve">El Estado parte debe </w:t>
      </w:r>
      <w:r w:rsidR="007D78EB" w:rsidRPr="00B953F0">
        <w:rPr>
          <w:b/>
          <w:bCs/>
        </w:rPr>
        <w:t>procurar que el informe y las presentes observaciones finales se traduzcan a</w:t>
      </w:r>
      <w:r w:rsidR="002D75E1">
        <w:rPr>
          <w:b/>
          <w:bCs/>
        </w:rPr>
        <w:t xml:space="preserve"> </w:t>
      </w:r>
      <w:r w:rsidR="007D78EB" w:rsidRPr="00B953F0">
        <w:rPr>
          <w:b/>
          <w:bCs/>
        </w:rPr>
        <w:t>l</w:t>
      </w:r>
      <w:r w:rsidR="002D75E1">
        <w:rPr>
          <w:b/>
          <w:bCs/>
        </w:rPr>
        <w:t>os</w:t>
      </w:r>
      <w:r w:rsidR="007D78EB" w:rsidRPr="00B953F0">
        <w:rPr>
          <w:b/>
          <w:bCs/>
        </w:rPr>
        <w:t xml:space="preserve"> idioma</w:t>
      </w:r>
      <w:r w:rsidR="002D75E1">
        <w:rPr>
          <w:b/>
          <w:bCs/>
        </w:rPr>
        <w:t>s</w:t>
      </w:r>
      <w:r w:rsidR="007D78EB" w:rsidRPr="00B953F0">
        <w:rPr>
          <w:b/>
          <w:bCs/>
        </w:rPr>
        <w:t xml:space="preserve"> oficial</w:t>
      </w:r>
      <w:r w:rsidR="002D75E1">
        <w:rPr>
          <w:b/>
          <w:bCs/>
        </w:rPr>
        <w:t>es</w:t>
      </w:r>
      <w:r w:rsidR="007D78EB" w:rsidRPr="00B953F0">
        <w:rPr>
          <w:b/>
          <w:bCs/>
        </w:rPr>
        <w:t xml:space="preserve"> del Estado parte.</w:t>
      </w:r>
    </w:p>
    <w:p w14:paraId="323537FD" w14:textId="0A128F0C" w:rsidR="00DD5762" w:rsidRPr="00B953F0" w:rsidRDefault="00FC37EE" w:rsidP="00DD5762">
      <w:pPr>
        <w:spacing w:after="120"/>
        <w:ind w:left="1134" w:right="1134"/>
        <w:jc w:val="both"/>
        <w:rPr>
          <w:b/>
        </w:rPr>
      </w:pPr>
      <w:r w:rsidRPr="00B953F0">
        <w:rPr>
          <w:bCs/>
        </w:rPr>
        <w:t>4</w:t>
      </w:r>
      <w:r w:rsidR="00A44737">
        <w:rPr>
          <w:bCs/>
        </w:rPr>
        <w:t>5</w:t>
      </w:r>
      <w:r w:rsidR="00DD5762" w:rsidRPr="00B953F0">
        <w:rPr>
          <w:bCs/>
        </w:rPr>
        <w:t>.</w:t>
      </w:r>
      <w:r w:rsidR="00DD5762" w:rsidRPr="00B953F0">
        <w:rPr>
          <w:b/>
        </w:rPr>
        <w:tab/>
        <w:t xml:space="preserve">De conformidad con el artículo 75, párrafo 1, del reglamento del Comité, se solicita al Estado parte que facilite, </w:t>
      </w:r>
      <w:r w:rsidR="00657214">
        <w:rPr>
          <w:b/>
        </w:rPr>
        <w:t>a más tardar e</w:t>
      </w:r>
      <w:r w:rsidR="00DD5762" w:rsidRPr="00B953F0">
        <w:rPr>
          <w:b/>
        </w:rPr>
        <w:t xml:space="preserve">l </w:t>
      </w:r>
      <w:r w:rsidR="00D76BB2">
        <w:rPr>
          <w:b/>
        </w:rPr>
        <w:t xml:space="preserve">24 </w:t>
      </w:r>
      <w:r w:rsidR="007D78EB" w:rsidRPr="00B953F0">
        <w:rPr>
          <w:b/>
        </w:rPr>
        <w:t xml:space="preserve">de </w:t>
      </w:r>
      <w:r w:rsidR="00575B77" w:rsidRPr="00B953F0">
        <w:rPr>
          <w:b/>
        </w:rPr>
        <w:t>marzo</w:t>
      </w:r>
      <w:r w:rsidR="007D78EB" w:rsidRPr="00B953F0">
        <w:rPr>
          <w:b/>
        </w:rPr>
        <w:t xml:space="preserve"> </w:t>
      </w:r>
      <w:r w:rsidR="00DD5762" w:rsidRPr="00B953F0">
        <w:rPr>
          <w:b/>
        </w:rPr>
        <w:t>de 202</w:t>
      </w:r>
      <w:r w:rsidR="00575B77" w:rsidRPr="00B953F0">
        <w:rPr>
          <w:b/>
        </w:rPr>
        <w:t>6</w:t>
      </w:r>
      <w:r w:rsidR="00DD5762" w:rsidRPr="00B953F0">
        <w:rPr>
          <w:b/>
        </w:rPr>
        <w:t xml:space="preserve">, información sobre la aplicación de las recomendaciones formuladas por el Comité en los párrafos </w:t>
      </w:r>
      <w:r w:rsidR="0093188E">
        <w:rPr>
          <w:b/>
        </w:rPr>
        <w:t>27</w:t>
      </w:r>
      <w:r w:rsidR="0093188E" w:rsidRPr="00B953F0">
        <w:rPr>
          <w:b/>
        </w:rPr>
        <w:t xml:space="preserve"> </w:t>
      </w:r>
      <w:r w:rsidR="00DD5762" w:rsidRPr="00B953F0">
        <w:rPr>
          <w:b/>
        </w:rPr>
        <w:t>(</w:t>
      </w:r>
      <w:r w:rsidR="0093188E">
        <w:rPr>
          <w:b/>
        </w:rPr>
        <w:t>u</w:t>
      </w:r>
      <w:r w:rsidR="0093188E" w:rsidRPr="0093188E">
        <w:rPr>
          <w:b/>
        </w:rPr>
        <w:t>so de la fuerza en el contexto de manifestaciones</w:t>
      </w:r>
      <w:r w:rsidR="00DD5762" w:rsidRPr="00B953F0">
        <w:rPr>
          <w:b/>
        </w:rPr>
        <w:t xml:space="preserve">), </w:t>
      </w:r>
      <w:r w:rsidR="0093188E">
        <w:rPr>
          <w:b/>
        </w:rPr>
        <w:t>37</w:t>
      </w:r>
      <w:r w:rsidR="00DD5762" w:rsidRPr="00B953F0">
        <w:rPr>
          <w:b/>
        </w:rPr>
        <w:t xml:space="preserve"> (</w:t>
      </w:r>
      <w:r w:rsidR="0093188E">
        <w:rPr>
          <w:b/>
        </w:rPr>
        <w:t>d</w:t>
      </w:r>
      <w:r w:rsidR="0093188E" w:rsidRPr="0093188E">
        <w:rPr>
          <w:b/>
        </w:rPr>
        <w:t>erecho a participar en los asuntos públicos y a un juicio imparcial</w:t>
      </w:r>
      <w:r w:rsidR="00DD5762" w:rsidRPr="00B953F0">
        <w:rPr>
          <w:b/>
        </w:rPr>
        <w:t>) y</w:t>
      </w:r>
      <w:r w:rsidR="00657214">
        <w:rPr>
          <w:b/>
        </w:rPr>
        <w:t xml:space="preserve"> </w:t>
      </w:r>
      <w:r w:rsidR="0093188E">
        <w:rPr>
          <w:b/>
        </w:rPr>
        <w:t>43</w:t>
      </w:r>
      <w:r w:rsidR="00657214">
        <w:rPr>
          <w:b/>
        </w:rPr>
        <w:t xml:space="preserve"> </w:t>
      </w:r>
      <w:r w:rsidR="00DD5762" w:rsidRPr="00B953F0">
        <w:rPr>
          <w:b/>
        </w:rPr>
        <w:t>(</w:t>
      </w:r>
      <w:r w:rsidR="0093188E">
        <w:rPr>
          <w:b/>
        </w:rPr>
        <w:t>d</w:t>
      </w:r>
      <w:r w:rsidR="0093188E" w:rsidRPr="0093188E">
        <w:rPr>
          <w:b/>
        </w:rPr>
        <w:t>erechos de las minorías y de las comunidades indígenas</w:t>
      </w:r>
      <w:r w:rsidR="00DD5762" w:rsidRPr="00B953F0">
        <w:rPr>
          <w:b/>
        </w:rPr>
        <w:t xml:space="preserve">). </w:t>
      </w:r>
    </w:p>
    <w:p w14:paraId="0AA919B6" w14:textId="1D2C2114" w:rsidR="00575B77" w:rsidRDefault="00FC37EE" w:rsidP="00F17C25">
      <w:pPr>
        <w:spacing w:after="120"/>
        <w:ind w:left="1134" w:right="1134"/>
        <w:jc w:val="both"/>
        <w:rPr>
          <w:b/>
        </w:rPr>
      </w:pPr>
      <w:r w:rsidRPr="00B953F0">
        <w:rPr>
          <w:bCs/>
        </w:rPr>
        <w:t>4</w:t>
      </w:r>
      <w:r w:rsidR="00A44737">
        <w:rPr>
          <w:bCs/>
        </w:rPr>
        <w:t>6</w:t>
      </w:r>
      <w:r w:rsidR="00DD5762" w:rsidRPr="00B953F0">
        <w:rPr>
          <w:bCs/>
        </w:rPr>
        <w:t>.</w:t>
      </w:r>
      <w:r w:rsidR="00DD5762" w:rsidRPr="00B953F0">
        <w:rPr>
          <w:b/>
        </w:rPr>
        <w:tab/>
        <w:t>De conformidad con el calendario previsible para la presentación de informes del Comité, el Estado parte recibirá del Comité en 202</w:t>
      </w:r>
      <w:r w:rsidR="00575B77" w:rsidRPr="00B953F0">
        <w:rPr>
          <w:b/>
        </w:rPr>
        <w:t>9</w:t>
      </w:r>
      <w:r w:rsidR="00DD5762" w:rsidRPr="00B953F0">
        <w:rPr>
          <w:b/>
        </w:rPr>
        <w:t xml:space="preserve"> la lista de cuestiones previa a la presentación de informes y se espera que presente dentro de un año sus respuestas, que constituirá</w:t>
      </w:r>
      <w:r w:rsidR="00657214">
        <w:rPr>
          <w:b/>
        </w:rPr>
        <w:t>n</w:t>
      </w:r>
      <w:r w:rsidR="00DD5762" w:rsidRPr="00B953F0">
        <w:rPr>
          <w:b/>
        </w:rPr>
        <w:t xml:space="preserve"> su </w:t>
      </w:r>
      <w:r w:rsidR="0079669F" w:rsidRPr="00B953F0">
        <w:rPr>
          <w:b/>
        </w:rPr>
        <w:t>séptimo</w:t>
      </w:r>
      <w:r w:rsidR="007D78EB" w:rsidRPr="00B953F0">
        <w:rPr>
          <w:b/>
        </w:rPr>
        <w:t xml:space="preserve"> </w:t>
      </w:r>
      <w:r w:rsidR="00DD5762" w:rsidRPr="00B953F0">
        <w:rPr>
          <w:b/>
        </w:rPr>
        <w:t xml:space="preserve">informe periódico. El Comité también solicita al Estado parte que, al preparar el informe, </w:t>
      </w:r>
      <w:r w:rsidR="00657214">
        <w:rPr>
          <w:b/>
        </w:rPr>
        <w:t>celebre amplias consultas con</w:t>
      </w:r>
      <w:r w:rsidR="00657214" w:rsidRPr="00B338E4">
        <w:rPr>
          <w:b/>
        </w:rPr>
        <w:t xml:space="preserve"> </w:t>
      </w:r>
      <w:r w:rsidR="00DD5762" w:rsidRPr="00B953F0">
        <w:rPr>
          <w:b/>
        </w:rPr>
        <w:t xml:space="preserve">la sociedad civil y las organizaciones no gubernamentales que actúan en el país. De conformidad con </w:t>
      </w:r>
      <w:r w:rsidR="00657214">
        <w:rPr>
          <w:b/>
        </w:rPr>
        <w:t xml:space="preserve">lo dispuesto en </w:t>
      </w:r>
      <w:r w:rsidR="00DD5762" w:rsidRPr="00B953F0">
        <w:rPr>
          <w:b/>
        </w:rPr>
        <w:t xml:space="preserve">la resolución 68/268 de la Asamblea General, </w:t>
      </w:r>
      <w:r w:rsidR="00657214">
        <w:rPr>
          <w:b/>
        </w:rPr>
        <w:t>la extensión máxima d</w:t>
      </w:r>
      <w:r w:rsidR="00657214" w:rsidRPr="00B338E4">
        <w:rPr>
          <w:b/>
        </w:rPr>
        <w:t xml:space="preserve">el informe </w:t>
      </w:r>
      <w:r w:rsidR="00657214">
        <w:rPr>
          <w:b/>
        </w:rPr>
        <w:t>será</w:t>
      </w:r>
      <w:r w:rsidR="00657214" w:rsidRPr="00B338E4">
        <w:rPr>
          <w:b/>
        </w:rPr>
        <w:t xml:space="preserve"> de</w:t>
      </w:r>
      <w:r w:rsidR="00657214" w:rsidRPr="00B953F0" w:rsidDel="00657214">
        <w:rPr>
          <w:b/>
        </w:rPr>
        <w:t xml:space="preserve"> </w:t>
      </w:r>
      <w:r w:rsidR="00DD5762" w:rsidRPr="00B953F0">
        <w:rPr>
          <w:b/>
        </w:rPr>
        <w:t>21.200 palabras. El próximo diálogo constructivo con el Estado parte tendrá lugar en 203</w:t>
      </w:r>
      <w:r w:rsidR="00575B77" w:rsidRPr="00B953F0">
        <w:rPr>
          <w:b/>
        </w:rPr>
        <w:t>1</w:t>
      </w:r>
      <w:r w:rsidR="00DD5762" w:rsidRPr="00B953F0">
        <w:rPr>
          <w:b/>
        </w:rPr>
        <w:t xml:space="preserve"> en Ginebra.</w:t>
      </w:r>
    </w:p>
    <w:p w14:paraId="566A354A" w14:textId="2550A4BB" w:rsidR="008E6767" w:rsidRPr="00A73CAA" w:rsidRDefault="00DD5762" w:rsidP="00A73CAA">
      <w:pPr>
        <w:suppressAutoHyphens/>
        <w:spacing w:before="240"/>
        <w:ind w:left="1134" w:right="1134"/>
        <w:jc w:val="center"/>
        <w:rPr>
          <w:b/>
        </w:rPr>
      </w:pPr>
      <w:r w:rsidRPr="00B95DBE">
        <w:rPr>
          <w:u w:val="single"/>
        </w:rPr>
        <w:tab/>
      </w:r>
      <w:r w:rsidRPr="00B95DBE">
        <w:rPr>
          <w:u w:val="single"/>
        </w:rPr>
        <w:tab/>
      </w:r>
      <w:r w:rsidRPr="00B95DBE">
        <w:rPr>
          <w:u w:val="single"/>
        </w:rPr>
        <w:tab/>
      </w:r>
      <w:r w:rsidRPr="00B95DBE">
        <w:rPr>
          <w:u w:val="single"/>
        </w:rPr>
        <w:tab/>
      </w:r>
    </w:p>
    <w:sectPr w:rsidR="008E6767" w:rsidRPr="00A73CAA" w:rsidSect="00BC288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12F28" w14:textId="77777777" w:rsidR="006E5479" w:rsidRDefault="006E5479"/>
  </w:endnote>
  <w:endnote w:type="continuationSeparator" w:id="0">
    <w:p w14:paraId="14510AC9" w14:textId="77777777" w:rsidR="006E5479" w:rsidRDefault="006E5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Roboto">
    <w:altName w:val="Roboto"/>
    <w:panose1 w:val="00000000000000000000"/>
    <w:charset w:val="00"/>
    <w:family w:val="auto"/>
    <w:pitch w:val="variable"/>
    <w:sig w:usb0="E00002EF"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14CE" w14:textId="436F4F6C" w:rsidR="00BC2881" w:rsidRPr="00BC2881" w:rsidRDefault="00BC2881" w:rsidP="00BC2881">
    <w:pPr>
      <w:pStyle w:val="Piedepgina"/>
      <w:tabs>
        <w:tab w:val="right" w:pos="9638"/>
      </w:tabs>
    </w:pPr>
    <w:r w:rsidRPr="00BC2881">
      <w:rPr>
        <w:b/>
        <w:sz w:val="18"/>
      </w:rPr>
      <w:fldChar w:fldCharType="begin"/>
    </w:r>
    <w:r w:rsidRPr="00BC2881">
      <w:rPr>
        <w:b/>
        <w:sz w:val="18"/>
      </w:rPr>
      <w:instrText xml:space="preserve"> PAGE  \* MERGEFORMAT </w:instrText>
    </w:r>
    <w:r w:rsidRPr="00BC2881">
      <w:rPr>
        <w:b/>
        <w:sz w:val="18"/>
      </w:rPr>
      <w:fldChar w:fldCharType="separate"/>
    </w:r>
    <w:r w:rsidR="00C272DD">
      <w:rPr>
        <w:b/>
        <w:noProof/>
        <w:sz w:val="18"/>
      </w:rPr>
      <w:t>4</w:t>
    </w:r>
    <w:r w:rsidRPr="00BC2881">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CBFE" w14:textId="6827A138" w:rsidR="00BC2881" w:rsidRPr="00BC2881" w:rsidRDefault="00BC2881" w:rsidP="00BC2881">
    <w:pPr>
      <w:pStyle w:val="Piedepgina"/>
      <w:tabs>
        <w:tab w:val="right" w:pos="9638"/>
      </w:tabs>
      <w:rPr>
        <w:b/>
        <w:sz w:val="18"/>
      </w:rPr>
    </w:pPr>
    <w:r>
      <w:tab/>
    </w:r>
    <w:r w:rsidRPr="00BC2881">
      <w:rPr>
        <w:b/>
        <w:sz w:val="18"/>
      </w:rPr>
      <w:fldChar w:fldCharType="begin"/>
    </w:r>
    <w:r w:rsidRPr="00BC2881">
      <w:rPr>
        <w:b/>
        <w:sz w:val="18"/>
      </w:rPr>
      <w:instrText xml:space="preserve"> PAGE  \* MERGEFORMAT </w:instrText>
    </w:r>
    <w:r w:rsidRPr="00BC2881">
      <w:rPr>
        <w:b/>
        <w:sz w:val="18"/>
      </w:rPr>
      <w:fldChar w:fldCharType="separate"/>
    </w:r>
    <w:r w:rsidR="00C272DD">
      <w:rPr>
        <w:b/>
        <w:noProof/>
        <w:sz w:val="18"/>
      </w:rPr>
      <w:t>3</w:t>
    </w:r>
    <w:r w:rsidRPr="00BC28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D02A" w14:textId="2C618423" w:rsidR="00B50EF4" w:rsidRPr="00B50EF4" w:rsidRDefault="00B50EF4" w:rsidP="00B50EF4">
    <w:pPr>
      <w:pStyle w:val="Piedepgina"/>
      <w:tabs>
        <w:tab w:val="left" w:pos="6520"/>
        <w:tab w:val="right" w:pos="9638"/>
      </w:tabs>
      <w:spacing w:before="120" w:line="240" w:lineRule="auto"/>
      <w:rPr>
        <w:sz w:val="20"/>
      </w:rPr>
    </w:pPr>
    <w:r>
      <w:rPr>
        <w:sz w:val="20"/>
      </w:rPr>
      <w:t>GE.23-05717  (S)</w:t>
    </w:r>
    <w:bookmarkStart w:id="10" w:name="_GoBack"/>
    <w:bookmarkEnd w:id="10"/>
    <w:r>
      <w:rPr>
        <w:sz w:val="20"/>
      </w:rPr>
      <w:tab/>
    </w:r>
    <w:r w:rsidRPr="00B50EF4">
      <w:rPr>
        <w:noProof/>
        <w:sz w:val="20"/>
        <w:lang w:val="fr-CH" w:eastAsia="zh-CN"/>
      </w:rPr>
      <w:drawing>
        <wp:inline distT="0" distB="0" distL="0" distR="0" wp14:anchorId="2C23235B" wp14:editId="5B103180">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6B11E89A" wp14:editId="279935A0">
          <wp:extent cx="560070" cy="5600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070" cy="5600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0C4DE" w14:textId="77777777" w:rsidR="006E5479" w:rsidRPr="001075E9" w:rsidRDefault="006E5479" w:rsidP="001075E9">
      <w:pPr>
        <w:tabs>
          <w:tab w:val="right" w:pos="2155"/>
        </w:tabs>
        <w:spacing w:after="80" w:line="240" w:lineRule="auto"/>
        <w:ind w:left="680"/>
        <w:rPr>
          <w:u w:val="single"/>
        </w:rPr>
      </w:pPr>
      <w:r>
        <w:rPr>
          <w:u w:val="single"/>
        </w:rPr>
        <w:tab/>
      </w:r>
    </w:p>
  </w:footnote>
  <w:footnote w:type="continuationSeparator" w:id="0">
    <w:p w14:paraId="7BDD3913" w14:textId="77777777" w:rsidR="006E5479" w:rsidRDefault="006E5479" w:rsidP="00AE0E02">
      <w:pPr>
        <w:tabs>
          <w:tab w:val="right" w:pos="2155"/>
        </w:tabs>
        <w:spacing w:after="80" w:line="240" w:lineRule="auto"/>
        <w:ind w:left="680"/>
        <w:rPr>
          <w:u w:val="single"/>
        </w:rPr>
      </w:pPr>
      <w:r>
        <w:rPr>
          <w:u w:val="single"/>
        </w:rPr>
        <w:tab/>
      </w:r>
    </w:p>
  </w:footnote>
  <w:footnote w:id="1">
    <w:p w14:paraId="75A8B691" w14:textId="2A2084DF" w:rsidR="008E6767" w:rsidRPr="008E6767" w:rsidRDefault="008E6767">
      <w:pPr>
        <w:pStyle w:val="Textonotapie"/>
        <w:rPr>
          <w:sz w:val="20"/>
        </w:rPr>
      </w:pPr>
      <w:r>
        <w:tab/>
      </w:r>
      <w:r w:rsidRPr="008E6767">
        <w:rPr>
          <w:rStyle w:val="Refdenotaalpie"/>
          <w:sz w:val="20"/>
          <w:vertAlign w:val="baseline"/>
        </w:rPr>
        <w:t>*</w:t>
      </w:r>
      <w:r w:rsidRPr="008E6767">
        <w:rPr>
          <w:rStyle w:val="Refdenotaalpie"/>
          <w:vertAlign w:val="baseline"/>
        </w:rPr>
        <w:tab/>
      </w:r>
      <w:r w:rsidR="000F0232">
        <w:t>Aprobadas por el Comité en su 137º período de sesiones (27 de febrero a 24 de marzo de 2023).</w:t>
      </w:r>
    </w:p>
  </w:footnote>
  <w:footnote w:id="2">
    <w:p w14:paraId="6D0761F3" w14:textId="60D4A64C" w:rsidR="00E64969" w:rsidRPr="008D0CC5" w:rsidRDefault="00E64969">
      <w:pPr>
        <w:pStyle w:val="Textonotapie"/>
      </w:pPr>
      <w:r>
        <w:tab/>
      </w:r>
      <w:r>
        <w:rPr>
          <w:rStyle w:val="Refdenotaalpie"/>
        </w:rPr>
        <w:footnoteRef/>
      </w:r>
      <w:r>
        <w:t xml:space="preserve"> </w:t>
      </w:r>
      <w:r>
        <w:tab/>
      </w:r>
      <w:hyperlink r:id="rId1" w:history="1">
        <w:r w:rsidRPr="000F0232">
          <w:rPr>
            <w:rStyle w:val="Hipervnculo"/>
          </w:rPr>
          <w:t>CCPR/C/</w:t>
        </w:r>
        <w:r w:rsidR="00B953F0" w:rsidRPr="000F0232">
          <w:rPr>
            <w:rStyle w:val="Hipervnculo"/>
          </w:rPr>
          <w:t>PER/6</w:t>
        </w:r>
      </w:hyperlink>
      <w:r w:rsidRPr="008D0CC5">
        <w:t>.</w:t>
      </w:r>
    </w:p>
  </w:footnote>
  <w:footnote w:id="3">
    <w:p w14:paraId="2DD7D5D3" w14:textId="60F54A8E" w:rsidR="00E64969" w:rsidRPr="008D0CC5" w:rsidRDefault="00E64969">
      <w:pPr>
        <w:pStyle w:val="Textonotapie"/>
      </w:pPr>
      <w:r>
        <w:tab/>
      </w:r>
      <w:r>
        <w:rPr>
          <w:rStyle w:val="Refdenotaalpie"/>
        </w:rPr>
        <w:footnoteRef/>
      </w:r>
      <w:r>
        <w:t xml:space="preserve"> </w:t>
      </w:r>
      <w:r>
        <w:tab/>
      </w:r>
      <w:r w:rsidR="00796908">
        <w:t xml:space="preserve">Véanse </w:t>
      </w:r>
      <w:hyperlink r:id="rId2" w:history="1">
        <w:r w:rsidRPr="00B44AB5">
          <w:rPr>
            <w:rStyle w:val="Hipervnculo"/>
          </w:rPr>
          <w:t>CCPR/C/SR.</w:t>
        </w:r>
        <w:r w:rsidR="00545074" w:rsidRPr="00B44AB5">
          <w:rPr>
            <w:rStyle w:val="Hipervnculo"/>
          </w:rPr>
          <w:t>3964</w:t>
        </w:r>
      </w:hyperlink>
      <w:r w:rsidR="00545074">
        <w:t xml:space="preserve">, </w:t>
      </w:r>
      <w:hyperlink r:id="rId3" w:history="1">
        <w:r w:rsidR="00545074" w:rsidRPr="00B44AB5">
          <w:rPr>
            <w:rStyle w:val="Hipervnculo"/>
          </w:rPr>
          <w:t>CCPR/C/SR.3966</w:t>
        </w:r>
      </w:hyperlink>
      <w:r w:rsidRPr="007F6089">
        <w:t xml:space="preserve"> </w:t>
      </w:r>
      <w:r>
        <w:t>y</w:t>
      </w:r>
      <w:r w:rsidRPr="007F6089">
        <w:t xml:space="preserve"> </w:t>
      </w:r>
      <w:hyperlink r:id="rId4" w:history="1">
        <w:r w:rsidRPr="00B44AB5">
          <w:rPr>
            <w:rStyle w:val="Hipervnculo"/>
          </w:rPr>
          <w:t>CCPR/C/SR.</w:t>
        </w:r>
        <w:r w:rsidR="00545074" w:rsidRPr="00B44AB5">
          <w:rPr>
            <w:rStyle w:val="Hipervnculo"/>
          </w:rPr>
          <w:t>3968</w:t>
        </w:r>
      </w:hyperlink>
      <w:r>
        <w:t>.</w:t>
      </w:r>
    </w:p>
  </w:footnote>
  <w:footnote w:id="4">
    <w:p w14:paraId="6B7F2B12" w14:textId="4981A6AC" w:rsidR="00F129ED" w:rsidRPr="007B112A" w:rsidRDefault="00F129ED" w:rsidP="002165FD">
      <w:pPr>
        <w:pStyle w:val="Textonotapie"/>
        <w:tabs>
          <w:tab w:val="left" w:pos="1134"/>
          <w:tab w:val="left" w:pos="1701"/>
          <w:tab w:val="left" w:pos="2268"/>
          <w:tab w:val="left" w:pos="3095"/>
        </w:tabs>
        <w:rPr>
          <w:lang w:val="en-GB"/>
        </w:rPr>
      </w:pPr>
      <w:r>
        <w:tab/>
      </w:r>
      <w:r>
        <w:rPr>
          <w:rStyle w:val="Refdenotaalpie"/>
        </w:rPr>
        <w:footnoteRef/>
      </w:r>
      <w:r w:rsidRPr="007B112A">
        <w:rPr>
          <w:lang w:val="en-GB"/>
        </w:rPr>
        <w:tab/>
      </w:r>
      <w:hyperlink r:id="rId5" w:history="1">
        <w:proofErr w:type="spellStart"/>
        <w:r w:rsidR="00545074" w:rsidRPr="007B112A">
          <w:rPr>
            <w:rStyle w:val="Hipervnculo"/>
            <w:lang w:val="en-GB"/>
          </w:rPr>
          <w:t>CCPR</w:t>
        </w:r>
        <w:proofErr w:type="spellEnd"/>
        <w:r w:rsidR="00545074" w:rsidRPr="007B112A">
          <w:rPr>
            <w:rStyle w:val="Hipervnculo"/>
            <w:lang w:val="en-GB"/>
          </w:rPr>
          <w:t>/C/PER/</w:t>
        </w:r>
        <w:proofErr w:type="spellStart"/>
        <w:r w:rsidR="00545074" w:rsidRPr="007B112A">
          <w:rPr>
            <w:rStyle w:val="Hipervnculo"/>
            <w:lang w:val="en-GB"/>
          </w:rPr>
          <w:t>QPR</w:t>
        </w:r>
        <w:proofErr w:type="spellEnd"/>
        <w:r w:rsidR="00545074" w:rsidRPr="007B112A">
          <w:rPr>
            <w:rStyle w:val="Hipervnculo"/>
            <w:lang w:val="en-GB"/>
          </w:rPr>
          <w:t>/6</w:t>
        </w:r>
      </w:hyperlink>
      <w:r w:rsidRPr="007B112A">
        <w:rPr>
          <w:lang w:val="en-GB"/>
        </w:rPr>
        <w:t>.</w:t>
      </w:r>
    </w:p>
  </w:footnote>
  <w:footnote w:id="5">
    <w:p w14:paraId="3DD6F974" w14:textId="76267851" w:rsidR="00B3582D" w:rsidRPr="00B3582D" w:rsidRDefault="00B953F0">
      <w:pPr>
        <w:pStyle w:val="Textonotapie"/>
        <w:rPr>
          <w:lang w:val="en-GB"/>
        </w:rPr>
      </w:pPr>
      <w:r>
        <w:rPr>
          <w:lang w:val="en-GB"/>
        </w:rPr>
        <w:tab/>
      </w:r>
      <w:r w:rsidR="00B3582D">
        <w:rPr>
          <w:rStyle w:val="Refdenotaalpie"/>
        </w:rPr>
        <w:footnoteRef/>
      </w:r>
      <w:r w:rsidR="00B3582D" w:rsidRPr="00B3582D">
        <w:rPr>
          <w:lang w:val="en-GB"/>
        </w:rPr>
        <w:t xml:space="preserve"> </w:t>
      </w:r>
      <w:r>
        <w:rPr>
          <w:lang w:val="en-GB"/>
        </w:rPr>
        <w:tab/>
      </w:r>
      <w:hyperlink r:id="rId6" w:history="1">
        <w:r w:rsidR="00B3582D" w:rsidRPr="00D46A80">
          <w:rPr>
            <w:rStyle w:val="Hipervnculo"/>
            <w:lang w:val="en-GB"/>
          </w:rPr>
          <w:t>CCPR/C/PER/CO/5</w:t>
        </w:r>
      </w:hyperlink>
      <w:r w:rsidR="00B3582D">
        <w:rPr>
          <w:lang w:val="en-GB"/>
        </w:rPr>
        <w:t xml:space="preserve">, </w:t>
      </w:r>
      <w:r w:rsidR="009155FD">
        <w:rPr>
          <w:lang w:val="en-GB"/>
        </w:rPr>
        <w:t>párrs</w:t>
      </w:r>
      <w:r w:rsidR="00B3582D">
        <w:rPr>
          <w:lang w:val="en-GB"/>
        </w:rPr>
        <w:t>. 11</w:t>
      </w:r>
      <w:r w:rsidR="009155FD">
        <w:rPr>
          <w:lang w:val="en-GB"/>
        </w:rPr>
        <w:t xml:space="preserve"> a </w:t>
      </w:r>
      <w:r w:rsidR="00B3582D">
        <w:rPr>
          <w:lang w:val="en-GB"/>
        </w:rPr>
        <w:t>13.</w:t>
      </w:r>
    </w:p>
  </w:footnote>
  <w:footnote w:id="6">
    <w:p w14:paraId="4EAE4119" w14:textId="6189DE21" w:rsidR="00FB1DDD" w:rsidRPr="00D46A80" w:rsidRDefault="00B953F0" w:rsidP="00FB1DDD">
      <w:pPr>
        <w:pStyle w:val="Textonotapie"/>
        <w:rPr>
          <w:lang w:val="en-GB"/>
        </w:rPr>
      </w:pPr>
      <w:r>
        <w:rPr>
          <w:lang w:val="en-GB"/>
        </w:rPr>
        <w:tab/>
      </w:r>
      <w:r w:rsidR="00FB1DDD">
        <w:rPr>
          <w:rStyle w:val="Refdenotaalpie"/>
        </w:rPr>
        <w:footnoteRef/>
      </w:r>
      <w:r w:rsidR="00FB1DDD" w:rsidRPr="00D46A80">
        <w:rPr>
          <w:lang w:val="en-GB"/>
        </w:rPr>
        <w:t xml:space="preserve"> </w:t>
      </w:r>
      <w:r>
        <w:rPr>
          <w:lang w:val="en-GB"/>
        </w:rPr>
        <w:tab/>
      </w:r>
      <w:r w:rsidR="009155FD" w:rsidRPr="002165FD">
        <w:rPr>
          <w:i/>
          <w:iCs/>
          <w:lang w:val="en-GB"/>
        </w:rPr>
        <w:t>Ibid</w:t>
      </w:r>
      <w:r w:rsidR="009155FD">
        <w:rPr>
          <w:lang w:val="en-GB"/>
        </w:rPr>
        <w:t>.</w:t>
      </w:r>
      <w:r w:rsidR="00FB1DDD">
        <w:rPr>
          <w:lang w:val="en-GB"/>
        </w:rPr>
        <w:t xml:space="preserve">, </w:t>
      </w:r>
      <w:r w:rsidR="00796908">
        <w:rPr>
          <w:lang w:val="en-GB"/>
        </w:rPr>
        <w:t>párr</w:t>
      </w:r>
      <w:r w:rsidR="00FB1DDD">
        <w:rPr>
          <w:lang w:val="en-GB"/>
        </w:rPr>
        <w:t>. 15.</w:t>
      </w:r>
    </w:p>
  </w:footnote>
  <w:footnote w:id="7">
    <w:p w14:paraId="074921D0" w14:textId="18519C81" w:rsidR="00E477B6" w:rsidRPr="00E477B6" w:rsidRDefault="00B953F0">
      <w:pPr>
        <w:pStyle w:val="Textonotapie"/>
        <w:rPr>
          <w:lang w:val="en-GB"/>
        </w:rPr>
      </w:pPr>
      <w:r>
        <w:rPr>
          <w:lang w:val="en-GB"/>
        </w:rPr>
        <w:tab/>
      </w:r>
      <w:r w:rsidR="00E477B6">
        <w:rPr>
          <w:rStyle w:val="Refdenotaalpie"/>
        </w:rPr>
        <w:footnoteRef/>
      </w:r>
      <w:r w:rsidR="00E477B6" w:rsidRPr="00E477B6">
        <w:rPr>
          <w:lang w:val="en-GB"/>
        </w:rPr>
        <w:t xml:space="preserve"> </w:t>
      </w:r>
      <w:r>
        <w:rPr>
          <w:lang w:val="en-GB"/>
        </w:rPr>
        <w:tab/>
      </w:r>
      <w:r w:rsidR="009155FD" w:rsidRPr="00647FE2">
        <w:rPr>
          <w:i/>
          <w:iCs/>
          <w:lang w:val="en-GB"/>
        </w:rPr>
        <w:t>Ibid</w:t>
      </w:r>
      <w:r w:rsidR="009155FD">
        <w:rPr>
          <w:lang w:val="en-GB"/>
        </w:rPr>
        <w:t>.</w:t>
      </w:r>
      <w:r w:rsidR="00E477B6">
        <w:rPr>
          <w:lang w:val="en-GB"/>
        </w:rPr>
        <w:t xml:space="preserve">, </w:t>
      </w:r>
      <w:r w:rsidR="00796908">
        <w:rPr>
          <w:lang w:val="en-GB"/>
        </w:rPr>
        <w:t>párr</w:t>
      </w:r>
      <w:r w:rsidR="00E477B6">
        <w:rPr>
          <w:lang w:val="en-GB"/>
        </w:rPr>
        <w:t>.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83A1" w14:textId="0BA902EA" w:rsidR="00BC2881" w:rsidRPr="00DD5762" w:rsidRDefault="00DD5762">
    <w:pPr>
      <w:pStyle w:val="Encabezado"/>
      <w:rPr>
        <w:lang w:val="en-GB"/>
      </w:rPr>
    </w:pPr>
    <w:r>
      <w:rPr>
        <w:lang w:val="en-GB"/>
      </w:rPr>
      <w:t>CCPR/C</w:t>
    </w:r>
    <w:r w:rsidR="009C68FD">
      <w:rPr>
        <w:lang w:val="en-GB"/>
      </w:rPr>
      <w:t>/</w:t>
    </w:r>
    <w:r w:rsidR="00575B77">
      <w:rPr>
        <w:lang w:val="en-GB"/>
      </w:rPr>
      <w:t>PER</w:t>
    </w:r>
    <w:r>
      <w:rPr>
        <w:lang w:val="en-GB"/>
      </w:rPr>
      <w:t>/CO/</w:t>
    </w:r>
    <w:r w:rsidR="00575B77">
      <w:rPr>
        <w:lang w:val="en-GB"/>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7FF4" w14:textId="62602C74" w:rsidR="00BC2881" w:rsidRPr="00DD5762" w:rsidRDefault="00DD5762" w:rsidP="00BC2881">
    <w:pPr>
      <w:pStyle w:val="Encabezado"/>
      <w:jc w:val="right"/>
      <w:rPr>
        <w:lang w:val="en-GB"/>
      </w:rPr>
    </w:pPr>
    <w:r>
      <w:rPr>
        <w:lang w:val="en-GB"/>
      </w:rPr>
      <w:t>CCPR/C/</w:t>
    </w:r>
    <w:r w:rsidR="00575B77">
      <w:rPr>
        <w:lang w:val="en-GB"/>
      </w:rPr>
      <w:t>PER</w:t>
    </w:r>
    <w:r>
      <w:rPr>
        <w:lang w:val="en-GB"/>
      </w:rPr>
      <w:t>/CO/</w:t>
    </w:r>
    <w:r w:rsidR="00575B77">
      <w:rPr>
        <w:lang w:val="en-GB"/>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6DB206C"/>
    <w:multiLevelType w:val="multilevel"/>
    <w:tmpl w:val="E8C2E7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06DE2C8F"/>
    <w:multiLevelType w:val="hybridMultilevel"/>
    <w:tmpl w:val="BB763E7A"/>
    <w:lvl w:ilvl="0" w:tplc="052497A2">
      <w:start w:val="3"/>
      <w:numFmt w:val="bullet"/>
      <w:lvlText w:val="-"/>
      <w:lvlJc w:val="left"/>
      <w:pPr>
        <w:ind w:left="720" w:hanging="360"/>
      </w:pPr>
      <w:rPr>
        <w:rFonts w:ascii="Roboto" w:eastAsia="Times New Roman" w:hAnsi="Roboto" w:cs="Times New Roman" w:hint="default"/>
        <w:b/>
        <w:color w:val="505050"/>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D5153BE"/>
    <w:multiLevelType w:val="hybridMultilevel"/>
    <w:tmpl w:val="C8B43152"/>
    <w:lvl w:ilvl="0" w:tplc="5E321BD0">
      <w:start w:val="1"/>
      <w:numFmt w:val="decimal"/>
      <w:lvlText w:val="%1."/>
      <w:lvlJc w:val="left"/>
      <w:pPr>
        <w:ind w:left="720" w:hanging="360"/>
      </w:pPr>
      <w:rPr>
        <w:rFonts w:ascii="Times" w:hAnsi="Times" w:hint="default"/>
        <w:b w:val="0"/>
        <w:bCs w:val="0"/>
        <w:i w:val="0"/>
        <w:iCs w:val="0"/>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E7A16ED"/>
    <w:multiLevelType w:val="hybridMultilevel"/>
    <w:tmpl w:val="A7784B88"/>
    <w:lvl w:ilvl="0" w:tplc="62CEE6B8">
      <w:numFmt w:val="bullet"/>
      <w:lvlText w:val="-"/>
      <w:lvlJc w:val="left"/>
      <w:pPr>
        <w:ind w:left="1545" w:hanging="360"/>
      </w:pPr>
      <w:rPr>
        <w:rFonts w:ascii="Times New Roman" w:eastAsia="Times New Roman" w:hAnsi="Times New Roman" w:cs="Times New Roman"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7" w15:restartNumberingAfterBreak="0">
    <w:nsid w:val="5099440D"/>
    <w:multiLevelType w:val="hybridMultilevel"/>
    <w:tmpl w:val="661471BC"/>
    <w:lvl w:ilvl="0" w:tplc="6D389E5A">
      <w:start w:val="1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53A36300"/>
    <w:multiLevelType w:val="hybridMultilevel"/>
    <w:tmpl w:val="9F8AFAF4"/>
    <w:lvl w:ilvl="0" w:tplc="5824B808">
      <w:start w:val="3"/>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5410E8"/>
    <w:multiLevelType w:val="hybridMultilevel"/>
    <w:tmpl w:val="9C0A9082"/>
    <w:lvl w:ilvl="0" w:tplc="CD421AFC">
      <w:numFmt w:val="bullet"/>
      <w:lvlText w:val="•"/>
      <w:lvlJc w:val="left"/>
      <w:pPr>
        <w:ind w:left="1545" w:hanging="360"/>
      </w:pPr>
      <w:rPr>
        <w:rFonts w:ascii="Times New Roman" w:eastAsia="Times New Roman" w:hAnsi="Times New Roman" w:cs="Times New Roman"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20" w15:restartNumberingAfterBreak="0">
    <w:nsid w:val="597A5DEB"/>
    <w:multiLevelType w:val="hybridMultilevel"/>
    <w:tmpl w:val="87C63BB0"/>
    <w:lvl w:ilvl="0" w:tplc="A0706C52">
      <w:start w:val="1"/>
      <w:numFmt w:val="bullet"/>
      <w:lvlText w:val="-"/>
      <w:lvlJc w:val="left"/>
      <w:pPr>
        <w:ind w:left="1860" w:hanging="360"/>
      </w:pPr>
      <w:rPr>
        <w:rFonts w:ascii="Arial" w:eastAsia="Calibri"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0461A03"/>
    <w:multiLevelType w:val="hybridMultilevel"/>
    <w:tmpl w:val="4F26E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62A15B3"/>
    <w:multiLevelType w:val="hybridMultilevel"/>
    <w:tmpl w:val="57584F3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07742F"/>
    <w:multiLevelType w:val="hybridMultilevel"/>
    <w:tmpl w:val="2292926A"/>
    <w:lvl w:ilvl="0" w:tplc="A0706C52">
      <w:start w:val="1"/>
      <w:numFmt w:val="bullet"/>
      <w:lvlText w:val="-"/>
      <w:lvlJc w:val="left"/>
      <w:pPr>
        <w:ind w:left="1860" w:hanging="360"/>
      </w:pPr>
      <w:rPr>
        <w:rFonts w:ascii="Arial" w:eastAsia="Calibri"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79FA3DB2"/>
    <w:multiLevelType w:val="hybridMultilevel"/>
    <w:tmpl w:val="650ABB26"/>
    <w:lvl w:ilvl="0" w:tplc="0D663C4A">
      <w:start w:val="3"/>
      <w:numFmt w:val="bullet"/>
      <w:lvlText w:val="-"/>
      <w:lvlJc w:val="left"/>
      <w:pPr>
        <w:ind w:left="1500" w:hanging="360"/>
      </w:pPr>
      <w:rPr>
        <w:rFonts w:ascii="Times New Roman" w:eastAsia="Times New Roman" w:hAnsi="Times New Roman" w:cs="Times New Roman"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16cid:durableId="58133448">
    <w:abstractNumId w:val="27"/>
  </w:num>
  <w:num w:numId="2" w16cid:durableId="648359753">
    <w:abstractNumId w:val="26"/>
  </w:num>
  <w:num w:numId="3" w16cid:durableId="49354176">
    <w:abstractNumId w:val="21"/>
  </w:num>
  <w:num w:numId="4" w16cid:durableId="32586206">
    <w:abstractNumId w:val="24"/>
  </w:num>
  <w:num w:numId="5" w16cid:durableId="1236089344">
    <w:abstractNumId w:val="14"/>
  </w:num>
  <w:num w:numId="6" w16cid:durableId="2112969287">
    <w:abstractNumId w:val="12"/>
  </w:num>
  <w:num w:numId="7" w16cid:durableId="1785420631">
    <w:abstractNumId w:val="15"/>
  </w:num>
  <w:num w:numId="8" w16cid:durableId="1076518638">
    <w:abstractNumId w:val="9"/>
  </w:num>
  <w:num w:numId="9" w16cid:durableId="69010440">
    <w:abstractNumId w:val="7"/>
  </w:num>
  <w:num w:numId="10" w16cid:durableId="157237407">
    <w:abstractNumId w:val="6"/>
  </w:num>
  <w:num w:numId="11" w16cid:durableId="1888226678">
    <w:abstractNumId w:val="5"/>
  </w:num>
  <w:num w:numId="12" w16cid:durableId="803431172">
    <w:abstractNumId w:val="4"/>
  </w:num>
  <w:num w:numId="13" w16cid:durableId="1204752472">
    <w:abstractNumId w:val="8"/>
  </w:num>
  <w:num w:numId="14" w16cid:durableId="1894652049">
    <w:abstractNumId w:val="3"/>
  </w:num>
  <w:num w:numId="15" w16cid:durableId="1762337198">
    <w:abstractNumId w:val="2"/>
  </w:num>
  <w:num w:numId="16" w16cid:durableId="1391853702">
    <w:abstractNumId w:val="1"/>
  </w:num>
  <w:num w:numId="17" w16cid:durableId="2029985456">
    <w:abstractNumId w:val="0"/>
  </w:num>
  <w:num w:numId="18" w16cid:durableId="802233314">
    <w:abstractNumId w:val="10"/>
  </w:num>
  <w:num w:numId="19" w16cid:durableId="1342468991">
    <w:abstractNumId w:val="13"/>
  </w:num>
  <w:num w:numId="20" w16cid:durableId="465051314">
    <w:abstractNumId w:val="22"/>
  </w:num>
  <w:num w:numId="21" w16cid:durableId="277227410">
    <w:abstractNumId w:val="28"/>
  </w:num>
  <w:num w:numId="22" w16cid:durableId="580070527">
    <w:abstractNumId w:val="20"/>
  </w:num>
  <w:num w:numId="23" w16cid:durableId="1827360972">
    <w:abstractNumId w:val="16"/>
  </w:num>
  <w:num w:numId="24" w16cid:durableId="1265922854">
    <w:abstractNumId w:val="25"/>
  </w:num>
  <w:num w:numId="25" w16cid:durableId="1470437612">
    <w:abstractNumId w:val="19"/>
  </w:num>
  <w:num w:numId="26" w16cid:durableId="608852040">
    <w:abstractNumId w:val="23"/>
  </w:num>
  <w:num w:numId="27" w16cid:durableId="926306593">
    <w:abstractNumId w:val="17"/>
  </w:num>
  <w:num w:numId="28" w16cid:durableId="961032398">
    <w:abstractNumId w:val="18"/>
  </w:num>
  <w:num w:numId="29" w16cid:durableId="541215455">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trackedChanges" w:enforcement="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07"/>
    <w:rsid w:val="00006BB9"/>
    <w:rsid w:val="00010283"/>
    <w:rsid w:val="00016771"/>
    <w:rsid w:val="00017F20"/>
    <w:rsid w:val="00020ABB"/>
    <w:rsid w:val="0002660B"/>
    <w:rsid w:val="000332A2"/>
    <w:rsid w:val="00035DCD"/>
    <w:rsid w:val="00040E25"/>
    <w:rsid w:val="00041944"/>
    <w:rsid w:val="00052594"/>
    <w:rsid w:val="0005274F"/>
    <w:rsid w:val="000528C5"/>
    <w:rsid w:val="00053640"/>
    <w:rsid w:val="00054020"/>
    <w:rsid w:val="00060F7A"/>
    <w:rsid w:val="000611BE"/>
    <w:rsid w:val="000636F9"/>
    <w:rsid w:val="000672E3"/>
    <w:rsid w:val="00077D50"/>
    <w:rsid w:val="00086309"/>
    <w:rsid w:val="00092149"/>
    <w:rsid w:val="00092B30"/>
    <w:rsid w:val="00093BE4"/>
    <w:rsid w:val="000A36A2"/>
    <w:rsid w:val="000A3DA0"/>
    <w:rsid w:val="000A4F4F"/>
    <w:rsid w:val="000A7FF1"/>
    <w:rsid w:val="000B14EF"/>
    <w:rsid w:val="000B57E7"/>
    <w:rsid w:val="000B5D4B"/>
    <w:rsid w:val="000B7EFD"/>
    <w:rsid w:val="000C4807"/>
    <w:rsid w:val="000C776E"/>
    <w:rsid w:val="000C7777"/>
    <w:rsid w:val="000D04B7"/>
    <w:rsid w:val="000D47CD"/>
    <w:rsid w:val="000D7604"/>
    <w:rsid w:val="000D7AE9"/>
    <w:rsid w:val="000D7F5E"/>
    <w:rsid w:val="000E4C5A"/>
    <w:rsid w:val="000E5CBB"/>
    <w:rsid w:val="000E6E85"/>
    <w:rsid w:val="000F0232"/>
    <w:rsid w:val="000F09DF"/>
    <w:rsid w:val="000F25C9"/>
    <w:rsid w:val="000F27DF"/>
    <w:rsid w:val="000F61B2"/>
    <w:rsid w:val="000F640A"/>
    <w:rsid w:val="000F7C0B"/>
    <w:rsid w:val="00106CB0"/>
    <w:rsid w:val="001075E9"/>
    <w:rsid w:val="001103EC"/>
    <w:rsid w:val="0011164A"/>
    <w:rsid w:val="00116208"/>
    <w:rsid w:val="00120009"/>
    <w:rsid w:val="00122332"/>
    <w:rsid w:val="00124AF9"/>
    <w:rsid w:val="00135455"/>
    <w:rsid w:val="00135CE3"/>
    <w:rsid w:val="001412F1"/>
    <w:rsid w:val="00142B6E"/>
    <w:rsid w:val="0015487C"/>
    <w:rsid w:val="00160FF7"/>
    <w:rsid w:val="001654F1"/>
    <w:rsid w:val="0016624A"/>
    <w:rsid w:val="001700F0"/>
    <w:rsid w:val="00170BD7"/>
    <w:rsid w:val="00171A58"/>
    <w:rsid w:val="00172C16"/>
    <w:rsid w:val="00180183"/>
    <w:rsid w:val="00186074"/>
    <w:rsid w:val="001901DB"/>
    <w:rsid w:val="00193CE9"/>
    <w:rsid w:val="00193F5A"/>
    <w:rsid w:val="00196389"/>
    <w:rsid w:val="001A0754"/>
    <w:rsid w:val="001A0B56"/>
    <w:rsid w:val="001A1F00"/>
    <w:rsid w:val="001A4CA9"/>
    <w:rsid w:val="001B3FDD"/>
    <w:rsid w:val="001B58DA"/>
    <w:rsid w:val="001C1474"/>
    <w:rsid w:val="001C2122"/>
    <w:rsid w:val="001C23F0"/>
    <w:rsid w:val="001C76B7"/>
    <w:rsid w:val="001C7A89"/>
    <w:rsid w:val="001D2004"/>
    <w:rsid w:val="001D3B70"/>
    <w:rsid w:val="001D643C"/>
    <w:rsid w:val="001F0552"/>
    <w:rsid w:val="001F162F"/>
    <w:rsid w:val="001F44AC"/>
    <w:rsid w:val="001F55C7"/>
    <w:rsid w:val="00203730"/>
    <w:rsid w:val="0020493E"/>
    <w:rsid w:val="0021357C"/>
    <w:rsid w:val="002147AD"/>
    <w:rsid w:val="002165FD"/>
    <w:rsid w:val="00220756"/>
    <w:rsid w:val="00222605"/>
    <w:rsid w:val="00224E61"/>
    <w:rsid w:val="002253BC"/>
    <w:rsid w:val="0022765D"/>
    <w:rsid w:val="002328A1"/>
    <w:rsid w:val="00244801"/>
    <w:rsid w:val="00244F8D"/>
    <w:rsid w:val="002518BC"/>
    <w:rsid w:val="00251F14"/>
    <w:rsid w:val="00254E79"/>
    <w:rsid w:val="00266CE8"/>
    <w:rsid w:val="002724C8"/>
    <w:rsid w:val="00275150"/>
    <w:rsid w:val="00276408"/>
    <w:rsid w:val="002779ED"/>
    <w:rsid w:val="00280416"/>
    <w:rsid w:val="0028243C"/>
    <w:rsid w:val="00284DF1"/>
    <w:rsid w:val="002850E7"/>
    <w:rsid w:val="00287988"/>
    <w:rsid w:val="00290699"/>
    <w:rsid w:val="0029300B"/>
    <w:rsid w:val="00293453"/>
    <w:rsid w:val="00293B8A"/>
    <w:rsid w:val="00296338"/>
    <w:rsid w:val="002A061F"/>
    <w:rsid w:val="002A2EFC"/>
    <w:rsid w:val="002A5FD8"/>
    <w:rsid w:val="002A6FA7"/>
    <w:rsid w:val="002C0E18"/>
    <w:rsid w:val="002C33BB"/>
    <w:rsid w:val="002C72FE"/>
    <w:rsid w:val="002D1132"/>
    <w:rsid w:val="002D30BC"/>
    <w:rsid w:val="002D5AAC"/>
    <w:rsid w:val="002D75E1"/>
    <w:rsid w:val="002D7C8D"/>
    <w:rsid w:val="002E018D"/>
    <w:rsid w:val="002E092A"/>
    <w:rsid w:val="002E20EC"/>
    <w:rsid w:val="002E464F"/>
    <w:rsid w:val="002E5F2D"/>
    <w:rsid w:val="002E740D"/>
    <w:rsid w:val="002E76CF"/>
    <w:rsid w:val="002F13FE"/>
    <w:rsid w:val="002F510F"/>
    <w:rsid w:val="002F59ED"/>
    <w:rsid w:val="00301299"/>
    <w:rsid w:val="00301A47"/>
    <w:rsid w:val="0030664F"/>
    <w:rsid w:val="00313A43"/>
    <w:rsid w:val="00316C78"/>
    <w:rsid w:val="00322004"/>
    <w:rsid w:val="00322940"/>
    <w:rsid w:val="00325470"/>
    <w:rsid w:val="00326CF5"/>
    <w:rsid w:val="0033500D"/>
    <w:rsid w:val="003402C2"/>
    <w:rsid w:val="00340BE4"/>
    <w:rsid w:val="003420F8"/>
    <w:rsid w:val="00346EE7"/>
    <w:rsid w:val="00347213"/>
    <w:rsid w:val="00361C51"/>
    <w:rsid w:val="0036261E"/>
    <w:rsid w:val="003657DF"/>
    <w:rsid w:val="0037019F"/>
    <w:rsid w:val="00373B0A"/>
    <w:rsid w:val="00377BB7"/>
    <w:rsid w:val="00381C24"/>
    <w:rsid w:val="003870AD"/>
    <w:rsid w:val="0038732C"/>
    <w:rsid w:val="00391298"/>
    <w:rsid w:val="0039303A"/>
    <w:rsid w:val="003943CC"/>
    <w:rsid w:val="003958D0"/>
    <w:rsid w:val="003A037B"/>
    <w:rsid w:val="003A3AC6"/>
    <w:rsid w:val="003A46DF"/>
    <w:rsid w:val="003B509D"/>
    <w:rsid w:val="003B6DBC"/>
    <w:rsid w:val="003C425F"/>
    <w:rsid w:val="003C734A"/>
    <w:rsid w:val="003D1AA5"/>
    <w:rsid w:val="003D2889"/>
    <w:rsid w:val="003D678B"/>
    <w:rsid w:val="003D774D"/>
    <w:rsid w:val="003E1F6E"/>
    <w:rsid w:val="003E2B9F"/>
    <w:rsid w:val="003E3E15"/>
    <w:rsid w:val="003E414D"/>
    <w:rsid w:val="003E64AE"/>
    <w:rsid w:val="003F1A7E"/>
    <w:rsid w:val="003F2E37"/>
    <w:rsid w:val="003F364F"/>
    <w:rsid w:val="004039A7"/>
    <w:rsid w:val="00405278"/>
    <w:rsid w:val="00406612"/>
    <w:rsid w:val="0041098F"/>
    <w:rsid w:val="00411A36"/>
    <w:rsid w:val="00416BE8"/>
    <w:rsid w:val="0042442F"/>
    <w:rsid w:val="004244A4"/>
    <w:rsid w:val="0043017D"/>
    <w:rsid w:val="004320F5"/>
    <w:rsid w:val="00433FE0"/>
    <w:rsid w:val="00434B3C"/>
    <w:rsid w:val="004420EC"/>
    <w:rsid w:val="00442FF4"/>
    <w:rsid w:val="0044744B"/>
    <w:rsid w:val="00450382"/>
    <w:rsid w:val="004525D3"/>
    <w:rsid w:val="00454E07"/>
    <w:rsid w:val="0045663A"/>
    <w:rsid w:val="00456F0B"/>
    <w:rsid w:val="0045711A"/>
    <w:rsid w:val="00466520"/>
    <w:rsid w:val="00467136"/>
    <w:rsid w:val="00470AD2"/>
    <w:rsid w:val="0047118F"/>
    <w:rsid w:val="004744DF"/>
    <w:rsid w:val="0047497A"/>
    <w:rsid w:val="00482B44"/>
    <w:rsid w:val="004875CF"/>
    <w:rsid w:val="0049644D"/>
    <w:rsid w:val="004A0354"/>
    <w:rsid w:val="004B7129"/>
    <w:rsid w:val="004C0B77"/>
    <w:rsid w:val="004C0E94"/>
    <w:rsid w:val="004C3B8E"/>
    <w:rsid w:val="004C5AD5"/>
    <w:rsid w:val="004C6B27"/>
    <w:rsid w:val="004D04B8"/>
    <w:rsid w:val="004D3415"/>
    <w:rsid w:val="004D415E"/>
    <w:rsid w:val="004D448B"/>
    <w:rsid w:val="004D4E6D"/>
    <w:rsid w:val="004D7856"/>
    <w:rsid w:val="004E0AD2"/>
    <w:rsid w:val="004E0F59"/>
    <w:rsid w:val="004E186B"/>
    <w:rsid w:val="004E2577"/>
    <w:rsid w:val="004E4B46"/>
    <w:rsid w:val="004E6D6D"/>
    <w:rsid w:val="004F375D"/>
    <w:rsid w:val="004F4DEC"/>
    <w:rsid w:val="0050108D"/>
    <w:rsid w:val="00503470"/>
    <w:rsid w:val="0051379A"/>
    <w:rsid w:val="00514874"/>
    <w:rsid w:val="00516A07"/>
    <w:rsid w:val="00526AF6"/>
    <w:rsid w:val="005315CD"/>
    <w:rsid w:val="0053216E"/>
    <w:rsid w:val="0053287B"/>
    <w:rsid w:val="005355DB"/>
    <w:rsid w:val="00545074"/>
    <w:rsid w:val="00545510"/>
    <w:rsid w:val="00550035"/>
    <w:rsid w:val="00552004"/>
    <w:rsid w:val="00552E43"/>
    <w:rsid w:val="00553F5C"/>
    <w:rsid w:val="005631EB"/>
    <w:rsid w:val="0056787C"/>
    <w:rsid w:val="00572E19"/>
    <w:rsid w:val="00575B77"/>
    <w:rsid w:val="00575FE7"/>
    <w:rsid w:val="00576AE1"/>
    <w:rsid w:val="00586EE1"/>
    <w:rsid w:val="00590E35"/>
    <w:rsid w:val="00592235"/>
    <w:rsid w:val="005A442C"/>
    <w:rsid w:val="005A5A0C"/>
    <w:rsid w:val="005B02F6"/>
    <w:rsid w:val="005B171C"/>
    <w:rsid w:val="005B1EE8"/>
    <w:rsid w:val="005B21F9"/>
    <w:rsid w:val="005B3E01"/>
    <w:rsid w:val="005C002D"/>
    <w:rsid w:val="005C05AC"/>
    <w:rsid w:val="005C0C2A"/>
    <w:rsid w:val="005C0C80"/>
    <w:rsid w:val="005C217B"/>
    <w:rsid w:val="005C3848"/>
    <w:rsid w:val="005C75D4"/>
    <w:rsid w:val="005D0054"/>
    <w:rsid w:val="005D16AA"/>
    <w:rsid w:val="005E668A"/>
    <w:rsid w:val="005F0B42"/>
    <w:rsid w:val="005F3620"/>
    <w:rsid w:val="005F72F7"/>
    <w:rsid w:val="005F7EA6"/>
    <w:rsid w:val="00601559"/>
    <w:rsid w:val="0060272D"/>
    <w:rsid w:val="00606841"/>
    <w:rsid w:val="00607419"/>
    <w:rsid w:val="00613880"/>
    <w:rsid w:val="00613A55"/>
    <w:rsid w:val="00614642"/>
    <w:rsid w:val="00615B7E"/>
    <w:rsid w:val="006177E7"/>
    <w:rsid w:val="006224EB"/>
    <w:rsid w:val="00622C94"/>
    <w:rsid w:val="006236CE"/>
    <w:rsid w:val="00630555"/>
    <w:rsid w:val="00634A8C"/>
    <w:rsid w:val="00635DFF"/>
    <w:rsid w:val="0063606F"/>
    <w:rsid w:val="00637333"/>
    <w:rsid w:val="006378BB"/>
    <w:rsid w:val="00642D35"/>
    <w:rsid w:val="00646285"/>
    <w:rsid w:val="00651B23"/>
    <w:rsid w:val="00655A21"/>
    <w:rsid w:val="00657214"/>
    <w:rsid w:val="006577B6"/>
    <w:rsid w:val="00660CE8"/>
    <w:rsid w:val="00661C0F"/>
    <w:rsid w:val="00665097"/>
    <w:rsid w:val="00667775"/>
    <w:rsid w:val="00670D40"/>
    <w:rsid w:val="00671112"/>
    <w:rsid w:val="00672B45"/>
    <w:rsid w:val="00677ADC"/>
    <w:rsid w:val="00680328"/>
    <w:rsid w:val="006808A9"/>
    <w:rsid w:val="00682052"/>
    <w:rsid w:val="006826AA"/>
    <w:rsid w:val="00690B5F"/>
    <w:rsid w:val="0069288C"/>
    <w:rsid w:val="00693CA6"/>
    <w:rsid w:val="00693FB4"/>
    <w:rsid w:val="0069517C"/>
    <w:rsid w:val="00697F76"/>
    <w:rsid w:val="006A34AC"/>
    <w:rsid w:val="006A6A0E"/>
    <w:rsid w:val="006A6AFF"/>
    <w:rsid w:val="006B166C"/>
    <w:rsid w:val="006B373B"/>
    <w:rsid w:val="006B3F07"/>
    <w:rsid w:val="006B567C"/>
    <w:rsid w:val="006D00E4"/>
    <w:rsid w:val="006D093D"/>
    <w:rsid w:val="006D14FB"/>
    <w:rsid w:val="006D2AD8"/>
    <w:rsid w:val="006D4018"/>
    <w:rsid w:val="006D4383"/>
    <w:rsid w:val="006D4CD5"/>
    <w:rsid w:val="006D53EC"/>
    <w:rsid w:val="006D7A42"/>
    <w:rsid w:val="006E4079"/>
    <w:rsid w:val="006E5479"/>
    <w:rsid w:val="006F35EE"/>
    <w:rsid w:val="006F7DA0"/>
    <w:rsid w:val="007021FF"/>
    <w:rsid w:val="00704081"/>
    <w:rsid w:val="00706BFD"/>
    <w:rsid w:val="00707683"/>
    <w:rsid w:val="007076CB"/>
    <w:rsid w:val="00716CAF"/>
    <w:rsid w:val="007201B3"/>
    <w:rsid w:val="00721764"/>
    <w:rsid w:val="00727141"/>
    <w:rsid w:val="00732CBB"/>
    <w:rsid w:val="007337BD"/>
    <w:rsid w:val="00736AC9"/>
    <w:rsid w:val="00740204"/>
    <w:rsid w:val="00740CB2"/>
    <w:rsid w:val="00750832"/>
    <w:rsid w:val="0075176D"/>
    <w:rsid w:val="00751ADB"/>
    <w:rsid w:val="007531C2"/>
    <w:rsid w:val="00757D3B"/>
    <w:rsid w:val="0076053A"/>
    <w:rsid w:val="00761137"/>
    <w:rsid w:val="007658D8"/>
    <w:rsid w:val="0076632D"/>
    <w:rsid w:val="00772A6D"/>
    <w:rsid w:val="007734FD"/>
    <w:rsid w:val="007736DA"/>
    <w:rsid w:val="00773831"/>
    <w:rsid w:val="007753DD"/>
    <w:rsid w:val="00780CCD"/>
    <w:rsid w:val="0078455D"/>
    <w:rsid w:val="00785A6E"/>
    <w:rsid w:val="007911BD"/>
    <w:rsid w:val="00793768"/>
    <w:rsid w:val="00795D25"/>
    <w:rsid w:val="0079669F"/>
    <w:rsid w:val="007967DF"/>
    <w:rsid w:val="00796908"/>
    <w:rsid w:val="007A0D9C"/>
    <w:rsid w:val="007B0B21"/>
    <w:rsid w:val="007B112A"/>
    <w:rsid w:val="007B6A3C"/>
    <w:rsid w:val="007B6C3E"/>
    <w:rsid w:val="007C0E2D"/>
    <w:rsid w:val="007C108E"/>
    <w:rsid w:val="007C5020"/>
    <w:rsid w:val="007C5CD2"/>
    <w:rsid w:val="007C5F35"/>
    <w:rsid w:val="007C659C"/>
    <w:rsid w:val="007D2735"/>
    <w:rsid w:val="007D4069"/>
    <w:rsid w:val="007D6106"/>
    <w:rsid w:val="007D6659"/>
    <w:rsid w:val="007D78EB"/>
    <w:rsid w:val="007D79DD"/>
    <w:rsid w:val="007E2C64"/>
    <w:rsid w:val="007E4D00"/>
    <w:rsid w:val="007F59F8"/>
    <w:rsid w:val="007F6812"/>
    <w:rsid w:val="007F696C"/>
    <w:rsid w:val="0080262E"/>
    <w:rsid w:val="00804040"/>
    <w:rsid w:val="00810F16"/>
    <w:rsid w:val="008135B8"/>
    <w:rsid w:val="00822B31"/>
    <w:rsid w:val="00822D8F"/>
    <w:rsid w:val="008302B1"/>
    <w:rsid w:val="00834B71"/>
    <w:rsid w:val="00835E26"/>
    <w:rsid w:val="00836603"/>
    <w:rsid w:val="008450BB"/>
    <w:rsid w:val="00845EEA"/>
    <w:rsid w:val="00855B82"/>
    <w:rsid w:val="008625C5"/>
    <w:rsid w:val="0086445C"/>
    <w:rsid w:val="00864E0C"/>
    <w:rsid w:val="00866625"/>
    <w:rsid w:val="00882161"/>
    <w:rsid w:val="00887BA6"/>
    <w:rsid w:val="00887D2B"/>
    <w:rsid w:val="00894AF3"/>
    <w:rsid w:val="008979CC"/>
    <w:rsid w:val="008A08D7"/>
    <w:rsid w:val="008A13F9"/>
    <w:rsid w:val="008A32A0"/>
    <w:rsid w:val="008A685C"/>
    <w:rsid w:val="008A7D2E"/>
    <w:rsid w:val="008B2ADF"/>
    <w:rsid w:val="008B4E04"/>
    <w:rsid w:val="008B57D4"/>
    <w:rsid w:val="008D0CC5"/>
    <w:rsid w:val="008D34C1"/>
    <w:rsid w:val="008D5DB6"/>
    <w:rsid w:val="008D7D8B"/>
    <w:rsid w:val="008D7FF9"/>
    <w:rsid w:val="008E0295"/>
    <w:rsid w:val="008E1550"/>
    <w:rsid w:val="008E56E2"/>
    <w:rsid w:val="008E6767"/>
    <w:rsid w:val="008F05D6"/>
    <w:rsid w:val="008F0A18"/>
    <w:rsid w:val="008F240E"/>
    <w:rsid w:val="008F2DDE"/>
    <w:rsid w:val="009018CD"/>
    <w:rsid w:val="00906890"/>
    <w:rsid w:val="009114B9"/>
    <w:rsid w:val="009155FD"/>
    <w:rsid w:val="00916396"/>
    <w:rsid w:val="00920E58"/>
    <w:rsid w:val="00923583"/>
    <w:rsid w:val="00924580"/>
    <w:rsid w:val="00926849"/>
    <w:rsid w:val="0093188E"/>
    <w:rsid w:val="0093623B"/>
    <w:rsid w:val="00936E8E"/>
    <w:rsid w:val="00937F97"/>
    <w:rsid w:val="00944ED2"/>
    <w:rsid w:val="00951972"/>
    <w:rsid w:val="00954087"/>
    <w:rsid w:val="00955D63"/>
    <w:rsid w:val="00956113"/>
    <w:rsid w:val="00962638"/>
    <w:rsid w:val="00963777"/>
    <w:rsid w:val="009668A8"/>
    <w:rsid w:val="00966D06"/>
    <w:rsid w:val="00966EF3"/>
    <w:rsid w:val="009673D3"/>
    <w:rsid w:val="0097077D"/>
    <w:rsid w:val="00972962"/>
    <w:rsid w:val="00973FF1"/>
    <w:rsid w:val="00974240"/>
    <w:rsid w:val="00982DC2"/>
    <w:rsid w:val="00983407"/>
    <w:rsid w:val="00984712"/>
    <w:rsid w:val="00984C4A"/>
    <w:rsid w:val="00985D56"/>
    <w:rsid w:val="00986ED7"/>
    <w:rsid w:val="00991667"/>
    <w:rsid w:val="009946B1"/>
    <w:rsid w:val="00994FAF"/>
    <w:rsid w:val="00997557"/>
    <w:rsid w:val="0099764C"/>
    <w:rsid w:val="009A0CED"/>
    <w:rsid w:val="009A155B"/>
    <w:rsid w:val="009A4820"/>
    <w:rsid w:val="009A6123"/>
    <w:rsid w:val="009A7E28"/>
    <w:rsid w:val="009B452A"/>
    <w:rsid w:val="009B4E5E"/>
    <w:rsid w:val="009B7687"/>
    <w:rsid w:val="009C68FD"/>
    <w:rsid w:val="009D3F6B"/>
    <w:rsid w:val="009E10DE"/>
    <w:rsid w:val="009E293D"/>
    <w:rsid w:val="009F3E4E"/>
    <w:rsid w:val="00A03DA8"/>
    <w:rsid w:val="00A1749B"/>
    <w:rsid w:val="00A17DFD"/>
    <w:rsid w:val="00A22192"/>
    <w:rsid w:val="00A444C1"/>
    <w:rsid w:val="00A44737"/>
    <w:rsid w:val="00A4659F"/>
    <w:rsid w:val="00A50B78"/>
    <w:rsid w:val="00A5149F"/>
    <w:rsid w:val="00A61D3E"/>
    <w:rsid w:val="00A63284"/>
    <w:rsid w:val="00A6535D"/>
    <w:rsid w:val="00A73CAA"/>
    <w:rsid w:val="00A75C68"/>
    <w:rsid w:val="00A771ED"/>
    <w:rsid w:val="00A81257"/>
    <w:rsid w:val="00A8278B"/>
    <w:rsid w:val="00A86255"/>
    <w:rsid w:val="00A91320"/>
    <w:rsid w:val="00A914C2"/>
    <w:rsid w:val="00A917B3"/>
    <w:rsid w:val="00AA2853"/>
    <w:rsid w:val="00AA2FCE"/>
    <w:rsid w:val="00AA49AE"/>
    <w:rsid w:val="00AA5EBB"/>
    <w:rsid w:val="00AA5F04"/>
    <w:rsid w:val="00AA745D"/>
    <w:rsid w:val="00AB4B51"/>
    <w:rsid w:val="00AC5A7F"/>
    <w:rsid w:val="00AC5EA8"/>
    <w:rsid w:val="00AD2275"/>
    <w:rsid w:val="00AD483F"/>
    <w:rsid w:val="00AD59C5"/>
    <w:rsid w:val="00AD74FC"/>
    <w:rsid w:val="00AE0E02"/>
    <w:rsid w:val="00AE0FAE"/>
    <w:rsid w:val="00AE4CC4"/>
    <w:rsid w:val="00AE7F49"/>
    <w:rsid w:val="00AF2660"/>
    <w:rsid w:val="00AF49A8"/>
    <w:rsid w:val="00AF53B9"/>
    <w:rsid w:val="00B01671"/>
    <w:rsid w:val="00B0548C"/>
    <w:rsid w:val="00B05917"/>
    <w:rsid w:val="00B07CC6"/>
    <w:rsid w:val="00B10CC7"/>
    <w:rsid w:val="00B24914"/>
    <w:rsid w:val="00B26DFE"/>
    <w:rsid w:val="00B327D0"/>
    <w:rsid w:val="00B338FD"/>
    <w:rsid w:val="00B3582D"/>
    <w:rsid w:val="00B43ED2"/>
    <w:rsid w:val="00B446A3"/>
    <w:rsid w:val="00B44AB5"/>
    <w:rsid w:val="00B46170"/>
    <w:rsid w:val="00B50EF4"/>
    <w:rsid w:val="00B511D3"/>
    <w:rsid w:val="00B52528"/>
    <w:rsid w:val="00B53538"/>
    <w:rsid w:val="00B54AD5"/>
    <w:rsid w:val="00B54F46"/>
    <w:rsid w:val="00B54F95"/>
    <w:rsid w:val="00B62458"/>
    <w:rsid w:val="00B64CC8"/>
    <w:rsid w:val="00B67394"/>
    <w:rsid w:val="00B67CD9"/>
    <w:rsid w:val="00B76AD7"/>
    <w:rsid w:val="00B84622"/>
    <w:rsid w:val="00B907F8"/>
    <w:rsid w:val="00B91B7E"/>
    <w:rsid w:val="00B9209B"/>
    <w:rsid w:val="00B92B34"/>
    <w:rsid w:val="00B953F0"/>
    <w:rsid w:val="00B959AB"/>
    <w:rsid w:val="00BA2292"/>
    <w:rsid w:val="00BA2A6B"/>
    <w:rsid w:val="00BA4FA1"/>
    <w:rsid w:val="00BA501F"/>
    <w:rsid w:val="00BA713C"/>
    <w:rsid w:val="00BB3D0C"/>
    <w:rsid w:val="00BB41CB"/>
    <w:rsid w:val="00BB7291"/>
    <w:rsid w:val="00BB7C01"/>
    <w:rsid w:val="00BC2881"/>
    <w:rsid w:val="00BC3F3B"/>
    <w:rsid w:val="00BC4D76"/>
    <w:rsid w:val="00BD33EE"/>
    <w:rsid w:val="00BD4BCF"/>
    <w:rsid w:val="00BD4E13"/>
    <w:rsid w:val="00BE20C0"/>
    <w:rsid w:val="00BE30A6"/>
    <w:rsid w:val="00BE31B1"/>
    <w:rsid w:val="00BE6B65"/>
    <w:rsid w:val="00BF5406"/>
    <w:rsid w:val="00C0534E"/>
    <w:rsid w:val="00C06055"/>
    <w:rsid w:val="00C07D01"/>
    <w:rsid w:val="00C10473"/>
    <w:rsid w:val="00C11188"/>
    <w:rsid w:val="00C13B87"/>
    <w:rsid w:val="00C174E6"/>
    <w:rsid w:val="00C17C51"/>
    <w:rsid w:val="00C2215B"/>
    <w:rsid w:val="00C2674C"/>
    <w:rsid w:val="00C272DD"/>
    <w:rsid w:val="00C27ECE"/>
    <w:rsid w:val="00C319F5"/>
    <w:rsid w:val="00C329D6"/>
    <w:rsid w:val="00C332AC"/>
    <w:rsid w:val="00C33381"/>
    <w:rsid w:val="00C36520"/>
    <w:rsid w:val="00C36922"/>
    <w:rsid w:val="00C36BC5"/>
    <w:rsid w:val="00C40CC9"/>
    <w:rsid w:val="00C4414B"/>
    <w:rsid w:val="00C457F6"/>
    <w:rsid w:val="00C5207E"/>
    <w:rsid w:val="00C56F6C"/>
    <w:rsid w:val="00C56FC7"/>
    <w:rsid w:val="00C60F0C"/>
    <w:rsid w:val="00C66AA2"/>
    <w:rsid w:val="00C76505"/>
    <w:rsid w:val="00C775EE"/>
    <w:rsid w:val="00C805C9"/>
    <w:rsid w:val="00C83981"/>
    <w:rsid w:val="00C85864"/>
    <w:rsid w:val="00C87211"/>
    <w:rsid w:val="00C92517"/>
    <w:rsid w:val="00CA1679"/>
    <w:rsid w:val="00CA1E36"/>
    <w:rsid w:val="00CA34B9"/>
    <w:rsid w:val="00CA4919"/>
    <w:rsid w:val="00CA5B39"/>
    <w:rsid w:val="00CA65A9"/>
    <w:rsid w:val="00CB43AF"/>
    <w:rsid w:val="00CB6F2D"/>
    <w:rsid w:val="00CC0B02"/>
    <w:rsid w:val="00CC0BBD"/>
    <w:rsid w:val="00CC3DD5"/>
    <w:rsid w:val="00CC69F8"/>
    <w:rsid w:val="00CD4963"/>
    <w:rsid w:val="00CD7EBB"/>
    <w:rsid w:val="00CE3F18"/>
    <w:rsid w:val="00CE5506"/>
    <w:rsid w:val="00CE5E58"/>
    <w:rsid w:val="00CF12C0"/>
    <w:rsid w:val="00CF23EF"/>
    <w:rsid w:val="00CF5848"/>
    <w:rsid w:val="00D03CCE"/>
    <w:rsid w:val="00D105CD"/>
    <w:rsid w:val="00D12C3F"/>
    <w:rsid w:val="00D13D18"/>
    <w:rsid w:val="00D16C27"/>
    <w:rsid w:val="00D17BD1"/>
    <w:rsid w:val="00D315F9"/>
    <w:rsid w:val="00D377FB"/>
    <w:rsid w:val="00D42D2A"/>
    <w:rsid w:val="00D454B3"/>
    <w:rsid w:val="00D46A80"/>
    <w:rsid w:val="00D4706E"/>
    <w:rsid w:val="00D5042C"/>
    <w:rsid w:val="00D56C68"/>
    <w:rsid w:val="00D60E6B"/>
    <w:rsid w:val="00D64848"/>
    <w:rsid w:val="00D6526F"/>
    <w:rsid w:val="00D67909"/>
    <w:rsid w:val="00D71168"/>
    <w:rsid w:val="00D71721"/>
    <w:rsid w:val="00D73806"/>
    <w:rsid w:val="00D76BB2"/>
    <w:rsid w:val="00D809C0"/>
    <w:rsid w:val="00D80BBB"/>
    <w:rsid w:val="00D81681"/>
    <w:rsid w:val="00D855C6"/>
    <w:rsid w:val="00D855F8"/>
    <w:rsid w:val="00D87489"/>
    <w:rsid w:val="00D90138"/>
    <w:rsid w:val="00D924EC"/>
    <w:rsid w:val="00D95EC9"/>
    <w:rsid w:val="00DA1AD8"/>
    <w:rsid w:val="00DA24E3"/>
    <w:rsid w:val="00DA620A"/>
    <w:rsid w:val="00DB1E81"/>
    <w:rsid w:val="00DB49D6"/>
    <w:rsid w:val="00DB7427"/>
    <w:rsid w:val="00DC18F5"/>
    <w:rsid w:val="00DC2E2D"/>
    <w:rsid w:val="00DC44E4"/>
    <w:rsid w:val="00DC4521"/>
    <w:rsid w:val="00DD4F0F"/>
    <w:rsid w:val="00DD5762"/>
    <w:rsid w:val="00DE00B5"/>
    <w:rsid w:val="00DE44AD"/>
    <w:rsid w:val="00DE7F15"/>
    <w:rsid w:val="00DF0338"/>
    <w:rsid w:val="00DF0B4A"/>
    <w:rsid w:val="00DF5618"/>
    <w:rsid w:val="00E042AE"/>
    <w:rsid w:val="00E11454"/>
    <w:rsid w:val="00E120B5"/>
    <w:rsid w:val="00E13790"/>
    <w:rsid w:val="00E13CCE"/>
    <w:rsid w:val="00E15CAC"/>
    <w:rsid w:val="00E20125"/>
    <w:rsid w:val="00E2635E"/>
    <w:rsid w:val="00E27775"/>
    <w:rsid w:val="00E30BC6"/>
    <w:rsid w:val="00E3364B"/>
    <w:rsid w:val="00E34B50"/>
    <w:rsid w:val="00E37585"/>
    <w:rsid w:val="00E46704"/>
    <w:rsid w:val="00E47407"/>
    <w:rsid w:val="00E477B6"/>
    <w:rsid w:val="00E477CF"/>
    <w:rsid w:val="00E5257B"/>
    <w:rsid w:val="00E64969"/>
    <w:rsid w:val="00E65268"/>
    <w:rsid w:val="00E6711A"/>
    <w:rsid w:val="00E714F0"/>
    <w:rsid w:val="00E73C05"/>
    <w:rsid w:val="00E73F76"/>
    <w:rsid w:val="00E77DF2"/>
    <w:rsid w:val="00E91758"/>
    <w:rsid w:val="00E94C4D"/>
    <w:rsid w:val="00EA164F"/>
    <w:rsid w:val="00EA4931"/>
    <w:rsid w:val="00EA676D"/>
    <w:rsid w:val="00EA6800"/>
    <w:rsid w:val="00EA78A6"/>
    <w:rsid w:val="00EA7EF6"/>
    <w:rsid w:val="00EB0F44"/>
    <w:rsid w:val="00EB202D"/>
    <w:rsid w:val="00EB3B3C"/>
    <w:rsid w:val="00EB4288"/>
    <w:rsid w:val="00EC1D58"/>
    <w:rsid w:val="00EC3983"/>
    <w:rsid w:val="00EC69AC"/>
    <w:rsid w:val="00ED3554"/>
    <w:rsid w:val="00ED3B0B"/>
    <w:rsid w:val="00ED537A"/>
    <w:rsid w:val="00ED573E"/>
    <w:rsid w:val="00EE24E5"/>
    <w:rsid w:val="00EF1360"/>
    <w:rsid w:val="00EF249A"/>
    <w:rsid w:val="00EF25CE"/>
    <w:rsid w:val="00EF3220"/>
    <w:rsid w:val="00EF49E3"/>
    <w:rsid w:val="00EF53CC"/>
    <w:rsid w:val="00EF617E"/>
    <w:rsid w:val="00EF63CA"/>
    <w:rsid w:val="00EF7CD5"/>
    <w:rsid w:val="00F02A37"/>
    <w:rsid w:val="00F0681D"/>
    <w:rsid w:val="00F113B4"/>
    <w:rsid w:val="00F11430"/>
    <w:rsid w:val="00F129ED"/>
    <w:rsid w:val="00F16377"/>
    <w:rsid w:val="00F17C25"/>
    <w:rsid w:val="00F23EB7"/>
    <w:rsid w:val="00F24416"/>
    <w:rsid w:val="00F2520E"/>
    <w:rsid w:val="00F30CCF"/>
    <w:rsid w:val="00F32439"/>
    <w:rsid w:val="00F32A0A"/>
    <w:rsid w:val="00F33F10"/>
    <w:rsid w:val="00F37024"/>
    <w:rsid w:val="00F37A2C"/>
    <w:rsid w:val="00F43DB2"/>
    <w:rsid w:val="00F44B33"/>
    <w:rsid w:val="00F4523F"/>
    <w:rsid w:val="00F46392"/>
    <w:rsid w:val="00F46AD4"/>
    <w:rsid w:val="00F51F75"/>
    <w:rsid w:val="00F540E2"/>
    <w:rsid w:val="00F54845"/>
    <w:rsid w:val="00F5569D"/>
    <w:rsid w:val="00F55C00"/>
    <w:rsid w:val="00F61582"/>
    <w:rsid w:val="00F62CB8"/>
    <w:rsid w:val="00F63B08"/>
    <w:rsid w:val="00F63E3F"/>
    <w:rsid w:val="00F64599"/>
    <w:rsid w:val="00F66054"/>
    <w:rsid w:val="00F7367A"/>
    <w:rsid w:val="00F74732"/>
    <w:rsid w:val="00F80B9D"/>
    <w:rsid w:val="00F8180D"/>
    <w:rsid w:val="00F94155"/>
    <w:rsid w:val="00F95EF2"/>
    <w:rsid w:val="00FB0D07"/>
    <w:rsid w:val="00FB1DDD"/>
    <w:rsid w:val="00FB305C"/>
    <w:rsid w:val="00FB69C4"/>
    <w:rsid w:val="00FC0E46"/>
    <w:rsid w:val="00FC37EE"/>
    <w:rsid w:val="00FC59AE"/>
    <w:rsid w:val="00FC5C55"/>
    <w:rsid w:val="00FC75AB"/>
    <w:rsid w:val="00FD2EF7"/>
    <w:rsid w:val="00FD4AD6"/>
    <w:rsid w:val="00FE12CC"/>
    <w:rsid w:val="00FE3268"/>
    <w:rsid w:val="00FF1E5D"/>
    <w:rsid w:val="00FF3B73"/>
    <w:rsid w:val="00FF40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C1331"/>
  <w15:docId w15:val="{DACA56BF-E602-4B35-8D41-58C2AD78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s refss,Texto de nota al pie,Appel note de bas de page,referencia nota al pie,BVI fnr,Footnote number,Ref. de nota al pie.,16 Point,Superscript 6 Point,Texto nota al pie,Footnote Reference Char3,Footnote symbol"/>
    <w:uiPriority w:val="99"/>
    <w:qFormat/>
    <w:rsid w:val="00BB3D0C"/>
    <w:rPr>
      <w:rFonts w:ascii="Times New Roman" w:hAnsi="Times New Roman"/>
      <w:sz w:val="18"/>
      <w:vertAlign w:val="superscript"/>
    </w:rPr>
  </w:style>
  <w:style w:type="paragraph" w:customStyle="1" w:styleId="HMG">
    <w:name w:val="_ H __M_G"/>
    <w:basedOn w:val="Normal"/>
    <w:next w:val="Normal"/>
    <w:link w:val="HMGChar"/>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rsid w:val="00BB3D0C"/>
    <w:pPr>
      <w:keepNext/>
      <w:keepLines/>
      <w:spacing w:before="240" w:after="240" w:line="580" w:lineRule="exact"/>
      <w:ind w:left="1134" w:right="1134"/>
    </w:pPr>
    <w:rPr>
      <w:b/>
      <w:sz w:val="56"/>
    </w:rPr>
  </w:style>
  <w:style w:type="paragraph" w:customStyle="1" w:styleId="SSG">
    <w:name w:val="__S_S_G"/>
    <w:basedOn w:val="Normal"/>
    <w:next w:val="Normal"/>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BB3D0C"/>
    <w:rPr>
      <w:sz w:val="16"/>
    </w:rPr>
  </w:style>
  <w:style w:type="paragraph" w:customStyle="1" w:styleId="XLargeG">
    <w:name w:val="__XLarge_G"/>
    <w:basedOn w:val="Normal"/>
    <w:next w:val="Normal"/>
    <w:rsid w:val="00BB3D0C"/>
    <w:pPr>
      <w:keepNext/>
      <w:keepLines/>
      <w:spacing w:before="240" w:after="240" w:line="420" w:lineRule="exact"/>
      <w:ind w:left="1134" w:right="1134"/>
    </w:pPr>
    <w:rPr>
      <w:b/>
      <w:sz w:val="40"/>
    </w:rPr>
  </w:style>
  <w:style w:type="paragraph" w:styleId="Textonotapie">
    <w:name w:val="footnote text"/>
    <w:aliases w:val="5_G,Footnote Text Char Char1,Footnote Text Char1 Char Char1,Footnote Text Char Char1 Char Char,Footnote Text Char1 Char Char1 Char Char,ft Char Char Char Char Char,Geneva 9 Char Char Char Char Char"/>
    <w:basedOn w:val="Normal"/>
    <w:link w:val="TextonotapieCar"/>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1"/>
      </w:numPr>
    </w:pPr>
  </w:style>
  <w:style w:type="numbering" w:styleId="1ai">
    <w:name w:val="Outline List 1"/>
    <w:basedOn w:val="Sinlista"/>
    <w:rsid w:val="00BB3D0C"/>
    <w:pPr>
      <w:numPr>
        <w:numId w:val="2"/>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3"/>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rsid w:val="00BB3D0C"/>
    <w:rPr>
      <w:color w:val="0000FF"/>
      <w:u w:val="none"/>
    </w:rPr>
  </w:style>
  <w:style w:type="paragraph" w:styleId="HTMLconformatoprevio">
    <w:name w:val="HTML Preformatted"/>
    <w:basedOn w:val="Normal"/>
    <w:link w:val="HTMLconformatoprevioCar"/>
    <w:uiPriority w:val="99"/>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13"/>
      </w:numPr>
    </w:pPr>
  </w:style>
  <w:style w:type="paragraph" w:styleId="Listaconnmeros2">
    <w:name w:val="List Number 2"/>
    <w:basedOn w:val="Normal"/>
    <w:semiHidden/>
    <w:rsid w:val="00BB3D0C"/>
    <w:pPr>
      <w:numPr>
        <w:numId w:val="14"/>
      </w:numPr>
    </w:pPr>
  </w:style>
  <w:style w:type="paragraph" w:styleId="Listaconnmeros3">
    <w:name w:val="List Number 3"/>
    <w:basedOn w:val="Normal"/>
    <w:semiHidden/>
    <w:rsid w:val="00BB3D0C"/>
    <w:pPr>
      <w:numPr>
        <w:numId w:val="15"/>
      </w:numPr>
    </w:pPr>
  </w:style>
  <w:style w:type="paragraph" w:styleId="Listaconnmeros4">
    <w:name w:val="List Number 4"/>
    <w:basedOn w:val="Normal"/>
    <w:semiHidden/>
    <w:rsid w:val="00BB3D0C"/>
    <w:pPr>
      <w:numPr>
        <w:numId w:val="16"/>
      </w:numPr>
    </w:pPr>
  </w:style>
  <w:style w:type="paragraph" w:styleId="Listaconnmeros5">
    <w:name w:val="List Number 5"/>
    <w:basedOn w:val="Normal"/>
    <w:semiHidden/>
    <w:rsid w:val="00BB3D0C"/>
    <w:pPr>
      <w:numPr>
        <w:numId w:val="17"/>
      </w:numPr>
    </w:pPr>
  </w:style>
  <w:style w:type="paragraph" w:styleId="Listaconvietas">
    <w:name w:val="List Bullet"/>
    <w:basedOn w:val="Normal"/>
    <w:semiHidden/>
    <w:rsid w:val="00BB3D0C"/>
    <w:pPr>
      <w:numPr>
        <w:numId w:val="8"/>
      </w:numPr>
    </w:pPr>
  </w:style>
  <w:style w:type="paragraph" w:styleId="Listaconvietas2">
    <w:name w:val="List Bullet 2"/>
    <w:basedOn w:val="Normal"/>
    <w:semiHidden/>
    <w:rsid w:val="00BB3D0C"/>
    <w:pPr>
      <w:numPr>
        <w:numId w:val="9"/>
      </w:numPr>
    </w:pPr>
  </w:style>
  <w:style w:type="paragraph" w:styleId="Listaconvietas3">
    <w:name w:val="List Bullet 3"/>
    <w:basedOn w:val="Normal"/>
    <w:semiHidden/>
    <w:rsid w:val="00BB3D0C"/>
    <w:pPr>
      <w:numPr>
        <w:numId w:val="10"/>
      </w:numPr>
    </w:pPr>
  </w:style>
  <w:style w:type="paragraph" w:styleId="Listaconvietas4">
    <w:name w:val="List Bullet 4"/>
    <w:basedOn w:val="Normal"/>
    <w:semiHidden/>
    <w:rsid w:val="00BB3D0C"/>
    <w:pPr>
      <w:numPr>
        <w:numId w:val="11"/>
      </w:numPr>
    </w:pPr>
  </w:style>
  <w:style w:type="paragraph" w:styleId="Listaconvietas5">
    <w:name w:val="List Bullet 5"/>
    <w:basedOn w:val="Normal"/>
    <w:semiHidden/>
    <w:rsid w:val="00BB3D0C"/>
    <w:pPr>
      <w:numPr>
        <w:numId w:val="12"/>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uiPriority w:val="99"/>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qFormat/>
    <w:rsid w:val="00BB3D0C"/>
    <w:rPr>
      <w:b/>
      <w:sz w:val="18"/>
    </w:rPr>
  </w:style>
  <w:style w:type="character" w:styleId="Refdenotaalfinal">
    <w:name w:val="endnote reference"/>
    <w:aliases w:val="1_G"/>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qFormat/>
    <w:rsid w:val="00BB3D0C"/>
    <w:pPr>
      <w:numPr>
        <w:numId w:val="4"/>
      </w:numPr>
      <w:spacing w:after="120"/>
      <w:ind w:right="1134"/>
      <w:jc w:val="both"/>
    </w:pPr>
    <w:rPr>
      <w:lang w:eastAsia="en-US"/>
    </w:rPr>
  </w:style>
  <w:style w:type="paragraph" w:customStyle="1" w:styleId="Bullet2G">
    <w:name w:val="_Bullet 2_G"/>
    <w:basedOn w:val="Normal"/>
    <w:qFormat/>
    <w:rsid w:val="00BB3D0C"/>
    <w:pPr>
      <w:numPr>
        <w:numId w:val="5"/>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qFormat/>
    <w:rsid w:val="00BB3D0C"/>
    <w:pPr>
      <w:numPr>
        <w:numId w:val="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7"/>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7"/>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Footnote Text Char Char1 Car,Footnote Text Char1 Char Char1 Car,Footnote Text Char Char1 Char Char Car,Footnote Text Char1 Char Char1 Char Char Car,ft Char Char Char Char Char Car,Geneva 9 Char Char Char Char Char Car"/>
    <w:basedOn w:val="Fuentedeprrafopredeter"/>
    <w:link w:val="Textonotapie"/>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uiPriority w:val="99"/>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customStyle="1" w:styleId="UnresolvedMention1">
    <w:name w:val="Unresolved Mention1"/>
    <w:basedOn w:val="Fuentedeprrafopredeter"/>
    <w:uiPriority w:val="99"/>
    <w:semiHidden/>
    <w:unhideWhenUsed/>
    <w:rsid w:val="00BB3D0C"/>
    <w:rPr>
      <w:color w:val="605E5C"/>
      <w:shd w:val="clear" w:color="auto" w:fill="E1DFDD"/>
    </w:rPr>
  </w:style>
  <w:style w:type="character" w:customStyle="1" w:styleId="HMGChar">
    <w:name w:val="_ H __M_G Char"/>
    <w:link w:val="HMG"/>
    <w:rsid w:val="00DD5762"/>
    <w:rPr>
      <w:b/>
      <w:sz w:val="34"/>
      <w:lang w:val="es-ES" w:eastAsia="es-ES"/>
    </w:rPr>
  </w:style>
  <w:style w:type="character" w:customStyle="1" w:styleId="HChGChar">
    <w:name w:val="_ H _Ch_G Char"/>
    <w:link w:val="HChG"/>
    <w:rsid w:val="00DD5762"/>
    <w:rPr>
      <w:b/>
      <w:sz w:val="28"/>
      <w:lang w:val="es-ES" w:eastAsia="es-ES"/>
    </w:rPr>
  </w:style>
  <w:style w:type="character" w:styleId="nfasisintenso">
    <w:name w:val="Intense Emphasis"/>
    <w:uiPriority w:val="21"/>
    <w:rsid w:val="00DD5762"/>
    <w:rPr>
      <w:b/>
      <w:bCs/>
      <w:i/>
      <w:iCs/>
      <w:color w:val="4F81BD"/>
    </w:rPr>
  </w:style>
  <w:style w:type="table" w:customStyle="1" w:styleId="Tablaconcuadrcula10">
    <w:name w:val="Tabla con cuadrícula1"/>
    <w:basedOn w:val="Tablanormal"/>
    <w:rsid w:val="00DD576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locked/>
    <w:rsid w:val="00DD5762"/>
    <w:rPr>
      <w:b/>
      <w:lang w:val="es-ES" w:eastAsia="es-ES"/>
    </w:rPr>
  </w:style>
  <w:style w:type="paragraph" w:customStyle="1" w:styleId="SingleTxt">
    <w:name w:val="__Single Txt"/>
    <w:basedOn w:val="Normal"/>
    <w:qFormat/>
    <w:rsid w:val="00DD576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spacing w:val="4"/>
      <w:w w:val="103"/>
      <w:kern w:val="14"/>
      <w:sz w:val="24"/>
      <w:szCs w:val="22"/>
      <w:lang w:val="es-AR" w:eastAsia="en-US"/>
    </w:rPr>
  </w:style>
  <w:style w:type="paragraph" w:styleId="Prrafodelista">
    <w:name w:val="List Paragraph"/>
    <w:basedOn w:val="Normal"/>
    <w:uiPriority w:val="34"/>
    <w:qFormat/>
    <w:rsid w:val="00DD5762"/>
    <w:pPr>
      <w:spacing w:line="240" w:lineRule="auto"/>
      <w:ind w:left="720"/>
      <w:contextualSpacing/>
    </w:pPr>
    <w:rPr>
      <w:sz w:val="24"/>
      <w:szCs w:val="24"/>
      <w:lang w:val="es-AR" w:eastAsia="es-ES_tradnl"/>
    </w:rPr>
  </w:style>
  <w:style w:type="character" w:styleId="Refdecomentario">
    <w:name w:val="annotation reference"/>
    <w:basedOn w:val="Fuentedeprrafopredeter"/>
    <w:semiHidden/>
    <w:unhideWhenUsed/>
    <w:rsid w:val="00DD5762"/>
    <w:rPr>
      <w:sz w:val="16"/>
      <w:szCs w:val="16"/>
    </w:rPr>
  </w:style>
  <w:style w:type="paragraph" w:styleId="Textocomentario">
    <w:name w:val="annotation text"/>
    <w:basedOn w:val="Normal"/>
    <w:link w:val="TextocomentarioCar"/>
    <w:unhideWhenUsed/>
    <w:rsid w:val="00DD5762"/>
    <w:pPr>
      <w:spacing w:line="240" w:lineRule="auto"/>
    </w:pPr>
    <w:rPr>
      <w:sz w:val="24"/>
      <w:szCs w:val="24"/>
      <w:lang w:val="es-AR" w:eastAsia="es-ES_tradnl"/>
    </w:rPr>
  </w:style>
  <w:style w:type="character" w:customStyle="1" w:styleId="TextocomentarioCar">
    <w:name w:val="Texto comentario Car"/>
    <w:basedOn w:val="Fuentedeprrafopredeter"/>
    <w:link w:val="Textocomentario"/>
    <w:rsid w:val="00DD5762"/>
    <w:rPr>
      <w:sz w:val="24"/>
      <w:szCs w:val="24"/>
      <w:lang w:val="es-AR" w:eastAsia="es-ES_tradnl"/>
    </w:rPr>
  </w:style>
  <w:style w:type="paragraph" w:styleId="Asuntodelcomentario">
    <w:name w:val="annotation subject"/>
    <w:basedOn w:val="Textocomentario"/>
    <w:next w:val="Textocomentario"/>
    <w:link w:val="AsuntodelcomentarioCar"/>
    <w:semiHidden/>
    <w:unhideWhenUsed/>
    <w:rsid w:val="00DD5762"/>
    <w:rPr>
      <w:b/>
      <w:bCs/>
    </w:rPr>
  </w:style>
  <w:style w:type="character" w:customStyle="1" w:styleId="AsuntodelcomentarioCar">
    <w:name w:val="Asunto del comentario Car"/>
    <w:basedOn w:val="TextocomentarioCar"/>
    <w:link w:val="Asuntodelcomentario"/>
    <w:semiHidden/>
    <w:rsid w:val="00DD5762"/>
    <w:rPr>
      <w:b/>
      <w:bCs/>
      <w:sz w:val="24"/>
      <w:szCs w:val="24"/>
      <w:lang w:val="es-AR" w:eastAsia="es-ES_tradnl"/>
    </w:rPr>
  </w:style>
  <w:style w:type="paragraph" w:styleId="Revisin">
    <w:name w:val="Revision"/>
    <w:hidden/>
    <w:uiPriority w:val="99"/>
    <w:semiHidden/>
    <w:rsid w:val="00DD5762"/>
    <w:rPr>
      <w:lang w:val="es-ES" w:eastAsia="es-ES"/>
    </w:rPr>
  </w:style>
  <w:style w:type="character" w:customStyle="1" w:styleId="normaltextrun">
    <w:name w:val="normaltextrun"/>
    <w:basedOn w:val="Fuentedeprrafopredeter"/>
    <w:rsid w:val="00BC4D76"/>
  </w:style>
  <w:style w:type="character" w:customStyle="1" w:styleId="eop">
    <w:name w:val="eop"/>
    <w:basedOn w:val="Fuentedeprrafopredeter"/>
    <w:rsid w:val="00BC4D76"/>
  </w:style>
  <w:style w:type="character" w:customStyle="1" w:styleId="UnresolvedMention2">
    <w:name w:val="Unresolved Mention2"/>
    <w:basedOn w:val="Fuentedeprrafopredeter"/>
    <w:uiPriority w:val="99"/>
    <w:semiHidden/>
    <w:unhideWhenUsed/>
    <w:rsid w:val="001F55C7"/>
    <w:rPr>
      <w:color w:val="605E5C"/>
      <w:shd w:val="clear" w:color="auto" w:fill="E1DFDD"/>
    </w:rPr>
  </w:style>
  <w:style w:type="character" w:styleId="Mencinsinresolver">
    <w:name w:val="Unresolved Mention"/>
    <w:basedOn w:val="Fuentedeprrafopredeter"/>
    <w:uiPriority w:val="99"/>
    <w:semiHidden/>
    <w:unhideWhenUsed/>
    <w:rsid w:val="00B44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822">
      <w:bodyDiv w:val="1"/>
      <w:marLeft w:val="0"/>
      <w:marRight w:val="0"/>
      <w:marTop w:val="0"/>
      <w:marBottom w:val="0"/>
      <w:divBdr>
        <w:top w:val="none" w:sz="0" w:space="0" w:color="auto"/>
        <w:left w:val="none" w:sz="0" w:space="0" w:color="auto"/>
        <w:bottom w:val="none" w:sz="0" w:space="0" w:color="auto"/>
        <w:right w:val="none" w:sz="0" w:space="0" w:color="auto"/>
      </w:divBdr>
    </w:div>
    <w:div w:id="78529914">
      <w:bodyDiv w:val="1"/>
      <w:marLeft w:val="0"/>
      <w:marRight w:val="0"/>
      <w:marTop w:val="0"/>
      <w:marBottom w:val="0"/>
      <w:divBdr>
        <w:top w:val="none" w:sz="0" w:space="0" w:color="auto"/>
        <w:left w:val="none" w:sz="0" w:space="0" w:color="auto"/>
        <w:bottom w:val="none" w:sz="0" w:space="0" w:color="auto"/>
        <w:right w:val="none" w:sz="0" w:space="0" w:color="auto"/>
      </w:divBdr>
    </w:div>
    <w:div w:id="100028122">
      <w:bodyDiv w:val="1"/>
      <w:marLeft w:val="0"/>
      <w:marRight w:val="0"/>
      <w:marTop w:val="0"/>
      <w:marBottom w:val="0"/>
      <w:divBdr>
        <w:top w:val="none" w:sz="0" w:space="0" w:color="auto"/>
        <w:left w:val="none" w:sz="0" w:space="0" w:color="auto"/>
        <w:bottom w:val="none" w:sz="0" w:space="0" w:color="auto"/>
        <w:right w:val="none" w:sz="0" w:space="0" w:color="auto"/>
      </w:divBdr>
      <w:divsChild>
        <w:div w:id="1019158346">
          <w:marLeft w:val="0"/>
          <w:marRight w:val="0"/>
          <w:marTop w:val="0"/>
          <w:marBottom w:val="450"/>
          <w:divBdr>
            <w:top w:val="none" w:sz="0" w:space="0" w:color="auto"/>
            <w:left w:val="none" w:sz="0" w:space="0" w:color="auto"/>
            <w:bottom w:val="none" w:sz="0" w:space="0" w:color="auto"/>
            <w:right w:val="none" w:sz="0" w:space="0" w:color="auto"/>
          </w:divBdr>
        </w:div>
        <w:div w:id="435713940">
          <w:marLeft w:val="-225"/>
          <w:marRight w:val="-225"/>
          <w:marTop w:val="0"/>
          <w:marBottom w:val="0"/>
          <w:divBdr>
            <w:top w:val="none" w:sz="0" w:space="0" w:color="auto"/>
            <w:left w:val="none" w:sz="0" w:space="0" w:color="auto"/>
            <w:bottom w:val="none" w:sz="0" w:space="0" w:color="auto"/>
            <w:right w:val="none" w:sz="0" w:space="0" w:color="auto"/>
          </w:divBdr>
          <w:divsChild>
            <w:div w:id="1646813151">
              <w:marLeft w:val="0"/>
              <w:marRight w:val="0"/>
              <w:marTop w:val="0"/>
              <w:marBottom w:val="0"/>
              <w:divBdr>
                <w:top w:val="none" w:sz="0" w:space="0" w:color="auto"/>
                <w:left w:val="none" w:sz="0" w:space="0" w:color="auto"/>
                <w:bottom w:val="none" w:sz="0" w:space="0" w:color="auto"/>
                <w:right w:val="none" w:sz="0" w:space="0" w:color="auto"/>
              </w:divBdr>
              <w:divsChild>
                <w:div w:id="153553164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72688333">
      <w:bodyDiv w:val="1"/>
      <w:marLeft w:val="0"/>
      <w:marRight w:val="0"/>
      <w:marTop w:val="0"/>
      <w:marBottom w:val="0"/>
      <w:divBdr>
        <w:top w:val="none" w:sz="0" w:space="0" w:color="auto"/>
        <w:left w:val="none" w:sz="0" w:space="0" w:color="auto"/>
        <w:bottom w:val="none" w:sz="0" w:space="0" w:color="auto"/>
        <w:right w:val="none" w:sz="0" w:space="0" w:color="auto"/>
      </w:divBdr>
    </w:div>
    <w:div w:id="243876802">
      <w:bodyDiv w:val="1"/>
      <w:marLeft w:val="0"/>
      <w:marRight w:val="0"/>
      <w:marTop w:val="0"/>
      <w:marBottom w:val="0"/>
      <w:divBdr>
        <w:top w:val="none" w:sz="0" w:space="0" w:color="auto"/>
        <w:left w:val="none" w:sz="0" w:space="0" w:color="auto"/>
        <w:bottom w:val="none" w:sz="0" w:space="0" w:color="auto"/>
        <w:right w:val="none" w:sz="0" w:space="0" w:color="auto"/>
      </w:divBdr>
    </w:div>
    <w:div w:id="261570762">
      <w:bodyDiv w:val="1"/>
      <w:marLeft w:val="0"/>
      <w:marRight w:val="0"/>
      <w:marTop w:val="0"/>
      <w:marBottom w:val="0"/>
      <w:divBdr>
        <w:top w:val="none" w:sz="0" w:space="0" w:color="auto"/>
        <w:left w:val="none" w:sz="0" w:space="0" w:color="auto"/>
        <w:bottom w:val="none" w:sz="0" w:space="0" w:color="auto"/>
        <w:right w:val="none" w:sz="0" w:space="0" w:color="auto"/>
      </w:divBdr>
    </w:div>
    <w:div w:id="296879264">
      <w:bodyDiv w:val="1"/>
      <w:marLeft w:val="0"/>
      <w:marRight w:val="0"/>
      <w:marTop w:val="0"/>
      <w:marBottom w:val="0"/>
      <w:divBdr>
        <w:top w:val="none" w:sz="0" w:space="0" w:color="auto"/>
        <w:left w:val="none" w:sz="0" w:space="0" w:color="auto"/>
        <w:bottom w:val="none" w:sz="0" w:space="0" w:color="auto"/>
        <w:right w:val="none" w:sz="0" w:space="0" w:color="auto"/>
      </w:divBdr>
    </w:div>
    <w:div w:id="317463309">
      <w:bodyDiv w:val="1"/>
      <w:marLeft w:val="0"/>
      <w:marRight w:val="0"/>
      <w:marTop w:val="0"/>
      <w:marBottom w:val="0"/>
      <w:divBdr>
        <w:top w:val="none" w:sz="0" w:space="0" w:color="auto"/>
        <w:left w:val="none" w:sz="0" w:space="0" w:color="auto"/>
        <w:bottom w:val="none" w:sz="0" w:space="0" w:color="auto"/>
        <w:right w:val="none" w:sz="0" w:space="0" w:color="auto"/>
      </w:divBdr>
    </w:div>
    <w:div w:id="346448292">
      <w:bodyDiv w:val="1"/>
      <w:marLeft w:val="0"/>
      <w:marRight w:val="0"/>
      <w:marTop w:val="0"/>
      <w:marBottom w:val="0"/>
      <w:divBdr>
        <w:top w:val="none" w:sz="0" w:space="0" w:color="auto"/>
        <w:left w:val="none" w:sz="0" w:space="0" w:color="auto"/>
        <w:bottom w:val="none" w:sz="0" w:space="0" w:color="auto"/>
        <w:right w:val="none" w:sz="0" w:space="0" w:color="auto"/>
      </w:divBdr>
    </w:div>
    <w:div w:id="398601514">
      <w:bodyDiv w:val="1"/>
      <w:marLeft w:val="0"/>
      <w:marRight w:val="0"/>
      <w:marTop w:val="0"/>
      <w:marBottom w:val="0"/>
      <w:divBdr>
        <w:top w:val="none" w:sz="0" w:space="0" w:color="auto"/>
        <w:left w:val="none" w:sz="0" w:space="0" w:color="auto"/>
        <w:bottom w:val="none" w:sz="0" w:space="0" w:color="auto"/>
        <w:right w:val="none" w:sz="0" w:space="0" w:color="auto"/>
      </w:divBdr>
    </w:div>
    <w:div w:id="446004989">
      <w:bodyDiv w:val="1"/>
      <w:marLeft w:val="0"/>
      <w:marRight w:val="0"/>
      <w:marTop w:val="0"/>
      <w:marBottom w:val="0"/>
      <w:divBdr>
        <w:top w:val="none" w:sz="0" w:space="0" w:color="auto"/>
        <w:left w:val="none" w:sz="0" w:space="0" w:color="auto"/>
        <w:bottom w:val="none" w:sz="0" w:space="0" w:color="auto"/>
        <w:right w:val="none" w:sz="0" w:space="0" w:color="auto"/>
      </w:divBdr>
    </w:div>
    <w:div w:id="476647794">
      <w:bodyDiv w:val="1"/>
      <w:marLeft w:val="0"/>
      <w:marRight w:val="0"/>
      <w:marTop w:val="0"/>
      <w:marBottom w:val="0"/>
      <w:divBdr>
        <w:top w:val="none" w:sz="0" w:space="0" w:color="auto"/>
        <w:left w:val="none" w:sz="0" w:space="0" w:color="auto"/>
        <w:bottom w:val="none" w:sz="0" w:space="0" w:color="auto"/>
        <w:right w:val="none" w:sz="0" w:space="0" w:color="auto"/>
      </w:divBdr>
    </w:div>
    <w:div w:id="505248867">
      <w:bodyDiv w:val="1"/>
      <w:marLeft w:val="0"/>
      <w:marRight w:val="0"/>
      <w:marTop w:val="0"/>
      <w:marBottom w:val="0"/>
      <w:divBdr>
        <w:top w:val="none" w:sz="0" w:space="0" w:color="auto"/>
        <w:left w:val="none" w:sz="0" w:space="0" w:color="auto"/>
        <w:bottom w:val="none" w:sz="0" w:space="0" w:color="auto"/>
        <w:right w:val="none" w:sz="0" w:space="0" w:color="auto"/>
      </w:divBdr>
    </w:div>
    <w:div w:id="580719515">
      <w:bodyDiv w:val="1"/>
      <w:marLeft w:val="0"/>
      <w:marRight w:val="0"/>
      <w:marTop w:val="0"/>
      <w:marBottom w:val="0"/>
      <w:divBdr>
        <w:top w:val="none" w:sz="0" w:space="0" w:color="auto"/>
        <w:left w:val="none" w:sz="0" w:space="0" w:color="auto"/>
        <w:bottom w:val="none" w:sz="0" w:space="0" w:color="auto"/>
        <w:right w:val="none" w:sz="0" w:space="0" w:color="auto"/>
      </w:divBdr>
    </w:div>
    <w:div w:id="692923103">
      <w:bodyDiv w:val="1"/>
      <w:marLeft w:val="0"/>
      <w:marRight w:val="0"/>
      <w:marTop w:val="0"/>
      <w:marBottom w:val="0"/>
      <w:divBdr>
        <w:top w:val="none" w:sz="0" w:space="0" w:color="auto"/>
        <w:left w:val="none" w:sz="0" w:space="0" w:color="auto"/>
        <w:bottom w:val="none" w:sz="0" w:space="0" w:color="auto"/>
        <w:right w:val="none" w:sz="0" w:space="0" w:color="auto"/>
      </w:divBdr>
    </w:div>
    <w:div w:id="720789930">
      <w:bodyDiv w:val="1"/>
      <w:marLeft w:val="0"/>
      <w:marRight w:val="0"/>
      <w:marTop w:val="0"/>
      <w:marBottom w:val="0"/>
      <w:divBdr>
        <w:top w:val="none" w:sz="0" w:space="0" w:color="auto"/>
        <w:left w:val="none" w:sz="0" w:space="0" w:color="auto"/>
        <w:bottom w:val="none" w:sz="0" w:space="0" w:color="auto"/>
        <w:right w:val="none" w:sz="0" w:space="0" w:color="auto"/>
      </w:divBdr>
    </w:div>
    <w:div w:id="726495934">
      <w:bodyDiv w:val="1"/>
      <w:marLeft w:val="0"/>
      <w:marRight w:val="0"/>
      <w:marTop w:val="0"/>
      <w:marBottom w:val="0"/>
      <w:divBdr>
        <w:top w:val="none" w:sz="0" w:space="0" w:color="auto"/>
        <w:left w:val="none" w:sz="0" w:space="0" w:color="auto"/>
        <w:bottom w:val="none" w:sz="0" w:space="0" w:color="auto"/>
        <w:right w:val="none" w:sz="0" w:space="0" w:color="auto"/>
      </w:divBdr>
    </w:div>
    <w:div w:id="926888384">
      <w:bodyDiv w:val="1"/>
      <w:marLeft w:val="0"/>
      <w:marRight w:val="0"/>
      <w:marTop w:val="0"/>
      <w:marBottom w:val="0"/>
      <w:divBdr>
        <w:top w:val="none" w:sz="0" w:space="0" w:color="auto"/>
        <w:left w:val="none" w:sz="0" w:space="0" w:color="auto"/>
        <w:bottom w:val="none" w:sz="0" w:space="0" w:color="auto"/>
        <w:right w:val="none" w:sz="0" w:space="0" w:color="auto"/>
      </w:divBdr>
    </w:div>
    <w:div w:id="953169644">
      <w:bodyDiv w:val="1"/>
      <w:marLeft w:val="0"/>
      <w:marRight w:val="0"/>
      <w:marTop w:val="0"/>
      <w:marBottom w:val="0"/>
      <w:divBdr>
        <w:top w:val="none" w:sz="0" w:space="0" w:color="auto"/>
        <w:left w:val="none" w:sz="0" w:space="0" w:color="auto"/>
        <w:bottom w:val="none" w:sz="0" w:space="0" w:color="auto"/>
        <w:right w:val="none" w:sz="0" w:space="0" w:color="auto"/>
      </w:divBdr>
    </w:div>
    <w:div w:id="953289322">
      <w:bodyDiv w:val="1"/>
      <w:marLeft w:val="0"/>
      <w:marRight w:val="0"/>
      <w:marTop w:val="0"/>
      <w:marBottom w:val="0"/>
      <w:divBdr>
        <w:top w:val="none" w:sz="0" w:space="0" w:color="auto"/>
        <w:left w:val="none" w:sz="0" w:space="0" w:color="auto"/>
        <w:bottom w:val="none" w:sz="0" w:space="0" w:color="auto"/>
        <w:right w:val="none" w:sz="0" w:space="0" w:color="auto"/>
      </w:divBdr>
    </w:div>
    <w:div w:id="960501891">
      <w:bodyDiv w:val="1"/>
      <w:marLeft w:val="0"/>
      <w:marRight w:val="0"/>
      <w:marTop w:val="0"/>
      <w:marBottom w:val="0"/>
      <w:divBdr>
        <w:top w:val="none" w:sz="0" w:space="0" w:color="auto"/>
        <w:left w:val="none" w:sz="0" w:space="0" w:color="auto"/>
        <w:bottom w:val="none" w:sz="0" w:space="0" w:color="auto"/>
        <w:right w:val="none" w:sz="0" w:space="0" w:color="auto"/>
      </w:divBdr>
    </w:div>
    <w:div w:id="1001081028">
      <w:bodyDiv w:val="1"/>
      <w:marLeft w:val="0"/>
      <w:marRight w:val="0"/>
      <w:marTop w:val="0"/>
      <w:marBottom w:val="0"/>
      <w:divBdr>
        <w:top w:val="none" w:sz="0" w:space="0" w:color="auto"/>
        <w:left w:val="none" w:sz="0" w:space="0" w:color="auto"/>
        <w:bottom w:val="none" w:sz="0" w:space="0" w:color="auto"/>
        <w:right w:val="none" w:sz="0" w:space="0" w:color="auto"/>
      </w:divBdr>
      <w:divsChild>
        <w:div w:id="398527119">
          <w:marLeft w:val="0"/>
          <w:marRight w:val="0"/>
          <w:marTop w:val="0"/>
          <w:marBottom w:val="450"/>
          <w:divBdr>
            <w:top w:val="none" w:sz="0" w:space="0" w:color="auto"/>
            <w:left w:val="none" w:sz="0" w:space="0" w:color="auto"/>
            <w:bottom w:val="none" w:sz="0" w:space="0" w:color="auto"/>
            <w:right w:val="none" w:sz="0" w:space="0" w:color="auto"/>
          </w:divBdr>
        </w:div>
      </w:divsChild>
    </w:div>
    <w:div w:id="1031612959">
      <w:bodyDiv w:val="1"/>
      <w:marLeft w:val="0"/>
      <w:marRight w:val="0"/>
      <w:marTop w:val="0"/>
      <w:marBottom w:val="0"/>
      <w:divBdr>
        <w:top w:val="none" w:sz="0" w:space="0" w:color="auto"/>
        <w:left w:val="none" w:sz="0" w:space="0" w:color="auto"/>
        <w:bottom w:val="none" w:sz="0" w:space="0" w:color="auto"/>
        <w:right w:val="none" w:sz="0" w:space="0" w:color="auto"/>
      </w:divBdr>
    </w:div>
    <w:div w:id="1035695653">
      <w:bodyDiv w:val="1"/>
      <w:marLeft w:val="0"/>
      <w:marRight w:val="0"/>
      <w:marTop w:val="0"/>
      <w:marBottom w:val="0"/>
      <w:divBdr>
        <w:top w:val="none" w:sz="0" w:space="0" w:color="auto"/>
        <w:left w:val="none" w:sz="0" w:space="0" w:color="auto"/>
        <w:bottom w:val="none" w:sz="0" w:space="0" w:color="auto"/>
        <w:right w:val="none" w:sz="0" w:space="0" w:color="auto"/>
      </w:divBdr>
    </w:div>
    <w:div w:id="1054819620">
      <w:bodyDiv w:val="1"/>
      <w:marLeft w:val="0"/>
      <w:marRight w:val="0"/>
      <w:marTop w:val="0"/>
      <w:marBottom w:val="0"/>
      <w:divBdr>
        <w:top w:val="none" w:sz="0" w:space="0" w:color="auto"/>
        <w:left w:val="none" w:sz="0" w:space="0" w:color="auto"/>
        <w:bottom w:val="none" w:sz="0" w:space="0" w:color="auto"/>
        <w:right w:val="none" w:sz="0" w:space="0" w:color="auto"/>
      </w:divBdr>
    </w:div>
    <w:div w:id="1075862748">
      <w:bodyDiv w:val="1"/>
      <w:marLeft w:val="0"/>
      <w:marRight w:val="0"/>
      <w:marTop w:val="0"/>
      <w:marBottom w:val="0"/>
      <w:divBdr>
        <w:top w:val="none" w:sz="0" w:space="0" w:color="auto"/>
        <w:left w:val="none" w:sz="0" w:space="0" w:color="auto"/>
        <w:bottom w:val="none" w:sz="0" w:space="0" w:color="auto"/>
        <w:right w:val="none" w:sz="0" w:space="0" w:color="auto"/>
      </w:divBdr>
    </w:div>
    <w:div w:id="1117676646">
      <w:bodyDiv w:val="1"/>
      <w:marLeft w:val="0"/>
      <w:marRight w:val="0"/>
      <w:marTop w:val="0"/>
      <w:marBottom w:val="0"/>
      <w:divBdr>
        <w:top w:val="none" w:sz="0" w:space="0" w:color="auto"/>
        <w:left w:val="none" w:sz="0" w:space="0" w:color="auto"/>
        <w:bottom w:val="none" w:sz="0" w:space="0" w:color="auto"/>
        <w:right w:val="none" w:sz="0" w:space="0" w:color="auto"/>
      </w:divBdr>
    </w:div>
    <w:div w:id="1141003527">
      <w:bodyDiv w:val="1"/>
      <w:marLeft w:val="0"/>
      <w:marRight w:val="0"/>
      <w:marTop w:val="0"/>
      <w:marBottom w:val="0"/>
      <w:divBdr>
        <w:top w:val="none" w:sz="0" w:space="0" w:color="auto"/>
        <w:left w:val="none" w:sz="0" w:space="0" w:color="auto"/>
        <w:bottom w:val="none" w:sz="0" w:space="0" w:color="auto"/>
        <w:right w:val="none" w:sz="0" w:space="0" w:color="auto"/>
      </w:divBdr>
    </w:div>
    <w:div w:id="1151362434">
      <w:bodyDiv w:val="1"/>
      <w:marLeft w:val="0"/>
      <w:marRight w:val="0"/>
      <w:marTop w:val="0"/>
      <w:marBottom w:val="0"/>
      <w:divBdr>
        <w:top w:val="none" w:sz="0" w:space="0" w:color="auto"/>
        <w:left w:val="none" w:sz="0" w:space="0" w:color="auto"/>
        <w:bottom w:val="none" w:sz="0" w:space="0" w:color="auto"/>
        <w:right w:val="none" w:sz="0" w:space="0" w:color="auto"/>
      </w:divBdr>
    </w:div>
    <w:div w:id="1162895419">
      <w:bodyDiv w:val="1"/>
      <w:marLeft w:val="0"/>
      <w:marRight w:val="0"/>
      <w:marTop w:val="0"/>
      <w:marBottom w:val="0"/>
      <w:divBdr>
        <w:top w:val="none" w:sz="0" w:space="0" w:color="auto"/>
        <w:left w:val="none" w:sz="0" w:space="0" w:color="auto"/>
        <w:bottom w:val="none" w:sz="0" w:space="0" w:color="auto"/>
        <w:right w:val="none" w:sz="0" w:space="0" w:color="auto"/>
      </w:divBdr>
    </w:div>
    <w:div w:id="1202744334">
      <w:bodyDiv w:val="1"/>
      <w:marLeft w:val="0"/>
      <w:marRight w:val="0"/>
      <w:marTop w:val="0"/>
      <w:marBottom w:val="0"/>
      <w:divBdr>
        <w:top w:val="none" w:sz="0" w:space="0" w:color="auto"/>
        <w:left w:val="none" w:sz="0" w:space="0" w:color="auto"/>
        <w:bottom w:val="none" w:sz="0" w:space="0" w:color="auto"/>
        <w:right w:val="none" w:sz="0" w:space="0" w:color="auto"/>
      </w:divBdr>
    </w:div>
    <w:div w:id="1205370141">
      <w:bodyDiv w:val="1"/>
      <w:marLeft w:val="0"/>
      <w:marRight w:val="0"/>
      <w:marTop w:val="0"/>
      <w:marBottom w:val="0"/>
      <w:divBdr>
        <w:top w:val="none" w:sz="0" w:space="0" w:color="auto"/>
        <w:left w:val="none" w:sz="0" w:space="0" w:color="auto"/>
        <w:bottom w:val="none" w:sz="0" w:space="0" w:color="auto"/>
        <w:right w:val="none" w:sz="0" w:space="0" w:color="auto"/>
      </w:divBdr>
    </w:div>
    <w:div w:id="1302031407">
      <w:bodyDiv w:val="1"/>
      <w:marLeft w:val="0"/>
      <w:marRight w:val="0"/>
      <w:marTop w:val="0"/>
      <w:marBottom w:val="0"/>
      <w:divBdr>
        <w:top w:val="none" w:sz="0" w:space="0" w:color="auto"/>
        <w:left w:val="none" w:sz="0" w:space="0" w:color="auto"/>
        <w:bottom w:val="none" w:sz="0" w:space="0" w:color="auto"/>
        <w:right w:val="none" w:sz="0" w:space="0" w:color="auto"/>
      </w:divBdr>
    </w:div>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 w:id="1372924065">
      <w:bodyDiv w:val="1"/>
      <w:marLeft w:val="0"/>
      <w:marRight w:val="0"/>
      <w:marTop w:val="0"/>
      <w:marBottom w:val="0"/>
      <w:divBdr>
        <w:top w:val="none" w:sz="0" w:space="0" w:color="auto"/>
        <w:left w:val="none" w:sz="0" w:space="0" w:color="auto"/>
        <w:bottom w:val="none" w:sz="0" w:space="0" w:color="auto"/>
        <w:right w:val="none" w:sz="0" w:space="0" w:color="auto"/>
      </w:divBdr>
    </w:div>
    <w:div w:id="1377196224">
      <w:bodyDiv w:val="1"/>
      <w:marLeft w:val="0"/>
      <w:marRight w:val="0"/>
      <w:marTop w:val="0"/>
      <w:marBottom w:val="0"/>
      <w:divBdr>
        <w:top w:val="none" w:sz="0" w:space="0" w:color="auto"/>
        <w:left w:val="none" w:sz="0" w:space="0" w:color="auto"/>
        <w:bottom w:val="none" w:sz="0" w:space="0" w:color="auto"/>
        <w:right w:val="none" w:sz="0" w:space="0" w:color="auto"/>
      </w:divBdr>
    </w:div>
    <w:div w:id="1473524982">
      <w:bodyDiv w:val="1"/>
      <w:marLeft w:val="0"/>
      <w:marRight w:val="0"/>
      <w:marTop w:val="0"/>
      <w:marBottom w:val="0"/>
      <w:divBdr>
        <w:top w:val="none" w:sz="0" w:space="0" w:color="auto"/>
        <w:left w:val="none" w:sz="0" w:space="0" w:color="auto"/>
        <w:bottom w:val="none" w:sz="0" w:space="0" w:color="auto"/>
        <w:right w:val="none" w:sz="0" w:space="0" w:color="auto"/>
      </w:divBdr>
    </w:div>
    <w:div w:id="1485511124">
      <w:bodyDiv w:val="1"/>
      <w:marLeft w:val="0"/>
      <w:marRight w:val="0"/>
      <w:marTop w:val="0"/>
      <w:marBottom w:val="0"/>
      <w:divBdr>
        <w:top w:val="none" w:sz="0" w:space="0" w:color="auto"/>
        <w:left w:val="none" w:sz="0" w:space="0" w:color="auto"/>
        <w:bottom w:val="none" w:sz="0" w:space="0" w:color="auto"/>
        <w:right w:val="none" w:sz="0" w:space="0" w:color="auto"/>
      </w:divBdr>
    </w:div>
    <w:div w:id="1496458475">
      <w:bodyDiv w:val="1"/>
      <w:marLeft w:val="0"/>
      <w:marRight w:val="0"/>
      <w:marTop w:val="0"/>
      <w:marBottom w:val="0"/>
      <w:divBdr>
        <w:top w:val="none" w:sz="0" w:space="0" w:color="auto"/>
        <w:left w:val="none" w:sz="0" w:space="0" w:color="auto"/>
        <w:bottom w:val="none" w:sz="0" w:space="0" w:color="auto"/>
        <w:right w:val="none" w:sz="0" w:space="0" w:color="auto"/>
      </w:divBdr>
    </w:div>
    <w:div w:id="1509245917">
      <w:bodyDiv w:val="1"/>
      <w:marLeft w:val="0"/>
      <w:marRight w:val="0"/>
      <w:marTop w:val="0"/>
      <w:marBottom w:val="0"/>
      <w:divBdr>
        <w:top w:val="none" w:sz="0" w:space="0" w:color="auto"/>
        <w:left w:val="none" w:sz="0" w:space="0" w:color="auto"/>
        <w:bottom w:val="none" w:sz="0" w:space="0" w:color="auto"/>
        <w:right w:val="none" w:sz="0" w:space="0" w:color="auto"/>
      </w:divBdr>
      <w:divsChild>
        <w:div w:id="283271378">
          <w:marLeft w:val="0"/>
          <w:marRight w:val="0"/>
          <w:marTop w:val="0"/>
          <w:marBottom w:val="450"/>
          <w:divBdr>
            <w:top w:val="none" w:sz="0" w:space="0" w:color="auto"/>
            <w:left w:val="none" w:sz="0" w:space="0" w:color="auto"/>
            <w:bottom w:val="none" w:sz="0" w:space="0" w:color="auto"/>
            <w:right w:val="none" w:sz="0" w:space="0" w:color="auto"/>
          </w:divBdr>
        </w:div>
      </w:divsChild>
    </w:div>
    <w:div w:id="1510102334">
      <w:bodyDiv w:val="1"/>
      <w:marLeft w:val="0"/>
      <w:marRight w:val="0"/>
      <w:marTop w:val="0"/>
      <w:marBottom w:val="0"/>
      <w:divBdr>
        <w:top w:val="none" w:sz="0" w:space="0" w:color="auto"/>
        <w:left w:val="none" w:sz="0" w:space="0" w:color="auto"/>
        <w:bottom w:val="none" w:sz="0" w:space="0" w:color="auto"/>
        <w:right w:val="none" w:sz="0" w:space="0" w:color="auto"/>
      </w:divBdr>
    </w:div>
    <w:div w:id="1524050899">
      <w:bodyDiv w:val="1"/>
      <w:marLeft w:val="0"/>
      <w:marRight w:val="0"/>
      <w:marTop w:val="0"/>
      <w:marBottom w:val="0"/>
      <w:divBdr>
        <w:top w:val="none" w:sz="0" w:space="0" w:color="auto"/>
        <w:left w:val="none" w:sz="0" w:space="0" w:color="auto"/>
        <w:bottom w:val="none" w:sz="0" w:space="0" w:color="auto"/>
        <w:right w:val="none" w:sz="0" w:space="0" w:color="auto"/>
      </w:divBdr>
    </w:div>
    <w:div w:id="1574315653">
      <w:bodyDiv w:val="1"/>
      <w:marLeft w:val="0"/>
      <w:marRight w:val="0"/>
      <w:marTop w:val="0"/>
      <w:marBottom w:val="0"/>
      <w:divBdr>
        <w:top w:val="none" w:sz="0" w:space="0" w:color="auto"/>
        <w:left w:val="none" w:sz="0" w:space="0" w:color="auto"/>
        <w:bottom w:val="none" w:sz="0" w:space="0" w:color="auto"/>
        <w:right w:val="none" w:sz="0" w:space="0" w:color="auto"/>
      </w:divBdr>
    </w:div>
    <w:div w:id="1655990122">
      <w:bodyDiv w:val="1"/>
      <w:marLeft w:val="0"/>
      <w:marRight w:val="0"/>
      <w:marTop w:val="0"/>
      <w:marBottom w:val="0"/>
      <w:divBdr>
        <w:top w:val="none" w:sz="0" w:space="0" w:color="auto"/>
        <w:left w:val="none" w:sz="0" w:space="0" w:color="auto"/>
        <w:bottom w:val="none" w:sz="0" w:space="0" w:color="auto"/>
        <w:right w:val="none" w:sz="0" w:space="0" w:color="auto"/>
      </w:divBdr>
    </w:div>
    <w:div w:id="1671909423">
      <w:bodyDiv w:val="1"/>
      <w:marLeft w:val="0"/>
      <w:marRight w:val="0"/>
      <w:marTop w:val="0"/>
      <w:marBottom w:val="0"/>
      <w:divBdr>
        <w:top w:val="none" w:sz="0" w:space="0" w:color="auto"/>
        <w:left w:val="none" w:sz="0" w:space="0" w:color="auto"/>
        <w:bottom w:val="none" w:sz="0" w:space="0" w:color="auto"/>
        <w:right w:val="none" w:sz="0" w:space="0" w:color="auto"/>
      </w:divBdr>
    </w:div>
    <w:div w:id="1743797740">
      <w:bodyDiv w:val="1"/>
      <w:marLeft w:val="0"/>
      <w:marRight w:val="0"/>
      <w:marTop w:val="0"/>
      <w:marBottom w:val="0"/>
      <w:divBdr>
        <w:top w:val="none" w:sz="0" w:space="0" w:color="auto"/>
        <w:left w:val="none" w:sz="0" w:space="0" w:color="auto"/>
        <w:bottom w:val="none" w:sz="0" w:space="0" w:color="auto"/>
        <w:right w:val="none" w:sz="0" w:space="0" w:color="auto"/>
      </w:divBdr>
    </w:div>
    <w:div w:id="1839878591">
      <w:bodyDiv w:val="1"/>
      <w:marLeft w:val="0"/>
      <w:marRight w:val="0"/>
      <w:marTop w:val="0"/>
      <w:marBottom w:val="0"/>
      <w:divBdr>
        <w:top w:val="none" w:sz="0" w:space="0" w:color="auto"/>
        <w:left w:val="none" w:sz="0" w:space="0" w:color="auto"/>
        <w:bottom w:val="none" w:sz="0" w:space="0" w:color="auto"/>
        <w:right w:val="none" w:sz="0" w:space="0" w:color="auto"/>
      </w:divBdr>
    </w:div>
    <w:div w:id="1910535178">
      <w:bodyDiv w:val="1"/>
      <w:marLeft w:val="0"/>
      <w:marRight w:val="0"/>
      <w:marTop w:val="0"/>
      <w:marBottom w:val="0"/>
      <w:divBdr>
        <w:top w:val="none" w:sz="0" w:space="0" w:color="auto"/>
        <w:left w:val="none" w:sz="0" w:space="0" w:color="auto"/>
        <w:bottom w:val="none" w:sz="0" w:space="0" w:color="auto"/>
        <w:right w:val="none" w:sz="0" w:space="0" w:color="auto"/>
      </w:divBdr>
    </w:div>
    <w:div w:id="1920795503">
      <w:bodyDiv w:val="1"/>
      <w:marLeft w:val="0"/>
      <w:marRight w:val="0"/>
      <w:marTop w:val="0"/>
      <w:marBottom w:val="0"/>
      <w:divBdr>
        <w:top w:val="none" w:sz="0" w:space="0" w:color="auto"/>
        <w:left w:val="none" w:sz="0" w:space="0" w:color="auto"/>
        <w:bottom w:val="none" w:sz="0" w:space="0" w:color="auto"/>
        <w:right w:val="none" w:sz="0" w:space="0" w:color="auto"/>
      </w:divBdr>
    </w:div>
    <w:div w:id="1940720407">
      <w:bodyDiv w:val="1"/>
      <w:marLeft w:val="0"/>
      <w:marRight w:val="0"/>
      <w:marTop w:val="0"/>
      <w:marBottom w:val="0"/>
      <w:divBdr>
        <w:top w:val="none" w:sz="0" w:space="0" w:color="auto"/>
        <w:left w:val="none" w:sz="0" w:space="0" w:color="auto"/>
        <w:bottom w:val="none" w:sz="0" w:space="0" w:color="auto"/>
        <w:right w:val="none" w:sz="0" w:space="0" w:color="auto"/>
      </w:divBdr>
    </w:div>
    <w:div w:id="1988779041">
      <w:bodyDiv w:val="1"/>
      <w:marLeft w:val="0"/>
      <w:marRight w:val="0"/>
      <w:marTop w:val="0"/>
      <w:marBottom w:val="0"/>
      <w:divBdr>
        <w:top w:val="none" w:sz="0" w:space="0" w:color="auto"/>
        <w:left w:val="none" w:sz="0" w:space="0" w:color="auto"/>
        <w:bottom w:val="none" w:sz="0" w:space="0" w:color="auto"/>
        <w:right w:val="none" w:sz="0" w:space="0" w:color="auto"/>
      </w:divBdr>
    </w:div>
    <w:div w:id="2043630487">
      <w:bodyDiv w:val="1"/>
      <w:marLeft w:val="0"/>
      <w:marRight w:val="0"/>
      <w:marTop w:val="0"/>
      <w:marBottom w:val="0"/>
      <w:divBdr>
        <w:top w:val="none" w:sz="0" w:space="0" w:color="auto"/>
        <w:left w:val="none" w:sz="0" w:space="0" w:color="auto"/>
        <w:bottom w:val="none" w:sz="0" w:space="0" w:color="auto"/>
        <w:right w:val="none" w:sz="0" w:space="0" w:color="auto"/>
      </w:divBdr>
    </w:div>
    <w:div w:id="2079941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tbinternet.ohchr.org/_layouts/15/treatybodyexternal/Download.aspx?symbolno=CCPR%2FC%2FSR.3966&amp;Lang=en" TargetMode="External"/><Relationship Id="rId2" Type="http://schemas.openxmlformats.org/officeDocument/2006/relationships/hyperlink" Target="https://tbinternet.ohchr.org/_layouts/15/treatybodyexternal/Download.aspx?symbolno=CCPR%2FC%2FSR.3964&amp;Lang=en" TargetMode="External"/><Relationship Id="rId1" Type="http://schemas.openxmlformats.org/officeDocument/2006/relationships/hyperlink" Target="https://undocs.org/Home/Mobile?FinalSymbol=CCPR%2FC%2FPER%2F6&amp;Language=E&amp;DeviceType=Desktop&amp;LangRequested=False" TargetMode="External"/><Relationship Id="rId6" Type="http://schemas.openxmlformats.org/officeDocument/2006/relationships/hyperlink" Target="https://tbinternet.ohchr.org/_layouts/15/treatybodyexternal/Download.aspx?symbolno=CCPR%2FC%2FPER%2FCO%2F5&amp;Lang=en" TargetMode="External"/><Relationship Id="rId5" Type="http://schemas.openxmlformats.org/officeDocument/2006/relationships/hyperlink" Target="https://tbinternet.ohchr.org/_layouts/15/treatybodyexternal/Download.aspx?symbolno=CCPR%2FC%2FPER%2FQPR%2F6&amp;Lang=en" TargetMode="External"/><Relationship Id="rId4" Type="http://schemas.openxmlformats.org/officeDocument/2006/relationships/hyperlink" Target="https://tbinternet.ohchr.org/_layouts/15/treatybodyexternal/Download.aspx?symbolno=CCPR%2FC%2FSR.3968&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A5DB7-8F39-493E-A8DE-F201EB0A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7531</Words>
  <Characters>40556</Characters>
  <Application>Microsoft Office Word</Application>
  <DocSecurity>0</DocSecurity>
  <Lines>640</Lines>
  <Paragraphs>145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CCPR/C/ISR/CO/R.5</vt:lpstr>
      <vt:lpstr>CCPR/C/ISR/CO/R.5</vt:lpstr>
    </vt:vector>
  </TitlesOfParts>
  <Company/>
  <LinksUpToDate>false</LinksUpToDate>
  <CharactersWithSpaces>48085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CCPR/C/PER/CO/6</dc:title>
  <dc:subject/>
  <dc:creator>Romina Valeria MERINO MAC-KAY</dc:creator>
  <cp:keywords/>
  <cp:lastModifiedBy>Angel Moreno Torres</cp:lastModifiedBy>
  <cp:revision>5</cp:revision>
  <cp:lastPrinted>2023-04-05T12:54:00Z</cp:lastPrinted>
  <dcterms:created xsi:type="dcterms:W3CDTF">2023-04-05T12:54:00Z</dcterms:created>
  <dcterms:modified xsi:type="dcterms:W3CDTF">2023-04-05T12:54:00Z</dcterms:modified>
</cp:coreProperties>
</file>