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481780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0C86203" w14:textId="77777777" w:rsidR="002D5AAC" w:rsidRDefault="002D5AAC" w:rsidP="00D327A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264D92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1EB21EE" w14:textId="56D7B378" w:rsidR="002D5AAC" w:rsidRDefault="00D327A6" w:rsidP="00D327A6">
            <w:pPr>
              <w:jc w:val="right"/>
            </w:pPr>
            <w:r w:rsidRPr="00D327A6">
              <w:rPr>
                <w:sz w:val="40"/>
              </w:rPr>
              <w:t>CCPR</w:t>
            </w:r>
            <w:r>
              <w:t>/C/URY/CO/6</w:t>
            </w:r>
          </w:p>
        </w:tc>
      </w:tr>
      <w:tr w:rsidR="002D5AAC" w:rsidRPr="00BA5762" w14:paraId="0B4C87C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E5C8A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07B259E" wp14:editId="5F5EC94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50A0E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4F000F6" w14:textId="77777777" w:rsidR="002D5AAC" w:rsidRPr="00D327A6" w:rsidRDefault="00D327A6" w:rsidP="00BC3629">
            <w:pPr>
              <w:spacing w:before="240"/>
              <w:rPr>
                <w:lang w:val="en-US"/>
              </w:rPr>
            </w:pPr>
            <w:r w:rsidRPr="00D327A6">
              <w:rPr>
                <w:lang w:val="en-US"/>
              </w:rPr>
              <w:t>Distr.: General</w:t>
            </w:r>
          </w:p>
          <w:p w14:paraId="7986BE77" w14:textId="77777777" w:rsidR="00D327A6" w:rsidRPr="00D327A6" w:rsidRDefault="00D327A6" w:rsidP="00D327A6">
            <w:pPr>
              <w:spacing w:line="240" w:lineRule="exact"/>
              <w:rPr>
                <w:lang w:val="en-US"/>
              </w:rPr>
            </w:pPr>
            <w:r w:rsidRPr="00D327A6">
              <w:rPr>
                <w:lang w:val="en-US"/>
              </w:rPr>
              <w:t>3 October 2022</w:t>
            </w:r>
          </w:p>
          <w:p w14:paraId="3526F6BC" w14:textId="77777777" w:rsidR="00D327A6" w:rsidRPr="00D327A6" w:rsidRDefault="00D327A6" w:rsidP="00D327A6">
            <w:pPr>
              <w:spacing w:line="240" w:lineRule="exact"/>
              <w:rPr>
                <w:lang w:val="en-US"/>
              </w:rPr>
            </w:pPr>
            <w:r w:rsidRPr="00D327A6">
              <w:rPr>
                <w:lang w:val="en-US"/>
              </w:rPr>
              <w:t>Russian</w:t>
            </w:r>
          </w:p>
          <w:p w14:paraId="3F3910F6" w14:textId="1990DEB3" w:rsidR="00D327A6" w:rsidRPr="00D327A6" w:rsidRDefault="00D327A6" w:rsidP="00D327A6">
            <w:pPr>
              <w:spacing w:line="240" w:lineRule="exact"/>
              <w:rPr>
                <w:lang w:val="en-US"/>
              </w:rPr>
            </w:pPr>
            <w:r w:rsidRPr="00D327A6">
              <w:rPr>
                <w:lang w:val="en-US"/>
              </w:rPr>
              <w:t>Original: Spanish</w:t>
            </w:r>
          </w:p>
        </w:tc>
      </w:tr>
    </w:tbl>
    <w:p w14:paraId="66C013DD" w14:textId="77777777" w:rsidR="00AF23B7" w:rsidRPr="00AF23B7" w:rsidRDefault="00AF23B7" w:rsidP="00AF23B7">
      <w:pPr>
        <w:spacing w:before="120"/>
        <w:rPr>
          <w:b/>
          <w:sz w:val="24"/>
          <w:szCs w:val="24"/>
        </w:rPr>
      </w:pPr>
      <w:r w:rsidRPr="00AF23B7">
        <w:rPr>
          <w:b/>
          <w:bCs/>
          <w:sz w:val="24"/>
          <w:szCs w:val="24"/>
        </w:rPr>
        <w:t>Комитет по правам человека</w:t>
      </w:r>
    </w:p>
    <w:p w14:paraId="71C6E93D" w14:textId="77777777" w:rsidR="00AF23B7" w:rsidRPr="00773F95" w:rsidRDefault="00AF23B7" w:rsidP="00AF23B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Уругвая</w:t>
      </w:r>
      <w:r w:rsidRPr="00BA511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6EEAED6" w14:textId="7E37B016" w:rsidR="00AF23B7" w:rsidRPr="00773F95" w:rsidRDefault="00AF23B7" w:rsidP="00AF23B7">
      <w:pPr>
        <w:pStyle w:val="SingleTxtG"/>
      </w:pPr>
      <w:r>
        <w:t>1.</w:t>
      </w:r>
      <w:r>
        <w:tab/>
        <w:t>Комитет рассмотрел шестой периодический доклад Уругвая</w:t>
      </w:r>
      <w:r>
        <w:rPr>
          <w:rStyle w:val="aa"/>
        </w:rPr>
        <w:footnoteReference w:id="2"/>
      </w:r>
      <w:r>
        <w:t xml:space="preserve"> на своих 3882-м и 3883-м заседаниях</w:t>
      </w:r>
      <w:r>
        <w:rPr>
          <w:rStyle w:val="aa"/>
        </w:rPr>
        <w:footnoteReference w:id="3"/>
      </w:r>
      <w:r>
        <w:t>, состоявшихся 30 июня и 1 июля 2022 года. На своем</w:t>
      </w:r>
      <w:r w:rsidR="00BA5111">
        <w:br/>
      </w:r>
      <w:r>
        <w:t>3908-м заседании, состоявшемся 20 июля 2022 года, Комитет принял настоящие заключительные замечания.</w:t>
      </w:r>
    </w:p>
    <w:p w14:paraId="3DB63450" w14:textId="77777777" w:rsidR="00AF23B7" w:rsidRPr="00773F95" w:rsidRDefault="00AF23B7" w:rsidP="00AF23B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201C28C" w14:textId="396B3B99" w:rsidR="00AF23B7" w:rsidRPr="00773F95" w:rsidRDefault="00AF23B7" w:rsidP="00AF23B7">
      <w:pPr>
        <w:pStyle w:val="SingleTxtG"/>
      </w:pPr>
      <w:r>
        <w:t>2.</w:t>
      </w:r>
      <w:r>
        <w:tab/>
        <w:t>Комитет приветствует представление шестого периодического доклада Уругвая и содержащуюся в нем информацию. Он выражает признательность за возможность возобновить конструктивный и открытый диалог с делегацией высокого уровня государства-участника. Комитет высоко оценивает предоставленную информацию о мерах, принятых в рассматриваемый период для осуществления положений Пакта. Комитет выражает признательность государству-участнику за согласие следовать упрощенной процедуре представления докладов и за представление своего шестого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>
        <w:rPr>
          <w:rStyle w:val="aa"/>
        </w:rPr>
        <w:footnoteReference w:id="4"/>
      </w:r>
      <w:r>
        <w:t>. Комитет с удовлетворением отмечает возможность возобновить с делегацией высокого уровня государства-участника конструктивный диалог о мерах, принятых в рассматриваемый период для осуществления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информацию.</w:t>
      </w:r>
    </w:p>
    <w:p w14:paraId="68913465" w14:textId="0299FE33" w:rsidR="00AF23B7" w:rsidRPr="00773F95" w:rsidRDefault="00AF23B7" w:rsidP="00AF23B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  <w:r>
        <w:t xml:space="preserve"> </w:t>
      </w:r>
    </w:p>
    <w:p w14:paraId="25940818" w14:textId="4AF2F682" w:rsidR="00AF23B7" w:rsidRPr="00773F95" w:rsidRDefault="00AF23B7" w:rsidP="00AF23B7">
      <w:pPr>
        <w:pStyle w:val="SingleTxtG"/>
        <w:rPr>
          <w:rFonts w:eastAsia="Calibri"/>
        </w:rPr>
      </w:pPr>
      <w:r>
        <w:t>3.</w:t>
      </w:r>
      <w:r>
        <w:tab/>
        <w:t xml:space="preserve">Комитет приветствует принятые государством-участником следующие законодательные и институциональные меры: </w:t>
      </w:r>
    </w:p>
    <w:p w14:paraId="3B074ECB" w14:textId="68B99FA6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a)</w:t>
      </w:r>
      <w:r w:rsidR="00AF23B7">
        <w:tab/>
        <w:t xml:space="preserve">создание на основании Закона № 19.889 от 9 июля 2020 года Национального управления по вопросам гендерной политики при Министерстве внутренних дел; </w:t>
      </w:r>
    </w:p>
    <w:p w14:paraId="2266A5ED" w14:textId="77543323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b)</w:t>
      </w:r>
      <w:r w:rsidR="00AF23B7">
        <w:tab/>
        <w:t>принятие Закона № 19.822 от 18 сентября 2019 года, который возлагает на Национальный институт по правам человека и Управление Народного защитника задачу по поиску лиц, задержанных и пропавших без вести в период с 1968 по 1985</w:t>
      </w:r>
      <w:r>
        <w:t> </w:t>
      </w:r>
      <w:r w:rsidR="00AF23B7">
        <w:t xml:space="preserve">год; </w:t>
      </w:r>
    </w:p>
    <w:p w14:paraId="56F84951" w14:textId="743AC610" w:rsidR="00AF23B7" w:rsidRPr="00773F95" w:rsidRDefault="00CE2E02" w:rsidP="00AF23B7">
      <w:pPr>
        <w:pStyle w:val="SingleTxtG"/>
        <w:rPr>
          <w:rFonts w:eastAsia="Calibri"/>
        </w:rPr>
      </w:pPr>
      <w:r>
        <w:lastRenderedPageBreak/>
        <w:tab/>
      </w:r>
      <w:r w:rsidR="00AF23B7">
        <w:t>c)</w:t>
      </w:r>
      <w:r w:rsidR="00AF23B7">
        <w:tab/>
        <w:t xml:space="preserve">принятие Закона № 19.682 от 26 октября 2018 года о признании и защите лиц без гражданства; </w:t>
      </w:r>
    </w:p>
    <w:p w14:paraId="0E218890" w14:textId="0DCD59DD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d)</w:t>
      </w:r>
      <w:r w:rsidR="00AF23B7">
        <w:tab/>
        <w:t>принятие Закона № 19.684 от 26 октября 2018 года, который устанавливает меры профилактики, помощи, защиты и возмещения ущерба с целью искоренения дискриминации и стигматизации трансгендерных людей;</w:t>
      </w:r>
    </w:p>
    <w:p w14:paraId="3780B183" w14:textId="19FD251D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e)</w:t>
      </w:r>
      <w:r w:rsidR="00AF23B7">
        <w:tab/>
        <w:t>принятие Закона № 19.643 от 20 июля 2018 года о предотвращении торговли людьми и борьбе с ней;</w:t>
      </w:r>
    </w:p>
    <w:p w14:paraId="5F26C714" w14:textId="6C9170F2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f)</w:t>
      </w:r>
      <w:r w:rsidR="00AF23B7">
        <w:tab/>
        <w:t>преобразование 25-й уголовной прокуратуры Монтевидео в Специализированную прокуратуру по преступлениям против человечности решением</w:t>
      </w:r>
      <w:r>
        <w:t> </w:t>
      </w:r>
      <w:r w:rsidR="00AF23B7">
        <w:t xml:space="preserve">№ 75/018 от 21 февраля 2018 года; </w:t>
      </w:r>
    </w:p>
    <w:p w14:paraId="6DB037F5" w14:textId="6E52DE65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g)</w:t>
      </w:r>
      <w:r w:rsidR="00AF23B7">
        <w:tab/>
        <w:t xml:space="preserve">включение процедуры хабеас корпус </w:t>
      </w:r>
      <w:r>
        <w:t>«</w:t>
      </w:r>
      <w:r w:rsidR="00AF23B7">
        <w:t>для защиты лишенных свободы лиц от пыток и других видов жестокого обращения и от унижающих достоинство условий содержания под стражей</w:t>
      </w:r>
      <w:r>
        <w:t>»</w:t>
      </w:r>
      <w:r w:rsidR="00AF23B7">
        <w:t xml:space="preserve"> в новый Уголовно-процессуальный кодекс 2017</w:t>
      </w:r>
      <w:r>
        <w:t> </w:t>
      </w:r>
      <w:r w:rsidR="00AF23B7">
        <w:t xml:space="preserve">года; </w:t>
      </w:r>
    </w:p>
    <w:p w14:paraId="1C5FAF36" w14:textId="0D1F90E9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h)</w:t>
      </w:r>
      <w:r w:rsidR="00AF23B7">
        <w:tab/>
        <w:t xml:space="preserve">принятие Закона № 19.580 от 22 декабря 2017 года о борьбе с гендерным насилием в отношении женщин; </w:t>
      </w:r>
    </w:p>
    <w:p w14:paraId="1DD1722D" w14:textId="0F06E788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i)</w:t>
      </w:r>
      <w:r w:rsidR="00AF23B7">
        <w:tab/>
        <w:t>принятие Закона № 19.538 от 18 октября 2017 года, в котором факт убийства женщины рассматривается в качестве отягчающего обстоятельства при убийстве;</w:t>
      </w:r>
    </w:p>
    <w:p w14:paraId="0715EDBC" w14:textId="16ECF851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j)</w:t>
      </w:r>
      <w:r w:rsidR="00AF23B7">
        <w:tab/>
        <w:t>принятие Закона № 19.555 от 9 ноября 2017 года, в котором равноправное участие лиц обоих полов в работе выборных органов на национальном уровне и на уровне департаментов, а также в руководстве политическими партиями признается представляющим общий интерес;</w:t>
      </w:r>
    </w:p>
    <w:p w14:paraId="6F4E006A" w14:textId="20A9885D" w:rsidR="00AF23B7" w:rsidRPr="00773F95" w:rsidRDefault="00CE2E02" w:rsidP="00AF23B7">
      <w:pPr>
        <w:pStyle w:val="SingleTxtG"/>
        <w:rPr>
          <w:rFonts w:eastAsia="Calibri"/>
        </w:rPr>
      </w:pPr>
      <w:r>
        <w:tab/>
      </w:r>
      <w:r w:rsidR="00AF23B7">
        <w:t>k)</w:t>
      </w:r>
      <w:r w:rsidR="00AF23B7">
        <w:tab/>
        <w:t>создание в 2015 году Рабочей группы по установлению истины и восстановлению справедливости для решения проблемы безнаказанности в связи с преступлениями, совершенными в период с 1968 по 1985 год.</w:t>
      </w:r>
    </w:p>
    <w:p w14:paraId="1E72C86A" w14:textId="705B6EC5" w:rsidR="00AF23B7" w:rsidRPr="00CE2E02" w:rsidRDefault="00AF23B7" w:rsidP="00CE2E02">
      <w:pPr>
        <w:pStyle w:val="H1G"/>
      </w:pPr>
      <w:r w:rsidRPr="00CE2E02">
        <w:tab/>
        <w:t>C.</w:t>
      </w:r>
      <w:r w:rsidRPr="00CE2E02">
        <w:tab/>
        <w:t>Основные вопросы, вызывающие обеспокоенность, и</w:t>
      </w:r>
      <w:r w:rsidR="00CE2E02">
        <w:t> </w:t>
      </w:r>
      <w:r w:rsidRPr="00CE2E02">
        <w:t>рекомендации</w:t>
      </w:r>
    </w:p>
    <w:p w14:paraId="347F3F2F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Система мониторинга рекомендаций</w:t>
      </w:r>
    </w:p>
    <w:p w14:paraId="10A7BC27" w14:textId="77777777" w:rsidR="00AF23B7" w:rsidRPr="00773F95" w:rsidRDefault="00AF23B7" w:rsidP="00AF23B7">
      <w:pPr>
        <w:pStyle w:val="SingleTxtG"/>
      </w:pPr>
      <w:r>
        <w:t>4.</w:t>
      </w:r>
      <w:r>
        <w:tab/>
        <w:t>Комитет приветствует внедрение Системы мониторинга рекомендаций и создание Межучрежденческой сети по подготовке докладов и последующей деятельности по выполнению рекомендаций и замечаний в области прав человека, созданной в ноябре 2016 года. Комитет, однако, отмечает, что государство-участник не обеспечило устойчивое использование этого инструмента и не подготовило полную статистическую информацию о степени выполнения рекомендаций Комитета и других правозащитных органов при достаточном участии гражданского общества.</w:t>
      </w:r>
    </w:p>
    <w:p w14:paraId="0DE9E1FD" w14:textId="77777777" w:rsidR="00AF23B7" w:rsidRPr="00773F95" w:rsidRDefault="00AF23B7" w:rsidP="00AF23B7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вновь заявляет о необходимости укрепления Системы мониторинга рекомендаций, а также подготовки и публикации статистической оценки степени выполнения рекомендаций и замечаний в области прав человека, гарантируя участие гражданского общества в этом процессе.</w:t>
      </w:r>
    </w:p>
    <w:p w14:paraId="608F54C4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75B3C355" w14:textId="7760A3A7" w:rsidR="00AF23B7" w:rsidRPr="00773F95" w:rsidRDefault="00AF23B7" w:rsidP="00AF23B7">
      <w:pPr>
        <w:pStyle w:val="SingleTxtG"/>
      </w:pPr>
      <w:r>
        <w:t>6.</w:t>
      </w:r>
      <w:r>
        <w:tab/>
        <w:t xml:space="preserve">Комитет признает многочисленные усилия государства-участника в борьбе с дискриминацией, включая создание Национального консультативного совета по вопросам этнического и расового равноправия и лиц африканского происхождения, разработку и принятие Национального плана по обеспечению расового равенства и соблюдению интересов лиц африканского происхождения и создание конкретных механизмов по борьбе с проявлениями расовой дискриминации, включая Рабочую группу по этнической и расовой политике и Почетную комиссию по борьбе с расизмом, ксенофобией и любыми другими формами дискриминации. Вместе с тем Комитет обеспокоен уязвимостью лиц африканского происхождения и коренных </w:t>
      </w:r>
      <w:r>
        <w:lastRenderedPageBreak/>
        <w:t>народов и сохраняющейся структурной дискриминацией в их отношении, особенно в отношении женщин и девочек, в сферах образования, занятости, здравоохранения и общественной жизни, что проявляется в виде нищеты и социальной изоляции (статьи</w:t>
      </w:r>
      <w:r w:rsidR="007A60BF">
        <w:t> </w:t>
      </w:r>
      <w:r>
        <w:t>2, 3, 16, 25, 26 и 27).</w:t>
      </w:r>
    </w:p>
    <w:p w14:paraId="0C5995CF" w14:textId="77777777" w:rsidR="00AF23B7" w:rsidRPr="00773F95" w:rsidRDefault="00AF23B7" w:rsidP="00AF23B7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3D4D879" w14:textId="2B53EDC7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удвоить свои усилия с целью предотвращения и искоренения всех форм дискриминации, особенно расовой дискриминации, и борьбы с ними, в частности за счет выделения достаточных ресурсов для полноценного осуществления своих антидискриминационных планов и стратегий;</w:t>
      </w:r>
      <w:r w:rsidR="00AF23B7">
        <w:t xml:space="preserve"> </w:t>
      </w:r>
    </w:p>
    <w:p w14:paraId="77819596" w14:textId="4DD5AA9B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активизировать проведение образовательно-просветительских кампаний среди населения, а также программ подготовки для государственного и частного секторов и преподавательского состава с целью поощрения толерантности и уважения многообразия;</w:t>
      </w:r>
      <w:r w:rsidR="00AF23B7">
        <w:t xml:space="preserve"> </w:t>
      </w:r>
    </w:p>
    <w:p w14:paraId="41549075" w14:textId="06360147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как можно скорее принять новый национальный план по борьбе с расизмом и дискриминацией и приступить к его осуществлению;</w:t>
      </w:r>
    </w:p>
    <w:p w14:paraId="6436A0CF" w14:textId="60DBBD7C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d)</w:t>
      </w:r>
      <w:r w:rsidR="00AF23B7">
        <w:tab/>
      </w:r>
      <w:r w:rsidR="00AF23B7">
        <w:rPr>
          <w:b/>
          <w:bCs/>
        </w:rPr>
        <w:t>принять срочные меры для того, чтобы обеспечить соблюдение установленной годовой 8-процентной квоты для населения африканского происхождения в сферах образования и труда.</w:t>
      </w:r>
      <w:r w:rsidR="00AF23B7">
        <w:t xml:space="preserve"> </w:t>
      </w:r>
    </w:p>
    <w:p w14:paraId="1EC409E8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Люди с инвалидностью</w:t>
      </w:r>
    </w:p>
    <w:p w14:paraId="61BCC18D" w14:textId="77777777" w:rsidR="00AF23B7" w:rsidRPr="00773F95" w:rsidRDefault="00AF23B7" w:rsidP="00AF23B7">
      <w:pPr>
        <w:pStyle w:val="SingleTxtG"/>
      </w:pPr>
      <w:r>
        <w:t>8.</w:t>
      </w:r>
      <w:r>
        <w:tab/>
        <w:t>Комитет приветствует принятие Закона № 19.691 о содействии трудоустройству людей с инвалидностью. Однако он обеспокоен сохраняющимся неравенством и препятствиями, с которыми сталкиваются люди с инвалидностью в государстве-участнике. В частности, Комитет обеспокоен:</w:t>
      </w:r>
    </w:p>
    <w:p w14:paraId="215A27E0" w14:textId="69011CD4" w:rsidR="00AF23B7" w:rsidRPr="00773F95" w:rsidRDefault="0040499C" w:rsidP="00AF23B7">
      <w:pPr>
        <w:pStyle w:val="SingleTxtG"/>
      </w:pPr>
      <w:r>
        <w:tab/>
      </w:r>
      <w:r w:rsidR="00AF23B7">
        <w:t>a)</w:t>
      </w:r>
      <w:r w:rsidR="00AF23B7">
        <w:tab/>
        <w:t>тем, что на участие в социальной и общественной жизни людей с инвалидностью серьезно влияет отсутствие доступности в том, что касается информационно-коммуникационных технологий и</w:t>
      </w:r>
      <w:r w:rsidR="00AF23B7">
        <w:rPr>
          <w:b/>
          <w:bCs/>
        </w:rPr>
        <w:t xml:space="preserve"> </w:t>
      </w:r>
      <w:r w:rsidR="00AF23B7">
        <w:t xml:space="preserve">физической среды, включая транспорт, услуги и общественные места; </w:t>
      </w:r>
    </w:p>
    <w:p w14:paraId="1AB87433" w14:textId="45D731E3" w:rsidR="00AF23B7" w:rsidRPr="00773F95" w:rsidRDefault="0040499C" w:rsidP="00AF23B7">
      <w:pPr>
        <w:pStyle w:val="SingleTxtG"/>
      </w:pPr>
      <w:r>
        <w:tab/>
      </w:r>
      <w:r w:rsidR="00AF23B7">
        <w:t>b)</w:t>
      </w:r>
      <w:r w:rsidR="00AF23B7">
        <w:tab/>
        <w:t>тем, что хотя Закон № 19.691 требует соблюдения 4-процентной квоты при устройстве на работу в государственном и частном секторах, эта квота не была достигнута; например, в 2020 году только 0,4</w:t>
      </w:r>
      <w:r>
        <w:t xml:space="preserve"> </w:t>
      </w:r>
      <w:r w:rsidR="00AF23B7">
        <w:t xml:space="preserve">% от всех сотрудников, принятых на государственную службу, составляли люди с инвалидностью; </w:t>
      </w:r>
    </w:p>
    <w:p w14:paraId="314E885E" w14:textId="6BA1B86A" w:rsidR="00AF23B7" w:rsidRPr="00773F95" w:rsidRDefault="0040499C" w:rsidP="00AF23B7">
      <w:pPr>
        <w:pStyle w:val="SingleTxtG"/>
      </w:pPr>
      <w:r>
        <w:tab/>
      </w:r>
      <w:r w:rsidR="00AF23B7">
        <w:t>c)</w:t>
      </w:r>
      <w:r w:rsidR="00AF23B7">
        <w:tab/>
        <w:t xml:space="preserve">информацией о том, что люди с инвалидностью не могут реализовать свое право на тайное голосование из-за проблем с доступностью и необеспечением разумного приспособления на избирательных участках, несмотря на положения Закона № 19.790 (статьи 2, 3, 16, 25, 26 и 27). </w:t>
      </w:r>
    </w:p>
    <w:p w14:paraId="2CD24EB3" w14:textId="77777777" w:rsidR="00AF23B7" w:rsidRPr="00773F95" w:rsidRDefault="00AF23B7" w:rsidP="00AF23B7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принять меры по борьбе с дискриминацией, предрассудками и негативными стереотипами, с которыми сталкиваются люди с инвалидностью, в том числе в законодательстве, государственной политике и программах, а также в сфере занятости в государственном и частном секторах.</w:t>
      </w:r>
      <w:r>
        <w:t xml:space="preserve"> </w:t>
      </w:r>
      <w:r>
        <w:rPr>
          <w:b/>
          <w:bCs/>
        </w:rPr>
        <w:t>В частности, Комитет призывает государство-участник:</w:t>
      </w:r>
    </w:p>
    <w:p w14:paraId="1B21E69F" w14:textId="362CAA60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разработать комплексный план по обеспечению доступности физической среды, включая общественный транспорт, для более эффективного доступа к государственным услугам для людей с инвалидностью;</w:t>
      </w:r>
    </w:p>
    <w:p w14:paraId="7E992113" w14:textId="6A91060E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удвоить свои усилия по интеграции людей с инвалидностью на рынке труда с целью поощрения и расширения их постоянной занятости и принять законодательные меры, предусматривающие меры наказания в случае недостаточного уровня соблюдения установленных законом квот;</w:t>
      </w:r>
    </w:p>
    <w:p w14:paraId="5396C266" w14:textId="58A2377A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 xml:space="preserve">гарантировать доступ к физической среде и информационно-коммуникационным технологиям для людей с инвалидностью на избирательных участках в целях соблюдения их права на свободное и тайное голосование, а </w:t>
      </w:r>
      <w:r w:rsidR="00AF23B7">
        <w:rPr>
          <w:b/>
          <w:bCs/>
        </w:rPr>
        <w:lastRenderedPageBreak/>
        <w:t>также повысить уровень подготовки государственных служащих, работающих на этих участках, по вопросам доступности и разумного приспособления.</w:t>
      </w:r>
      <w:r w:rsidR="00AF23B7">
        <w:t xml:space="preserve"> </w:t>
      </w:r>
    </w:p>
    <w:p w14:paraId="59AC9D7E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</w:p>
    <w:p w14:paraId="4E22CDD4" w14:textId="77777777" w:rsidR="00AF23B7" w:rsidRPr="00773F95" w:rsidRDefault="00AF23B7" w:rsidP="00AF23B7">
      <w:pPr>
        <w:pStyle w:val="SingleTxtG"/>
      </w:pPr>
      <w:r>
        <w:t>10.</w:t>
      </w:r>
      <w:r>
        <w:tab/>
        <w:t>Несмотря на многочисленные законодательные и нормативные инициативы, Комитет обеспокоен стигматизацией лесбиянок, геев, бисексуалов, трансгендеров и интерсексуалов в государстве-участнике и дискриминационным отношением к ним, в том числе случаями запугивания и насилия в школах (статьи 7, 17 и 26).</w:t>
      </w:r>
    </w:p>
    <w:p w14:paraId="283F1CCD" w14:textId="77777777" w:rsidR="00AF23B7" w:rsidRPr="00773F95" w:rsidRDefault="00AF23B7" w:rsidP="00AF23B7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Государству-участнику следует удвоить свои усилия по борьбе со стереотипами и предрассудками в отношении лесбиянок, геев, бисексуалов, трансгендеров и интерсексуалов и принять меры для эффективного устранения расхождений между законодательством и практикой, в частности в сферах образования и здравоохранения, на рабочем месте и в общественном пространстве;</w:t>
      </w:r>
      <w:r>
        <w:t xml:space="preserve"> </w:t>
      </w:r>
      <w:r>
        <w:rPr>
          <w:b/>
          <w:bCs/>
        </w:rPr>
        <w:t>а также для того, чтобы преступления, совершенные в связи с сексуальной ориентацией или гендерной идентичностью жертвы, оперативно расследовались, виновные привлекались к ответственности и несли соответствующее наказание, а жертвы получали полную компенсацию.</w:t>
      </w:r>
    </w:p>
    <w:p w14:paraId="1840B5B3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0587439C" w14:textId="77777777" w:rsidR="00AF23B7" w:rsidRPr="00773F95" w:rsidRDefault="00AF23B7" w:rsidP="00AF23B7">
      <w:pPr>
        <w:pStyle w:val="SingleTxtG"/>
      </w:pPr>
      <w:r>
        <w:t>12.</w:t>
      </w:r>
      <w:r>
        <w:tab/>
        <w:t>Комитет с удовлетворением отмечает различные меры, принятые в целях поощрения гендерного равенства и борьбы с гендерными стереотипами. Он, однако, обеспокоен тем, что женщины по-прежнему недостаточно представлены на управленческих и руководящих должностях как в государственном, так и в частном секторах. Он особо отмечает недостаточную представленность женщин африканского происхождения и женщин из числа коренных народов. Комитет также обеспокоен сохраняющимся разрывом в оплате труда мужчин и женщин (статьи 2, 3, 25 и 26).</w:t>
      </w:r>
    </w:p>
    <w:p w14:paraId="31397843" w14:textId="7A0CE10B" w:rsidR="00AF23B7" w:rsidRPr="00773F95" w:rsidRDefault="00AF23B7" w:rsidP="00AF23B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04C76BD9" w14:textId="4F2DC554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активизировать свои усилия по обеспечению реального равенства между мужчинами и женщинами во всех сферах и на всей территории страны.</w:t>
      </w:r>
      <w:r w:rsidR="00AF23B7">
        <w:t xml:space="preserve"> </w:t>
      </w:r>
      <w:r w:rsidR="00AF23B7">
        <w:rPr>
          <w:b/>
          <w:bCs/>
        </w:rPr>
        <w:t>В</w:t>
      </w:r>
      <w:r>
        <w:rPr>
          <w:b/>
          <w:bCs/>
        </w:rPr>
        <w:t> </w:t>
      </w:r>
      <w:r w:rsidR="00AF23B7">
        <w:rPr>
          <w:b/>
          <w:bCs/>
        </w:rPr>
        <w:t>частности, ему следует принять конкретные меры по увеличению представленности женщин, включая женщин африканского происхождения и женщин из числа коренных народов, на руководящих должностях как в государственном, так и в частном секторах;</w:t>
      </w:r>
    </w:p>
    <w:p w14:paraId="71811E93" w14:textId="29F80720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принять эффективные меры по устранению разрыва в оплате труда мужчин и женщин;</w:t>
      </w:r>
    </w:p>
    <w:p w14:paraId="017ED6D5" w14:textId="2B3627C6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ускорить процесс реализации мер, предусмотренных Национальной стратегией гендерного равенства на период до 2030 года, в рамках законодательных, судебных и исполнительных органов, обеспечив выделение достаточных ресурсов для его надлежащего осуществления.</w:t>
      </w:r>
    </w:p>
    <w:p w14:paraId="7A044C5E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Насилие в отношении женщин и насилие в семье</w:t>
      </w:r>
    </w:p>
    <w:p w14:paraId="11F2ABB0" w14:textId="490979FE" w:rsidR="00AF23B7" w:rsidRPr="00773F95" w:rsidRDefault="00AF23B7" w:rsidP="00AF23B7">
      <w:pPr>
        <w:pStyle w:val="SingleTxtG"/>
      </w:pPr>
      <w:r>
        <w:t>14.</w:t>
      </w:r>
      <w:r>
        <w:tab/>
        <w:t xml:space="preserve">Комитет признает усилия государства-участника по предотвращению и пресечению насилия в отношении женщин, в частности </w:t>
      </w:r>
      <w:r w:rsidR="0040499C">
        <w:t>—</w:t>
      </w:r>
      <w:r>
        <w:t xml:space="preserve"> насилия в семье, включая принятие Закона № 19.580 о гендерном насилии в отношении женщин, создание Наблюдательного совета по борьбе с гендерным насилием в отношении женщин, признание факта убийства женщины в качестве отягчающего обстоятельства при убийстве и увеличение числа приютов в государстве-участнике. Тем не менее он обеспокоен: </w:t>
      </w:r>
    </w:p>
    <w:p w14:paraId="25B12F6B" w14:textId="03A9E608" w:rsidR="00AF23B7" w:rsidRPr="00773F95" w:rsidRDefault="0040499C" w:rsidP="00AF23B7">
      <w:pPr>
        <w:pStyle w:val="SingleTxtG"/>
      </w:pPr>
      <w:r>
        <w:tab/>
      </w:r>
      <w:r w:rsidR="00AF23B7">
        <w:t>a)</w:t>
      </w:r>
      <w:r w:rsidR="00AF23B7">
        <w:tab/>
        <w:t>тем, что насилие в отношении женщин по-прежнему широко распространено в государстве-участнике: в 2021 году было зарегистрировано 30</w:t>
      </w:r>
      <w:r>
        <w:t> </w:t>
      </w:r>
      <w:r w:rsidR="00AF23B7">
        <w:t>убийств женщин и 38 925 сообщений о насилии в семье;</w:t>
      </w:r>
    </w:p>
    <w:p w14:paraId="1974E35B" w14:textId="27EA61F4" w:rsidR="00AF23B7" w:rsidRPr="00773F95" w:rsidRDefault="0040499C" w:rsidP="00AF23B7">
      <w:pPr>
        <w:pStyle w:val="SingleTxtG"/>
      </w:pPr>
      <w:r>
        <w:lastRenderedPageBreak/>
        <w:tab/>
      </w:r>
      <w:r w:rsidR="00AF23B7">
        <w:t>b)</w:t>
      </w:r>
      <w:r w:rsidR="00AF23B7">
        <w:tab/>
        <w:t>тем, что для эффективного осуществления мер, предусмотренных Законом № 19.580, не был выделен необходимый бюджет, особенно на проведение консультаций и предоставление убежищ и помощи жертвам;</w:t>
      </w:r>
    </w:p>
    <w:p w14:paraId="3442D87A" w14:textId="65BC8516" w:rsidR="00AF23B7" w:rsidRPr="00773F95" w:rsidRDefault="0040499C" w:rsidP="00AF23B7">
      <w:pPr>
        <w:pStyle w:val="SingleTxtG"/>
      </w:pPr>
      <w:r>
        <w:tab/>
      </w:r>
      <w:r w:rsidR="00AF23B7">
        <w:t>c)</w:t>
      </w:r>
      <w:r w:rsidR="00AF23B7">
        <w:tab/>
        <w:t>тем, что работникам судебных органов, сотрудникам полиции, медицинских учреждений и учреждений социального обеспечения по-прежнему не хватает специальной подготовки и потенциала для решения проблемы насилия в отношении женщин на основе правозащитного подхода;</w:t>
      </w:r>
    </w:p>
    <w:p w14:paraId="03777F90" w14:textId="0C4A86B8" w:rsidR="00AF23B7" w:rsidRPr="00773F95" w:rsidRDefault="0040499C" w:rsidP="00AF23B7">
      <w:pPr>
        <w:pStyle w:val="SingleTxtG"/>
      </w:pPr>
      <w:r>
        <w:tab/>
      </w:r>
      <w:r w:rsidR="00AF23B7">
        <w:t>d)</w:t>
      </w:r>
      <w:r w:rsidR="00AF23B7">
        <w:tab/>
        <w:t>наличием препятствий на пути доступа жертв насилия к правосудию и возмещения ущерба членам семьи как непосредственным пострадавшим (статьи 3, 6, 7, 14, 17 и 26).</w:t>
      </w:r>
    </w:p>
    <w:p w14:paraId="1A65767B" w14:textId="0469237D" w:rsidR="00AF23B7" w:rsidRPr="00773F95" w:rsidRDefault="00AF23B7" w:rsidP="00AF23B7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свои усилия по предотвращению, пресечению и искоренению всех форм насилия в отношении женщин и девочек, включая бытовое и сексуальное насилие, в частности ему следует принять меры для:</w:t>
      </w:r>
      <w:r>
        <w:t xml:space="preserve"> </w:t>
      </w:r>
    </w:p>
    <w:p w14:paraId="417F04E1" w14:textId="221EFFA3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выделения необходимых финансовых, технических и людских ресурсов для предотвращения и наказания насилия в отношении женщин, их защиты и возмещения им ущерба на всей своей территории;</w:t>
      </w:r>
    </w:p>
    <w:p w14:paraId="40EB0E6B" w14:textId="1A41CBEF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обеспечения того, чтобы соответствующие государственные служащие, такие как судьи, прокуроры, государственные защитники, сотрудники правоохранительных органов, медицинских учреждений и учреждений социального обеспечения, среди прочих, проходили надлежащую подготовку по вопросам выявления, рассмотрения и расследования случаев насилия в отношении женщин с учетом гендерных аспектов и правозащитного подхода;</w:t>
      </w:r>
    </w:p>
    <w:p w14:paraId="1495012E" w14:textId="693960BF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облегчения и поощрения различными способами подачи жалоб со стороны жертв;</w:t>
      </w:r>
      <w:r w:rsidR="00AF23B7">
        <w:t xml:space="preserve"> </w:t>
      </w:r>
      <w:r w:rsidR="00AF23B7">
        <w:rPr>
          <w:b/>
          <w:bCs/>
        </w:rPr>
        <w:t>обеспечить, чтобы все акты насилия в отношении женщин и девочек расследовались оперативно, тщательно и беспристрастно, чтобы виновные привлекались к ответственности и наказывались, а жертвы получали полное возмещение ущерба, в том числе для членов своих семей, если это необходимо.</w:t>
      </w:r>
    </w:p>
    <w:p w14:paraId="335B012D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 и репродуктивные права</w:t>
      </w:r>
    </w:p>
    <w:p w14:paraId="4548EF6B" w14:textId="3C05CC5D" w:rsidR="00AF23B7" w:rsidRPr="00773F95" w:rsidRDefault="00AF23B7" w:rsidP="00AF23B7">
      <w:pPr>
        <w:pStyle w:val="SingleTxtG"/>
      </w:pPr>
      <w:r>
        <w:t>16.</w:t>
      </w:r>
      <w:r>
        <w:tab/>
        <w:t>Комитет обеспокоен сообщениями о препятствиях, с которыми сталкиваются на практике женщины при получении доступа к добровольному прерыванию беременности, включая отказы по соображениям совести со стороны медперсонала и требование о проживании на территории страны на протяжении одного года, чтобы иметь доступ к этой процедуре, для женщин-мигрантов. Он также обеспокоен сведениями о том, что показатели подростковой беременности остаются высокими, несмотря на меры, принимаемые государством-участником для ее предотвращения</w:t>
      </w:r>
      <w:r w:rsidR="0040499C">
        <w:t> </w:t>
      </w:r>
      <w:r>
        <w:t>(статьи 2, 3, 6, 7, 17 и 26).</w:t>
      </w:r>
    </w:p>
    <w:p w14:paraId="1A15AE12" w14:textId="77777777" w:rsidR="00AF23B7" w:rsidRPr="00773F95" w:rsidRDefault="00AF23B7" w:rsidP="00AF23B7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 учетом замечания общего порядка № 36 (2018) Комитета о праве на жизнь, государству-участнику следует:</w:t>
      </w:r>
    </w:p>
    <w:p w14:paraId="4CC3A5FB" w14:textId="457DD3CB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удвоить свои усилия по обеспечению законного и эффективного доступа женщин и девочек к добровольному прерыванию беременности на всей территории страны в условиях безопасности и конфиденциальности;</w:t>
      </w:r>
    </w:p>
    <w:p w14:paraId="08C365EE" w14:textId="0732DB95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гарантировать на практике, чтобы отказ от проведения аборта по соображениям совести не являлся препятствием для безопасного, законного и эффективного прерывания беременности;</w:t>
      </w:r>
    </w:p>
    <w:p w14:paraId="4B2A0379" w14:textId="451E8585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отменить требование о необходимости проживания на территории страны на протяжении одного года для того, чтобы женщины и девочки, в частности из числа мигрантов, имели доступ к безопасному, законному и эффективному добровольному прерыванию беременности;</w:t>
      </w:r>
    </w:p>
    <w:p w14:paraId="25D412A6" w14:textId="3EF52778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AF23B7">
        <w:rPr>
          <w:b/>
          <w:bCs/>
        </w:rPr>
        <w:t>d)</w:t>
      </w:r>
      <w:r w:rsidR="00AF23B7">
        <w:tab/>
      </w:r>
      <w:r w:rsidR="00AF23B7">
        <w:rPr>
          <w:b/>
          <w:bCs/>
        </w:rPr>
        <w:t>активизировать свои усилия по предотвращению случаев нежелательной беременности, особенно среди девушек-подростков, и обеспечить полноценный доступ к надлежащим услугам в области сексуального и репродуктивного здоровья на всей территории страны, особенно для женщин африканского происхождения и женщин из числа коренных народов, а также для женщин, проживающих в сельских и неблагополучных районах;</w:t>
      </w:r>
    </w:p>
    <w:p w14:paraId="53DC2E0A" w14:textId="5DF7EC80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e)</w:t>
      </w:r>
      <w:r w:rsidR="00AF23B7">
        <w:tab/>
      </w:r>
      <w:r w:rsidR="00AF23B7">
        <w:rPr>
          <w:b/>
          <w:bCs/>
        </w:rPr>
        <w:t>удвоить свои усилия по повышению осведомленности и просвещению в области прав на сексуальное и репродуктивное здоровье, уделив приоритетное внимание реализации эффективного национального плана просвещения в этой области.</w:t>
      </w:r>
    </w:p>
    <w:p w14:paraId="40DF1744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 унижающих достоинство видов обращения и наказания</w:t>
      </w:r>
    </w:p>
    <w:p w14:paraId="498C592E" w14:textId="77777777" w:rsidR="00AF23B7" w:rsidRPr="00773F95" w:rsidRDefault="00AF23B7" w:rsidP="00AF23B7">
      <w:pPr>
        <w:pStyle w:val="SingleTxtG"/>
        <w:rPr>
          <w:b/>
        </w:rPr>
      </w:pPr>
      <w:r>
        <w:t>18.</w:t>
      </w:r>
      <w:r>
        <w:tab/>
        <w:t>Комитет обеспокоен тем, что определение преступления пытки до сих пор не было приведено в соответствие с международными стандартами. Он также обеспокоен информацией о жалобах на жестокое обращение со стороны полиции, поданных в судебные органы, и сожалеет о том, что проведенные в этой связи расследования не дали ощутимых результатов (статьи 3, 7, 9, 10, 14 и 17).</w:t>
      </w:r>
    </w:p>
    <w:p w14:paraId="28460C82" w14:textId="77777777" w:rsidR="00AF23B7" w:rsidRPr="00773F95" w:rsidRDefault="00AF23B7" w:rsidP="00AF23B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225AA60E" w14:textId="0B38D666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как можно скорее принять определение преступления пытки, отвечающее международным стандартам, и предусмотреть за него наказание, отражающее чрезвычайную тяжесть этого преступления;</w:t>
      </w:r>
    </w:p>
    <w:p w14:paraId="0AA11DDD" w14:textId="1E85D01D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удвоить свои усилия по эффективному предотвращению актов пыток и жестокого обращения путем усиления подготовки по вопросам прав человека для судей, прокуроров, сотрудников правоохранительных органов и других должностных лиц, имеющих дело с лицами, лишенными свободы;</w:t>
      </w:r>
    </w:p>
    <w:p w14:paraId="6203524B" w14:textId="0E8D9FD6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усилить координацию судебных органов с Парламентским уполномоченным по делам пенитенциарной системы как с независимым органом, облегчающим процесс представления жалоб на пытки и жестокое обращение в местах лишения свободы, и обеспечить, чтобы любые предполагаемые акты пыток или жестокого обращения расследовались оперативно, тщательно и беспристрастно, чтобы виновные были привлечены к ответственности и понесли соответствующее наказание, а жертвы получили полную компенсацию.</w:t>
      </w:r>
    </w:p>
    <w:p w14:paraId="3478EB20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1DE10956" w14:textId="77777777" w:rsidR="00AF23B7" w:rsidRPr="00773F95" w:rsidRDefault="00AF23B7" w:rsidP="00AF23B7">
      <w:pPr>
        <w:pStyle w:val="SingleTxtG"/>
      </w:pPr>
      <w:r>
        <w:t>20.</w:t>
      </w:r>
      <w:r>
        <w:tab/>
        <w:t>Комитет с удовлетворением отмечает усилия, предпринятые государством-участником для предупреждения торговли людьми и борьбы с ней. Он, однако, обеспокоен информацией, указывающей на то, что проблема торговли людьми сохраняется, особенно в пограничных департаментах, и что государственные службы сосредоточены на предоставлении психосоциальной и юридической помощи, но долгосрочные услуги, такие как обеспечение жильем и трудоустройство, предоставляются не в полной мере (статьи 7, 8, 14 и 24).</w:t>
      </w:r>
    </w:p>
    <w:p w14:paraId="5D2FF27F" w14:textId="77777777" w:rsidR="00AF23B7" w:rsidRPr="00773F95" w:rsidRDefault="00AF23B7" w:rsidP="00AF23B7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1376CC34" w14:textId="6A398A2A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активизировать свои усилия по предотвращению, пресечению и наказанию торговли людьми, особенно путем укрепления механизмов выявления таких случаев в пограничных департаментах, с тем чтобы своевременно обнаруживать их и принимать соответствующие меры;</w:t>
      </w:r>
    </w:p>
    <w:p w14:paraId="4F84A71B" w14:textId="0E70EC04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 xml:space="preserve">расширить предоставление долгосрочных услуг и услуг по </w:t>
      </w:r>
      <w:r>
        <w:rPr>
          <w:b/>
          <w:bCs/>
        </w:rPr>
        <w:t>реинтеграции</w:t>
      </w:r>
      <w:r w:rsidR="00AF23B7">
        <w:rPr>
          <w:b/>
          <w:bCs/>
        </w:rPr>
        <w:t>, в том числе в сферах профессиональной подготовки, трудоустройства и жилья.</w:t>
      </w:r>
    </w:p>
    <w:p w14:paraId="2F0B83D6" w14:textId="77777777" w:rsidR="00AF23B7" w:rsidRPr="00773F95" w:rsidRDefault="00AF23B7" w:rsidP="00AF23B7">
      <w:pPr>
        <w:pStyle w:val="H23G"/>
      </w:pPr>
      <w:r>
        <w:lastRenderedPageBreak/>
        <w:tab/>
      </w:r>
      <w:r>
        <w:tab/>
      </w:r>
      <w:r>
        <w:rPr>
          <w:bCs/>
        </w:rPr>
        <w:t>Обращение с лицами, лишенными свободы</w:t>
      </w:r>
      <w:r>
        <w:t xml:space="preserve"> </w:t>
      </w:r>
    </w:p>
    <w:p w14:paraId="67CD7817" w14:textId="77777777" w:rsidR="00AF23B7" w:rsidRPr="00773F95" w:rsidRDefault="00AF23B7" w:rsidP="00AF23B7">
      <w:pPr>
        <w:pStyle w:val="SingleTxtG"/>
      </w:pPr>
      <w:r>
        <w:t>22.</w:t>
      </w:r>
      <w:r>
        <w:tab/>
        <w:t>Комитет принимает к сведению усилия, предпринятые для осуществления положений нового Уголовно-процессуального кодекса и замены существующей процедуры судебного разбирательства на публичное устное обвинительное производство за счет внедрения соответствующих гарантий и вовлечения жертв в процесс. Комитет также принимает к сведению усилия по сокращению переполненности тюрем и предлагаемый План по борьбе с рецидивизмом и содействию реабилитации, основанный на правозащитном подходе и гендерных аспектах, который представил на рассмотрение парламента Парламентский уполномоченный по делам пенитенциарной системы. Комитет, однако, обеспокоен сообщениями, касающимися:</w:t>
      </w:r>
    </w:p>
    <w:p w14:paraId="5084F1E8" w14:textId="64100662" w:rsidR="00AF23B7" w:rsidRPr="00773F95" w:rsidRDefault="0040499C" w:rsidP="00AF23B7">
      <w:pPr>
        <w:pStyle w:val="SingleTxtG"/>
      </w:pPr>
      <w:r>
        <w:tab/>
      </w:r>
      <w:r w:rsidR="00AF23B7">
        <w:t>a)</w:t>
      </w:r>
      <w:r w:rsidR="00AF23B7">
        <w:tab/>
        <w:t>значительного и растущего числа лиц, лишенных свободы в государстве-участнике, и, в частности, резкого увеличения числа женщин, лишенных свободы в последние годы, при том, что только 33</w:t>
      </w:r>
      <w:r>
        <w:t xml:space="preserve"> </w:t>
      </w:r>
      <w:r w:rsidR="00AF23B7">
        <w:t>% заключенных имеют приговоры, вступившие в окончательную силу, а 67</w:t>
      </w:r>
      <w:r>
        <w:t xml:space="preserve"> </w:t>
      </w:r>
      <w:r w:rsidR="00AF23B7">
        <w:t>% обвиняемых содержатся в предварительном заключении на протяжении длительного времени вместе с осужденными лицами, что противоречит Пакту;</w:t>
      </w:r>
    </w:p>
    <w:p w14:paraId="17412C2C" w14:textId="2F5259BB" w:rsidR="00AF23B7" w:rsidRPr="00773F95" w:rsidRDefault="0040499C" w:rsidP="00AF23B7">
      <w:pPr>
        <w:pStyle w:val="SingleTxtG"/>
      </w:pPr>
      <w:r>
        <w:tab/>
      </w:r>
      <w:r w:rsidR="00AF23B7">
        <w:t>b)</w:t>
      </w:r>
      <w:r w:rsidR="00AF23B7">
        <w:tab/>
        <w:t>значительного увеличения числа смертей в местах лишения свободы;</w:t>
      </w:r>
    </w:p>
    <w:p w14:paraId="3A485420" w14:textId="487A282C" w:rsidR="00AF23B7" w:rsidRPr="00773F95" w:rsidRDefault="0040499C" w:rsidP="00AF23B7">
      <w:pPr>
        <w:pStyle w:val="SingleTxtG"/>
      </w:pPr>
      <w:r>
        <w:tab/>
      </w:r>
      <w:r w:rsidR="00AF23B7">
        <w:t>c)</w:t>
      </w:r>
      <w:r w:rsidR="00AF23B7">
        <w:tab/>
        <w:t>того, что уровень переполненности тюрем составляет 135</w:t>
      </w:r>
      <w:r w:rsidR="00831C78">
        <w:t xml:space="preserve"> </w:t>
      </w:r>
      <w:r w:rsidR="00AF23B7">
        <w:t xml:space="preserve">%, и недостаточности усилий по реинтеграции и реабилитации, из-за чего показатели переполненности остаются неизменными; </w:t>
      </w:r>
    </w:p>
    <w:p w14:paraId="03D015B0" w14:textId="32AF8CEC" w:rsidR="00AF23B7" w:rsidRPr="00773F95" w:rsidRDefault="0040499C" w:rsidP="00AF23B7">
      <w:pPr>
        <w:pStyle w:val="SingleTxtG"/>
      </w:pPr>
      <w:r>
        <w:tab/>
      </w:r>
      <w:r w:rsidR="00AF23B7">
        <w:t>d)</w:t>
      </w:r>
      <w:r w:rsidR="00AF23B7">
        <w:tab/>
        <w:t>некоторых изменений, внесенных в нормативно-правовую базу и касающихся подростков, находящихся в конфликте с законом, в частности тех из них, которые идут вразрез с непродолжительным и исключительным характером меры в виде лишения свободы, тех, которые предусматривают тюремное заключение в качестве меры пресечения, и тех, которые позволяют проведение упрощенного судопроизводства и применение новых упрощенных процедур, в рамках которых предлагается меньше гарантий, чем в рамках устного разбирательства, и меньше контактов с защитниками, в дополнение к удвоению наказания за наиболее тяжкие преступления, которые могут составлять от двух до десяти лет лишения свободы</w:t>
      </w:r>
      <w:r>
        <w:t> </w:t>
      </w:r>
      <w:r w:rsidR="00AF23B7">
        <w:t>(статьи 2, 6, 7, 9, 10 и 14).</w:t>
      </w:r>
    </w:p>
    <w:p w14:paraId="60DCAE0B" w14:textId="77777777" w:rsidR="00AF23B7" w:rsidRPr="00773F95" w:rsidRDefault="00AF23B7" w:rsidP="00AF23B7">
      <w:pPr>
        <w:pStyle w:val="SingleTxtG"/>
        <w:rPr>
          <w:b/>
          <w:bCs/>
        </w:rPr>
      </w:pPr>
      <w:r w:rsidRPr="00FD0E44">
        <w:t>23.</w:t>
      </w:r>
      <w:r w:rsidRPr="00FD0E44">
        <w:tab/>
      </w:r>
      <w:r w:rsidRPr="00FD0E44">
        <w:rPr>
          <w:b/>
          <w:bCs/>
        </w:rPr>
        <w:t>Государству-участнику следует активизировать свои усилия для того,</w:t>
      </w:r>
      <w:r>
        <w:rPr>
          <w:b/>
          <w:bCs/>
        </w:rPr>
        <w:t xml:space="preserve"> чтобы:</w:t>
      </w:r>
      <w:r>
        <w:t xml:space="preserve"> </w:t>
      </w:r>
    </w:p>
    <w:p w14:paraId="0D0DC32D" w14:textId="13BE09B0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обеспечить на практике отдельное содержание лиц, находящихся в предварительном заключении, и осужденных;</w:t>
      </w:r>
      <w:r w:rsidR="00AF23B7">
        <w:t xml:space="preserve"> </w:t>
      </w:r>
    </w:p>
    <w:p w14:paraId="64054D64" w14:textId="7C865124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расследовать все случаи смерти в заключении, преследовать и должным образом наказывать виновных;</w:t>
      </w:r>
    </w:p>
    <w:p w14:paraId="3A76F070" w14:textId="47E3D8B9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добиться реального сокращения показателей переполненности тюрем и снизить процент лиц, содержащихся под стражей до суда, уделять приоритетное внимание применению мер, альтернативных тюремному заключению, в соответствии с положениями Пакта и отдавать предпочтение мерам социального и воспитательного характера, не связанным с лишением свободы, в отношении женщин, совершивших ненасильственные преступления;</w:t>
      </w:r>
    </w:p>
    <w:p w14:paraId="7FF2BCDE" w14:textId="0AFE1AC9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d)</w:t>
      </w:r>
      <w:r w:rsidR="00AF23B7">
        <w:tab/>
      </w:r>
      <w:r w:rsidR="00AF23B7">
        <w:rPr>
          <w:b/>
          <w:bCs/>
        </w:rPr>
        <w:t>обеспечить недопущение, в максимально возможной степени, досудебного содержания детей и подростков под стражей, поощряя использование альтернативных мер, не связанных с лишением свободы и гарантирующих их реабилитацию и реинтеграцию в общество, с учетом принципа наилучшего обеспечения их интересов, и привести свое законодательство и практику в отношении подростков, находящихся в конфликте с законом, в соответствие с Пактом и международными стандартами;</w:t>
      </w:r>
    </w:p>
    <w:p w14:paraId="1E449C18" w14:textId="760AA87A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e)</w:t>
      </w:r>
      <w:r w:rsidR="00AF23B7">
        <w:tab/>
      </w:r>
      <w:r w:rsidR="00AF23B7">
        <w:rPr>
          <w:b/>
          <w:bCs/>
        </w:rPr>
        <w:t xml:space="preserve">улучшить условия содержания под стражей, обеспечив их соответствие Минимальным стандартным правилам Организации Объединенных Наций по обращению с заключенными (Правила Нельсона Манделы) и Минимальным стандартным правилам Организации Объединенных </w:t>
      </w:r>
      <w:r w:rsidR="00AF23B7">
        <w:rPr>
          <w:b/>
          <w:bCs/>
        </w:rPr>
        <w:lastRenderedPageBreak/>
        <w:t>Наций, касающимся отправления правосудия в отношении несовершеннолетних</w:t>
      </w:r>
      <w:r w:rsidR="00AE4F3E">
        <w:rPr>
          <w:b/>
          <w:bCs/>
        </w:rPr>
        <w:t xml:space="preserve"> </w:t>
      </w:r>
      <w:r w:rsidR="00AF23B7">
        <w:rPr>
          <w:b/>
          <w:bCs/>
        </w:rPr>
        <w:t>(Пекинские правила)</w:t>
      </w:r>
      <w:r w:rsidR="00AE4F3E">
        <w:rPr>
          <w:b/>
          <w:bCs/>
        </w:rPr>
        <w:t>,</w:t>
      </w:r>
      <w:r w:rsidR="00AF23B7">
        <w:rPr>
          <w:b/>
          <w:bCs/>
        </w:rPr>
        <w:t xml:space="preserve"> и уважение достоинства лиц, лишенных свободы, в соответствии со статьей 10 Пакта, а также выделять значительные финансовые и надлежащие кадровые ресурсы на эти цели.</w:t>
      </w:r>
    </w:p>
    <w:p w14:paraId="4924F98B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Доступ к правосудию, независимость судей и право на справедливое судебное разбирательство</w:t>
      </w:r>
    </w:p>
    <w:p w14:paraId="2A862582" w14:textId="77777777" w:rsidR="00AF23B7" w:rsidRPr="00773F95" w:rsidRDefault="00AF23B7" w:rsidP="00AF23B7">
      <w:pPr>
        <w:pStyle w:val="SingleTxtG"/>
      </w:pPr>
      <w:r>
        <w:t>24.</w:t>
      </w:r>
      <w:r>
        <w:tab/>
        <w:t xml:space="preserve">Комитет с удовлетворением отмечает, что государство-участник находится в процессе реформирования судебной системы и предоставляет прокуратуре независимость и дополнительные ресурсы. Однако он обеспокоен тем, что институт государственной защиты по-прежнему зависит от судебных органов в плане иерархии и бюджета и не имеет достаточных ресурсов для эффективного выполнения своих представительских задач. Кроме того, он обеспокоен недостаточным числом государственных защитников и их неравномерным распределением по стране, а также сообщениями о многочисленных жалобах на жестокое обращение сотрудников полиции с лицами, находящимися под стражей, и недостаточным расследованием и наказанием таких действий (статьи 2 и 14). </w:t>
      </w:r>
    </w:p>
    <w:p w14:paraId="7759C829" w14:textId="77777777" w:rsidR="00AF23B7" w:rsidRPr="00773F95" w:rsidRDefault="00AF23B7" w:rsidP="00AF23B7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4A60C83A" w14:textId="7529F255" w:rsidR="00AF23B7" w:rsidRPr="0040499C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 w:rsidRPr="0040499C">
        <w:rPr>
          <w:b/>
          <w:bCs/>
        </w:rPr>
        <w:t>a)</w:t>
      </w:r>
      <w:r w:rsidR="00AF23B7" w:rsidRPr="0040499C">
        <w:rPr>
          <w:b/>
          <w:bCs/>
        </w:rPr>
        <w:tab/>
        <w:t>гарантировать иерархическую и финансовую независимость системы государственной защиты от судебной власти и наличие у нее достаточных финансовых, технических и кадровых ресурсов для своевременного и надлежащего выполнения своей работы на всей территории страны в соответствии с применимыми международными стандартами надлежащей правовой процедуры и справедливого судебного разбирательства;</w:t>
      </w:r>
    </w:p>
    <w:p w14:paraId="7DEE324E" w14:textId="65429D6A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обеспечить тщательное и оперативное расследование всех случаев злоупотреблений со стороны сотрудников полиции и наказание виновных.</w:t>
      </w:r>
    </w:p>
    <w:p w14:paraId="360CE75A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Нарушения прав человека, произошедшие в период с 1968 по 1985 год</w:t>
      </w:r>
    </w:p>
    <w:p w14:paraId="28143BD7" w14:textId="7C3B3187" w:rsidR="00AF23B7" w:rsidRPr="00773F95" w:rsidRDefault="00AF23B7" w:rsidP="00AF23B7">
      <w:pPr>
        <w:pStyle w:val="SingleTxtG"/>
      </w:pPr>
      <w:r>
        <w:t>26.</w:t>
      </w:r>
      <w:r>
        <w:tab/>
        <w:t xml:space="preserve">Комитет приветствует создание Рабочей группы по установлению истины и восстановлению справедливости для решения проблемы безнаказанности в связи с преступлениями, совершенными в период с 1968 по 1985 год, и Специализированной прокуратуры по преступлениям против человечности </w:t>
      </w:r>
      <w:r w:rsidR="00AE4F3E">
        <w:t>—</w:t>
      </w:r>
      <w:r>
        <w:t xml:space="preserve"> в связи с преступлениями, совершенными в период с 1973 по 1985 год; однако он сожалеет об отсутствии информации о результатах расследований, проведенных этой прокуратурой. Комитет с обеспокоенностью отмечает, что жертвы не получают полного возмещения ущерба и что определение </w:t>
      </w:r>
      <w:r w:rsidR="0040499C">
        <w:t>«</w:t>
      </w:r>
      <w:r>
        <w:t>жертвы</w:t>
      </w:r>
      <w:r w:rsidR="0040499C">
        <w:t>»</w:t>
      </w:r>
      <w:r>
        <w:t xml:space="preserve"> носит весьма ограничительный характер, поскольку не включает родственников пострадавших (статьи 2, 6, 7, 9 и 14).</w:t>
      </w:r>
    </w:p>
    <w:p w14:paraId="2B488046" w14:textId="77777777" w:rsidR="00AF23B7" w:rsidRPr="00773F95" w:rsidRDefault="00AF23B7" w:rsidP="00AF23B7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активизировать свои усилия по реализации прав на установление истины, справедливость и полное возмещение ущерба жертв серьезных нарушений прав человека, совершенных в период с 1968 по 1985 год.</w:t>
      </w:r>
      <w:r>
        <w:t xml:space="preserve"> </w:t>
      </w:r>
      <w:r>
        <w:rPr>
          <w:b/>
          <w:bCs/>
        </w:rPr>
        <w:t>В частности, ему следует в кратчайшие возможные сроки обеспечить:</w:t>
      </w:r>
    </w:p>
    <w:p w14:paraId="176DB6C1" w14:textId="7C7D2432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как можно более широкое распространение доклада Рабочей группы по установлению истины и восстановлению справедливости и выполнение всех ее рекомендаций;</w:t>
      </w:r>
    </w:p>
    <w:p w14:paraId="6708BBDD" w14:textId="1FC09656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прогресс в проведении оставшихся расследований по всем обвинениям в нарушениях прав человека, совершенных в период с 1968 по 1985</w:t>
      </w:r>
      <w:r>
        <w:rPr>
          <w:b/>
          <w:bCs/>
        </w:rPr>
        <w:t> </w:t>
      </w:r>
      <w:r w:rsidR="00AF23B7">
        <w:rPr>
          <w:b/>
          <w:bCs/>
        </w:rPr>
        <w:t>год, принять меры для того, чтобы продвинуться в поиске пропавших без вести или убитых лиц и идентификации человеческих останков, а также привлечь виновных к ответственности и назначить им соответствующие наказания;</w:t>
      </w:r>
    </w:p>
    <w:p w14:paraId="551BFE80" w14:textId="3A541B50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соблюдение права всех жертв, включая членов семей, на полное возмещение ущерба.</w:t>
      </w:r>
    </w:p>
    <w:p w14:paraId="2DFF5FF3" w14:textId="77777777" w:rsidR="00AF23B7" w:rsidRPr="00773F95" w:rsidRDefault="00AF23B7" w:rsidP="00AF23B7">
      <w:pPr>
        <w:pStyle w:val="H23G"/>
      </w:pPr>
      <w:r>
        <w:lastRenderedPageBreak/>
        <w:tab/>
      </w:r>
      <w:r>
        <w:tab/>
      </w:r>
      <w:r>
        <w:rPr>
          <w:bCs/>
        </w:rPr>
        <w:t>Мигранты, беженцы, лица без гражданства и просители убежища</w:t>
      </w:r>
    </w:p>
    <w:p w14:paraId="3910B2E3" w14:textId="77777777" w:rsidR="00AF23B7" w:rsidRPr="00773F95" w:rsidRDefault="00AF23B7" w:rsidP="00AF23B7">
      <w:pPr>
        <w:pStyle w:val="SingleTxtG"/>
      </w:pPr>
      <w:r>
        <w:t>28.</w:t>
      </w:r>
      <w:r>
        <w:tab/>
        <w:t>Комитет приветствует усилия, предпринимаемые государством-участником в отношении беженцев, просителей убежища и лиц без гражданства, включая принятие Закона № 19.682 о признании и защите лиц без гражданства. Однако он сожалеет, что до сих пор не применяется всеобъемлющая миграционная политика, гарантирующая полную интеграцию беженцев и просителей убежища, а также соблюдение их прав на здоровье, жилье и работу. В частности, Комитет обеспокоен:</w:t>
      </w:r>
    </w:p>
    <w:p w14:paraId="50AB7E7D" w14:textId="47A89D23" w:rsidR="00AF23B7" w:rsidRPr="00773F95" w:rsidRDefault="0040499C" w:rsidP="00AF23B7">
      <w:pPr>
        <w:pStyle w:val="SingleTxtG"/>
      </w:pPr>
      <w:r>
        <w:tab/>
      </w:r>
      <w:r w:rsidR="00AF23B7">
        <w:t>a)</w:t>
      </w:r>
      <w:r w:rsidR="00AF23B7">
        <w:tab/>
        <w:t>непринятием мер, направленных на расширение возможностей получения дохода и предоставление адекватной социальной помощи репатриантам, беженцам и просителям убежища, включая женщин, несопровождаемых несовершеннолетних и лиц, пострадавших от пыток или травмы;</w:t>
      </w:r>
    </w:p>
    <w:p w14:paraId="5E205AF3" w14:textId="2AA10FB9" w:rsidR="00AF23B7" w:rsidRPr="00773F95" w:rsidRDefault="0040499C" w:rsidP="00AF23B7">
      <w:pPr>
        <w:pStyle w:val="SingleTxtG"/>
      </w:pPr>
      <w:r>
        <w:tab/>
      </w:r>
      <w:r w:rsidR="00AF23B7">
        <w:t>b)</w:t>
      </w:r>
      <w:r w:rsidR="00AF23B7">
        <w:tab/>
        <w:t>отсутствием эффективных ресурсов для обеспечения местной интеграции репатриантов, беженцев и просителей убежища;</w:t>
      </w:r>
    </w:p>
    <w:p w14:paraId="1A4DF871" w14:textId="05E800AE" w:rsidR="00AF23B7" w:rsidRPr="00773F95" w:rsidRDefault="0040499C" w:rsidP="00AF23B7">
      <w:pPr>
        <w:pStyle w:val="SingleTxtG"/>
      </w:pPr>
      <w:r>
        <w:tab/>
      </w:r>
      <w:r w:rsidR="00AF23B7">
        <w:t>c)</w:t>
      </w:r>
      <w:r w:rsidR="00AF23B7">
        <w:tab/>
        <w:t>отсутствием положений о предотвращении сексуального и гендерного насилия и защите женщин-беженцев и женщин из числа просителей убежища от такого насилия (статьи 2, 3, 14, 16 и 23–26).</w:t>
      </w:r>
    </w:p>
    <w:p w14:paraId="3C40CA90" w14:textId="77777777" w:rsidR="00AF23B7" w:rsidRPr="00773F95" w:rsidRDefault="00AF23B7" w:rsidP="00AF23B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14:paraId="1CA7C30B" w14:textId="0D994964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разработать и реализовать на практике национальную политику или стратегию, направленную на оказание всесторонней помощи репатриантам, беженцам и просителям убежища, предотвращение дискриминации и борьбу с ней и предусматривающую доступ к социальным услугам, эффективную интеграцию на местном уровне и меры по облегчению доступа к трудоустройству и возможностям получения дохода;</w:t>
      </w:r>
    </w:p>
    <w:p w14:paraId="6AF23078" w14:textId="4CA14331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предоставить Комиссии по делам беженцев необходимые людские, технические и финансовые ресурсы для обеспечения местной интеграции репатриантов, беженцев и просителей убежища;</w:t>
      </w:r>
    </w:p>
    <w:p w14:paraId="683A63A0" w14:textId="619B7BAD" w:rsidR="00AF23B7" w:rsidRPr="00773F95" w:rsidRDefault="0040499C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продолжить усиление мер по предотвращению сексуального и гендерного насилия в отношении женщин из числа репатриантов, беженцев и просителей убежища и их защиты от него, которые должны быть включены в план просвещения по вопросам сексуального и репродуктивного здоровья, разработка которого заложена в бюджет на 2020–2024 годы.</w:t>
      </w:r>
    </w:p>
    <w:p w14:paraId="230CF108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428775B4" w14:textId="27588220" w:rsidR="00AF23B7" w:rsidRPr="00773F95" w:rsidRDefault="00AF23B7" w:rsidP="00AF23B7">
      <w:pPr>
        <w:pStyle w:val="SingleTxtG"/>
        <w:rPr>
          <w:b/>
        </w:rPr>
      </w:pPr>
      <w:r>
        <w:t>30.</w:t>
      </w:r>
      <w:r>
        <w:tab/>
        <w:t xml:space="preserve">Комитет обеспокоен отсутствием информации о ходе или результатах уголовных расследований, переданных в уголовную прокуратуру Монтевидео по экономическим и сложным преступлениям первой инстанции следственной комиссией, учрежденной Палатой представителей в 2016 году в связи с </w:t>
      </w:r>
      <w:r w:rsidR="0040499C">
        <w:t>«</w:t>
      </w:r>
      <w:r>
        <w:t>делом Кастильони</w:t>
      </w:r>
      <w:r w:rsidR="0040499C">
        <w:t>»</w:t>
      </w:r>
      <w:r>
        <w:t>. В материалах дела содержатся предполагаемые доказательства военного и полицейского шпионажа во времена демократии в государстве-участнике</w:t>
      </w:r>
      <w:r w:rsidR="00AE4F3E">
        <w:t> </w:t>
      </w:r>
      <w:r>
        <w:t>(статья</w:t>
      </w:r>
      <w:r w:rsidR="00373DA1">
        <w:t> </w:t>
      </w:r>
      <w:r>
        <w:t>17).</w:t>
      </w:r>
    </w:p>
    <w:p w14:paraId="61BB6443" w14:textId="77777777" w:rsidR="00AF23B7" w:rsidRPr="00773F95" w:rsidRDefault="00AF23B7" w:rsidP="00AF23B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D02516D" w14:textId="4306224F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провести расследование и наказать лиц, виновных в создании системы военного и полицейского шпионажа во времена демократии, и обеспечить распространение результатов расследований;</w:t>
      </w:r>
    </w:p>
    <w:p w14:paraId="0CFAC2CE" w14:textId="373AC153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гарантировать право на неприкосновенность частной жизни в полном соответствии с Пактом, в частности со статьей 17.</w:t>
      </w:r>
      <w:r w:rsidR="00AF23B7">
        <w:t xml:space="preserve"> </w:t>
      </w:r>
      <w:r w:rsidR="00AF23B7">
        <w:rPr>
          <w:b/>
          <w:bCs/>
        </w:rPr>
        <w:t>Деятельность по наблюдению должна соответствовать принципам законности, соразмерности и необходимости и производиться только с санкции суда.</w:t>
      </w:r>
      <w:r w:rsidR="00AF23B7">
        <w:t xml:space="preserve"> </w:t>
      </w:r>
      <w:r w:rsidR="00AF23B7">
        <w:rPr>
          <w:b/>
          <w:bCs/>
        </w:rPr>
        <w:t xml:space="preserve">Государству-участнику следует также обеспечить, чтобы наблюдение являлось объектом эффективных независимых механизмов надзора, а именно </w:t>
      </w:r>
      <w:r w:rsidR="00992A73">
        <w:rPr>
          <w:b/>
          <w:bCs/>
        </w:rPr>
        <w:t>—</w:t>
      </w:r>
      <w:r w:rsidR="00AF23B7">
        <w:rPr>
          <w:b/>
          <w:bCs/>
        </w:rPr>
        <w:t xml:space="preserve"> судебных механизмов, и обеспечить доступ к эффективным средствам правовой защиты в случаях злоупотреблений.</w:t>
      </w:r>
    </w:p>
    <w:p w14:paraId="0B100439" w14:textId="77777777" w:rsidR="00AF23B7" w:rsidRPr="00773F95" w:rsidRDefault="00AF23B7" w:rsidP="00AF23B7">
      <w:pPr>
        <w:pStyle w:val="H23G"/>
      </w:pPr>
      <w:r>
        <w:lastRenderedPageBreak/>
        <w:tab/>
      </w:r>
      <w:r>
        <w:tab/>
      </w:r>
      <w:r>
        <w:rPr>
          <w:bCs/>
        </w:rPr>
        <w:t>Свобода выражения мнений и право на мирные собрания</w:t>
      </w:r>
    </w:p>
    <w:p w14:paraId="007EB8B5" w14:textId="1F7DC054" w:rsidR="00AF23B7" w:rsidRPr="00773F95" w:rsidRDefault="00AF23B7" w:rsidP="00AF23B7">
      <w:pPr>
        <w:pStyle w:val="SingleTxtG"/>
      </w:pPr>
      <w:r>
        <w:t>32.</w:t>
      </w:r>
      <w:r>
        <w:tab/>
        <w:t>Комитет с обеспокоенностью отмечает сообщения об увеличении числа уголовных преследований, угроз и ограничений свободы слова журналистов, а также новые поправки к Закону о срочном рассмотрении дела Лакаль Поу, который содержит расплывчатые и чрезмерно широкие определения, предоставляющие сотрудникам полиции дополнительную свободу при применении силы для ограничения собраний или демонстраций (статьи 7, 19, 21 и 22).</w:t>
      </w:r>
    </w:p>
    <w:p w14:paraId="18809B7F" w14:textId="06A85072" w:rsidR="00AF23B7" w:rsidRPr="00773F95" w:rsidRDefault="00AF23B7" w:rsidP="00AF23B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 гарантировать всем людям полное осуществление права на свободу выражения мнений и права на мирные собрания с учетом замечаний общего</w:t>
      </w:r>
      <w:r w:rsidR="00373DA1">
        <w:rPr>
          <w:b/>
          <w:bCs/>
        </w:rPr>
        <w:br/>
      </w:r>
      <w:r>
        <w:rPr>
          <w:b/>
          <w:bCs/>
        </w:rPr>
        <w:t>порядка № 34 (2011) и № 37 (2020) Комитета, касающихся свободы мнений и их выражения, и права на мирные собрания соответственно.</w:t>
      </w:r>
      <w:r>
        <w:t xml:space="preserve"> </w:t>
      </w:r>
      <w:r>
        <w:rPr>
          <w:b/>
          <w:bCs/>
        </w:rPr>
        <w:t>В частности, Комитет призывает государство-участник:</w:t>
      </w:r>
    </w:p>
    <w:p w14:paraId="18DA2345" w14:textId="0222E448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удвоить свои усилия по предотвращению угроз и ограничений свободы выражения мнений журналистов и обеспечить, чтобы все заявления о подобных актах запугивания расследовались оперативно, тщательно, независимо и беспристрастно;</w:t>
      </w:r>
    </w:p>
    <w:p w14:paraId="0387BBAA" w14:textId="0F9C60D9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гарантировать и уважать право на собрания и демонстрации населения, политиков и организаций гражданского общества;</w:t>
      </w:r>
    </w:p>
    <w:p w14:paraId="09371D53" w14:textId="7D3C0B45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обеспечить, чтобы осуществление прав на свободу мнений и их выражения, а также на свободу собраний и ассоциации, закрепленных в Законе о срочном рассмотрении дела Лакаль Поу, полностью соответствовало требованиям пункта 3 статьи 19, статье 21 и пункту 2 статьи 22 Пакта.</w:t>
      </w:r>
    </w:p>
    <w:p w14:paraId="226CA998" w14:textId="77777777" w:rsidR="00AF23B7" w:rsidRPr="00773F95" w:rsidRDefault="00AF23B7" w:rsidP="00AF23B7">
      <w:pPr>
        <w:pStyle w:val="H23G"/>
      </w:pPr>
      <w:r>
        <w:tab/>
      </w:r>
      <w:r>
        <w:tab/>
      </w:r>
      <w:r>
        <w:rPr>
          <w:bCs/>
        </w:rPr>
        <w:t>Права ребенка</w:t>
      </w:r>
      <w:r>
        <w:t xml:space="preserve"> </w:t>
      </w:r>
    </w:p>
    <w:p w14:paraId="3DB30366" w14:textId="77777777" w:rsidR="00AF23B7" w:rsidRPr="00773F95" w:rsidRDefault="00AF23B7" w:rsidP="00AF23B7">
      <w:pPr>
        <w:pStyle w:val="SingleTxtG"/>
      </w:pPr>
      <w:r>
        <w:t>34.</w:t>
      </w:r>
      <w:r>
        <w:tab/>
        <w:t>Комитет приветствует вступление в силу Национального плана по предоставлению помощи беспризорным детям и подростками на 2020–2030 годы. Вместе с тем Комитет обеспокоен:</w:t>
      </w:r>
    </w:p>
    <w:p w14:paraId="179633B7" w14:textId="03894DE1" w:rsidR="00AF23B7" w:rsidRPr="00773F95" w:rsidRDefault="00373DA1" w:rsidP="00AF23B7">
      <w:pPr>
        <w:pStyle w:val="SingleTxtG"/>
      </w:pPr>
      <w:r>
        <w:tab/>
      </w:r>
      <w:r w:rsidR="00AF23B7">
        <w:t>a)</w:t>
      </w:r>
      <w:r w:rsidR="00AF23B7">
        <w:tab/>
        <w:t>тем, что минимальный возраст вступления в брак для обоих супругов в государстве-участнике составляет 16 лет с согласия родителей, что не соответствует международным стандартам;</w:t>
      </w:r>
    </w:p>
    <w:p w14:paraId="784AB291" w14:textId="457D754C" w:rsidR="00AF23B7" w:rsidRPr="00773F95" w:rsidRDefault="00373DA1" w:rsidP="00AF23B7">
      <w:pPr>
        <w:pStyle w:val="SingleTxtG"/>
      </w:pPr>
      <w:r>
        <w:tab/>
      </w:r>
      <w:r w:rsidR="00AF23B7">
        <w:t>b)</w:t>
      </w:r>
      <w:r w:rsidR="00AF23B7">
        <w:tab/>
        <w:t>полученной информацией о том, что для Национального плана по предоставлению помощи беспризорным детям и подростками на 2020–2030 годы не разрабатывается ежегодное оперативное руководство; в частности, он обеспокоен отсутствием актуальных количественных данных по проблеме беспризорных детей и подростков в столице страны и на национальном уровне;</w:t>
      </w:r>
    </w:p>
    <w:p w14:paraId="64B162A1" w14:textId="6E2DAE98" w:rsidR="00AF23B7" w:rsidRPr="00773F95" w:rsidRDefault="00373DA1" w:rsidP="00AF23B7">
      <w:pPr>
        <w:pStyle w:val="SingleTxtG"/>
      </w:pPr>
      <w:r>
        <w:tab/>
      </w:r>
      <w:r w:rsidR="00AF23B7">
        <w:t>c)</w:t>
      </w:r>
      <w:r w:rsidR="00AF23B7">
        <w:tab/>
        <w:t>тем, что не обновляется перечень опасных видов детского труда и отсутствуют актуальные количественные и качественные данные, учитывая, что последнее общенациональное исследование было проведено в 2011 году (статьи 3, 7 и</w:t>
      </w:r>
      <w:r w:rsidR="00992A73">
        <w:t> </w:t>
      </w:r>
      <w:r w:rsidR="00AF23B7">
        <w:t>24).</w:t>
      </w:r>
    </w:p>
    <w:p w14:paraId="0421A15E" w14:textId="77777777" w:rsidR="00AF23B7" w:rsidRPr="00773F95" w:rsidRDefault="00AF23B7" w:rsidP="00AF23B7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193855B0" w14:textId="07042622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a)</w:t>
      </w:r>
      <w:r w:rsidR="00AF23B7">
        <w:tab/>
      </w:r>
      <w:r w:rsidR="00AF23B7">
        <w:rPr>
          <w:b/>
          <w:bCs/>
        </w:rPr>
        <w:t>в срочном порядке внести изменения в статью 91 Гражданского кодекса, повысив минимальный возраст для вступления в брак до 18 лет независимо от гендерной принадлежности;</w:t>
      </w:r>
    </w:p>
    <w:p w14:paraId="213BFFCE" w14:textId="453796FB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b)</w:t>
      </w:r>
      <w:r w:rsidR="00AF23B7">
        <w:tab/>
      </w:r>
      <w:r w:rsidR="00AF23B7">
        <w:rPr>
          <w:b/>
          <w:bCs/>
        </w:rPr>
        <w:t>удвоить усилия по решению проблемы беспризорных детей и эксплуатации детей в целом, и уделять приоритетное внимание обновлению количественных данных по этой теме, а также организации кампаний по информированию общественности о правах детей;</w:t>
      </w:r>
    </w:p>
    <w:p w14:paraId="15D14486" w14:textId="698FE837" w:rsidR="00AF23B7" w:rsidRPr="00773F95" w:rsidRDefault="00373DA1" w:rsidP="00AF23B7">
      <w:pPr>
        <w:pStyle w:val="SingleTxtG"/>
        <w:rPr>
          <w:b/>
          <w:bCs/>
        </w:rPr>
      </w:pPr>
      <w:r>
        <w:rPr>
          <w:b/>
          <w:bCs/>
        </w:rPr>
        <w:tab/>
      </w:r>
      <w:r w:rsidR="00AF23B7">
        <w:rPr>
          <w:b/>
          <w:bCs/>
        </w:rPr>
        <w:t>c)</w:t>
      </w:r>
      <w:r w:rsidR="00AF23B7">
        <w:tab/>
      </w:r>
      <w:r w:rsidR="00AF23B7">
        <w:rPr>
          <w:b/>
          <w:bCs/>
        </w:rPr>
        <w:t>удвоить свои усилия по борьбе с детским трудом и его искоренению, в частности путем обновления перечня опасных видов детского труда;</w:t>
      </w:r>
      <w:r w:rsidR="00AF23B7">
        <w:t xml:space="preserve"> </w:t>
      </w:r>
      <w:r w:rsidR="00AF23B7">
        <w:rPr>
          <w:b/>
          <w:bCs/>
        </w:rPr>
        <w:t>кроме того, необходимо провести новое исследование для получения количественных и качественных данных.</w:t>
      </w:r>
    </w:p>
    <w:p w14:paraId="183E957C" w14:textId="77777777" w:rsidR="00AF23B7" w:rsidRPr="00773F95" w:rsidRDefault="00AF23B7" w:rsidP="00AF23B7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33F9707E" w14:textId="77777777" w:rsidR="00AF23B7" w:rsidRPr="00773F95" w:rsidRDefault="00AF23B7" w:rsidP="00AF23B7">
      <w:pPr>
        <w:pStyle w:val="SingleTxtG"/>
      </w:pPr>
      <w:r>
        <w:t>36.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шестого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</w:p>
    <w:p w14:paraId="035D5F54" w14:textId="5CD8F509" w:rsidR="00AF23B7" w:rsidRPr="00773F95" w:rsidRDefault="00AF23B7" w:rsidP="00AF23B7">
      <w:pPr>
        <w:pStyle w:val="SingleTxtG"/>
      </w:pPr>
      <w:r>
        <w:t>37.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не позднее 28 июля 2025 года информацию о выполнении им рекомендаций Комитета, изложенных в пунктах</w:t>
      </w:r>
      <w:r w:rsidR="00373DA1">
        <w:rPr>
          <w:b/>
          <w:bCs/>
        </w:rPr>
        <w:t> </w:t>
      </w:r>
      <w:r>
        <w:rPr>
          <w:b/>
          <w:bCs/>
        </w:rPr>
        <w:t>15 (насилие в отношении женщин и насилие в семье), 23 (обращение с лицами, лишенными свободы) и 25 (доступ к правосудию, независимость судей и право на справедливое судебное разбирательство).</w:t>
      </w:r>
    </w:p>
    <w:p w14:paraId="301ECCEB" w14:textId="77777777" w:rsidR="00AF23B7" w:rsidRPr="00773F95" w:rsidRDefault="00AF23B7" w:rsidP="00AF23B7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Поскольку государство-участник согласилось следовать упрощенной процедуре представления докладов, Комитет в установленном порядке направит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эти вопросы и будут представлять собой его седьмой периодический доклад.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году в Женеве.</w:t>
      </w:r>
    </w:p>
    <w:p w14:paraId="28A81E14" w14:textId="77777777" w:rsidR="00AF23B7" w:rsidRPr="00773F95" w:rsidRDefault="00AF23B7" w:rsidP="00AF23B7">
      <w:pPr>
        <w:pStyle w:val="SingleTxtG"/>
        <w:spacing w:before="240" w:after="0"/>
        <w:jc w:val="center"/>
      </w:pPr>
      <w:r w:rsidRPr="00773F95">
        <w:rPr>
          <w:u w:val="single"/>
        </w:rPr>
        <w:tab/>
      </w:r>
      <w:r w:rsidRPr="00773F95">
        <w:rPr>
          <w:u w:val="single"/>
        </w:rPr>
        <w:tab/>
      </w:r>
      <w:r w:rsidRPr="00773F95">
        <w:rPr>
          <w:u w:val="single"/>
        </w:rPr>
        <w:tab/>
      </w:r>
    </w:p>
    <w:p w14:paraId="00E002E6" w14:textId="77777777" w:rsidR="00381C24" w:rsidRPr="00AF23B7" w:rsidRDefault="00381C24" w:rsidP="0075523D"/>
    <w:sectPr w:rsidR="00381C24" w:rsidRPr="00AF23B7" w:rsidSect="00D327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B323" w14:textId="77777777" w:rsidR="00023669" w:rsidRPr="00A312BC" w:rsidRDefault="00023669" w:rsidP="00A312BC"/>
  </w:endnote>
  <w:endnote w:type="continuationSeparator" w:id="0">
    <w:p w14:paraId="0770D6A1" w14:textId="77777777" w:rsidR="00023669" w:rsidRPr="00A312BC" w:rsidRDefault="0002366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BF610" w14:textId="726164AB" w:rsidR="00D327A6" w:rsidRPr="00D327A6" w:rsidRDefault="00D327A6">
    <w:pPr>
      <w:pStyle w:val="a8"/>
    </w:pPr>
    <w:r w:rsidRPr="00D327A6">
      <w:rPr>
        <w:b/>
        <w:sz w:val="18"/>
      </w:rPr>
      <w:fldChar w:fldCharType="begin"/>
    </w:r>
    <w:r w:rsidRPr="00D327A6">
      <w:rPr>
        <w:b/>
        <w:sz w:val="18"/>
      </w:rPr>
      <w:instrText xml:space="preserve"> PAGE  \* MERGEFORMAT </w:instrText>
    </w:r>
    <w:r w:rsidRPr="00D327A6">
      <w:rPr>
        <w:b/>
        <w:sz w:val="18"/>
      </w:rPr>
      <w:fldChar w:fldCharType="separate"/>
    </w:r>
    <w:r w:rsidRPr="00D327A6">
      <w:rPr>
        <w:b/>
        <w:noProof/>
        <w:sz w:val="18"/>
      </w:rPr>
      <w:t>2</w:t>
    </w:r>
    <w:r w:rsidRPr="00D327A6">
      <w:rPr>
        <w:b/>
        <w:sz w:val="18"/>
      </w:rPr>
      <w:fldChar w:fldCharType="end"/>
    </w:r>
    <w:r>
      <w:rPr>
        <w:b/>
        <w:sz w:val="18"/>
      </w:rPr>
      <w:tab/>
    </w:r>
    <w:r>
      <w:t>GE.22-15795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FD377" w14:textId="5176D057" w:rsidR="00D327A6" w:rsidRPr="00D327A6" w:rsidRDefault="00D327A6" w:rsidP="00D327A6">
    <w:pPr>
      <w:pStyle w:val="a8"/>
      <w:tabs>
        <w:tab w:val="clear" w:pos="9639"/>
        <w:tab w:val="right" w:pos="9638"/>
      </w:tabs>
      <w:rPr>
        <w:b/>
        <w:sz w:val="18"/>
      </w:rPr>
    </w:pPr>
    <w:r>
      <w:t>GE.22-15795</w:t>
    </w:r>
    <w:r>
      <w:tab/>
    </w:r>
    <w:r w:rsidRPr="00D327A6">
      <w:rPr>
        <w:b/>
        <w:sz w:val="18"/>
      </w:rPr>
      <w:fldChar w:fldCharType="begin"/>
    </w:r>
    <w:r w:rsidRPr="00D327A6">
      <w:rPr>
        <w:b/>
        <w:sz w:val="18"/>
      </w:rPr>
      <w:instrText xml:space="preserve"> PAGE  \* MERGEFORMAT </w:instrText>
    </w:r>
    <w:r w:rsidRPr="00D327A6">
      <w:rPr>
        <w:b/>
        <w:sz w:val="18"/>
      </w:rPr>
      <w:fldChar w:fldCharType="separate"/>
    </w:r>
    <w:r w:rsidRPr="00D327A6">
      <w:rPr>
        <w:b/>
        <w:noProof/>
        <w:sz w:val="18"/>
      </w:rPr>
      <w:t>3</w:t>
    </w:r>
    <w:r w:rsidRPr="00D327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AF461" w14:textId="7254C351" w:rsidR="00042B72" w:rsidRPr="00D327A6" w:rsidRDefault="00D327A6" w:rsidP="00D327A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856EA0F" wp14:editId="51B44F1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15795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6BED287" wp14:editId="0E034ED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51B2">
      <w:t xml:space="preserve">  181122  020323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BBEEB" w14:textId="77777777" w:rsidR="00023669" w:rsidRPr="001075E9" w:rsidRDefault="0002366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7564DA8" w14:textId="77777777" w:rsidR="00023669" w:rsidRDefault="0002366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0FB5C5C" w14:textId="77777777" w:rsidR="00AF23B7" w:rsidRPr="00773F95" w:rsidRDefault="00AF23B7" w:rsidP="00AF23B7">
      <w:pPr>
        <w:pStyle w:val="ad"/>
        <w:rPr>
          <w:sz w:val="20"/>
        </w:rPr>
      </w:pPr>
      <w:r>
        <w:tab/>
        <w:t>*</w:t>
      </w:r>
      <w:r>
        <w:tab/>
        <w:t>Приняты Комитетом на его сто тридцать пятой сессии (27 июня — 27 июля 2022 года).</w:t>
      </w:r>
    </w:p>
  </w:footnote>
  <w:footnote w:id="2">
    <w:p w14:paraId="361304B2" w14:textId="75872800" w:rsidR="00AF23B7" w:rsidRPr="00773F95" w:rsidRDefault="00AF23B7" w:rsidP="00AF23B7">
      <w:pPr>
        <w:pStyle w:val="ad"/>
      </w:pPr>
      <w:r>
        <w:tab/>
      </w:r>
      <w:r w:rsidRPr="007E1DF0">
        <w:rPr>
          <w:rStyle w:val="aa"/>
        </w:rPr>
        <w:footnoteRef/>
      </w:r>
      <w:r>
        <w:tab/>
      </w:r>
      <w:hyperlink r:id="rId1" w:history="1">
        <w:r w:rsidR="008A6F37" w:rsidRPr="008A6F37">
          <w:rPr>
            <w:rStyle w:val="af1"/>
            <w:lang w:val="pt-PT"/>
          </w:rPr>
          <w:t>CCPR/C/URY/6</w:t>
        </w:r>
      </w:hyperlink>
      <w:r>
        <w:t>.</w:t>
      </w:r>
    </w:p>
  </w:footnote>
  <w:footnote w:id="3">
    <w:p w14:paraId="12A80140" w14:textId="0C0919E4" w:rsidR="00AF23B7" w:rsidRPr="008A6F37" w:rsidRDefault="00AF23B7" w:rsidP="00AF23B7">
      <w:pPr>
        <w:pStyle w:val="ad"/>
        <w:rPr>
          <w:lang w:val="de-CH"/>
        </w:rPr>
      </w:pPr>
      <w:r w:rsidRPr="00DD5F2D">
        <w:tab/>
      </w:r>
      <w:r w:rsidRPr="00DD5F2D">
        <w:rPr>
          <w:rStyle w:val="aa"/>
        </w:rPr>
        <w:footnoteRef/>
      </w:r>
      <w:r w:rsidRPr="008A6F37">
        <w:rPr>
          <w:lang w:val="de-CH"/>
        </w:rPr>
        <w:tab/>
      </w:r>
      <w:hyperlink r:id="rId2" w:history="1">
        <w:r w:rsidR="008A6F37" w:rsidRPr="008A6F37">
          <w:rPr>
            <w:rStyle w:val="af1"/>
            <w:lang w:val="de-CH"/>
          </w:rPr>
          <w:t>CCPR/C/SR.3882</w:t>
        </w:r>
      </w:hyperlink>
      <w:r w:rsidRPr="008A6F37">
        <w:rPr>
          <w:lang w:val="de-CH"/>
        </w:rPr>
        <w:t xml:space="preserve"> </w:t>
      </w:r>
      <w:r>
        <w:t>и</w:t>
      </w:r>
      <w:r w:rsidRPr="008A6F37">
        <w:rPr>
          <w:lang w:val="de-CH"/>
        </w:rPr>
        <w:t xml:space="preserve"> </w:t>
      </w:r>
      <w:hyperlink r:id="rId3" w:history="1">
        <w:r w:rsidR="008A6F37" w:rsidRPr="008A6F37">
          <w:rPr>
            <w:rStyle w:val="af1"/>
            <w:lang w:val="de-CH"/>
          </w:rPr>
          <w:t>CCPR/C/SR.3883</w:t>
        </w:r>
      </w:hyperlink>
      <w:r w:rsidRPr="008A6F37">
        <w:rPr>
          <w:lang w:val="de-CH"/>
        </w:rPr>
        <w:t>.</w:t>
      </w:r>
    </w:p>
  </w:footnote>
  <w:footnote w:id="4">
    <w:p w14:paraId="5244ACE5" w14:textId="2590C7B5" w:rsidR="00AF23B7" w:rsidRPr="00DD5F2D" w:rsidRDefault="00AF23B7" w:rsidP="00AF23B7">
      <w:pPr>
        <w:pStyle w:val="ad"/>
      </w:pPr>
      <w:r w:rsidRPr="008A6F37">
        <w:rPr>
          <w:lang w:val="de-CH"/>
        </w:rPr>
        <w:tab/>
      </w:r>
      <w:r w:rsidRPr="00DD5F2D">
        <w:rPr>
          <w:rStyle w:val="aa"/>
        </w:rPr>
        <w:footnoteRef/>
      </w:r>
      <w:r>
        <w:tab/>
      </w:r>
      <w:hyperlink r:id="rId4" w:history="1">
        <w:r w:rsidR="008A6F37" w:rsidRPr="008A6F37">
          <w:rPr>
            <w:rStyle w:val="af1"/>
            <w:lang w:val="es-ES"/>
          </w:rPr>
          <w:t>CCPR/C/URY/QPR/6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B355" w14:textId="22DC5ACA" w:rsidR="00D327A6" w:rsidRPr="00D327A6" w:rsidRDefault="00BA576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26A71">
      <w:t>CCPR/C/URY/CO/6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8EBB" w14:textId="124D1AB6" w:rsidR="00D327A6" w:rsidRPr="00D327A6" w:rsidRDefault="00BA5762" w:rsidP="00D327A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26A71">
      <w:t>CCPR/C/URY/CO/6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48842841">
    <w:abstractNumId w:val="16"/>
  </w:num>
  <w:num w:numId="2" w16cid:durableId="696003996">
    <w:abstractNumId w:val="11"/>
  </w:num>
  <w:num w:numId="3" w16cid:durableId="2047483316">
    <w:abstractNumId w:val="10"/>
  </w:num>
  <w:num w:numId="4" w16cid:durableId="1360662549">
    <w:abstractNumId w:val="17"/>
  </w:num>
  <w:num w:numId="5" w16cid:durableId="843521067">
    <w:abstractNumId w:val="13"/>
  </w:num>
  <w:num w:numId="6" w16cid:durableId="1388183733">
    <w:abstractNumId w:val="8"/>
  </w:num>
  <w:num w:numId="7" w16cid:durableId="502011803">
    <w:abstractNumId w:val="3"/>
  </w:num>
  <w:num w:numId="8" w16cid:durableId="138618876">
    <w:abstractNumId w:val="2"/>
  </w:num>
  <w:num w:numId="9" w16cid:durableId="1571890725">
    <w:abstractNumId w:val="1"/>
  </w:num>
  <w:num w:numId="10" w16cid:durableId="691960420">
    <w:abstractNumId w:val="0"/>
  </w:num>
  <w:num w:numId="11" w16cid:durableId="353727224">
    <w:abstractNumId w:val="9"/>
  </w:num>
  <w:num w:numId="12" w16cid:durableId="1678266022">
    <w:abstractNumId w:val="7"/>
  </w:num>
  <w:num w:numId="13" w16cid:durableId="272522775">
    <w:abstractNumId w:val="6"/>
  </w:num>
  <w:num w:numId="14" w16cid:durableId="1749040449">
    <w:abstractNumId w:val="5"/>
  </w:num>
  <w:num w:numId="15" w16cid:durableId="1988320785">
    <w:abstractNumId w:val="4"/>
  </w:num>
  <w:num w:numId="16" w16cid:durableId="1474253743">
    <w:abstractNumId w:val="15"/>
  </w:num>
  <w:num w:numId="17" w16cid:durableId="2027361775">
    <w:abstractNumId w:val="12"/>
  </w:num>
  <w:num w:numId="18" w16cid:durableId="372775762">
    <w:abstractNumId w:val="14"/>
  </w:num>
  <w:num w:numId="19" w16cid:durableId="1102797274">
    <w:abstractNumId w:val="15"/>
  </w:num>
  <w:num w:numId="20" w16cid:durableId="1412893491">
    <w:abstractNumId w:val="12"/>
  </w:num>
  <w:num w:numId="21" w16cid:durableId="32119830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669"/>
    <w:rsid w:val="00023669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71B66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26A71"/>
    <w:rsid w:val="003402C2"/>
    <w:rsid w:val="00373DA1"/>
    <w:rsid w:val="00375F01"/>
    <w:rsid w:val="00381C24"/>
    <w:rsid w:val="003958D0"/>
    <w:rsid w:val="003B00E5"/>
    <w:rsid w:val="0040499C"/>
    <w:rsid w:val="00407B78"/>
    <w:rsid w:val="00424203"/>
    <w:rsid w:val="00452493"/>
    <w:rsid w:val="00454E07"/>
    <w:rsid w:val="00472C5C"/>
    <w:rsid w:val="004969B2"/>
    <w:rsid w:val="004D7D2A"/>
    <w:rsid w:val="0050108D"/>
    <w:rsid w:val="00513081"/>
    <w:rsid w:val="00517901"/>
    <w:rsid w:val="00526683"/>
    <w:rsid w:val="00544A0E"/>
    <w:rsid w:val="005709E0"/>
    <w:rsid w:val="00572E19"/>
    <w:rsid w:val="005961C8"/>
    <w:rsid w:val="005D7914"/>
    <w:rsid w:val="005E2B41"/>
    <w:rsid w:val="005F0B42"/>
    <w:rsid w:val="0061623F"/>
    <w:rsid w:val="00666B97"/>
    <w:rsid w:val="00681A10"/>
    <w:rsid w:val="006A1ED8"/>
    <w:rsid w:val="006C2031"/>
    <w:rsid w:val="006D461A"/>
    <w:rsid w:val="006E51B2"/>
    <w:rsid w:val="006F35EE"/>
    <w:rsid w:val="007021FF"/>
    <w:rsid w:val="00712895"/>
    <w:rsid w:val="0075523D"/>
    <w:rsid w:val="00757357"/>
    <w:rsid w:val="00787D3A"/>
    <w:rsid w:val="00791B9D"/>
    <w:rsid w:val="007A60BF"/>
    <w:rsid w:val="00825F8D"/>
    <w:rsid w:val="00831C78"/>
    <w:rsid w:val="00834B71"/>
    <w:rsid w:val="0086445C"/>
    <w:rsid w:val="00894693"/>
    <w:rsid w:val="008A08D7"/>
    <w:rsid w:val="008A6F37"/>
    <w:rsid w:val="008B6909"/>
    <w:rsid w:val="00906890"/>
    <w:rsid w:val="00911BE4"/>
    <w:rsid w:val="00931A71"/>
    <w:rsid w:val="00951972"/>
    <w:rsid w:val="009608F3"/>
    <w:rsid w:val="009918E2"/>
    <w:rsid w:val="00992A73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AE4F3E"/>
    <w:rsid w:val="00AF23B7"/>
    <w:rsid w:val="00B10CC7"/>
    <w:rsid w:val="00B136DB"/>
    <w:rsid w:val="00B539E7"/>
    <w:rsid w:val="00B62458"/>
    <w:rsid w:val="00BA5111"/>
    <w:rsid w:val="00BA5762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2E02"/>
    <w:rsid w:val="00CE5A1A"/>
    <w:rsid w:val="00CF55F6"/>
    <w:rsid w:val="00D327A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94B0F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27B5C"/>
  <w15:docId w15:val="{C4654849-F330-4ECA-90D6-6F503433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s refss,Texto de nota al pie,Appel note de bas de page,referencia nota al pie,BVI fnr,Footnote number,Ref. de nota al pie.,16 Point,Superscript 6 Point,Texto nota al pie,Footnote Reference Char3,Footnote symbol"/>
    <w:basedOn w:val="a0"/>
    <w:uiPriority w:val="3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a"/>
    <w:link w:val="ae"/>
    <w:uiPriority w:val="3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uiPriority w:val="3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AF23B7"/>
    <w:rPr>
      <w:lang w:val="ru-RU" w:eastAsia="en-US"/>
    </w:rPr>
  </w:style>
  <w:style w:type="character" w:customStyle="1" w:styleId="HChGChar">
    <w:name w:val="_ H _Ch_G Char"/>
    <w:link w:val="HChG"/>
    <w:rsid w:val="00AF23B7"/>
    <w:rPr>
      <w:b/>
      <w:sz w:val="28"/>
      <w:lang w:val="ru-RU" w:eastAsia="ru-RU"/>
    </w:rPr>
  </w:style>
  <w:style w:type="character" w:customStyle="1" w:styleId="H23GChar">
    <w:name w:val="_ H_2/3_G Char"/>
    <w:link w:val="H23G"/>
    <w:locked/>
    <w:rsid w:val="00AF23B7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616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sp/CCPR/C/SR.3883" TargetMode="External"/><Relationship Id="rId2" Type="http://schemas.openxmlformats.org/officeDocument/2006/relationships/hyperlink" Target="http://undocs.org/sp/CCPR/C/SR.3882" TargetMode="External"/><Relationship Id="rId1" Type="http://schemas.openxmlformats.org/officeDocument/2006/relationships/hyperlink" Target="http://undocs.org/sp/CCPR/C/URY/6" TargetMode="External"/><Relationship Id="rId4" Type="http://schemas.openxmlformats.org/officeDocument/2006/relationships/hyperlink" Target="http://undocs.org/sp/CCPR/C/URY/QPR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11</Pages>
  <Words>4162</Words>
  <Characters>28139</Characters>
  <Application>Microsoft Office Word</Application>
  <DocSecurity>0</DocSecurity>
  <Lines>530</Lines>
  <Paragraphs>159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CCPR/C/URY/CO/6</vt:lpstr>
      <vt:lpstr>A/</vt:lpstr>
      <vt:lpstr>A/</vt:lpstr>
    </vt:vector>
  </TitlesOfParts>
  <Company>DCM</Company>
  <LinksUpToDate>false</LinksUpToDate>
  <CharactersWithSpaces>32142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CCPR/C/URY/CO/6</dc:title>
  <dc:subject/>
  <dc:creator>Uliana ANTIPOVA</dc:creator>
  <cp:keywords/>
  <cp:lastModifiedBy>Uliana Antipova</cp:lastModifiedBy>
  <cp:revision>4</cp:revision>
  <cp:lastPrinted>2023-03-02T10:04:00Z</cp:lastPrinted>
  <dcterms:created xsi:type="dcterms:W3CDTF">2023-03-02T10:04:00Z</dcterms:created>
  <dcterms:modified xsi:type="dcterms:W3CDTF">2023-03-02T10:09:00Z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