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96A02F" w14:textId="77777777" w:rsidTr="006532CE">
        <w:trPr>
          <w:trHeight w:hRule="exact" w:val="851"/>
        </w:trPr>
        <w:tc>
          <w:tcPr>
            <w:tcW w:w="1280" w:type="dxa"/>
            <w:tcBorders>
              <w:bottom w:val="single" w:sz="4" w:space="0" w:color="auto"/>
            </w:tcBorders>
          </w:tcPr>
          <w:p w14:paraId="66E26483" w14:textId="77777777" w:rsidR="002D5AAC" w:rsidRPr="005A566C" w:rsidRDefault="002D5AAC" w:rsidP="00646CB1">
            <w:pPr>
              <w:pStyle w:val="Sinespaciado"/>
              <w:kinsoku w:val="0"/>
              <w:overflowPunct w:val="0"/>
              <w:autoSpaceDE w:val="0"/>
              <w:autoSpaceDN w:val="0"/>
              <w:adjustRightInd w:val="0"/>
              <w:snapToGrid w:val="0"/>
              <w:rPr>
                <w:sz w:val="18"/>
                <w:szCs w:val="18"/>
              </w:rPr>
            </w:pPr>
          </w:p>
        </w:tc>
        <w:tc>
          <w:tcPr>
            <w:tcW w:w="2273" w:type="dxa"/>
            <w:tcBorders>
              <w:bottom w:val="single" w:sz="4" w:space="0" w:color="auto"/>
            </w:tcBorders>
            <w:vAlign w:val="bottom"/>
          </w:tcPr>
          <w:p w14:paraId="1636DFEA"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238E42E" w14:textId="7A8819AF" w:rsidR="002D5AAC" w:rsidRDefault="00646CB1" w:rsidP="00646CB1">
            <w:pPr>
              <w:jc w:val="right"/>
            </w:pPr>
            <w:r w:rsidRPr="00646CB1">
              <w:rPr>
                <w:sz w:val="40"/>
              </w:rPr>
              <w:t>CRC</w:t>
            </w:r>
            <w:r>
              <w:t>/C/RUS/6-7</w:t>
            </w:r>
          </w:p>
        </w:tc>
      </w:tr>
      <w:tr w:rsidR="002D5AAC" w14:paraId="11B1CC1F" w14:textId="77777777" w:rsidTr="006532CE">
        <w:trPr>
          <w:trHeight w:hRule="exact" w:val="2835"/>
        </w:trPr>
        <w:tc>
          <w:tcPr>
            <w:tcW w:w="1280" w:type="dxa"/>
            <w:tcBorders>
              <w:top w:val="single" w:sz="4" w:space="0" w:color="auto"/>
              <w:bottom w:val="single" w:sz="12" w:space="0" w:color="auto"/>
            </w:tcBorders>
          </w:tcPr>
          <w:p w14:paraId="0C8C255C" w14:textId="77777777" w:rsidR="002D5AAC" w:rsidRDefault="007D431B" w:rsidP="007F3812">
            <w:pPr>
              <w:spacing w:before="120"/>
              <w:jc w:val="center"/>
            </w:pPr>
            <w:r>
              <w:rPr>
                <w:noProof/>
              </w:rPr>
              <w:drawing>
                <wp:inline distT="0" distB="0" distL="0" distR="0" wp14:anchorId="612857E8" wp14:editId="63C1467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81FEA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4735183" w14:textId="77777777" w:rsidR="002D5AAC" w:rsidRDefault="00646CB1" w:rsidP="007F3812">
            <w:pPr>
              <w:spacing w:before="240"/>
            </w:pPr>
            <w:r>
              <w:t>Distr. general</w:t>
            </w:r>
          </w:p>
          <w:p w14:paraId="179A7E13" w14:textId="77777777" w:rsidR="00646CB1" w:rsidRDefault="00646CB1" w:rsidP="00646CB1">
            <w:pPr>
              <w:spacing w:line="240" w:lineRule="exact"/>
            </w:pPr>
            <w:r>
              <w:t>16 de noviembre de 2022</w:t>
            </w:r>
          </w:p>
          <w:p w14:paraId="0C3FE3B1" w14:textId="77777777" w:rsidR="00646CB1" w:rsidRDefault="00646CB1" w:rsidP="00646CB1">
            <w:pPr>
              <w:spacing w:line="240" w:lineRule="exact"/>
            </w:pPr>
            <w:r>
              <w:t>Español</w:t>
            </w:r>
          </w:p>
          <w:p w14:paraId="5EE8E8B0" w14:textId="77777777" w:rsidR="00646CB1" w:rsidRDefault="00646CB1" w:rsidP="00646CB1">
            <w:pPr>
              <w:spacing w:line="240" w:lineRule="exact"/>
            </w:pPr>
            <w:r>
              <w:t>Original: ruso</w:t>
            </w:r>
          </w:p>
          <w:p w14:paraId="51144542" w14:textId="2355B9FA" w:rsidR="00646CB1" w:rsidRDefault="00646CB1" w:rsidP="00646CB1">
            <w:pPr>
              <w:spacing w:line="240" w:lineRule="exact"/>
            </w:pPr>
            <w:r>
              <w:t>Español, francés, inglés y ruso únicamente</w:t>
            </w:r>
          </w:p>
        </w:tc>
      </w:tr>
    </w:tbl>
    <w:p w14:paraId="114E50EE" w14:textId="77777777" w:rsidR="006532CE" w:rsidRPr="006532CE" w:rsidRDefault="006532CE" w:rsidP="006532CE">
      <w:pPr>
        <w:spacing w:before="120"/>
        <w:rPr>
          <w:b/>
          <w:bCs/>
          <w:sz w:val="24"/>
          <w:szCs w:val="24"/>
        </w:rPr>
      </w:pPr>
      <w:r w:rsidRPr="006532CE">
        <w:rPr>
          <w:b/>
          <w:bCs/>
          <w:sz w:val="24"/>
          <w:szCs w:val="24"/>
        </w:rPr>
        <w:t>Comité de los Derechos del Niño</w:t>
      </w:r>
    </w:p>
    <w:p w14:paraId="04837510" w14:textId="18BC2A82" w:rsidR="006532CE" w:rsidRPr="006532CE" w:rsidRDefault="006532CE" w:rsidP="006532CE">
      <w:pPr>
        <w:pStyle w:val="HMG"/>
      </w:pPr>
      <w:r>
        <w:tab/>
      </w:r>
      <w:r w:rsidRPr="006532CE">
        <w:tab/>
        <w:t>Informes periódicos sexto y séptimo combinados</w:t>
      </w:r>
      <w:r>
        <w:t> </w:t>
      </w:r>
      <w:r w:rsidRPr="006532CE">
        <w:t>que la Federación de Rusia debía</w:t>
      </w:r>
      <w:r>
        <w:t> </w:t>
      </w:r>
      <w:r w:rsidRPr="006532CE">
        <w:t>presentar en 2019 en virtud del artículo</w:t>
      </w:r>
      <w:r>
        <w:t> </w:t>
      </w:r>
      <w:r w:rsidRPr="006532CE">
        <w:t>44</w:t>
      </w:r>
      <w:r>
        <w:t> </w:t>
      </w:r>
      <w:r w:rsidRPr="006532CE">
        <w:t>de la Convención</w:t>
      </w:r>
      <w:r w:rsidRPr="006532CE">
        <w:rPr>
          <w:rStyle w:val="Refdenotaalpie"/>
          <w:b w:val="0"/>
          <w:bCs/>
          <w:sz w:val="20"/>
          <w:vertAlign w:val="baseline"/>
        </w:rPr>
        <w:footnoteReference w:customMarkFollows="1" w:id="1"/>
        <w:t>*</w:t>
      </w:r>
      <w:r w:rsidRPr="006532CE">
        <w:rPr>
          <w:b w:val="0"/>
          <w:bCs/>
          <w:sz w:val="20"/>
        </w:rPr>
        <w:t xml:space="preserve"> </w:t>
      </w:r>
      <w:r w:rsidRPr="006532CE">
        <w:rPr>
          <w:rStyle w:val="Refdenotaalpie"/>
          <w:b w:val="0"/>
          <w:bCs/>
          <w:sz w:val="20"/>
          <w:vertAlign w:val="baseline"/>
        </w:rPr>
        <w:footnoteReference w:customMarkFollows="1" w:id="2"/>
        <w:t>**</w:t>
      </w:r>
    </w:p>
    <w:p w14:paraId="422E8C94" w14:textId="77777777" w:rsidR="006532CE" w:rsidRPr="006532CE" w:rsidRDefault="006532CE" w:rsidP="006532CE">
      <w:pPr>
        <w:pStyle w:val="SingleTxtG"/>
        <w:jc w:val="right"/>
      </w:pPr>
      <w:r w:rsidRPr="006532CE">
        <w:t>[Fecha de recepción: 11 de julio de 2019]</w:t>
      </w:r>
    </w:p>
    <w:p w14:paraId="0ED3D23A" w14:textId="77777777" w:rsidR="006532CE" w:rsidRPr="006532CE" w:rsidRDefault="006532CE" w:rsidP="006532CE">
      <w:pPr>
        <w:pStyle w:val="SingleTxtG"/>
      </w:pPr>
      <w:r w:rsidRPr="006532CE">
        <w:br w:type="page"/>
      </w:r>
    </w:p>
    <w:p w14:paraId="6F34A0FB" w14:textId="6FB8EB13" w:rsidR="006532CE" w:rsidRPr="006532CE" w:rsidRDefault="006532CE" w:rsidP="006532CE">
      <w:pPr>
        <w:pStyle w:val="HChG"/>
      </w:pPr>
      <w:r>
        <w:lastRenderedPageBreak/>
        <w:tab/>
      </w:r>
      <w:r w:rsidRPr="006532CE">
        <w:tab/>
        <w:t>Informes periódicos sexto y séptimo combinados de</w:t>
      </w:r>
      <w:r>
        <w:t> </w:t>
      </w:r>
      <w:r w:rsidRPr="006532CE">
        <w:t>la</w:t>
      </w:r>
      <w:r>
        <w:t> </w:t>
      </w:r>
      <w:r w:rsidRPr="006532CE">
        <w:t>Federación de Rusia acerca de la aplicación de</w:t>
      </w:r>
      <w:r>
        <w:t> </w:t>
      </w:r>
      <w:r w:rsidRPr="006532CE">
        <w:t>las</w:t>
      </w:r>
      <w:r>
        <w:t> </w:t>
      </w:r>
      <w:r w:rsidRPr="006532CE">
        <w:t>disposiciones de la Convención sobre los Derechos</w:t>
      </w:r>
      <w:r>
        <w:t> </w:t>
      </w:r>
      <w:r w:rsidRPr="006532CE">
        <w:t>del</w:t>
      </w:r>
      <w:r>
        <w:t> </w:t>
      </w:r>
      <w:r w:rsidRPr="006532CE">
        <w:t>Niño (2011-2019)</w:t>
      </w:r>
    </w:p>
    <w:p w14:paraId="1E7B343C" w14:textId="14A741E7" w:rsidR="006532CE" w:rsidRDefault="006532CE" w:rsidP="006532CE">
      <w:pPr>
        <w:pStyle w:val="SingleTxtG"/>
        <w:ind w:left="0" w:right="0"/>
        <w:jc w:val="left"/>
        <w:rPr>
          <w:sz w:val="28"/>
        </w:rPr>
      </w:pPr>
      <w:r>
        <w:rPr>
          <w:sz w:val="28"/>
        </w:rPr>
        <w:t>Índice</w:t>
      </w:r>
    </w:p>
    <w:p w14:paraId="6F97E8C6" w14:textId="26D94574" w:rsidR="006532CE" w:rsidRDefault="006532CE" w:rsidP="006532CE">
      <w:pPr>
        <w:pStyle w:val="SingleTxtG"/>
        <w:tabs>
          <w:tab w:val="clear" w:pos="1701"/>
          <w:tab w:val="clear" w:pos="2268"/>
          <w:tab w:val="clear" w:pos="2835"/>
          <w:tab w:val="right" w:pos="9638"/>
        </w:tabs>
        <w:ind w:left="283" w:right="0"/>
        <w:jc w:val="left"/>
        <w:rPr>
          <w:sz w:val="18"/>
        </w:rPr>
      </w:pPr>
      <w:r>
        <w:rPr>
          <w:i/>
          <w:sz w:val="18"/>
        </w:rPr>
        <w:tab/>
        <w:t>Página</w:t>
      </w:r>
    </w:p>
    <w:p w14:paraId="0AC9EFAA" w14:textId="5DE4F94D"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D7F0F">
        <w:tab/>
      </w:r>
      <w:r w:rsidRPr="005D7F0F">
        <w:tab/>
        <w:t>Introducción</w:t>
      </w:r>
      <w:r>
        <w:tab/>
      </w:r>
      <w:r>
        <w:tab/>
      </w:r>
      <w:r w:rsidR="00387A40">
        <w:t>5</w:t>
      </w:r>
    </w:p>
    <w:p w14:paraId="7FFC156F" w14:textId="343CDB6F"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D7F0F">
        <w:tab/>
        <w:t>I.</w:t>
      </w:r>
      <w:r w:rsidRPr="005D7F0F">
        <w:tab/>
        <w:t>Información general sobre la Federación de Rusia</w:t>
      </w:r>
      <w:r>
        <w:tab/>
      </w:r>
      <w:r>
        <w:tab/>
      </w:r>
      <w:r w:rsidR="00387A40">
        <w:t>5</w:t>
      </w:r>
    </w:p>
    <w:p w14:paraId="04CF4AE0" w14:textId="1DBB10B6"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D7F0F">
        <w:tab/>
        <w:t>II.</w:t>
      </w:r>
      <w:r w:rsidRPr="005D7F0F">
        <w:tab/>
        <w:t>Medidas generales de aplicación (arts. 4, 42 y 44, párr. 6)</w:t>
      </w:r>
      <w:r>
        <w:tab/>
      </w:r>
      <w:r>
        <w:tab/>
      </w:r>
      <w:r w:rsidR="00387A40">
        <w:t>6</w:t>
      </w:r>
    </w:p>
    <w:p w14:paraId="1F78171E" w14:textId="4B9EEEC2"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D7F0F">
        <w:tab/>
        <w:t>III.</w:t>
      </w:r>
      <w:r w:rsidRPr="005D7F0F">
        <w:tab/>
        <w:t>Definición de niño (art. 1)</w:t>
      </w:r>
      <w:r>
        <w:tab/>
      </w:r>
      <w:r>
        <w:tab/>
      </w:r>
      <w:r w:rsidR="00387A40">
        <w:t>10</w:t>
      </w:r>
    </w:p>
    <w:p w14:paraId="5D1BA606" w14:textId="7C44934A"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D7F0F">
        <w:tab/>
        <w:t>IV.</w:t>
      </w:r>
      <w:r w:rsidRPr="005D7F0F">
        <w:tab/>
        <w:t>Principios generales</w:t>
      </w:r>
      <w:r>
        <w:tab/>
      </w:r>
      <w:r>
        <w:tab/>
      </w:r>
      <w:r w:rsidR="00387A40">
        <w:t>10</w:t>
      </w:r>
    </w:p>
    <w:p w14:paraId="08BD2301" w14:textId="64FACAC6"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А.</w:t>
      </w:r>
      <w:r w:rsidRPr="005D7F0F">
        <w:tab/>
        <w:t>No discriminación (art. 2)</w:t>
      </w:r>
      <w:r>
        <w:tab/>
      </w:r>
      <w:r>
        <w:tab/>
      </w:r>
      <w:r w:rsidR="00387A40">
        <w:t>10</w:t>
      </w:r>
    </w:p>
    <w:p w14:paraId="5AF48347" w14:textId="748F86BF"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В.</w:t>
      </w:r>
      <w:r w:rsidRPr="005D7F0F">
        <w:tab/>
        <w:t>Respeto del interés superior del niño (art. 3)</w:t>
      </w:r>
      <w:r>
        <w:tab/>
      </w:r>
      <w:r>
        <w:tab/>
      </w:r>
      <w:r w:rsidR="00387A40">
        <w:t>11</w:t>
      </w:r>
    </w:p>
    <w:p w14:paraId="715D112F" w14:textId="1907C7CC"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С.</w:t>
      </w:r>
      <w:r w:rsidRPr="005D7F0F">
        <w:tab/>
        <w:t>Derecho a la vida, a la supervivencia y al desarrollo (art. 6)</w:t>
      </w:r>
      <w:r>
        <w:tab/>
      </w:r>
      <w:r>
        <w:tab/>
      </w:r>
      <w:r w:rsidR="00387A40">
        <w:t>11</w:t>
      </w:r>
    </w:p>
    <w:p w14:paraId="1A69227A" w14:textId="4780D53D"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D.</w:t>
      </w:r>
      <w:r w:rsidRPr="005D7F0F">
        <w:tab/>
        <w:t>Respeto por la opinión del niño (art. 12)</w:t>
      </w:r>
      <w:r>
        <w:tab/>
      </w:r>
      <w:r>
        <w:tab/>
      </w:r>
      <w:r w:rsidR="00387A40">
        <w:t>13</w:t>
      </w:r>
    </w:p>
    <w:p w14:paraId="4E5C5319" w14:textId="60298B90"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D7F0F">
        <w:tab/>
        <w:t>V.</w:t>
      </w:r>
      <w:r w:rsidRPr="005D7F0F">
        <w:tab/>
        <w:t>Derechos y libertades civiles</w:t>
      </w:r>
      <w:r w:rsidR="00387A40">
        <w:tab/>
      </w:r>
      <w:r w:rsidR="00387A40">
        <w:tab/>
        <w:t>13</w:t>
      </w:r>
    </w:p>
    <w:p w14:paraId="46ECC970" w14:textId="7428A2B5"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А.</w:t>
      </w:r>
      <w:r w:rsidRPr="005D7F0F">
        <w:tab/>
        <w:t>Inscripción de los nacimientos, el nombre y la nacionalidad (art. 7)</w:t>
      </w:r>
      <w:r>
        <w:tab/>
      </w:r>
      <w:r>
        <w:tab/>
      </w:r>
      <w:r w:rsidR="00387A40">
        <w:t>13</w:t>
      </w:r>
    </w:p>
    <w:p w14:paraId="04F8A1FC" w14:textId="7E30A5B6"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В.</w:t>
      </w:r>
      <w:r w:rsidRPr="005D7F0F">
        <w:tab/>
        <w:t>Preservación de la identidad (art. 8)</w:t>
      </w:r>
      <w:r>
        <w:tab/>
      </w:r>
      <w:r>
        <w:tab/>
      </w:r>
      <w:r w:rsidR="00387A40">
        <w:t>14</w:t>
      </w:r>
    </w:p>
    <w:p w14:paraId="516B0149" w14:textId="0B943CF4"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С.</w:t>
      </w:r>
      <w:r w:rsidRPr="005D7F0F">
        <w:tab/>
        <w:t>Libertad de expresión y derecho a buscar, recibir y difundir información (art. 13)</w:t>
      </w:r>
      <w:r>
        <w:tab/>
      </w:r>
      <w:r>
        <w:tab/>
      </w:r>
      <w:r w:rsidR="00387A40">
        <w:t>14</w:t>
      </w:r>
    </w:p>
    <w:p w14:paraId="111D24F7" w14:textId="1587DA0D"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D.</w:t>
      </w:r>
      <w:r w:rsidRPr="005D7F0F">
        <w:tab/>
        <w:t>Libertad de pensamiento, de conciencia y de religión (art. 14)</w:t>
      </w:r>
      <w:r>
        <w:tab/>
      </w:r>
      <w:r>
        <w:tab/>
      </w:r>
      <w:r w:rsidR="00387A40">
        <w:t>14</w:t>
      </w:r>
    </w:p>
    <w:p w14:paraId="261FCA3C" w14:textId="7684443D"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E.</w:t>
      </w:r>
      <w:r w:rsidRPr="005D7F0F">
        <w:tab/>
        <w:t>Libertad de asociación y de celebrar reuniones pacíficas (art. 15)</w:t>
      </w:r>
      <w:r>
        <w:tab/>
      </w:r>
      <w:r>
        <w:tab/>
      </w:r>
      <w:r w:rsidR="00387A40">
        <w:t>14</w:t>
      </w:r>
    </w:p>
    <w:p w14:paraId="2C9E239C" w14:textId="29EA6C5C"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F.</w:t>
      </w:r>
      <w:r w:rsidRPr="005D7F0F">
        <w:tab/>
        <w:t>Protección de la vida privada y la reputación (art. 16)</w:t>
      </w:r>
      <w:r>
        <w:tab/>
      </w:r>
      <w:r>
        <w:tab/>
      </w:r>
      <w:r w:rsidR="00387A40">
        <w:t>14</w:t>
      </w:r>
    </w:p>
    <w:p w14:paraId="49C8D9E9" w14:textId="765683CB"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G.</w:t>
      </w:r>
      <w:r w:rsidRPr="005D7F0F">
        <w:tab/>
        <w:t>Acceso a información procedente de diversas fuentes y protección contra todo material</w:t>
      </w:r>
      <w:r>
        <w:br/>
      </w:r>
      <w:r>
        <w:tab/>
      </w:r>
      <w:r>
        <w:tab/>
      </w:r>
      <w:r>
        <w:tab/>
      </w:r>
      <w:r w:rsidRPr="005D7F0F">
        <w:t>perjudicial para el bienestar del niño (art. 17)</w:t>
      </w:r>
      <w:r>
        <w:tab/>
      </w:r>
      <w:r>
        <w:tab/>
      </w:r>
      <w:r w:rsidR="00387A40">
        <w:t>15</w:t>
      </w:r>
    </w:p>
    <w:p w14:paraId="395C8900" w14:textId="71465867"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H.</w:t>
      </w:r>
      <w:r w:rsidRPr="005D7F0F">
        <w:tab/>
        <w:t>Derecho a no ser sometido a torturas ni a otros tratos o penas crueles,</w:t>
      </w:r>
      <w:r>
        <w:t xml:space="preserve"> </w:t>
      </w:r>
      <w:r w:rsidRPr="005D7F0F">
        <w:t>inhumanos o</w:t>
      </w:r>
      <w:r>
        <w:br/>
      </w:r>
      <w:r>
        <w:tab/>
      </w:r>
      <w:r>
        <w:tab/>
      </w:r>
      <w:r>
        <w:tab/>
      </w:r>
      <w:r w:rsidRPr="005D7F0F">
        <w:t>degradantes (arts. 37 a) y 28, párr. 2)</w:t>
      </w:r>
      <w:r>
        <w:tab/>
      </w:r>
      <w:r>
        <w:tab/>
      </w:r>
      <w:r w:rsidR="00387A40">
        <w:t>16</w:t>
      </w:r>
    </w:p>
    <w:p w14:paraId="2E00982C" w14:textId="34540E71"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I.</w:t>
      </w:r>
      <w:r w:rsidRPr="005D7F0F">
        <w:tab/>
        <w:t>Medidas para pro mover la recuperación física y psicológica y la reintegración social de</w:t>
      </w:r>
      <w:r>
        <w:br/>
      </w:r>
      <w:r>
        <w:tab/>
      </w:r>
      <w:r>
        <w:tab/>
      </w:r>
      <w:r>
        <w:tab/>
      </w:r>
      <w:r w:rsidRPr="005D7F0F">
        <w:t>los niños víctimas (art. 39)</w:t>
      </w:r>
      <w:r>
        <w:tab/>
      </w:r>
      <w:r>
        <w:tab/>
      </w:r>
      <w:r w:rsidR="00387A40">
        <w:t>16</w:t>
      </w:r>
    </w:p>
    <w:p w14:paraId="67DA9B49" w14:textId="73DDE6D6"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D7F0F">
        <w:tab/>
        <w:t>VI.</w:t>
      </w:r>
      <w:r w:rsidRPr="005D7F0F">
        <w:tab/>
        <w:t>Entorno familiar y modalidades alternativas de cuidado</w:t>
      </w:r>
      <w:r>
        <w:tab/>
      </w:r>
      <w:r>
        <w:tab/>
      </w:r>
      <w:r w:rsidR="00387A40">
        <w:t>17</w:t>
      </w:r>
    </w:p>
    <w:p w14:paraId="48842E6A" w14:textId="121DAD14"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А.</w:t>
      </w:r>
      <w:r w:rsidRPr="005D7F0F">
        <w:tab/>
        <w:t>Entorno familiar y orientación de los padres impartida en consonancia</w:t>
      </w:r>
      <w:r>
        <w:t xml:space="preserve"> </w:t>
      </w:r>
      <w:r w:rsidRPr="005D7F0F">
        <w:t>con la evolución</w:t>
      </w:r>
      <w:r>
        <w:br/>
      </w:r>
      <w:r>
        <w:tab/>
      </w:r>
      <w:r>
        <w:tab/>
      </w:r>
      <w:r>
        <w:tab/>
      </w:r>
      <w:r w:rsidRPr="005D7F0F">
        <w:t>de las facultades del niño (art. 5)</w:t>
      </w:r>
      <w:r>
        <w:tab/>
      </w:r>
      <w:r>
        <w:tab/>
      </w:r>
      <w:r w:rsidR="00387A40">
        <w:t>17</w:t>
      </w:r>
    </w:p>
    <w:p w14:paraId="11F56BC2" w14:textId="7BC44D5F"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В.</w:t>
      </w:r>
      <w:r w:rsidRPr="005D7F0F">
        <w:tab/>
        <w:t>Obligaciones comunes de los padres, asistencia a los padres y</w:t>
      </w:r>
      <w:r>
        <w:t xml:space="preserve"> </w:t>
      </w:r>
      <w:r w:rsidRPr="005D7F0F">
        <w:t>prestación</w:t>
      </w:r>
      <w:r>
        <w:t xml:space="preserve"> </w:t>
      </w:r>
      <w:r w:rsidRPr="005D7F0F">
        <w:t>de servicios de</w:t>
      </w:r>
      <w:r>
        <w:br/>
      </w:r>
      <w:r>
        <w:tab/>
      </w:r>
      <w:r>
        <w:tab/>
      </w:r>
      <w:r>
        <w:tab/>
      </w:r>
      <w:r w:rsidRPr="005D7F0F">
        <w:t>atención infantil (art. 18)</w:t>
      </w:r>
      <w:r>
        <w:tab/>
      </w:r>
      <w:r>
        <w:tab/>
      </w:r>
      <w:r w:rsidR="00387A40">
        <w:t>17</w:t>
      </w:r>
    </w:p>
    <w:p w14:paraId="0F339D63" w14:textId="08D802B8"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С.</w:t>
      </w:r>
      <w:r w:rsidRPr="005D7F0F">
        <w:tab/>
        <w:t>Separación del niño con respecto a los padres (art. 9)</w:t>
      </w:r>
      <w:r>
        <w:tab/>
      </w:r>
      <w:r>
        <w:tab/>
      </w:r>
      <w:r w:rsidR="00387A40">
        <w:t>18</w:t>
      </w:r>
    </w:p>
    <w:p w14:paraId="4A29A360" w14:textId="5F3D1869"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D.</w:t>
      </w:r>
      <w:r w:rsidRPr="005D7F0F">
        <w:tab/>
        <w:t>Reunificación familiar (art. 10)</w:t>
      </w:r>
      <w:r>
        <w:tab/>
      </w:r>
      <w:r>
        <w:tab/>
      </w:r>
      <w:r w:rsidR="00387A40">
        <w:t>18</w:t>
      </w:r>
    </w:p>
    <w:p w14:paraId="3A6D6D7F" w14:textId="016D3428"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E.</w:t>
      </w:r>
      <w:r w:rsidRPr="005D7F0F">
        <w:tab/>
        <w:t>Pago de la pensión alimenticia (art. 27, párr. 4)</w:t>
      </w:r>
      <w:r>
        <w:tab/>
      </w:r>
      <w:r>
        <w:tab/>
      </w:r>
      <w:r w:rsidR="00387A40">
        <w:t>18</w:t>
      </w:r>
    </w:p>
    <w:p w14:paraId="130E6FE4" w14:textId="3FFE4C91"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F.</w:t>
      </w:r>
      <w:r w:rsidRPr="005D7F0F">
        <w:tab/>
        <w:t>Niños privados de un entorno familiar (art. 20)</w:t>
      </w:r>
      <w:r>
        <w:tab/>
      </w:r>
      <w:r>
        <w:tab/>
      </w:r>
      <w:r w:rsidR="00387A40">
        <w:t>19</w:t>
      </w:r>
    </w:p>
    <w:p w14:paraId="2BE72DA2" w14:textId="47CA5C82"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G.</w:t>
      </w:r>
      <w:r w:rsidRPr="005D7F0F">
        <w:tab/>
        <w:t>Examen periódico del acogimiento (art. 25)</w:t>
      </w:r>
      <w:r>
        <w:tab/>
      </w:r>
      <w:r>
        <w:tab/>
      </w:r>
      <w:r w:rsidR="00387A40">
        <w:t>19</w:t>
      </w:r>
    </w:p>
    <w:p w14:paraId="5ECE7558" w14:textId="28579093"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H.</w:t>
      </w:r>
      <w:r w:rsidRPr="005D7F0F">
        <w:tab/>
        <w:t>Adopción nacional e internacional (art. 21)</w:t>
      </w:r>
      <w:r>
        <w:tab/>
      </w:r>
      <w:r>
        <w:tab/>
      </w:r>
      <w:r w:rsidR="00387A40">
        <w:t>20</w:t>
      </w:r>
    </w:p>
    <w:p w14:paraId="3178947A" w14:textId="666BA6DE"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I.</w:t>
      </w:r>
      <w:r w:rsidRPr="005D7F0F">
        <w:tab/>
        <w:t>Los traslados ilícitos y la retención ilícita (art. 11)</w:t>
      </w:r>
      <w:r>
        <w:tab/>
      </w:r>
      <w:r>
        <w:tab/>
      </w:r>
      <w:r w:rsidR="00387A40">
        <w:t>20</w:t>
      </w:r>
    </w:p>
    <w:p w14:paraId="79E4C82F" w14:textId="7BFA822E"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r>
      <w:r w:rsidRPr="005D7F0F">
        <w:tab/>
        <w:t>J.</w:t>
      </w:r>
      <w:r w:rsidRPr="005D7F0F">
        <w:tab/>
        <w:t>Los abusos y el descuido (art. 19) incluidas la recuperación física y</w:t>
      </w:r>
      <w:r>
        <w:t xml:space="preserve"> </w:t>
      </w:r>
      <w:r w:rsidRPr="005D7F0F">
        <w:t>psicológica y la</w:t>
      </w:r>
      <w:r>
        <w:br/>
      </w:r>
      <w:r>
        <w:tab/>
      </w:r>
      <w:r>
        <w:tab/>
      </w:r>
      <w:r>
        <w:tab/>
      </w:r>
      <w:r w:rsidRPr="005D7F0F">
        <w:t>reintegración social (art. 39)</w:t>
      </w:r>
      <w:r>
        <w:tab/>
      </w:r>
      <w:r>
        <w:tab/>
      </w:r>
      <w:r w:rsidR="004C6CF0">
        <w:t>21</w:t>
      </w:r>
    </w:p>
    <w:p w14:paraId="58E0B84C" w14:textId="2B61FA8C"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D7F0F">
        <w:tab/>
        <w:t>VII.</w:t>
      </w:r>
      <w:r w:rsidRPr="005D7F0F">
        <w:tab/>
        <w:t>Discapacidad, salud básica y bienestar</w:t>
      </w:r>
      <w:r>
        <w:tab/>
      </w:r>
      <w:r>
        <w:tab/>
      </w:r>
      <w:r w:rsidR="004C6CF0">
        <w:t>21</w:t>
      </w:r>
    </w:p>
    <w:p w14:paraId="400B13F3" w14:textId="67CD8E2C"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А.</w:t>
      </w:r>
      <w:r w:rsidRPr="005D7F0F">
        <w:tab/>
        <w:t>Niños y niñas con discapacidad (art. 23)</w:t>
      </w:r>
      <w:r>
        <w:tab/>
      </w:r>
      <w:r>
        <w:tab/>
      </w:r>
      <w:r w:rsidR="004C6CF0">
        <w:t>21</w:t>
      </w:r>
    </w:p>
    <w:p w14:paraId="0409310A" w14:textId="098D4C32"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В.</w:t>
      </w:r>
      <w:r w:rsidRPr="005D7F0F">
        <w:tab/>
        <w:t>La salud y los servicios sanitarios, en particular la atención primaria de</w:t>
      </w:r>
      <w:r>
        <w:t xml:space="preserve"> </w:t>
      </w:r>
      <w:r w:rsidRPr="005D7F0F">
        <w:t>la salud (art. 24)</w:t>
      </w:r>
      <w:r>
        <w:tab/>
      </w:r>
      <w:r>
        <w:tab/>
      </w:r>
      <w:r w:rsidR="004C6CF0">
        <w:t>23</w:t>
      </w:r>
    </w:p>
    <w:p w14:paraId="6FAB055A" w14:textId="7837E271"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C.</w:t>
      </w:r>
      <w:r w:rsidRPr="005D7F0F">
        <w:tab/>
        <w:t>Los esfuerzos para hacer frente a las dificultades de salud más prevalentes y promover la</w:t>
      </w:r>
      <w:r>
        <w:br/>
      </w:r>
      <w:r>
        <w:tab/>
      </w:r>
      <w:r>
        <w:tab/>
      </w:r>
      <w:r>
        <w:tab/>
      </w:r>
      <w:r w:rsidRPr="005D7F0F">
        <w:t>salud física y mental y el bienestar de los niños, y para prevenir y tratar las enfermedades</w:t>
      </w:r>
      <w:r>
        <w:br/>
      </w:r>
      <w:r>
        <w:tab/>
      </w:r>
      <w:r>
        <w:tab/>
      </w:r>
      <w:r>
        <w:tab/>
      </w:r>
      <w:r w:rsidRPr="005D7F0F">
        <w:t>transmisibles y no transmisibles</w:t>
      </w:r>
      <w:r>
        <w:tab/>
      </w:r>
      <w:r>
        <w:tab/>
      </w:r>
      <w:r w:rsidR="004C6CF0">
        <w:t>24</w:t>
      </w:r>
    </w:p>
    <w:p w14:paraId="0EF93ACB" w14:textId="298CBB66"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D.</w:t>
      </w:r>
      <w:r w:rsidRPr="005D7F0F">
        <w:tab/>
        <w:t>Los derechos reproductivos de los adolescentes y las medidas para promover un estilo</w:t>
      </w:r>
      <w:r>
        <w:br/>
      </w:r>
      <w:r>
        <w:tab/>
      </w:r>
      <w:r>
        <w:tab/>
      </w:r>
      <w:r>
        <w:tab/>
      </w:r>
      <w:r w:rsidRPr="005D7F0F">
        <w:t>de vida sano</w:t>
      </w:r>
      <w:r>
        <w:tab/>
      </w:r>
      <w:r>
        <w:tab/>
      </w:r>
      <w:r w:rsidR="004C6CF0">
        <w:t>26</w:t>
      </w:r>
    </w:p>
    <w:p w14:paraId="0A514335" w14:textId="2B68F6B8"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E.</w:t>
      </w:r>
      <w:r w:rsidRPr="005D7F0F">
        <w:tab/>
        <w:t>Las medidas para prohibir y erradicar todo tipo de prácticas tradicionales nocivas, en</w:t>
      </w:r>
      <w:r>
        <w:br/>
      </w:r>
      <w:r>
        <w:tab/>
      </w:r>
      <w:r>
        <w:tab/>
      </w:r>
      <w:r>
        <w:tab/>
      </w:r>
      <w:r w:rsidRPr="005D7F0F">
        <w:t>particular, aunque no exclusivamente, la mutilación genital femenina y los matrimonios</w:t>
      </w:r>
      <w:r>
        <w:br/>
      </w:r>
      <w:r>
        <w:tab/>
      </w:r>
      <w:r>
        <w:tab/>
      </w:r>
      <w:r>
        <w:tab/>
      </w:r>
      <w:r w:rsidRPr="005D7F0F">
        <w:t>precoces y forzados (art. 24, párr. 3)</w:t>
      </w:r>
      <w:r>
        <w:tab/>
      </w:r>
      <w:r>
        <w:tab/>
      </w:r>
      <w:r w:rsidR="004C6CF0">
        <w:t>26</w:t>
      </w:r>
    </w:p>
    <w:p w14:paraId="6A8C0A57" w14:textId="1410E254"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F.</w:t>
      </w:r>
      <w:r w:rsidRPr="005D7F0F">
        <w:tab/>
        <w:t>Las medidas para proteger a los niños del uso indebido de sustancias psicotrópicas</w:t>
      </w:r>
      <w:r>
        <w:br/>
      </w:r>
      <w:r>
        <w:tab/>
      </w:r>
      <w:r>
        <w:tab/>
      </w:r>
      <w:r>
        <w:tab/>
      </w:r>
      <w:r w:rsidRPr="005D7F0F">
        <w:t>(art. 33)</w:t>
      </w:r>
      <w:r>
        <w:tab/>
      </w:r>
      <w:r>
        <w:tab/>
      </w:r>
      <w:r w:rsidR="004C6CF0">
        <w:t>26</w:t>
      </w:r>
    </w:p>
    <w:p w14:paraId="19758D64" w14:textId="0D33B7D7"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G.</w:t>
      </w:r>
      <w:r w:rsidRPr="005D7F0F">
        <w:tab/>
        <w:t>Las medidas para garantizar la protección de los niños con padres encarcelados y los</w:t>
      </w:r>
      <w:r>
        <w:br/>
      </w:r>
      <w:r>
        <w:tab/>
      </w:r>
      <w:r>
        <w:tab/>
      </w:r>
      <w:r>
        <w:tab/>
      </w:r>
      <w:r w:rsidRPr="005D7F0F">
        <w:t>niños que acompañan a su madre en prisión</w:t>
      </w:r>
      <w:r>
        <w:tab/>
      </w:r>
      <w:r>
        <w:tab/>
      </w:r>
      <w:r w:rsidR="004C6CF0">
        <w:t>27</w:t>
      </w:r>
    </w:p>
    <w:p w14:paraId="4DBDEA60" w14:textId="3CDAD378"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H.</w:t>
      </w:r>
      <w:r w:rsidRPr="005D7F0F">
        <w:tab/>
        <w:t>La seguridad social y los servicios y establecimientos de guarda de</w:t>
      </w:r>
      <w:r>
        <w:t xml:space="preserve"> </w:t>
      </w:r>
      <w:r w:rsidRPr="005D7F0F">
        <w:t>niños</w:t>
      </w:r>
      <w:r>
        <w:t xml:space="preserve"> </w:t>
      </w:r>
      <w:r w:rsidRPr="005D7F0F">
        <w:t>(arts. 26 y 18,</w:t>
      </w:r>
      <w:r>
        <w:br/>
      </w:r>
      <w:r>
        <w:tab/>
      </w:r>
      <w:r>
        <w:tab/>
      </w:r>
      <w:r>
        <w:tab/>
      </w:r>
      <w:r w:rsidRPr="005D7F0F">
        <w:t>párr. 3)</w:t>
      </w:r>
      <w:r>
        <w:tab/>
      </w:r>
      <w:r>
        <w:tab/>
      </w:r>
      <w:r w:rsidR="004C6CF0">
        <w:t>27</w:t>
      </w:r>
    </w:p>
    <w:p w14:paraId="09D555CC" w14:textId="4C48F734"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I.</w:t>
      </w:r>
      <w:r w:rsidRPr="005D7F0F">
        <w:tab/>
        <w:t>El nivel de vida y las medidas, en particular en forma de asistencia material y programas</w:t>
      </w:r>
      <w:r>
        <w:br/>
      </w:r>
      <w:r>
        <w:tab/>
      </w:r>
      <w:r>
        <w:tab/>
      </w:r>
      <w:r>
        <w:tab/>
      </w:r>
      <w:r w:rsidRPr="005D7F0F">
        <w:t>de apoyo relativos a la nutrición, el vestido y la vivienda, que se hayan adoptado para</w:t>
      </w:r>
      <w:r>
        <w:br/>
      </w:r>
      <w:r>
        <w:tab/>
      </w:r>
      <w:r>
        <w:tab/>
      </w:r>
      <w:r>
        <w:tab/>
      </w:r>
      <w:r w:rsidRPr="005D7F0F">
        <w:t>garantizar el desarrollo físico, mental, espiritual, moral y social del niño y reducir la</w:t>
      </w:r>
      <w:r>
        <w:br/>
      </w:r>
      <w:r>
        <w:tab/>
      </w:r>
      <w:r>
        <w:tab/>
      </w:r>
      <w:r>
        <w:tab/>
      </w:r>
      <w:r w:rsidRPr="005D7F0F">
        <w:t>pobreza y</w:t>
      </w:r>
      <w:r>
        <w:t xml:space="preserve"> </w:t>
      </w:r>
      <w:r w:rsidRPr="005D7F0F">
        <w:t>la desigualdad (art. 27, párrs. 1 a 3)</w:t>
      </w:r>
      <w:r>
        <w:tab/>
      </w:r>
      <w:r>
        <w:tab/>
      </w:r>
      <w:r w:rsidR="004C6CF0">
        <w:t>27</w:t>
      </w:r>
    </w:p>
    <w:p w14:paraId="58491C52" w14:textId="0CD3AF8F"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D7F0F">
        <w:tab/>
        <w:t>VIII.</w:t>
      </w:r>
      <w:r w:rsidRPr="005D7F0F">
        <w:tab/>
        <w:t>Educación, esparcimiento y actividades culturales</w:t>
      </w:r>
      <w:r>
        <w:tab/>
      </w:r>
      <w:r>
        <w:tab/>
      </w:r>
      <w:r w:rsidR="004C6CF0">
        <w:t>29</w:t>
      </w:r>
    </w:p>
    <w:p w14:paraId="07D04BE3" w14:textId="750F7167"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А.</w:t>
      </w:r>
      <w:r w:rsidRPr="005D7F0F">
        <w:tab/>
        <w:t>El derecho a la educación, incluidas la formación y la orientación profesionales (art. 28)</w:t>
      </w:r>
      <w:r>
        <w:tab/>
      </w:r>
      <w:r>
        <w:tab/>
      </w:r>
      <w:r w:rsidR="004C6CF0">
        <w:t>29</w:t>
      </w:r>
    </w:p>
    <w:p w14:paraId="5CFBEBA0" w14:textId="48A5925B"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В.</w:t>
      </w:r>
      <w:r w:rsidRPr="005D7F0F">
        <w:tab/>
        <w:t>Los objetivos de la educación (art. 29)</w:t>
      </w:r>
      <w:r>
        <w:tab/>
      </w:r>
      <w:r>
        <w:tab/>
      </w:r>
      <w:r w:rsidR="004C6CF0">
        <w:t>31</w:t>
      </w:r>
    </w:p>
    <w:p w14:paraId="478B40C0" w14:textId="19A098F8"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С.</w:t>
      </w:r>
      <w:r w:rsidRPr="005D7F0F">
        <w:tab/>
        <w:t>Los derechos culturales de los niños pertenecientes a grupos étnicos, religiosos y</w:t>
      </w:r>
      <w:r>
        <w:br/>
      </w:r>
      <w:r>
        <w:tab/>
      </w:r>
      <w:r>
        <w:tab/>
      </w:r>
      <w:r>
        <w:tab/>
      </w:r>
      <w:r w:rsidRPr="005D7F0F">
        <w:t>lingüísticos minoritarios (art. 30)</w:t>
      </w:r>
      <w:r>
        <w:tab/>
      </w:r>
      <w:r>
        <w:tab/>
      </w:r>
      <w:r w:rsidR="004C6CF0">
        <w:t>31</w:t>
      </w:r>
    </w:p>
    <w:p w14:paraId="443FE79B" w14:textId="7982DD89"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D.</w:t>
      </w:r>
      <w:r w:rsidRPr="005D7F0F">
        <w:tab/>
        <w:t>El descanso, el juego, el esparcimiento y las actividades recreativas, culturales y artísticas</w:t>
      </w:r>
      <w:r>
        <w:br/>
      </w:r>
      <w:r>
        <w:tab/>
      </w:r>
      <w:r>
        <w:tab/>
      </w:r>
      <w:r>
        <w:tab/>
      </w:r>
      <w:r w:rsidRPr="005D7F0F">
        <w:t>(art. 31)</w:t>
      </w:r>
      <w:r>
        <w:tab/>
      </w:r>
      <w:r>
        <w:tab/>
      </w:r>
      <w:r w:rsidR="004C6CF0">
        <w:t>31</w:t>
      </w:r>
    </w:p>
    <w:p w14:paraId="62A507B0" w14:textId="5932E81D"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D7F0F">
        <w:tab/>
        <w:t>IX.</w:t>
      </w:r>
      <w:r w:rsidRPr="005D7F0F">
        <w:tab/>
        <w:t>Medidas especiales de protección</w:t>
      </w:r>
      <w:r>
        <w:tab/>
      </w:r>
      <w:r>
        <w:tab/>
      </w:r>
      <w:r w:rsidR="004C6CF0">
        <w:t>33</w:t>
      </w:r>
    </w:p>
    <w:p w14:paraId="7024D7BB" w14:textId="3892B22C"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А.</w:t>
      </w:r>
      <w:r w:rsidRPr="005D7F0F">
        <w:tab/>
        <w:t>Los niños fuera de su país de origen que traten de obtener la</w:t>
      </w:r>
      <w:r>
        <w:t xml:space="preserve"> </w:t>
      </w:r>
      <w:r w:rsidRPr="005D7F0F">
        <w:t>protección</w:t>
      </w:r>
      <w:r>
        <w:t xml:space="preserve"> </w:t>
      </w:r>
      <w:r w:rsidRPr="005D7F0F">
        <w:t>como refugiados,</w:t>
      </w:r>
      <w:r>
        <w:br/>
      </w:r>
      <w:r>
        <w:tab/>
      </w:r>
      <w:r>
        <w:tab/>
      </w:r>
      <w:r>
        <w:tab/>
      </w:r>
      <w:r w:rsidRPr="005D7F0F">
        <w:t>los niños no acompañados solicitantes de asilo, los niños desplazados internos, los niños</w:t>
      </w:r>
      <w:r>
        <w:br/>
      </w:r>
      <w:r>
        <w:tab/>
      </w:r>
      <w:r>
        <w:tab/>
      </w:r>
      <w:r>
        <w:tab/>
      </w:r>
      <w:r w:rsidRPr="005D7F0F">
        <w:t>migrantes</w:t>
      </w:r>
      <w:r>
        <w:t xml:space="preserve"> </w:t>
      </w:r>
      <w:r w:rsidRPr="005D7F0F">
        <w:t>y los niños afectados por la migración (art. 22)</w:t>
      </w:r>
      <w:r>
        <w:tab/>
      </w:r>
      <w:r>
        <w:tab/>
      </w:r>
      <w:r w:rsidR="004C6CF0">
        <w:t>33</w:t>
      </w:r>
    </w:p>
    <w:p w14:paraId="5075173F" w14:textId="57A08198"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B.</w:t>
      </w:r>
      <w:r w:rsidRPr="005D7F0F">
        <w:tab/>
        <w:t>Los niños afectados por un conflicto armado (art. 38)</w:t>
      </w:r>
      <w:r>
        <w:tab/>
      </w:r>
      <w:r>
        <w:tab/>
      </w:r>
      <w:r w:rsidR="004C6CF0">
        <w:t>33</w:t>
      </w:r>
    </w:p>
    <w:p w14:paraId="37099E89" w14:textId="4EC978DC"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C.</w:t>
      </w:r>
      <w:r w:rsidRPr="005D7F0F">
        <w:tab/>
        <w:t>Los niños sometidos a explotación, incluida su recuperación física y</w:t>
      </w:r>
      <w:r>
        <w:t xml:space="preserve"> </w:t>
      </w:r>
      <w:r w:rsidRPr="005D7F0F">
        <w:t>psicológica y su</w:t>
      </w:r>
      <w:r>
        <w:br/>
      </w:r>
      <w:r>
        <w:tab/>
      </w:r>
      <w:r>
        <w:tab/>
      </w:r>
      <w:r>
        <w:tab/>
      </w:r>
      <w:r w:rsidRPr="005D7F0F">
        <w:t>reinserción social (art. 39)</w:t>
      </w:r>
      <w:r>
        <w:tab/>
      </w:r>
      <w:r>
        <w:tab/>
      </w:r>
      <w:r w:rsidR="004C6CF0">
        <w:t>34</w:t>
      </w:r>
    </w:p>
    <w:p w14:paraId="0713AEA9" w14:textId="68C1B957"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5D7F0F">
        <w:tab/>
        <w:t>1.</w:t>
      </w:r>
      <w:r w:rsidRPr="005D7F0F">
        <w:tab/>
        <w:t>La explotación económica de los niños, incluido el trabajo infantil (art. 32)</w:t>
      </w:r>
      <w:r>
        <w:tab/>
      </w:r>
      <w:r>
        <w:tab/>
      </w:r>
      <w:r w:rsidR="004C6CF0">
        <w:t>34</w:t>
      </w:r>
    </w:p>
    <w:p w14:paraId="19204869" w14:textId="18C6D500"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5D7F0F">
        <w:tab/>
        <w:t>2.</w:t>
      </w:r>
      <w:r w:rsidRPr="005D7F0F">
        <w:tab/>
        <w:t>El uso de estupefacientes y sustancias sicotrópicas y la utilización de niños en</w:t>
      </w:r>
      <w:r>
        <w:t xml:space="preserve"> </w:t>
      </w:r>
      <w:r w:rsidRPr="005D7F0F">
        <w:t>su</w:t>
      </w:r>
      <w:r>
        <w:br/>
      </w:r>
      <w:r>
        <w:tab/>
      </w:r>
      <w:r>
        <w:tab/>
      </w:r>
      <w:r>
        <w:tab/>
      </w:r>
      <w:r>
        <w:tab/>
      </w:r>
      <w:r w:rsidRPr="005D7F0F">
        <w:t>producción y tráfico ilícitos (art. 33)</w:t>
      </w:r>
      <w:r>
        <w:tab/>
      </w:r>
      <w:r>
        <w:tab/>
      </w:r>
      <w:r w:rsidR="004C6CF0">
        <w:t>34</w:t>
      </w:r>
    </w:p>
    <w:p w14:paraId="0686B4C5" w14:textId="7F2D35A4"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5D7F0F">
        <w:tab/>
        <w:t>3.</w:t>
      </w:r>
      <w:r w:rsidRPr="005D7F0F">
        <w:tab/>
        <w:t>La explotación y el abuso sexuales (art. 34)</w:t>
      </w:r>
      <w:r>
        <w:tab/>
      </w:r>
      <w:r>
        <w:tab/>
      </w:r>
      <w:r w:rsidR="004C6CF0">
        <w:t>35</w:t>
      </w:r>
    </w:p>
    <w:p w14:paraId="78D1AE1F" w14:textId="4E3AB152"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5D7F0F">
        <w:tab/>
        <w:t>4.</w:t>
      </w:r>
      <w:r w:rsidRPr="005D7F0F">
        <w:tab/>
        <w:t>La venta, la trata y el secuestro (art. 35)</w:t>
      </w:r>
      <w:r>
        <w:tab/>
      </w:r>
      <w:r>
        <w:tab/>
      </w:r>
      <w:r w:rsidR="004C6CF0">
        <w:t>36</w:t>
      </w:r>
    </w:p>
    <w:p w14:paraId="1F11E32F" w14:textId="7F3A76A6"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5D7F0F">
        <w:tab/>
        <w:t>5.</w:t>
      </w:r>
      <w:r w:rsidRPr="005D7F0F">
        <w:tab/>
        <w:t>Otras formas de explotación (art. 36)</w:t>
      </w:r>
      <w:r>
        <w:tab/>
      </w:r>
      <w:r>
        <w:tab/>
      </w:r>
      <w:r w:rsidR="004C6CF0">
        <w:t>37</w:t>
      </w:r>
    </w:p>
    <w:p w14:paraId="0C4548BC" w14:textId="2BDD18F1" w:rsidR="00E50229" w:rsidRPr="005D7F0F" w:rsidRDefault="00E50229" w:rsidP="00153570">
      <w:pPr>
        <w:pStyle w:val="SingleTxtG"/>
        <w:keepNext/>
        <w:keepLines/>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r>
      <w:r w:rsidRPr="005D7F0F">
        <w:tab/>
        <w:t>D.</w:t>
      </w:r>
      <w:r w:rsidRPr="005D7F0F">
        <w:tab/>
        <w:t>Los niños en conflicto con la ley y niños víctimas o testigos</w:t>
      </w:r>
      <w:r>
        <w:tab/>
      </w:r>
      <w:r>
        <w:tab/>
      </w:r>
      <w:r w:rsidR="004C6CF0">
        <w:t>37</w:t>
      </w:r>
    </w:p>
    <w:p w14:paraId="590412C9" w14:textId="52DF9803"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5D7F0F">
        <w:tab/>
        <w:t>1.</w:t>
      </w:r>
      <w:r w:rsidRPr="005D7F0F">
        <w:tab/>
        <w:t>La administración de la justicia juvenil (art. 40), la existencia de tribunales</w:t>
      </w:r>
      <w:r>
        <w:br/>
      </w:r>
      <w:r>
        <w:tab/>
      </w:r>
      <w:r>
        <w:tab/>
      </w:r>
      <w:r>
        <w:tab/>
      </w:r>
      <w:r>
        <w:tab/>
      </w:r>
      <w:r w:rsidRPr="005D7F0F">
        <w:t>especiales</w:t>
      </w:r>
      <w:r>
        <w:t xml:space="preserve"> </w:t>
      </w:r>
      <w:r w:rsidRPr="005D7F0F">
        <w:t>aparte para los menores y la aplicación de la edad mínima de</w:t>
      </w:r>
      <w:r>
        <w:br/>
      </w:r>
      <w:r>
        <w:tab/>
      </w:r>
      <w:r>
        <w:tab/>
      </w:r>
      <w:r>
        <w:tab/>
      </w:r>
      <w:r>
        <w:tab/>
      </w:r>
      <w:r w:rsidRPr="005D7F0F">
        <w:t>responsabilidad penal</w:t>
      </w:r>
      <w:r>
        <w:tab/>
      </w:r>
      <w:r>
        <w:tab/>
      </w:r>
      <w:r w:rsidR="004C6CF0">
        <w:t>37</w:t>
      </w:r>
    </w:p>
    <w:p w14:paraId="0C519598" w14:textId="74AED4A8"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5D7F0F">
        <w:tab/>
        <w:t>2.</w:t>
      </w:r>
      <w:r w:rsidRPr="005D7F0F">
        <w:tab/>
        <w:t>Los niños privados de su libertad, y las medidas para asegurar que la detención,</w:t>
      </w:r>
      <w:r>
        <w:br/>
      </w:r>
      <w:r>
        <w:tab/>
      </w:r>
      <w:r>
        <w:tab/>
      </w:r>
      <w:r>
        <w:tab/>
      </w:r>
      <w:r>
        <w:tab/>
      </w:r>
      <w:r w:rsidRPr="005D7F0F">
        <w:t>el encarcelamiento o la prisión de un niño se utilicen tan solo como medidas de</w:t>
      </w:r>
      <w:r>
        <w:br/>
      </w:r>
      <w:r>
        <w:tab/>
      </w:r>
      <w:r>
        <w:tab/>
      </w:r>
      <w:r>
        <w:tab/>
      </w:r>
      <w:r>
        <w:tab/>
      </w:r>
      <w:r w:rsidRPr="005D7F0F">
        <w:t>último</w:t>
      </w:r>
      <w:r>
        <w:t xml:space="preserve"> </w:t>
      </w:r>
      <w:r w:rsidRPr="005D7F0F">
        <w:t>recurso y durante el período más breve que proceda y que se proporcionará</w:t>
      </w:r>
      <w:r>
        <w:br/>
      </w:r>
      <w:r>
        <w:tab/>
      </w:r>
      <w:r>
        <w:tab/>
      </w:r>
      <w:r>
        <w:tab/>
      </w:r>
      <w:r>
        <w:tab/>
      </w:r>
      <w:r w:rsidRPr="005D7F0F">
        <w:t>al niño pronto acceso a la asistencia jurídica y otra asistencia (art.</w:t>
      </w:r>
      <w:r>
        <w:t xml:space="preserve"> </w:t>
      </w:r>
      <w:r w:rsidRPr="005D7F0F">
        <w:t>37</w:t>
      </w:r>
      <w:r>
        <w:t xml:space="preserve"> </w:t>
      </w:r>
      <w:r w:rsidRPr="005D7F0F">
        <w:t>b) a d))</w:t>
      </w:r>
      <w:r>
        <w:tab/>
      </w:r>
      <w:r>
        <w:tab/>
      </w:r>
      <w:r w:rsidR="004C6CF0">
        <w:t>38</w:t>
      </w:r>
    </w:p>
    <w:p w14:paraId="30E4A343" w14:textId="7CF7CD4C"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5D7F0F">
        <w:tab/>
        <w:t>3.</w:t>
      </w:r>
      <w:r w:rsidRPr="005D7F0F">
        <w:tab/>
        <w:t>La imposición de penas a los niños, en particular la prohibición de la pena capital</w:t>
      </w:r>
      <w:r>
        <w:br/>
      </w:r>
      <w:r>
        <w:tab/>
      </w:r>
      <w:r>
        <w:tab/>
      </w:r>
      <w:r>
        <w:tab/>
      </w:r>
      <w:r>
        <w:tab/>
      </w:r>
      <w:r w:rsidRPr="005D7F0F">
        <w:t>y</w:t>
      </w:r>
      <w:r>
        <w:t xml:space="preserve"> </w:t>
      </w:r>
      <w:r w:rsidRPr="005D7F0F">
        <w:t>de</w:t>
      </w:r>
      <w:r>
        <w:t xml:space="preserve"> </w:t>
      </w:r>
      <w:r w:rsidRPr="005D7F0F">
        <w:t>la prisión perpetua (art. 37 a)) y la existencia de sanciones sustitutivas</w:t>
      </w:r>
      <w:r>
        <w:t xml:space="preserve"> </w:t>
      </w:r>
      <w:r w:rsidRPr="005D7F0F">
        <w:t>basadas</w:t>
      </w:r>
      <w:r>
        <w:br/>
      </w:r>
      <w:r>
        <w:tab/>
      </w:r>
      <w:r>
        <w:tab/>
      </w:r>
      <w:r>
        <w:tab/>
      </w:r>
      <w:r>
        <w:tab/>
      </w:r>
      <w:r w:rsidRPr="005D7F0F">
        <w:t xml:space="preserve">en un enfoque restaurativo </w:t>
      </w:r>
      <w:r>
        <w:tab/>
      </w:r>
      <w:r>
        <w:tab/>
      </w:r>
      <w:r w:rsidR="004C6CF0">
        <w:t>39</w:t>
      </w:r>
    </w:p>
    <w:p w14:paraId="4E582046" w14:textId="16D95B58"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5D7F0F">
        <w:tab/>
        <w:t>4.</w:t>
      </w:r>
      <w:r w:rsidRPr="005D7F0F">
        <w:tab/>
        <w:t>La recuperación física y psicológica y la reinserción social del niño (art. 39)</w:t>
      </w:r>
      <w:r>
        <w:tab/>
      </w:r>
      <w:r>
        <w:tab/>
      </w:r>
      <w:r w:rsidR="004C6CF0">
        <w:t>39</w:t>
      </w:r>
    </w:p>
    <w:p w14:paraId="25DAFC97" w14:textId="1C534B74" w:rsidR="00E50229" w:rsidRPr="005D7F0F" w:rsidRDefault="00E50229" w:rsidP="00E5022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5D7F0F">
        <w:tab/>
        <w:t>5.</w:t>
      </w:r>
      <w:r w:rsidRPr="005D7F0F">
        <w:tab/>
        <w:t>Las actividades de formación organizadas para todos los profesionales que tengan</w:t>
      </w:r>
      <w:r>
        <w:br/>
      </w:r>
      <w:r>
        <w:tab/>
      </w:r>
      <w:r>
        <w:tab/>
      </w:r>
      <w:r>
        <w:tab/>
      </w:r>
      <w:r>
        <w:tab/>
      </w:r>
      <w:r w:rsidRPr="005D7F0F">
        <w:t>que</w:t>
      </w:r>
      <w:r>
        <w:t xml:space="preserve"> </w:t>
      </w:r>
      <w:r w:rsidRPr="005D7F0F">
        <w:t>ver con el sistema de justicia juvenil, incluidos los jueces y magistrados, fiscales,</w:t>
      </w:r>
      <w:r>
        <w:br/>
      </w:r>
      <w:r>
        <w:tab/>
      </w:r>
      <w:r>
        <w:tab/>
      </w:r>
      <w:r>
        <w:tab/>
      </w:r>
      <w:r>
        <w:tab/>
      </w:r>
      <w:r w:rsidRPr="005D7F0F">
        <w:t>abogados, agentes del orden público, funcionarios de inmigración y trabajadores</w:t>
      </w:r>
      <w:r>
        <w:br/>
      </w:r>
      <w:r>
        <w:tab/>
      </w:r>
      <w:r>
        <w:tab/>
      </w:r>
      <w:r>
        <w:tab/>
      </w:r>
      <w:r>
        <w:tab/>
      </w:r>
      <w:r w:rsidRPr="005D7F0F">
        <w:t>sociales, sobre las disposiciones de la Convención</w:t>
      </w:r>
      <w:r>
        <w:tab/>
      </w:r>
      <w:r>
        <w:tab/>
      </w:r>
      <w:r w:rsidR="004C6CF0">
        <w:t>40</w:t>
      </w:r>
    </w:p>
    <w:p w14:paraId="784A2C3C" w14:textId="414698D3" w:rsidR="006532CE" w:rsidRPr="006532CE" w:rsidRDefault="00E50229" w:rsidP="000A3DB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D7F0F">
        <w:tab/>
        <w:t>E.</w:t>
      </w:r>
      <w:r w:rsidRPr="005D7F0F">
        <w:tab/>
        <w:t>Los niños pertenecientes a minorías étnicas, religiosas o lingüísticas o</w:t>
      </w:r>
      <w:r>
        <w:t xml:space="preserve"> </w:t>
      </w:r>
      <w:r w:rsidRPr="005D7F0F">
        <w:t>a</w:t>
      </w:r>
      <w:r>
        <w:t xml:space="preserve"> </w:t>
      </w:r>
      <w:r w:rsidRPr="005D7F0F">
        <w:t>pueblos indígenas</w:t>
      </w:r>
      <w:r>
        <w:br/>
      </w:r>
      <w:r>
        <w:tab/>
      </w:r>
      <w:r>
        <w:tab/>
      </w:r>
      <w:r>
        <w:tab/>
      </w:r>
      <w:r w:rsidRPr="005D7F0F">
        <w:t>(art. 30)</w:t>
      </w:r>
      <w:r>
        <w:tab/>
      </w:r>
      <w:r>
        <w:tab/>
      </w:r>
      <w:r w:rsidR="004C6CF0">
        <w:t>41</w:t>
      </w:r>
    </w:p>
    <w:p w14:paraId="0E6BE9FA" w14:textId="33CC4E44" w:rsidR="006532CE" w:rsidRDefault="006532CE" w:rsidP="006532CE">
      <w:pPr>
        <w:pStyle w:val="H56G"/>
      </w:pPr>
      <w:r>
        <w:tab/>
        <w:t>Anexo</w:t>
      </w:r>
    </w:p>
    <w:p w14:paraId="129F471A" w14:textId="3273152C" w:rsidR="006532CE" w:rsidRPr="006532CE" w:rsidRDefault="006532CE" w:rsidP="006532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6532CE">
        <w:tab/>
      </w:r>
      <w:r>
        <w:tab/>
      </w:r>
      <w:r w:rsidRPr="006532CE">
        <w:t>Estadísticas sobre la situación de los niños en la Federación de Rusia</w:t>
      </w:r>
      <w:r w:rsidRPr="006532CE">
        <w:tab/>
      </w:r>
      <w:r>
        <w:tab/>
      </w:r>
    </w:p>
    <w:p w14:paraId="03775EC1" w14:textId="77777777" w:rsidR="006532CE" w:rsidRPr="006532CE" w:rsidRDefault="006532CE" w:rsidP="006532CE">
      <w:pPr>
        <w:pStyle w:val="SingleTxtG"/>
        <w:rPr>
          <w:b/>
        </w:rPr>
      </w:pPr>
      <w:r w:rsidRPr="006532CE">
        <w:br w:type="page"/>
      </w:r>
    </w:p>
    <w:p w14:paraId="157ACF55" w14:textId="74A90C8E" w:rsidR="006532CE" w:rsidRPr="006532CE" w:rsidRDefault="006532CE" w:rsidP="006532CE">
      <w:pPr>
        <w:pStyle w:val="HChG"/>
      </w:pPr>
      <w:r>
        <w:lastRenderedPageBreak/>
        <w:tab/>
      </w:r>
      <w:r w:rsidRPr="006532CE">
        <w:tab/>
        <w:t>Introducción</w:t>
      </w:r>
    </w:p>
    <w:p w14:paraId="2370B2B8" w14:textId="77777777" w:rsidR="006532CE" w:rsidRPr="006532CE" w:rsidRDefault="006532CE" w:rsidP="006532CE">
      <w:pPr>
        <w:pStyle w:val="SingleTxtG"/>
      </w:pPr>
      <w:r w:rsidRPr="006532CE">
        <w:t>1.</w:t>
      </w:r>
      <w:r w:rsidRPr="006532CE">
        <w:tab/>
        <w:t>Los informes periódicos cuarto y quinto de la Federación de Rusia sobre la aplicación de la Convención sobre los Derechos del Niño (2003-2009) se examinaron en el 65º período de sesiones del Comité de los Derechos del Niño, los días 23 y 24 de enero de 2014.</w:t>
      </w:r>
    </w:p>
    <w:p w14:paraId="3584F138" w14:textId="5AE5B26B" w:rsidR="006532CE" w:rsidRPr="006532CE" w:rsidRDefault="006532CE" w:rsidP="006532CE">
      <w:pPr>
        <w:pStyle w:val="SingleTxtG"/>
      </w:pPr>
      <w:r w:rsidRPr="006532CE">
        <w:t>2.</w:t>
      </w:r>
      <w:r w:rsidRPr="006532CE">
        <w:tab/>
        <w:t>El presente informe se ha elaborado de conformidad con el artículo 44, párrafo 1 b), de la Convención sobre la base de la información facilitada por las autoridades ejecutivas federales y los datos estadísticos estatales, y tiene por objeto ofrecer una visión completa de la aplicación de la Convención por la Federación de Rusia durante el período comprendido entre 2011 y 2019. En la elaboración de este documento se han utilizado las orientaciones generales respecto de la forma y el contenido de los informes periódicos (CRC/C/58/Rev.2) y las observaciones finales del Comité de los Derechos del Niño aprobadas el 31 de enero de</w:t>
      </w:r>
      <w:r w:rsidR="000739F7">
        <w:t> </w:t>
      </w:r>
      <w:r w:rsidRPr="006532CE">
        <w:t>2014 (CRC/C/RUS/CO/4-5).</w:t>
      </w:r>
    </w:p>
    <w:p w14:paraId="4826C9E9" w14:textId="77777777" w:rsidR="006532CE" w:rsidRPr="006532CE" w:rsidRDefault="006532CE" w:rsidP="006532CE">
      <w:pPr>
        <w:pStyle w:val="SingleTxtG"/>
      </w:pPr>
      <w:r w:rsidRPr="006532CE">
        <w:t>3.</w:t>
      </w:r>
      <w:r w:rsidRPr="006532CE">
        <w:tab/>
        <w:t>La parte introductoria recoge información general sobre la población del país y las principales tendencias en la situación de la infancia entre 2011 y 2019 (desde el último informe). La parte principal consta de nueve secciones e incluye información sobre las medidas adoptadas por la Federación de Rusia para aplicar las disposiciones de la Convención sobre los Derechos del Niño de conformidad con sus obligaciones internacionales, los progresos realizados en este ámbito y las dificultades encontradas.</w:t>
      </w:r>
    </w:p>
    <w:p w14:paraId="131CBDF3" w14:textId="77777777" w:rsidR="006532CE" w:rsidRPr="006532CE" w:rsidRDefault="006532CE" w:rsidP="006532CE">
      <w:pPr>
        <w:pStyle w:val="SingleTxtG"/>
      </w:pPr>
      <w:r w:rsidRPr="006532CE">
        <w:t>4.</w:t>
      </w:r>
      <w:r w:rsidRPr="006532CE">
        <w:tab/>
        <w:t>De conformidad con lo dispuesto en el párrafo 8 de las orientaciones generales, en el presente informe no se repite la información facilitada en los informes periódicos cuarto y quinto de la Federación de Rusia relativos a la aplicación de la Convención sobre los Derechos del Niño, sino que se hace referencia, cuando procede, a los párrafos de esos informes periódicos.</w:t>
      </w:r>
    </w:p>
    <w:p w14:paraId="50AFBFA2" w14:textId="77777777" w:rsidR="006532CE" w:rsidRPr="006532CE" w:rsidRDefault="006532CE" w:rsidP="006532CE">
      <w:pPr>
        <w:pStyle w:val="SingleTxtG"/>
      </w:pPr>
      <w:r w:rsidRPr="006532CE">
        <w:t>5.</w:t>
      </w:r>
      <w:r w:rsidRPr="006532CE">
        <w:tab/>
        <w:t>Los anexos incluyen datos estadísticos para el período comprendido desde la presentación de los informes periódicos cuarto y quinto combinados hasta 2019, y se centran en determinadas cuestiones relativas a la aplicación de las disposiciones de la Convención.</w:t>
      </w:r>
    </w:p>
    <w:p w14:paraId="01579813" w14:textId="1240578F" w:rsidR="006532CE" w:rsidRPr="006532CE" w:rsidRDefault="006532CE" w:rsidP="006532CE">
      <w:pPr>
        <w:pStyle w:val="HChG"/>
      </w:pPr>
      <w:r w:rsidRPr="006532CE">
        <w:rPr>
          <w:bCs/>
        </w:rPr>
        <w:tab/>
        <w:t>I.</w:t>
      </w:r>
      <w:r w:rsidRPr="006532CE">
        <w:tab/>
        <w:t>Información general sobre la Federación de Rusia</w:t>
      </w:r>
    </w:p>
    <w:p w14:paraId="1871CBCC" w14:textId="022B0ECE" w:rsidR="006532CE" w:rsidRPr="006532CE" w:rsidRDefault="006532CE" w:rsidP="006532CE">
      <w:pPr>
        <w:pStyle w:val="SingleTxtG"/>
      </w:pPr>
      <w:r w:rsidRPr="006532CE">
        <w:t>6.</w:t>
      </w:r>
      <w:r w:rsidRPr="006532CE">
        <w:tab/>
        <w:t>A principios de 2011, la población de la Federación de Rusia era de 142,9 millones de habitantes. A principios de 2018, la población de la Federación de Rusia había aumentado</w:t>
      </w:r>
      <w:r w:rsidR="000739F7">
        <w:t> </w:t>
      </w:r>
      <w:r w:rsidRPr="006532CE">
        <w:t>en 4 millones de personas (2,7 %) en comparación con 2011, hasta alcanzar los 146,9 millones.</w:t>
      </w:r>
    </w:p>
    <w:p w14:paraId="60A4221B" w14:textId="48E3B280" w:rsidR="006532CE" w:rsidRPr="006532CE" w:rsidRDefault="006532CE" w:rsidP="006532CE">
      <w:pPr>
        <w:pStyle w:val="SingleTxtG"/>
      </w:pPr>
      <w:r w:rsidRPr="006532CE">
        <w:t>7.</w:t>
      </w:r>
      <w:r w:rsidRPr="006532CE">
        <w:tab/>
        <w:t>A principios de 2018, el número de niños de 0 a 17 años de la Federación de Rusia había aumentado en 3,7 millones en comparación con principios de 2011, hasta alcanzar los 30 millones. El número de niños de 0 a 4 años había aumentado en 1,3 millones (13,9 %), mientras que en el grupo de edad de 5 a 9 años el aumento era de 1,8 millones (19,8 %), hasta llegar a 8,9 millones en 2018.</w:t>
      </w:r>
    </w:p>
    <w:p w14:paraId="13BD58B7" w14:textId="30CC4EA1" w:rsidR="006532CE" w:rsidRPr="006532CE" w:rsidRDefault="006532CE" w:rsidP="006532CE">
      <w:pPr>
        <w:pStyle w:val="SingleTxtG"/>
      </w:pPr>
      <w:r w:rsidRPr="006532CE">
        <w:t>8.</w:t>
      </w:r>
      <w:r w:rsidRPr="006532CE">
        <w:tab/>
        <w:t>En 2017 nacieron 1.690.300 niños, lo que equivale a un 5,9 % menos (106.300 niños) que en 2011 (1.796.600). La tasa bruta de natalidad bajó a 11,5 nacimientos por cada 1.000</w:t>
      </w:r>
      <w:r w:rsidR="000739F7">
        <w:t> </w:t>
      </w:r>
      <w:r w:rsidRPr="006532CE">
        <w:t>habitantes en 2017, frente a los 12,6 de 2011. A pesar de las mejoras en la situación socioeconómica del país, de una política demográfica activa y del aumento de la población total de la Federación de Rusia, en 2017 se registró una tendencia a la baja en la tasa de natalidad debido a los cambios en la estructura por sexo y edad de la población. Así, mientras que el número de mujeres en edad reproductiva (de 15 a 49 años) era de 36,0 millones en</w:t>
      </w:r>
      <w:r w:rsidR="000739F7">
        <w:t> </w:t>
      </w:r>
      <w:r w:rsidRPr="006532CE">
        <w:t>2013, su cifra se redujo a 35,1 millones en 2017 y a 34,9 millones en 2018. La tasa global de fecundidad en 2017 fue de 1,621 (1,582 en 2011), y ha ido descendiendo desde 2015 (1,777).</w:t>
      </w:r>
    </w:p>
    <w:p w14:paraId="620119AE" w14:textId="77777777" w:rsidR="006532CE" w:rsidRPr="006532CE" w:rsidRDefault="006532CE" w:rsidP="006532CE">
      <w:pPr>
        <w:pStyle w:val="SingleTxtG"/>
      </w:pPr>
      <w:r w:rsidRPr="006532CE">
        <w:t>9.</w:t>
      </w:r>
      <w:r w:rsidRPr="006532CE">
        <w:tab/>
        <w:t xml:space="preserve">El número de abortos en 2017 fue de 779.800, un 30,7 % menos que en 2011 (1.124.900). </w:t>
      </w:r>
    </w:p>
    <w:p w14:paraId="5F4300B3" w14:textId="77777777" w:rsidR="006532CE" w:rsidRPr="006532CE" w:rsidRDefault="006532CE" w:rsidP="006532CE">
      <w:pPr>
        <w:pStyle w:val="SingleTxtG"/>
      </w:pPr>
      <w:r w:rsidRPr="006532CE">
        <w:t>10.</w:t>
      </w:r>
      <w:r w:rsidRPr="006532CE">
        <w:tab/>
        <w:t>En 2018 se inscribieron 967.056 actas de matrimonio en la Federación de Rusia (1.049.224 en 2017; 1.216.107 en 2010).</w:t>
      </w:r>
    </w:p>
    <w:p w14:paraId="287EC0B9" w14:textId="4A47D358" w:rsidR="006532CE" w:rsidRPr="006532CE" w:rsidRDefault="006532CE" w:rsidP="006532CE">
      <w:pPr>
        <w:pStyle w:val="SingleTxtG"/>
      </w:pPr>
      <w:r w:rsidRPr="006532CE">
        <w:lastRenderedPageBreak/>
        <w:t>11.</w:t>
      </w:r>
      <w:r w:rsidRPr="006532CE">
        <w:tab/>
        <w:t>En 2018 se registraron 613.042 actas de disolución matrimonial en la Federación de Rusia (611.731 en 2017; 639.513 en 2010). En 2017 la tasa de divorcios se redujo en un 10,6</w:t>
      </w:r>
      <w:r w:rsidR="000739F7">
        <w:t> </w:t>
      </w:r>
      <w:r w:rsidRPr="006532CE">
        <w:t>% y fue de 4,2 por 1.000 habitantes (4,7 en 2011). En 2017 hubo 582 divorcios por cada 1.000 matrimonios (545 en 2013). El número de matrimonios disueltos en que las parejas tenían hijos menores de 18 años aumentó un 3,3 % en 2017 en relación con 2013.</w:t>
      </w:r>
    </w:p>
    <w:p w14:paraId="21B4500D" w14:textId="77777777" w:rsidR="006532CE" w:rsidRPr="006532CE" w:rsidRDefault="006532CE" w:rsidP="006532CE">
      <w:pPr>
        <w:pStyle w:val="SingleTxtG"/>
      </w:pPr>
      <w:r w:rsidRPr="006532CE">
        <w:t>12.</w:t>
      </w:r>
      <w:r w:rsidRPr="006532CE">
        <w:tab/>
        <w:t xml:space="preserve">La proporción de hijos nacidos de mujeres solteras se redujo en 2017 hasta el 21,2 %, en comparación con el 24,6 % en 2011. </w:t>
      </w:r>
    </w:p>
    <w:p w14:paraId="1D6FCA35" w14:textId="77777777" w:rsidR="006532CE" w:rsidRPr="006532CE" w:rsidRDefault="006532CE" w:rsidP="006532CE">
      <w:pPr>
        <w:pStyle w:val="SingleTxtG"/>
      </w:pPr>
      <w:r w:rsidRPr="006532CE">
        <w:t>13.</w:t>
      </w:r>
      <w:r w:rsidRPr="006532CE">
        <w:tab/>
        <w:t>La tasa de mortalidad de menores de 1 año disminuyó un 24,3 % entre 2011 y 2017 y se situó en 5,6 por cada 1.000 nacidos vivos en 2017, frente a 7,4 en 2011. Se mantiene la tendencia de reducción de la mortalidad de menores de 1 año. En relación con la aplicación de nuevos criterios relativos a los nacidos vivos, se aprobó un nuevo formulario de certificado médico de nacimiento mediante la Orden núm. 1687 del Ministerio de Sanidad y Desarrollo Social de la Federación de Rusia sobre los criterios médicos para establecer el nacimiento, el formulario del certificado de nacimiento y el procedimiento para su expedición, de 27 de diciembre de 2011.</w:t>
      </w:r>
    </w:p>
    <w:p w14:paraId="64AD11AB" w14:textId="04F6206C" w:rsidR="006532CE" w:rsidRPr="006532CE" w:rsidRDefault="006532CE" w:rsidP="006532CE">
      <w:pPr>
        <w:pStyle w:val="SingleTxtG"/>
      </w:pPr>
      <w:r w:rsidRPr="006532CE">
        <w:t>14.</w:t>
      </w:r>
      <w:r w:rsidRPr="006532CE">
        <w:tab/>
        <w:t>La tasa de mortalidad materna se redujo de 16,2 por 100.000 nacidos vivos en 2011 a</w:t>
      </w:r>
      <w:r w:rsidR="000739F7">
        <w:t> </w:t>
      </w:r>
      <w:r w:rsidRPr="006532CE">
        <w:t>8,8 en 2017. En 2017, la tasa de mortalidad materna para la población rural fue de 9,3 (18,8</w:t>
      </w:r>
      <w:r w:rsidR="000739F7">
        <w:t> </w:t>
      </w:r>
      <w:r w:rsidRPr="006532CE">
        <w:t>en 2011) y para la población urbana fue de 8,7 (15,1 en 2011).</w:t>
      </w:r>
    </w:p>
    <w:p w14:paraId="5E8BB2B9" w14:textId="71468003" w:rsidR="006532CE" w:rsidRPr="006532CE" w:rsidRDefault="006532CE" w:rsidP="006532CE">
      <w:pPr>
        <w:pStyle w:val="SingleTxtG"/>
      </w:pPr>
      <w:r w:rsidRPr="006532CE">
        <w:t>15.</w:t>
      </w:r>
      <w:r w:rsidRPr="006532CE">
        <w:tab/>
        <w:t>La situación socioeconómica de las familias con hijos se determina con parámetros tales como los ingresos de las familias con hijos, las posibilidades de empleo de los progenitores, la vivienda, el estado de salud y el grado de educación de las mujeres y de los niños. En 2018, el número de personas con ingresos inferiores al mínimo de subsistencia era de 18,9 millones, es decir, el 12,9 % de la población total (en 2011 era de 18 millones, es decir, el 12,7 %).</w:t>
      </w:r>
    </w:p>
    <w:p w14:paraId="305448BC" w14:textId="292AC9C8" w:rsidR="006532CE" w:rsidRPr="006532CE" w:rsidRDefault="006532CE" w:rsidP="006532CE">
      <w:pPr>
        <w:pStyle w:val="SingleTxtG"/>
      </w:pPr>
      <w:r w:rsidRPr="006532CE">
        <w:t>16.</w:t>
      </w:r>
      <w:r w:rsidRPr="006532CE">
        <w:tab/>
        <w:t>La relación entre los ingresos del 10 % de la población con mayores ingresos y el 10</w:t>
      </w:r>
      <w:r w:rsidR="000739F7">
        <w:t> </w:t>
      </w:r>
      <w:r w:rsidRPr="006532CE">
        <w:t>% de la población con menores ingresos (coeficiente de fondos) era de 15,3 en 2018 (16,2</w:t>
      </w:r>
      <w:r w:rsidR="000739F7">
        <w:t> </w:t>
      </w:r>
      <w:r w:rsidRPr="006532CE">
        <w:t>en 2011; 16,7 en 2009). La distribución de los ingresos y bienes de la población prácticamente no ha cambiado. Los principales factores de pobreza siguen siendo los bajos salarios, especialmente en el sector público, y el bajo nivel de una serie de prestaciones sociales y otros pagos sociales.</w:t>
      </w:r>
    </w:p>
    <w:p w14:paraId="2C7732DC" w14:textId="698BD758" w:rsidR="006532CE" w:rsidRPr="006532CE" w:rsidRDefault="006532CE" w:rsidP="006532CE">
      <w:pPr>
        <w:pStyle w:val="SingleTxtG"/>
      </w:pPr>
      <w:r w:rsidRPr="006532CE">
        <w:t>17.</w:t>
      </w:r>
      <w:r w:rsidRPr="006532CE">
        <w:tab/>
        <w:t>En 2018, la renta media per cápita en efectivo era 3,2 veces superior al mínimo de subsistencia (2,4 veces mayor en 2009).</w:t>
      </w:r>
    </w:p>
    <w:p w14:paraId="73E6DE3C" w14:textId="444B1D3A" w:rsidR="006532CE" w:rsidRPr="006532CE" w:rsidRDefault="006532CE" w:rsidP="006532CE">
      <w:pPr>
        <w:pStyle w:val="HChG"/>
      </w:pPr>
      <w:r w:rsidRPr="006532CE">
        <w:rPr>
          <w:bCs/>
        </w:rPr>
        <w:tab/>
        <w:t>II.</w:t>
      </w:r>
      <w:r w:rsidRPr="006532CE">
        <w:tab/>
        <w:t>Medidas generales de aplicación (arts. 4, 42 y 44, párr. 6)</w:t>
      </w:r>
    </w:p>
    <w:p w14:paraId="7AE8AC76" w14:textId="50C88297" w:rsidR="006532CE" w:rsidRPr="006532CE" w:rsidRDefault="006532CE" w:rsidP="006532CE">
      <w:pPr>
        <w:pStyle w:val="SingleTxtG"/>
      </w:pPr>
      <w:r w:rsidRPr="006532CE">
        <w:t>18.</w:t>
      </w:r>
      <w:r w:rsidRPr="006532CE">
        <w:tab/>
        <w:t xml:space="preserve">Entre 2012 y 2017, la Federación de Rusia dio aplicación a la Estrategia Nacional de la Infancia, aprobada mediante el Decreto Presidencial núm. 761, de 1 de junio de 2012. En las observaciones finales del Comité de los Derechos del Niño (en adelante, </w:t>
      </w:r>
      <w:r w:rsidR="00CB5EC2">
        <w:t>“</w:t>
      </w:r>
      <w:r w:rsidRPr="006532CE">
        <w:t>las observaciones finales</w:t>
      </w:r>
      <w:r w:rsidR="00CB5EC2">
        <w:t>”</w:t>
      </w:r>
      <w:r w:rsidRPr="006532CE">
        <w:t xml:space="preserve">) se recomienda que los planes de acción para aplicar la estrategia incluyan medidas específicas e indicaciones claras sobre las funciones y las responsabilidades de los órganos competentes a nivel nacional, regional y local, y que se vele por que dichos planes de acción cuenten con el respaldo de los recursos humanos, técnicos y financieros necesarios y por que se establezcan sistemas de supervisión y evaluación de los planes, así como de recopilación de los datos pertinentes (párr. 11). La aplicación de la Estrategia Nacional se llevó a cabo en el marco de dos planes de acción aprobados mediante las Directrices del Gobierno de la Federación de Rusia núm. 1916, de 15 de octubre de 2012, y núm. 167, de 5 de febrero de 2015. Las entidades constitutivas de la Federación de Rusia aplicaron estrategias o programas regionales para la infancia adaptadas a los problemas específicos de la infancia propios de cada región: demográficos, nacionales, confesionales y de otra índole. Con el fin de proporcionar información y apoyo metodológico al sistema de seguimiento y evaluación de la eficacia en la aplicación de las medidas a nivel federal y regional y organizar el apoyo metodológico a la aplicación de las medidas, desde 2012 está en funcionamiento el portal de internet </w:t>
      </w:r>
      <w:r w:rsidR="00CB5EC2">
        <w:t>“</w:t>
      </w:r>
      <w:r w:rsidRPr="006532CE">
        <w:t>monitoringsid.rf</w:t>
      </w:r>
      <w:r w:rsidR="00CB5EC2">
        <w:t>”</w:t>
      </w:r>
      <w:r w:rsidRPr="006532CE">
        <w:t>. Mediante la Orden núm. 662 del Servicio Federal de Estadística, de 28 de diciembre de 2012, se implantó un sistema de indicadores para supervisar la eficacia de las medidas de aplicación de la Estrategia Nacional.</w:t>
      </w:r>
    </w:p>
    <w:p w14:paraId="4B2D370F" w14:textId="4C63C357" w:rsidR="006532CE" w:rsidRPr="006532CE" w:rsidRDefault="006532CE" w:rsidP="00DB3538">
      <w:pPr>
        <w:pStyle w:val="SingleTxtG"/>
        <w:spacing w:after="130"/>
      </w:pPr>
      <w:r w:rsidRPr="006532CE">
        <w:lastRenderedPageBreak/>
        <w:t>19.</w:t>
      </w:r>
      <w:r w:rsidRPr="006532CE">
        <w:tab/>
        <w:t>Con el fin de poner en práctica los objetivos clave de la Estrategia Nacional de la Infancia, se adoptaron y aprobaron una serie de documentos programáticos: el Marco de Desarrollo de una Red de Servicios de Mediación para 2017, centrado en la implementación de la justicia restaurativa para niños, incluidos aquellos que han cometido actos socialmente peligrosos pero están por debajo de la edad de responsabilidad penal (Directriz núm. 1430 del Gobierno de la Federación de Rusia, de 30 de julio de 2014); el Marco de Educación Complementaria Infantil (Directriz núm. 1726 del Gobierno de la Federación de Rusia, de 4</w:t>
      </w:r>
      <w:r w:rsidR="00571951">
        <w:t> </w:t>
      </w:r>
      <w:r w:rsidRPr="006532CE">
        <w:t>de septiembre de 2014); la Estrategia de Desarrollo de la Atención a la Infancia hasta 2025 (Directriz núm. 996 del Gobierno de la Federación de Rusia, de 29 de mayo de 2015); el Marco de Desarrollo de la Atención Temprana hasta 2020 (Directriz núm. 1839 del Gobierno de la Federación de Rusia, de 31 de agosto de 2016); y el Marco de Desarrollo de la Prevención del Abandono de Niños y la Delincuencia Juvenil hasta 2020 (Directriz núm. 520 del Gobierno de la Federación de Rusia, de 22 de marzo de 2017).</w:t>
      </w:r>
    </w:p>
    <w:p w14:paraId="20A60E99" w14:textId="3C1408E8" w:rsidR="006532CE" w:rsidRPr="006532CE" w:rsidRDefault="006532CE" w:rsidP="00DB3538">
      <w:pPr>
        <w:pStyle w:val="SingleTxtG"/>
        <w:spacing w:after="130"/>
      </w:pPr>
      <w:r w:rsidRPr="006532CE">
        <w:t>20.</w:t>
      </w:r>
      <w:r w:rsidRPr="006532CE">
        <w:tab/>
        <w:t>Con el fin de seguir mejorando la política estatal de protección de la infancia, y teniendo en cuenta los resultados obtenidos en la aplicación de la Estrategia Nacional, el período 2018-2027 fue declarado Decenio de la Infancia en la Federación de Rusia mediante el Decreto Presidencial núm. 240, de 29 de mayo de 2017. Mediante la Directriz núm. 1375 del Gobierno de la Federación de Rusia, de 6 de julio de 2018, se aprobó el plan de</w:t>
      </w:r>
      <w:r w:rsidR="00571951">
        <w:t xml:space="preserve"> </w:t>
      </w:r>
      <w:r w:rsidRPr="006532CE">
        <w:t>actividades principales que se llevarían a cabo en el marco del Decenio de la Infancia hasta</w:t>
      </w:r>
      <w:r w:rsidR="00571951">
        <w:t>  </w:t>
      </w:r>
      <w:r w:rsidRPr="006532CE">
        <w:t>2020. Dicho plan, en la práctica, se inscribe en el proceso de aplicación de las disposiciones de la Estrategia Nacional. En virtud de la Directriz núm. 2295 del Gobierno de la Federación de Rusia, de 24 de octubre de 2018, se creó el Consejo de Coordinación para el Decenio de la Infancia, dependiente del Gobierno de la Federación de Rusia y cuyo objetivo es garantizar la cooperación entre las autoridades públicas federales y regionales, los órganos de la administración autónoma local, las asociaciones públicas, las organizaciones científicas y otras entidades. Para el cuarto trimestre de 2020 se habrá desarrollado un sistema de indicadores estadísticos que sustentará la ejecución de las actividades del Decenio de la Infancia y posibilitará el seguimiento de la ejecución del plan de actividades principales.</w:t>
      </w:r>
    </w:p>
    <w:p w14:paraId="1D8AB663" w14:textId="52850475" w:rsidR="006532CE" w:rsidRPr="006532CE" w:rsidRDefault="006532CE" w:rsidP="00DB3538">
      <w:pPr>
        <w:pStyle w:val="SingleTxtG"/>
        <w:spacing w:after="130"/>
      </w:pPr>
      <w:r w:rsidRPr="006532CE">
        <w:t>21.</w:t>
      </w:r>
      <w:r w:rsidRPr="006532CE">
        <w:tab/>
        <w:t xml:space="preserve">El Decreto Presidencial núm. 204 relativo a los objetivos nacionales y las tareas estratégicas de desarrollo de la Federación de Rusia hasta 2024, de 7 de mayo de 2018, define </w:t>
      </w:r>
      <w:r w:rsidR="00DB3538">
        <w:t>9</w:t>
      </w:r>
      <w:r w:rsidRPr="006532CE">
        <w:t xml:space="preserve"> objetivos nacionales que se alcanzarán a través de 12 proyectos nacionales, que incluyen áreas como: demografía, atención sanitaria, educación, vivienda y entorno urbano, y ecología, entre otras. La ejecución de los proyectos nacionales garantizará un crecimiento natural sostenible de la población de la Federación de Rusia, un crecimiento sostenible de la renta real, un incremento de la esperanza de vida hasta los 78 años, la reducción a la mitad de la pobreza en la Federación de Rusia y el suministro de viviendas a un mínimo de cinco millones de familias cada año.</w:t>
      </w:r>
    </w:p>
    <w:p w14:paraId="6D83AD48" w14:textId="77777777" w:rsidR="006532CE" w:rsidRPr="006532CE" w:rsidRDefault="006532CE" w:rsidP="00DB3538">
      <w:pPr>
        <w:pStyle w:val="SingleTxtG"/>
        <w:spacing w:after="130"/>
      </w:pPr>
      <w:r w:rsidRPr="006532CE">
        <w:t>22.</w:t>
      </w:r>
      <w:r w:rsidRPr="006532CE">
        <w:tab/>
        <w:t>En los párrafos 18 a 35 y 36 a 40 de los informes periódicos cuarto y quinto combinados figura información sobre la legislación nacional adoptada hasta 2010 con miras a dar aplicación a la Convención sobre los Derechos del Niño. Durante el período que abarca el informe, prosiguieron los esfuerzos para mejorar la legislación nacional a fin de salvaguardar los derechos y los intereses legítimos de los niños y fortalecer su protección contra los factores que afectan negativamente a su desarrollo. El 10 de enero de 2014 entró en vigor la Ley Federal núm. 432 por la que se modifican algunos instrumentos legislativos de la Federación de Rusia para reforzar los derechos de las víctimas en los procesos penales, de 28 de diciembre de 2013, que fija la duración del período de vigilancia administrativa forzosa para las personas que hayan cometido delitos contra la integridad sexual de menores de 14 años y que padezcan un trastorno de preferencia sexual (pedofilia) que no excluya la cordura. Dicha duración habrá de adecuarse a la de las medidas médicas obligatorias, pero no podrá ser inferior al plazo que se habría estipulado para cumplir la condena correspondiente. La Ley Federal también prevé la posibilidad, en caso de que la actuación del representante legal perjudique los intereses de la víctima menor, de sustituirle e impedirle participar en el interrogatorio de la víctima menor si ello es contrario a los intereses del menor.</w:t>
      </w:r>
    </w:p>
    <w:p w14:paraId="6F9BA1A2" w14:textId="77777777" w:rsidR="006532CE" w:rsidRPr="006532CE" w:rsidRDefault="006532CE" w:rsidP="00DB3538">
      <w:pPr>
        <w:pStyle w:val="SingleTxtG"/>
        <w:keepNext/>
        <w:keepLines/>
      </w:pPr>
      <w:r w:rsidRPr="006532CE">
        <w:lastRenderedPageBreak/>
        <w:t>23.</w:t>
      </w:r>
      <w:r w:rsidRPr="006532CE">
        <w:tab/>
        <w:t>El 1 de enero de 2015 entraron en vigor las disposiciones de la Ley Federal núm. 432, de 28 de diciembre de 2013, relativas a: la financiación con cargo al presupuesto federal de la participación de un abogado en las causas penales por delitos contra la integridad sexual de una víctima menor de 16 años, en calidad de su representante; la participación obligatoria de un psicólogo en las sesiones de interrogatorio, careo, identificación o verificación de pruebas en el lugar de los hechos en que participe la víctima, y de un psicólogo o pedagogo en las causas penales que impliquen otros delitos (las disposiciones anteriores también se aplican a las víctimas menores de edad, mayores de 16 años, que padezcan trastornos mentales o deficiencia intelectual); los diferentes plazos de duración de las medidas de investigación en función de la edad de la víctima; el uso obligatorio de la grabación en video de las actuaciones de investigación en las que participen víctimas menores de edad, con su consentimiento (o el consentimiento de su representante legal); la prioridad en la vista del testimonio de la víctima menor y la presentación de los materiales de su interrogatorio; y la posibilidad de interrogar a una víctima menor de edad ante un tribunal, si es necesario.</w:t>
      </w:r>
    </w:p>
    <w:p w14:paraId="4094B512" w14:textId="77777777" w:rsidR="006532CE" w:rsidRPr="006532CE" w:rsidRDefault="006532CE" w:rsidP="006532CE">
      <w:pPr>
        <w:pStyle w:val="SingleTxtG"/>
      </w:pPr>
      <w:r w:rsidRPr="006532CE">
        <w:t>24.</w:t>
      </w:r>
      <w:r w:rsidRPr="006532CE">
        <w:tab/>
        <w:t>La aprobación de la Ley Federal núm. 14 por la que se modifican el Código Penal y otros instrumentos legislativos de la Federación de Rusia para endurecer las sanciones por delitos de carácter sexual cometidos contra menores de edad, de 29 de febrero de 2012, tenía por objeto aumentar las penas por delitos contra la integridad sexual de los menores, modificando las condiciones de acceso de las personas que hayan cometido delitos sexuales contra menores a la libertad condicional, la libertad vigilada y la conmutación de parte de la pena por un castigo menos severo. La libertad condicional puede concederse a una persona que haya cometido delitos contra la integridad sexual de un menor de 14 años si el condenado ha cumplido al menos cuatro quintas partes de la condena y atendiendo a una evaluación psiquiátrica forense del condenado. Se aplican condiciones similares cuando una parte de la condena que no se ha cumplido se conmuta por una pena menos severa.</w:t>
      </w:r>
    </w:p>
    <w:p w14:paraId="23F338B3" w14:textId="77777777" w:rsidR="006532CE" w:rsidRPr="006532CE" w:rsidRDefault="006532CE" w:rsidP="006532CE">
      <w:pPr>
        <w:pStyle w:val="SingleTxtG"/>
      </w:pPr>
      <w:r w:rsidRPr="006532CE">
        <w:t>25.</w:t>
      </w:r>
      <w:r w:rsidRPr="006532CE">
        <w:tab/>
        <w:t>Se han aumentado las penas (hasta la reclusión a perpetuidad) y se ha establecido un procedimiento especial para aplicar medidas obligatorias de carácter médico a las personas que hayan sido condenadas anteriormente por delitos contra la integridad sexual de un menor y vuelvan a cometer tales actos. Para ello, deberá existir una decisión judicial adoptada sobre la base del dictamen obligatorio de un perito psiquiátrico forense que confirme la existencia de un trastorno de la inclinación sexual que no excluya la cordura.</w:t>
      </w:r>
    </w:p>
    <w:p w14:paraId="44D2F79B" w14:textId="77777777" w:rsidR="006532CE" w:rsidRPr="006532CE" w:rsidRDefault="006532CE" w:rsidP="006532CE">
      <w:pPr>
        <w:pStyle w:val="SingleTxtG"/>
      </w:pPr>
      <w:r w:rsidRPr="006532CE">
        <w:t>26.</w:t>
      </w:r>
      <w:r w:rsidRPr="006532CE">
        <w:tab/>
        <w:t>El 3 de julio de 2018, la Duma Estatal de la Asamblea Federal de la Federación de Rusia aprobó en primera lectura el proyecto de ley federal núm. 388776-7 sobre las modificaciones del Código Penal y el Código de Procedimiento Penal para mejorar los mecanismos de lucha contra los delitos que vulneran la integridad sexual de los menores, destinado a reforzar las medidas para combatir los delitos contra la integridad sexual de los menores y a reforzar las garantías estatales de seguridad infantil.</w:t>
      </w:r>
    </w:p>
    <w:p w14:paraId="6C71C135" w14:textId="77777777" w:rsidR="006532CE" w:rsidRPr="006532CE" w:rsidRDefault="006532CE" w:rsidP="006532CE">
      <w:pPr>
        <w:pStyle w:val="SingleTxtG"/>
      </w:pPr>
      <w:r w:rsidRPr="006532CE">
        <w:t>27.</w:t>
      </w:r>
      <w:r w:rsidRPr="006532CE">
        <w:tab/>
        <w:t>En el párrafo 26 de los informes periódicos cuarto y quinto combinados se mencionaba la presentación a la Duma Estatal de un proyecto de ley federal de incorporación de modificaciones en el Código Penal para aumentar la responsabilidad por los delitos de carácter sexual cometidos contra menores. El proyecto de ley federal en cuestión fue rechazado (Resolución núm. 64-6 de la Duma Estatal de la Asamblea Federal de la Federación de Rusia, de 7 de febrero de 2012).</w:t>
      </w:r>
    </w:p>
    <w:p w14:paraId="630E0E88" w14:textId="7792E075" w:rsidR="006532CE" w:rsidRPr="006532CE" w:rsidRDefault="006532CE" w:rsidP="006532CE">
      <w:pPr>
        <w:pStyle w:val="SingleTxtG"/>
      </w:pPr>
      <w:r w:rsidRPr="006532CE">
        <w:t>28.</w:t>
      </w:r>
      <w:r w:rsidRPr="006532CE">
        <w:tab/>
        <w:t xml:space="preserve">Con el fin de proteger a los menores de la participación y utilización de niños en la producción y el tráfico de pornografía, se aprobó la Ley Federal núm. 199 por la que se modifica el artículo 242.1 del Código Penal para combatir la difusión de pornografía infantil y de pornografía entre menores de edad y el artículo 151 del Código de Procedimiento Penal, de 23 de junio de 2016. Con ello se plasmaron en la legislación penal de la Federación de Rusia las definiciones de los conceptos de </w:t>
      </w:r>
      <w:r w:rsidR="00CB5EC2">
        <w:t>“</w:t>
      </w:r>
      <w:r w:rsidRPr="006532CE">
        <w:t>materiales y objetos pornográficos</w:t>
      </w:r>
      <w:r w:rsidR="00CB5EC2">
        <w:t>”</w:t>
      </w:r>
      <w:r w:rsidRPr="006532CE">
        <w:t xml:space="preserve"> y </w:t>
      </w:r>
      <w:r w:rsidR="00CB5EC2">
        <w:t>“</w:t>
      </w:r>
      <w:r w:rsidRPr="006532CE">
        <w:t>materiales u objetos con imágenes pornográficas de menores</w:t>
      </w:r>
      <w:r w:rsidR="00CB5EC2">
        <w:t>”</w:t>
      </w:r>
      <w:r w:rsidRPr="006532CE">
        <w:t>, así como los criterios para distinguirlos de otros conceptos conexos.</w:t>
      </w:r>
    </w:p>
    <w:p w14:paraId="2D50500C" w14:textId="77777777" w:rsidR="006532CE" w:rsidRPr="006532CE" w:rsidRDefault="006532CE" w:rsidP="006532CE">
      <w:pPr>
        <w:pStyle w:val="SingleTxtG"/>
      </w:pPr>
      <w:r w:rsidRPr="006532CE">
        <w:t>29.</w:t>
      </w:r>
      <w:r w:rsidRPr="006532CE">
        <w:tab/>
        <w:t xml:space="preserve">Con el fin de garantizar la seguridad de la vida y la salud de los menores, crear medidas conducentes a la prevención del suicidio entre los niños y combatir diversas formas de suicidio asistido, así como la participación de menores en actos ilícitos que se sabe que son peligrosos para su vida, se aprobó la Ley Federal núm. 120 por la que se modifica el Código Penal y el artículo 151 del Código de Procedimiento Penal de la Federación de Rusia, </w:t>
      </w:r>
      <w:r w:rsidRPr="006532CE">
        <w:lastRenderedPageBreak/>
        <w:t>de 7 de junio de 2017, y se establecen mecanismos adicionales para contrarrestar las actividades encaminadas a incitar a los niños a la conducta suicida. También se ha modificado el Código Penal de la Federación de Rusia para establecer una mayor responsabilidad penal por formas estipuladas de incitación al suicidio o a la tentativa de suicidio, como amenazas, tratos crueles o humillación sistemática de la dignidad de la víctima, cuando se cometan contra un menor, una mujer embarazada, una persona indefensa, contra dos o más personas o de forma organizada, colectiva o pública.</w:t>
      </w:r>
    </w:p>
    <w:p w14:paraId="7D1BB1A0" w14:textId="6641AFCF" w:rsidR="006532CE" w:rsidRPr="006532CE" w:rsidRDefault="006532CE" w:rsidP="006532CE">
      <w:pPr>
        <w:pStyle w:val="SingleTxtG"/>
      </w:pPr>
      <w:r w:rsidRPr="006532CE">
        <w:t>30.</w:t>
      </w:r>
      <w:r w:rsidRPr="006532CE">
        <w:tab/>
        <w:t xml:space="preserve">En relación con el párrafo 7, apartado a), de las observaciones finales, la sección 4 del formulario federal de seguimiento estadístico </w:t>
      </w:r>
      <w:r w:rsidR="00CB5EC2">
        <w:t>“</w:t>
      </w:r>
      <w:r w:rsidRPr="006532CE">
        <w:t>Información sobre delitos registrados, resueltos y no resueltos</w:t>
      </w:r>
      <w:r w:rsidR="00CB5EC2">
        <w:t>”</w:t>
      </w:r>
      <w:r w:rsidRPr="006532CE">
        <w:t>, aprobado mediante la Orden núm. 250 del Fiscal General, de 2 de julio de 2012, contiene datos sobre el número total de víctimas menores de edad, desglosados por edad (menores y mayores de 14 años), sexo, situación socioeconómica (huérfanos y niños privados del cuidado parental) y ubicación geográfica (por regiones de la Federación de Rusia). La Fiscalía General de Rusia se propone organizar la recogida de datos sobre los niños que hayan sido sometidos a cualquier castigo físico o agresión psicológica por parte de sus padres (tutores), así como sobre las personas que hayan sufrido abusos sexuales antes de cumplir los 18 años.</w:t>
      </w:r>
    </w:p>
    <w:p w14:paraId="2A7A3C17" w14:textId="77777777" w:rsidR="006532CE" w:rsidRPr="006532CE" w:rsidRDefault="006532CE" w:rsidP="006532CE">
      <w:pPr>
        <w:pStyle w:val="SingleTxtG"/>
      </w:pPr>
      <w:r w:rsidRPr="006532CE">
        <w:t>31.</w:t>
      </w:r>
      <w:r w:rsidRPr="006532CE">
        <w:tab/>
        <w:t>Mediante la Ley Federal núm. 224 por la que se modifican los artículos 114 y 115 del Código de Familia de la Federación de Rusia, de 29 de julio de 2018, se modificó el Código de Familia de la Federación de Rusia para reducir la sanción por retraso en el pago de la pensión alimenticia al 0,1 %. También se prevé que el tribunal pueda reducir el importe de las sanciones por retraso en el pago de la pensión alimenticia, teniendo en cuenta la situación financiera o familiar de la persona obligada al pago de dicha pensión, si las sanciones a pagar son claramente desproporcionadas en relación con las consecuencias del incumplimiento de la obligación de pagar la pensión alimenticia.</w:t>
      </w:r>
    </w:p>
    <w:p w14:paraId="2E6006AA" w14:textId="50D149CC" w:rsidR="006532CE" w:rsidRPr="006532CE" w:rsidRDefault="006532CE" w:rsidP="006532CE">
      <w:pPr>
        <w:pStyle w:val="SingleTxtG"/>
      </w:pPr>
      <w:r w:rsidRPr="006532CE">
        <w:t>32.</w:t>
      </w:r>
      <w:r w:rsidRPr="006532CE">
        <w:tab/>
        <w:t>La Ley Federal de Defensores de los Derechos del Niño en la Federación de Rusia, de</w:t>
      </w:r>
      <w:r w:rsidR="00D6494B">
        <w:t xml:space="preserve"> </w:t>
      </w:r>
      <w:r w:rsidRPr="006532CE">
        <w:t>27 de diciembre de 2018, define el estatus jurídico, las principales tareas y las competencias del Defensor de los Derechos del Niño dependiente de la Presidencia de la Federación de Rusia, así como los fundamentos del estatus jurídico de los Defensores de los Derechos del Niño de las entidades constitutivas de la Federación de Rusia. En particular, el artículo 4 de la Ley Federal establece los requisitos para ser Defensor de los Derechos del Niño dependiente de la Presidencia, mientras que el artículo 13 define el estatus jurídico de los Defensores de los Derechos del Niño de las entidades constitutivas de la Federación de Rusia (párrs. 16 y 17 de las observaciones finales).</w:t>
      </w:r>
    </w:p>
    <w:p w14:paraId="34EC6619" w14:textId="016310DD" w:rsidR="006532CE" w:rsidRPr="006532CE" w:rsidRDefault="006532CE" w:rsidP="006532CE">
      <w:pPr>
        <w:pStyle w:val="SingleTxtG"/>
      </w:pPr>
      <w:r w:rsidRPr="006532CE">
        <w:t>33.</w:t>
      </w:r>
      <w:r w:rsidRPr="006532CE">
        <w:tab/>
        <w:t xml:space="preserve">En cuanto a los párrafos 18 y 19 de las observaciones finales, la Ley Federal núm. 121 por la que se modifican varios instrumentos legislativos de la Federación de Rusia relativos a la regulación de las actividades de las organizaciones sin fines de lucro que ejercen las funciones de un agente extranjero, de 20 de julio de 2012, proporciona a la sociedad rusa los elementos adecuados para el control de las actividades de las organizaciones sin fines de lucro financiadas por fuentes extranjeras y que persiguen objetivos políticos, incluidos los intereses de sus donantes financieros. Para que una organización sin fines de lucro sea reconocida como una organización que ejerce las funciones de un agente extranjero, se deben reunir dos requisitos: la recepción de fondos y otros medios de fuentes extranjeras y la participación en actividades políticas (en las áreas establecidas por la ley y con arreglo a una de las formas enumeradas en ella). Así, las </w:t>
      </w:r>
      <w:r w:rsidR="00CB5EC2">
        <w:t>“</w:t>
      </w:r>
      <w:r w:rsidRPr="006532CE">
        <w:t>organizaciones no gubernamentales que trabajan en el ámbito de los derechos humanos y los derechos del niño</w:t>
      </w:r>
      <w:r w:rsidR="00CB5EC2">
        <w:t>”</w:t>
      </w:r>
      <w:r w:rsidRPr="006532CE">
        <w:t xml:space="preserve"> (párr. 19 de las observaciones finales) que reciben financiación del extranjero pero no llevan a cabo actividades políticas no están sujetas a la ley sobre organizaciones sin fines de lucro que desempeñan funciones de agente extranjero. La Ley Federal núm. 179 por la que se modifica el artículo 8 de la Ley Federal de Asociaciones Públicas y el artículo 2 de la Ley Federal de Organizaciones Sin Fines de Lucro, de 2 de junio de 2016, aclaró el concepto de desempeño de funciones de un agente extranjero por parte de una organización sin fines de lucro (art. 2, apartado 6, de la Ley Federal núm. 7), mediante el establecimiento de listas de ámbitos y formas de actividad política. Cabe destacar que la Ley Federal núm. 7 emplea el concepto de </w:t>
      </w:r>
      <w:r w:rsidR="00CB5EC2">
        <w:t>“</w:t>
      </w:r>
      <w:r w:rsidRPr="006532CE">
        <w:t>organización sin fines de lucro que ejerce las funciones de un agente extranjero</w:t>
      </w:r>
      <w:r w:rsidR="00CB5EC2">
        <w:t>”</w:t>
      </w:r>
      <w:r w:rsidRPr="006532CE">
        <w:t xml:space="preserve"> y no de </w:t>
      </w:r>
      <w:r w:rsidR="00CB5EC2">
        <w:t>“</w:t>
      </w:r>
      <w:r w:rsidRPr="006532CE">
        <w:t>organización sin fines de lucro – agente extranjero</w:t>
      </w:r>
      <w:r w:rsidR="00CB5EC2">
        <w:t>”</w:t>
      </w:r>
      <w:r w:rsidRPr="006532CE">
        <w:t xml:space="preserve">. En el discurso público se produce una sustitución de conceptos que distorsiona el sentido de la ley. El verdadero significado del término </w:t>
      </w:r>
      <w:r w:rsidR="00CB5EC2">
        <w:lastRenderedPageBreak/>
        <w:t>“</w:t>
      </w:r>
      <w:r w:rsidRPr="006532CE">
        <w:t>organización sin fines de lucro que ejerce las funciones de un agente extranjero</w:t>
      </w:r>
      <w:r w:rsidR="00CB5EC2">
        <w:t>”</w:t>
      </w:r>
      <w:r w:rsidRPr="006532CE">
        <w:t xml:space="preserve"> es el de una organización que realiza actividades en interés de patrocinadores extranjeros.</w:t>
      </w:r>
    </w:p>
    <w:p w14:paraId="6C15ABB7" w14:textId="0F41CEF8" w:rsidR="006532CE" w:rsidRPr="006532CE" w:rsidRDefault="006532CE" w:rsidP="006532CE">
      <w:pPr>
        <w:pStyle w:val="HChG"/>
        <w:rPr>
          <w:iCs/>
        </w:rPr>
      </w:pPr>
      <w:r w:rsidRPr="006532CE">
        <w:rPr>
          <w:bCs/>
        </w:rPr>
        <w:tab/>
        <w:t>III.</w:t>
      </w:r>
      <w:r w:rsidRPr="006532CE">
        <w:tab/>
        <w:t>Definición de niño (art. 1)</w:t>
      </w:r>
    </w:p>
    <w:p w14:paraId="16697522" w14:textId="77777777" w:rsidR="006532CE" w:rsidRPr="006532CE" w:rsidRDefault="006532CE" w:rsidP="006532CE">
      <w:pPr>
        <w:pStyle w:val="SingleTxtG"/>
      </w:pPr>
      <w:r w:rsidRPr="006532CE">
        <w:t>34.</w:t>
      </w:r>
      <w:r w:rsidRPr="006532CE">
        <w:tab/>
        <w:t>Las disposiciones sobre la definición del niño en virtud del artículo 1 de la Convención figuran en los párrafos 71 y 73 del segundo informe periódico, en el párrafo 62 del tercer informe periódico y en los párrafos 47 y 48 de los informes periódicos cuarto y quinto combinados.</w:t>
      </w:r>
    </w:p>
    <w:p w14:paraId="66BF5152" w14:textId="10AD1DE1" w:rsidR="006532CE" w:rsidRPr="006532CE" w:rsidRDefault="006532CE" w:rsidP="006532CE">
      <w:pPr>
        <w:pStyle w:val="HChG"/>
      </w:pPr>
      <w:r w:rsidRPr="006532CE">
        <w:rPr>
          <w:bCs/>
        </w:rPr>
        <w:tab/>
        <w:t>IV.</w:t>
      </w:r>
      <w:r w:rsidRPr="006532CE">
        <w:tab/>
        <w:t>Principios generales</w:t>
      </w:r>
    </w:p>
    <w:p w14:paraId="549FAAED" w14:textId="67D83745" w:rsidR="006532CE" w:rsidRPr="006532CE" w:rsidRDefault="006532CE" w:rsidP="006532CE">
      <w:pPr>
        <w:pStyle w:val="H1G"/>
        <w:rPr>
          <w:iCs/>
        </w:rPr>
      </w:pPr>
      <w:r w:rsidRPr="006532CE">
        <w:tab/>
        <w:t>А.</w:t>
      </w:r>
      <w:r w:rsidRPr="006532CE">
        <w:tab/>
        <w:t>No discriminación (art. 2)</w:t>
      </w:r>
    </w:p>
    <w:p w14:paraId="0C6D34C5" w14:textId="77777777" w:rsidR="006532CE" w:rsidRPr="006532CE" w:rsidRDefault="006532CE" w:rsidP="006532CE">
      <w:pPr>
        <w:pStyle w:val="SingleTxtG"/>
      </w:pPr>
      <w:r w:rsidRPr="006532CE">
        <w:t>35.</w:t>
      </w:r>
      <w:r w:rsidRPr="006532CE">
        <w:tab/>
        <w:t>Las disposiciones relativas a este artículo se detallan en los párrafos 74 a 78, 80 a 82, 84 y 85 del segundo informe periódico, en los párrafos 63 a 65 del tercer informe periódico y en el párrafo 18 de los informes periódicos cuarto y quinto combinados.</w:t>
      </w:r>
    </w:p>
    <w:p w14:paraId="548E27E8" w14:textId="77777777" w:rsidR="006532CE" w:rsidRPr="006532CE" w:rsidRDefault="006532CE" w:rsidP="006532CE">
      <w:pPr>
        <w:pStyle w:val="SingleTxtG"/>
      </w:pPr>
      <w:r w:rsidRPr="006532CE">
        <w:t>36.</w:t>
      </w:r>
      <w:r w:rsidRPr="006532CE">
        <w:tab/>
        <w:t>Para hacer efectivo el derecho de toda persona a la educación, se fomentan las condiciones necesarias para ofrecer a las personas con necesidades especiales una educación de calidad sin discriminación, corregir los trastornos del desarrollo, propiciar la adaptación social y prestar una atención correctiva temprana basada en planteamientos educativos especiales y en los lenguajes, métodos y medios de comunicación más adecuados para dichas personas y en las condiciones que mejor favorezcan la educación del nivel y enfoque determinado, así como favorecer su desarrollo social, entre otros mediante la organización de la enseñanza inclusiva con la participación de las personas con necesidades especiales.</w:t>
      </w:r>
    </w:p>
    <w:p w14:paraId="6C9DCDEA" w14:textId="230B6E04" w:rsidR="006532CE" w:rsidRPr="006532CE" w:rsidRDefault="006532CE" w:rsidP="006532CE">
      <w:pPr>
        <w:pStyle w:val="SingleTxtG"/>
      </w:pPr>
      <w:r w:rsidRPr="006532CE">
        <w:t>37.</w:t>
      </w:r>
      <w:r w:rsidRPr="006532CE">
        <w:tab/>
        <w:t>Las conclusiones de los párrafos 22 y 23 de las observaciones finales no se ajustan a la realidad, ya que la legislación de la Federación de Rusia no es discriminatoria. El Código de Infracciones Administrativas de la Federación de Rusia contempla la responsabilidad administrativa por discriminación, y el Código Penal tipifica la responsabilidad penal por todo acto de discriminación cometido por una persona valiéndose de su cargo oficial. Los delitos de extremismo, esto es, aquellos motivados por prejuicios políticos, ideológicos, raciales, étnicos o religiosos o por el odio o la hostilidad hacia un determinado grupo social, son objeto de sanción penal. El Código Penal también tipifica como delito actos como la convocatoria pública de actividades extremistas (art. 280), la convocatoria pública de acciones dirigidas a violar la integridad territorial de la Federación de Rusia (art. 280.1), la incitación al odio o la enemistad, así como la humillación de la dignidad humana (art. 282), la organización de una asociación extremista (art. 282.1), la organización de actividades de una organización extremista (art. 282.2), la financiación de actividades extremistas (art.</w:t>
      </w:r>
      <w:r w:rsidR="00CB278D">
        <w:t> </w:t>
      </w:r>
      <w:r w:rsidRPr="006532CE">
        <w:t xml:space="preserve">282.3) y el genocidio (art. 357). Bajo ciertas condiciones, los delitos extremistas también incluyen: infligir intencionadamente lesiones corporales graves cuando el acto lo cometa un grupo de personas, que pueden haber conspirado previamente para ello o haberse organizado como grupo; la muerte de una víctima por negligencia achacable a dos o más personas; la agresión física; los atentados contra la igualdad de derechos y libertades de la persona y del ciudadano; la violación del derecho a la libertad de conciencia y de religión; las trabas a la celebración de una reunión, concentración, manifestación, marcha o piquete o a la participación en dichos actos; la destrucción o el daño intencionados de bienes; la violencia tumultuaria; los actos de vandalismo cometidos por un grupo de personas mediante conspiración previa o por un grupo organizado, o que impliquen resistencia a un representante de las autoridades o a otra persona que desempeñe funciones de protección del orden público o de represión de una alteración del orden público; la creación de una organización sin fines de lucro que atente contra la identidad y los derechos de los ciudadanos; la destrucción o daños de objetos del patrimonio cultural (monumentos históricos y culturales) de los pueblos de la Federación de Rusia; la profanación de los cuerpos y lugares de enterramiento de los muertos; la violación del reglamento por el que se rigen las relaciones entre el personal militar fuera de la cadena de mando; las injurias a miembros de las fuerzas armadas; y la rehabilitación del nazismo. Por lo tanto, no es </w:t>
      </w:r>
      <w:r w:rsidRPr="006532CE">
        <w:lastRenderedPageBreak/>
        <w:t>necesario que la legislación federal contenga disposiciones adicionales que prohíban la discriminación.</w:t>
      </w:r>
    </w:p>
    <w:p w14:paraId="7CF173A7" w14:textId="09BFFE2D" w:rsidR="006532CE" w:rsidRPr="006532CE" w:rsidRDefault="006532CE" w:rsidP="006532CE">
      <w:pPr>
        <w:pStyle w:val="SingleTxtG"/>
      </w:pPr>
      <w:r w:rsidRPr="006532CE">
        <w:t>38.</w:t>
      </w:r>
      <w:r w:rsidRPr="006532CE">
        <w:tab/>
        <w:t xml:space="preserve">Dado que la Federación de Rusia no reconoce la competencia del Comité para proteger los derechos de las personas lesbianas, gais, bisexuales, transgénero e intersexuales (LGBTI), y que la pertenencia a una minoría no constituye un obstáculo para el acceso a la justicia, las recomendaciones de los párrafos 25, 36 y 60 de las observaciones finales a este respecto no son aceptables. La recomendación de </w:t>
      </w:r>
      <w:r w:rsidR="00CB5EC2">
        <w:t>“</w:t>
      </w:r>
      <w:r w:rsidRPr="006532CE">
        <w:t>derogar las leyes por las que se prohíbe la propaganda de la homosexualidad</w:t>
      </w:r>
      <w:r w:rsidR="00CB5EC2">
        <w:t>”</w:t>
      </w:r>
      <w:r w:rsidRPr="006532CE">
        <w:t xml:space="preserve"> (párr. 25 de las observaciones finales) no tiene en cuenta las disposiciones de los artículos 13 y 17 de la Convención sobre los Derechos del Niño, que instan a los Estados partes a elaborar directrices apropiadas para proteger a los niños contra toda información y material perjudicial para su bienestar, salud o moral. Las citadas disposiciones de la Convención se corresponden con la posición jurídica del Tribunal Constitucional de la Federación de Rusia, que en su dictamen núm. 24-P sobre el caso relativo a la verificación de la constitucionalidad de la parte 1 del artículo 6.21 del Código de Infracciones Administrativas de la Federación de Rusia en relación con la denuncia de los ciudadanos N. A. Alexeyev, Y. N. Evtushenko y D. A. Isakov, de 23 de septiembre de 2014, señaló que las disposiciones de la parte 1 del artículo 6.21 del Código de Infracciones Administrativas se utilizan exclusivamente para proteger a los menores de información que pueda perjudicar su desarrollo y no están concebidas como una evaluación negativa por parte del Estado de las relaciones sexuales no tradicionales, por lo que no tienen por objeto menoscabar el honor y la dignidad de los ciudadanos que practican tales relaciones. No tenemos conocimiento de ninguna acción discriminatoria contra niños de familias LGBTI o menores defensores de los derechos LGBTI.</w:t>
      </w:r>
    </w:p>
    <w:p w14:paraId="55EED25D" w14:textId="73649D9D" w:rsidR="006532CE" w:rsidRPr="006532CE" w:rsidRDefault="006532CE" w:rsidP="006532CE">
      <w:pPr>
        <w:pStyle w:val="H1G"/>
        <w:rPr>
          <w:iCs/>
        </w:rPr>
      </w:pPr>
      <w:r w:rsidRPr="006532CE">
        <w:tab/>
        <w:t>В.</w:t>
      </w:r>
      <w:r w:rsidRPr="006532CE">
        <w:tab/>
        <w:t>Respeto del interés superior del niño (art. 3)</w:t>
      </w:r>
    </w:p>
    <w:p w14:paraId="46092E00" w14:textId="77777777" w:rsidR="006532CE" w:rsidRPr="006532CE" w:rsidRDefault="006532CE" w:rsidP="006532CE">
      <w:pPr>
        <w:pStyle w:val="SingleTxtG"/>
      </w:pPr>
      <w:r w:rsidRPr="006532CE">
        <w:t>39.</w:t>
      </w:r>
      <w:r w:rsidRPr="006532CE">
        <w:tab/>
        <w:t>Las disposiciones relativas a este artículo se detallan en los párrafos 51 a 53 de los informes periódicos cuarto y quinto combinados.</w:t>
      </w:r>
    </w:p>
    <w:p w14:paraId="69368546" w14:textId="3473FF48" w:rsidR="006532CE" w:rsidRPr="006532CE" w:rsidRDefault="006532CE" w:rsidP="006532CE">
      <w:pPr>
        <w:pStyle w:val="SingleTxtG"/>
      </w:pPr>
      <w:r w:rsidRPr="006532CE">
        <w:t>40.</w:t>
      </w:r>
      <w:r w:rsidRPr="006532CE">
        <w:tab/>
        <w:t>La información sustantiva relativa a los intereses del niño se describe en los párrafos</w:t>
      </w:r>
      <w:r w:rsidR="00CB278D">
        <w:t> </w:t>
      </w:r>
      <w:r w:rsidRPr="006532CE">
        <w:t>142 a 146 del presente informe.</w:t>
      </w:r>
    </w:p>
    <w:p w14:paraId="6BA3AF03" w14:textId="61154B44" w:rsidR="006532CE" w:rsidRPr="006532CE" w:rsidRDefault="006532CE" w:rsidP="006532CE">
      <w:pPr>
        <w:pStyle w:val="SingleTxtG"/>
      </w:pPr>
      <w:r w:rsidRPr="006532CE">
        <w:t>41.</w:t>
      </w:r>
      <w:r w:rsidRPr="006532CE">
        <w:tab/>
        <w:t>En cuanto a las recomendaciones sobre la modificación de la legislación para que quede mejor reflejado el derecho del niño a que se tenga en cuenta su interés superior (párr.</w:t>
      </w:r>
      <w:r w:rsidR="00CB278D">
        <w:t> </w:t>
      </w:r>
      <w:r w:rsidRPr="006532CE">
        <w:t xml:space="preserve">27 de las observaciones finales), cabe señalar que los objetivos de la política estatal para la infancia son hacer efectivos los derechos de los niños establecidos en la Constitución, prevenir la discriminación contra ellos, reforzar las garantías básicas de los derechos e intereses legítimos de los niños y restablecer sus derechos cuando sean violados. Sin embargo, la afirmación de que los </w:t>
      </w:r>
      <w:r w:rsidR="00CB5EC2">
        <w:t>“</w:t>
      </w:r>
      <w:r w:rsidRPr="006532CE">
        <w:t>intereses legítimos del niño</w:t>
      </w:r>
      <w:r w:rsidR="00CB5EC2">
        <w:t>”</w:t>
      </w:r>
      <w:r w:rsidRPr="006532CE">
        <w:t xml:space="preserve">, tal cual se contemplan en la legislación de la Federación de Rusia, no se corresponden al significado de </w:t>
      </w:r>
      <w:r w:rsidR="00CB5EC2">
        <w:t>“</w:t>
      </w:r>
      <w:r w:rsidRPr="006532CE">
        <w:t>interés superior</w:t>
      </w:r>
      <w:r w:rsidR="00CB5EC2">
        <w:t>”</w:t>
      </w:r>
      <w:r w:rsidRPr="006532CE">
        <w:t xml:space="preserve"> al que se refiere la Convención sobre los Derechos del Niño parece incorrecta.</w:t>
      </w:r>
    </w:p>
    <w:p w14:paraId="017DE51A" w14:textId="45E221DB" w:rsidR="006532CE" w:rsidRPr="006532CE" w:rsidRDefault="006532CE" w:rsidP="006532CE">
      <w:pPr>
        <w:pStyle w:val="H1G"/>
      </w:pPr>
      <w:r w:rsidRPr="006532CE">
        <w:tab/>
        <w:t>С.</w:t>
      </w:r>
      <w:r w:rsidRPr="006532CE">
        <w:tab/>
        <w:t>Derecho a la vida, a la supervivencia y al desarrollo (art. 6)</w:t>
      </w:r>
    </w:p>
    <w:p w14:paraId="55CAD635" w14:textId="65F93ADE" w:rsidR="006532CE" w:rsidRPr="006532CE" w:rsidRDefault="006532CE" w:rsidP="006532CE">
      <w:pPr>
        <w:pStyle w:val="SingleTxtG"/>
      </w:pPr>
      <w:r w:rsidRPr="006532CE">
        <w:t>42.</w:t>
      </w:r>
      <w:r w:rsidRPr="006532CE">
        <w:tab/>
        <w:t xml:space="preserve">La aplicación del programa </w:t>
      </w:r>
      <w:r w:rsidR="00CB5EC2">
        <w:t>“</w:t>
      </w:r>
      <w:r w:rsidRPr="006532CE">
        <w:t>Certificado de Nacimiento</w:t>
      </w:r>
      <w:r w:rsidR="00CB5EC2">
        <w:t>”</w:t>
      </w:r>
      <w:r w:rsidRPr="006532CE">
        <w:t xml:space="preserve"> sigue su curso, con el objetivo de mejorar la calidad de la atención médica ofrecida a las mujeres durante el embarazo y el parto y a los niños en el primer año de vida. Mediante el certificado de maternidad se puede solicitar ayuda financiera adicional para acceder a las clínicas prenatales, los hospitales o servicios de maternidad y los centros perinatales de las policlínicas infantiles. Entre 2014 y 2018, la calidad de la atención a las mujeres embarazadas siguió mejorando, y el número de mujeres embarazadas sujetas a seguimiento en una clínica de maternidad antes de las 12 semanas aumentó del 85,1 % al 87,6 %. El suministro adicional de medicamentos esenciales a las embarazadas ha aumentado la proporción de partos naturales del 34,1 % al 37,3 %. Gracias al uso de tecnologías médicas modernas en la atención obstétrica, al igual que en el período anterior, en 2013-2017 se produjo un descenso constante de la mortalidad perinatal, que pasó de 9,64 por 1.000 nacidos vivos y fallecidos a 7,5 por 1.000 nacidos vivos y fallecidos.</w:t>
      </w:r>
    </w:p>
    <w:p w14:paraId="61889F32" w14:textId="78B7223E" w:rsidR="006532CE" w:rsidRPr="006532CE" w:rsidRDefault="006532CE" w:rsidP="006532CE">
      <w:pPr>
        <w:pStyle w:val="SingleTxtG"/>
      </w:pPr>
      <w:r w:rsidRPr="006532CE">
        <w:lastRenderedPageBreak/>
        <w:t>43.</w:t>
      </w:r>
      <w:r w:rsidRPr="006532CE">
        <w:tab/>
        <w:t xml:space="preserve">Se está aplicando un conjunto de medidas para prevenir y reducir el número de abortos: se ha establecido un plazo (de entre 48 horas y 7 días, según el momento) para que las mujeres reflexionen sobre la decisión y reciban asesoramiento psicológico y social tras solicitar la interrupción del embarazo en una institución médica; se ha establecido la concesión de licencias para poder llevar a cabo interrupciones del embarazo; se ha aprobado un nuevo formulario de consentimiento voluntario informado para la interrupción artificial del embarazo a petición de la mujer, con información sobre las posibles consecuencias de un aborto; se realiza una ecografía antes del aborto para visualizar el feto y su latido, o bien se ausculta el latido; en las clínicas para mujeres de las entidades constitutivas de la Federación de Rusia se están creando consultorios de asistencia médica y social, así como centros de apoyo médico y social para mujeres embarazadas en circunstancias difíciles, cuya principal tarea es proporcionar asistencia social y psicológica a las mujeres en casos de embarazo no planificado, a fin de garantizar una alternativa positiva al aborto; se ha establecido que los gastos derivados del asesoramiento previo al aborto por parte de psicólogos clínicos corran a cargo del seguro obligatorio de salud; se ha elaborado un programa adicional de formación profesional de los psicólogos clínicos, psicólogos y trabajadores sociales sobre asesoramiento previo al aborto; y se ha enviado a las entidades constitutivas de la Federación de Rusia una carta metodológica titulada </w:t>
      </w:r>
      <w:r w:rsidR="00CB5EC2">
        <w:t>“</w:t>
      </w:r>
      <w:r w:rsidRPr="006532CE">
        <w:t>Asesoramiento psicológico para mujeres que planean una interrupción artificial del embarazo</w:t>
      </w:r>
      <w:r w:rsidR="00CB5EC2">
        <w:t>”</w:t>
      </w:r>
      <w:r w:rsidRPr="006532CE">
        <w:t>.</w:t>
      </w:r>
    </w:p>
    <w:p w14:paraId="515034B4" w14:textId="77777777" w:rsidR="006532CE" w:rsidRPr="006532CE" w:rsidRDefault="006532CE" w:rsidP="006532CE">
      <w:pPr>
        <w:pStyle w:val="SingleTxtG"/>
      </w:pPr>
      <w:r w:rsidRPr="006532CE">
        <w:t>44.</w:t>
      </w:r>
      <w:r w:rsidRPr="006532CE">
        <w:tab/>
        <w:t>En las entidades constitutivas de la Federación de Rusia hay 385 centros de apoyo médico y social para mujeres embarazadas con dificultades y más de 1.000 oficinas de asistencia médica y social, que ofrecen asesoramiento psicológico a más de 170.000 mujeres al año.</w:t>
      </w:r>
    </w:p>
    <w:p w14:paraId="0D02BAAE" w14:textId="77777777" w:rsidR="006532CE" w:rsidRPr="006532CE" w:rsidRDefault="006532CE" w:rsidP="006532CE">
      <w:pPr>
        <w:pStyle w:val="SingleTxtG"/>
      </w:pPr>
      <w:r w:rsidRPr="006532CE">
        <w:t>45.</w:t>
      </w:r>
      <w:r w:rsidRPr="006532CE">
        <w:tab/>
        <w:t>Como resultado del trabajo realizado desde 2014, se ha producido una disminución del número de abortos y de recién nacidos abandonados: el número total de abortos ha disminuido un 30,3 % (de 814.162 a 567.183 en 2018); el número de abortos médicos solicitados por mujeres en centros abortivos ha disminuido un 42,5 % (de 511.799 a 294.456 en 2018); y el número de bebés abandonados por las madres en centros obstétricos ha disminuido un 50,9 % (de 4.675 a 2.297 en 2018).</w:t>
      </w:r>
    </w:p>
    <w:p w14:paraId="3CC05E28" w14:textId="6EAFEFF3" w:rsidR="006532CE" w:rsidRPr="006532CE" w:rsidRDefault="006532CE" w:rsidP="006532CE">
      <w:pPr>
        <w:pStyle w:val="SingleTxtG"/>
      </w:pPr>
      <w:r w:rsidRPr="006532CE">
        <w:t>46.</w:t>
      </w:r>
      <w:r w:rsidRPr="006532CE">
        <w:tab/>
        <w:t xml:space="preserve">Se trabaja constantemente para mejorar el calendario nacional de vacunación preventiva: en 2011 se implantó la vacunación de los niños de riesgo contra la infección por </w:t>
      </w:r>
      <w:r w:rsidRPr="006532CE">
        <w:rPr>
          <w:i/>
          <w:iCs/>
        </w:rPr>
        <w:t>haeomophilus influenzae</w:t>
      </w:r>
      <w:r w:rsidRPr="006532CE">
        <w:t>; en 2014 se implantó la vacunación de la primera infancia contra la infección neumocócica, así como la vacunación contra la gripe de las personas que padecen neumopatías crónicas, enfermedades cardiovasculares, trastornos metabólicos y obesidad; en</w:t>
      </w:r>
      <w:r w:rsidR="00CB278D">
        <w:t> </w:t>
      </w:r>
      <w:r w:rsidRPr="006532CE">
        <w:t xml:space="preserve">2015 se adoptó la vacuna antipoliomielítica bivalente; y en 2017 se implantaron vacunas combinadas para niños con riesgo frente a cinco infecciones: difteria, tosferina, tétanos, poliomielitis y </w:t>
      </w:r>
      <w:r w:rsidRPr="006532CE">
        <w:rPr>
          <w:i/>
          <w:iCs/>
        </w:rPr>
        <w:t>haemophilus influenzae</w:t>
      </w:r>
      <w:r w:rsidRPr="006532CE">
        <w:t>. El nivel de cobertura de la vacunación infantil respecto al calendario nacional de vacunación preventiva es elevado, ya que supera el 97 %, en comparación con el nivel recomendado por la Organización Mundial de la Salud del 95</w:t>
      </w:r>
      <w:r w:rsidR="00CB278D">
        <w:t> </w:t>
      </w:r>
      <w:r w:rsidRPr="006532CE">
        <w:t>%.</w:t>
      </w:r>
    </w:p>
    <w:p w14:paraId="3AE9002B" w14:textId="56C20B8F" w:rsidR="006532CE" w:rsidRPr="006532CE" w:rsidRDefault="006532CE" w:rsidP="006532CE">
      <w:pPr>
        <w:pStyle w:val="SingleTxtG"/>
      </w:pPr>
      <w:r w:rsidRPr="006532CE">
        <w:t>47.</w:t>
      </w:r>
      <w:r w:rsidRPr="006532CE">
        <w:tab/>
        <w:t>La Constitución de la Federación de Rusia garantiza a toda persona, independientemente de su pertenencia a pequeños pueblos indígenas, el derecho a un medio ambiente saludable, a información fiable sobre su estado y a indemnizaciones por los daños a la salud o a la propiedad que se puedan derivar de infracciones ambientales. La Ley Federal núm. 7 de Protección del Medio Ambiente, de 10 de enero de 2002, y la Ley Federal núm.</w:t>
      </w:r>
      <w:r w:rsidR="005E007A">
        <w:t> </w:t>
      </w:r>
      <w:r w:rsidRPr="006532CE">
        <w:t xml:space="preserve">96 de Protección del Aire, de 4 de mayo de 1999, establecen la base jurídica de la política de la Federación de Rusia en materia de protección del medio ambiente y seguridad ecológica. Los requisitos que figuran en esas leyes también se aplican a las empresas mencionadas en el párrafo 21 de las observaciones finales. En vista de ello, no es necesaria ninguna otra regulación legislativa para evitar que las industrias del petróleo y el gas y de la minería del carbón tengan un impacto negativo en los derechos humanos, especialmente en los de los niños de pueblos indígenas minoritarios. El cumplimiento por parte de las empresas de las normas ambientales y sanitarias nacionales está garantizado por un sistema estatal de supervisión y control ambiental, que incluye a las autoridades públicas autorizadas a nivel federal y regional, así como la supervisión del cumplimiento de las leyes en el ámbito ambiental llevada a cabo por las fiscalías de la Federación de Rusia, incluidas las fiscalías ambientales especializadas establecidas en la mayoría de las entidades constitutivas de la </w:t>
      </w:r>
      <w:r w:rsidRPr="006532CE">
        <w:lastRenderedPageBreak/>
        <w:t>Federación de Rusia y en los lugares naturales más importantes atendiendo a sus características como ecosistema (por ejemplo, los ríos Amur y Volga y el lago Baikal).</w:t>
      </w:r>
    </w:p>
    <w:p w14:paraId="17B85115" w14:textId="0E6F3456" w:rsidR="006532CE" w:rsidRPr="006532CE" w:rsidRDefault="006532CE" w:rsidP="006532CE">
      <w:pPr>
        <w:pStyle w:val="SingleTxtG"/>
      </w:pPr>
      <w:r w:rsidRPr="006532CE">
        <w:t>48.</w:t>
      </w:r>
      <w:r w:rsidRPr="006532CE">
        <w:tab/>
        <w:t xml:space="preserve">Respecto al párrafo 45 de las observaciones finales, la legislación de la Federación de Rusia no prevé la posibilidad de que los padres abandonen de manera anónima a sus hijos. De lo contrario, se rompería el justo equilibrio entre el derecho del menor a conocer sus orígenes y los derechos e intereses de los progenitores a permanecer en el anonimato. El Gobierno de la Federación de Rusia no ha apoyado en ocasiones anteriores, y ha rechazado a través de la Duma Estatal de la Asamblea Federal de la Federación de Rusia, los proyectos de ley federales destinados a modificar la legislación en el ámbito de la concesión a las autoridades de las entidades constitutivas de la Federación de Rusia del derecho a crear lugares específicos para el abandono anónimo de niños. Según el artículo 38 2) de la Constitución de la Federación de Rusia, el cuidado y la crianza de los hijos es un derecho y una obligación de los padres por igual. El incumplimiento de las responsabilidades parentales, incluida la negativa a llevarse a su hijo de una unidad de maternidad u otro servicio médico, una institución educativa, una institución de bienestar social u otra entidad similar, conlleva la responsabilidad de los padres establecida por la legislación rusa. Cabe señalar que la legislación de la Federación de Rusia regula una serie de formas de ayudar a los padres en situaciones vitales difíciles. Así, en virtud del párrafo 4 del artículo 65 del Código de Familia, en el ejercicio de la patria potestad los progenitores (o personas </w:t>
      </w:r>
      <w:r w:rsidRPr="006532CE">
        <w:rPr>
          <w:i/>
          <w:iCs/>
        </w:rPr>
        <w:t>in loco parentis</w:t>
      </w:r>
      <w:r w:rsidRPr="006532CE">
        <w:t>) tienen derecho a recibir asistencia para poder proporcionar a la familia atención médica, psicológica, educativa, jurídica y social. Las condiciones y el procedimiento para la obtención de dicha asistencia se recogen en la Ley Federal núm. 442 de Fundamentos de los Servicios Sociales para los Ciudadanos en la Federación de Rusia, de 28 de diciembre de</w:t>
      </w:r>
      <w:r w:rsidR="005E007A">
        <w:t> </w:t>
      </w:r>
      <w:r w:rsidRPr="006532CE">
        <w:t>2013. Además, en virtud del artículo 155.1 2) del Código de Familia, los padres, padres adoptivos o tutores que no puedan cumplir sus deberes para con un niño por motivos justificados pueden internarlo temporalmente en una institución para huérfanos y niños privados del cuidado parental. Las regiones, en cooperación con el Ministerio de Sanidad de la Federación de Rusia, trabajan intensamente en la prevención del abandono de recién nacidos, entre otros mediante medidas de apoyo a las mujeres embarazadas en situaciones vitales difíciles, con resultados destacables.</w:t>
      </w:r>
    </w:p>
    <w:p w14:paraId="150B55D8" w14:textId="1B7EF251" w:rsidR="006532CE" w:rsidRPr="006532CE" w:rsidRDefault="006532CE" w:rsidP="006532CE">
      <w:pPr>
        <w:pStyle w:val="H1G"/>
        <w:rPr>
          <w:iCs/>
        </w:rPr>
      </w:pPr>
      <w:r w:rsidRPr="006532CE">
        <w:rPr>
          <w:bCs/>
        </w:rPr>
        <w:tab/>
        <w:t>D.</w:t>
      </w:r>
      <w:r w:rsidRPr="006532CE">
        <w:tab/>
        <w:t>Respeto por la opinión del niño (art. 12)</w:t>
      </w:r>
    </w:p>
    <w:p w14:paraId="6EE8F052" w14:textId="77777777" w:rsidR="006532CE" w:rsidRPr="006532CE" w:rsidRDefault="006532CE" w:rsidP="006532CE">
      <w:pPr>
        <w:pStyle w:val="SingleTxtG"/>
      </w:pPr>
      <w:r w:rsidRPr="006532CE">
        <w:t>49.</w:t>
      </w:r>
      <w:r w:rsidRPr="006532CE">
        <w:tab/>
        <w:t>La información sobre esta cuestión figura en los párrafos 119, 120, 122 y 142 del segundo informe periódico, en los párrafos 84 a 90 del tercer informe y en el párrafo 61 de los informes periódicos cuarto y quintos combinados.</w:t>
      </w:r>
    </w:p>
    <w:p w14:paraId="7958641C" w14:textId="7022C16C" w:rsidR="006532CE" w:rsidRPr="006532CE" w:rsidRDefault="006532CE" w:rsidP="006532CE">
      <w:pPr>
        <w:pStyle w:val="HChG"/>
      </w:pPr>
      <w:r w:rsidRPr="006532CE">
        <w:rPr>
          <w:bCs/>
        </w:rPr>
        <w:tab/>
        <w:t>V.</w:t>
      </w:r>
      <w:r w:rsidRPr="006532CE">
        <w:tab/>
        <w:t>Derechos y libertades civiles</w:t>
      </w:r>
    </w:p>
    <w:p w14:paraId="4F057CC8" w14:textId="00634EB0" w:rsidR="006532CE" w:rsidRPr="006532CE" w:rsidRDefault="006532CE" w:rsidP="006532CE">
      <w:pPr>
        <w:pStyle w:val="H1G"/>
        <w:rPr>
          <w:iCs/>
        </w:rPr>
      </w:pPr>
      <w:r w:rsidRPr="006532CE">
        <w:tab/>
        <w:t>А.</w:t>
      </w:r>
      <w:r w:rsidRPr="006532CE">
        <w:tab/>
        <w:t>Inscripción de los nacimientos, el nombre y la nacionalidad (art. 7)</w:t>
      </w:r>
    </w:p>
    <w:p w14:paraId="2090F32D" w14:textId="170D8968" w:rsidR="006532CE" w:rsidRPr="006532CE" w:rsidRDefault="006532CE" w:rsidP="006532CE">
      <w:pPr>
        <w:pStyle w:val="SingleTxtG"/>
      </w:pPr>
      <w:r w:rsidRPr="006532CE">
        <w:t>50.</w:t>
      </w:r>
      <w:r w:rsidRPr="006532CE">
        <w:tab/>
        <w:t>La información sobre esta cuestión figura en los párrafos 132 a 137 del segundo informe periódico, en los párrafos 94 a 97 del tercer informe periódico y en los párrafos 62 a</w:t>
      </w:r>
      <w:r w:rsidR="00F718AB">
        <w:t> </w:t>
      </w:r>
      <w:r w:rsidRPr="006532CE">
        <w:t>64 de los informes periódicos cuarto y quintos combinados.</w:t>
      </w:r>
    </w:p>
    <w:p w14:paraId="73CDDC1D" w14:textId="77777777" w:rsidR="006532CE" w:rsidRPr="006532CE" w:rsidRDefault="006532CE" w:rsidP="006532CE">
      <w:pPr>
        <w:pStyle w:val="SingleTxtG"/>
      </w:pPr>
      <w:r w:rsidRPr="006532CE">
        <w:t>51.</w:t>
      </w:r>
      <w:r w:rsidRPr="006532CE">
        <w:tab/>
        <w:t>En virtud de la Ley Federal núm. 94, por la que se modifica el artículo 58 del Código de Familia de la Federación de Rusia y el artículo 18 de la Ley Federal sobre Actos del Estado Civil, de 1 de mayo de 2017, se modificó el Código de Familia y la Ley Federal núm. 143 sobre Actos del Estado Civil, de 15 de noviembre de 1997, con el fin de limitar los derechos de los padres respecto a la elección del nombre del niño. Así, al elegir el nombre de un niño, los padres no podrán incluir en él números, designaciones alfanuméricas, cifras, símbolos o caracteres no alfabéticos, excepto guiones, ni ninguna combinación de estos, ni palabras malsonantes o indicaciones de rango, cargo o título. Estos cambios abordan la cuestión esencial de la falta de equilibrio entre el derecho de los padres a determinar el nombre de su hijo según su propio criterio y la protección de los derechos del menor cuando el mero hecho de darle un nombre concreto vulnera sus derechos e intereses.</w:t>
      </w:r>
    </w:p>
    <w:p w14:paraId="3B822B6A" w14:textId="77777777" w:rsidR="006532CE" w:rsidRPr="006532CE" w:rsidRDefault="006532CE" w:rsidP="006532CE">
      <w:pPr>
        <w:pStyle w:val="SingleTxtG"/>
      </w:pPr>
      <w:r w:rsidRPr="006532CE">
        <w:lastRenderedPageBreak/>
        <w:t>52.</w:t>
      </w:r>
      <w:r w:rsidRPr="006532CE">
        <w:tab/>
        <w:t>En el párrafo 29 de las observaciones finales se señalaba la necesidad de velar por que todos los niños nacidos en el territorio de la Federación de Rusia fueran inscritos en el registro civil, independientemente de la situación de sus padres. El procedimiento para la inscripción de los actos del estado civil se define en la Ley Federal núm. 143 sobre Actos del Estado Civil, de 15 de noviembre de 1997.</w:t>
      </w:r>
    </w:p>
    <w:p w14:paraId="0BC8441F" w14:textId="7D5D1825" w:rsidR="006532CE" w:rsidRPr="006532CE" w:rsidRDefault="006532CE" w:rsidP="006532CE">
      <w:pPr>
        <w:pStyle w:val="H1G"/>
        <w:rPr>
          <w:iCs/>
        </w:rPr>
      </w:pPr>
      <w:r w:rsidRPr="006532CE">
        <w:tab/>
        <w:t>В.</w:t>
      </w:r>
      <w:r w:rsidRPr="006532CE">
        <w:tab/>
        <w:t>Preservación de la identidad (art. 8)</w:t>
      </w:r>
    </w:p>
    <w:p w14:paraId="1CEA1F19" w14:textId="77777777" w:rsidR="006532CE" w:rsidRPr="006532CE" w:rsidRDefault="006532CE" w:rsidP="006532CE">
      <w:pPr>
        <w:pStyle w:val="SingleTxtG"/>
      </w:pPr>
      <w:r w:rsidRPr="006532CE">
        <w:t>53.</w:t>
      </w:r>
      <w:r w:rsidRPr="006532CE">
        <w:tab/>
        <w:t>La información sobre esta cuestión figura en los párrafos 90 a 99, 143 a 146, 152 a 156 y 184 a 187 del segundo informe periódico, en el párrafo 98 del tercer informe periódico y en los párrafos 66 y 70 de los informes periódicos cuarto y quintos combinados.</w:t>
      </w:r>
    </w:p>
    <w:p w14:paraId="5CB7C0A5" w14:textId="77743A93" w:rsidR="006532CE" w:rsidRPr="006532CE" w:rsidRDefault="006532CE" w:rsidP="006532CE">
      <w:pPr>
        <w:pStyle w:val="H1G"/>
      </w:pPr>
      <w:r w:rsidRPr="006532CE">
        <w:tab/>
        <w:t>С.</w:t>
      </w:r>
      <w:r w:rsidRPr="006532CE">
        <w:tab/>
        <w:t>Libertad de expresión y derecho a buscar, recibir y difundir información (art. 13)</w:t>
      </w:r>
    </w:p>
    <w:p w14:paraId="10666D7C" w14:textId="77777777" w:rsidR="006532CE" w:rsidRPr="006532CE" w:rsidRDefault="006532CE" w:rsidP="006532CE">
      <w:pPr>
        <w:pStyle w:val="SingleTxtG"/>
      </w:pPr>
      <w:r w:rsidRPr="006532CE">
        <w:t>54.</w:t>
      </w:r>
      <w:r w:rsidRPr="006532CE">
        <w:tab/>
        <w:t>La libertad de expresión y el derecho a buscar, recibir y difundir información por cualquier medio lícito están consagrados en el artículo 29 de la Constitución de la Federación de Rusia (párr. 142 del segundo informe periódico, párr. 100 del tercer informe periódico, párr. 66 de los informes periódicos cuarto y quinto combinados).</w:t>
      </w:r>
    </w:p>
    <w:p w14:paraId="4482E4F8" w14:textId="40F81269" w:rsidR="006532CE" w:rsidRPr="006532CE" w:rsidRDefault="006532CE" w:rsidP="006532CE">
      <w:pPr>
        <w:pStyle w:val="H1G"/>
      </w:pPr>
      <w:r w:rsidRPr="006532CE">
        <w:rPr>
          <w:bCs/>
        </w:rPr>
        <w:tab/>
        <w:t>D.</w:t>
      </w:r>
      <w:r w:rsidRPr="006532CE">
        <w:tab/>
        <w:t>Libertad de pensamiento, de conciencia y de religión (art. 14)</w:t>
      </w:r>
    </w:p>
    <w:p w14:paraId="6C96DD66" w14:textId="4AC840F1" w:rsidR="006532CE" w:rsidRPr="006532CE" w:rsidRDefault="006532CE" w:rsidP="006532CE">
      <w:pPr>
        <w:pStyle w:val="SingleTxtG"/>
      </w:pPr>
      <w:r w:rsidRPr="006532CE">
        <w:t>55.</w:t>
      </w:r>
      <w:r w:rsidRPr="006532CE">
        <w:tab/>
        <w:t>Las disposiciones relativas a este artículo se detallan en los párrafos 144 a 148 del segundo informe periódico, en el párrafo 100 del tercer informe periódico y en los párrafos</w:t>
      </w:r>
      <w:r w:rsidR="00F718AB">
        <w:t> </w:t>
      </w:r>
      <w:r w:rsidRPr="006532CE">
        <w:t>69 y 70 de los informes periódicos cuarto y quinto combinados.</w:t>
      </w:r>
    </w:p>
    <w:p w14:paraId="72B8940D" w14:textId="77777777" w:rsidR="006532CE" w:rsidRPr="006532CE" w:rsidRDefault="006532CE" w:rsidP="006532CE">
      <w:pPr>
        <w:pStyle w:val="SingleTxtG"/>
      </w:pPr>
      <w:r w:rsidRPr="006532CE">
        <w:t>56.</w:t>
      </w:r>
      <w:r w:rsidRPr="006532CE">
        <w:tab/>
        <w:t>De acuerdo con las disposiciones constitucionales que prohíben el establecimiento de una ideología o religión estatal u obligatoria en los centros de enseñanza general, a elección de los padres (o representantes legales) se imparte un curso sobre los fundamentos de las culturas religiosas y la ética laica a los alumnos menores de edad. No se permite que un alumno tome dicho curso sin su propio consentimiento y el de sus padres (o representantes legales). De conformidad con el artículo 12, párrafo 1, de la Ley Federal núm. 273, de 29 de diciembre de 2012, la introducción en los centros de enseñanza general estatales y municipales de los fundamentos de la cultura religiosa y la ética laica, a elección de la familia del alumno, se ajusta a los principios de libertad de conciencia y de creencias religiosas, consideración de la diversidad de enfoques de cosmovisión en los contenidos educativos y promoción del derecho de los alumnos a elegir libremente sus opiniones y creencias.</w:t>
      </w:r>
    </w:p>
    <w:p w14:paraId="2E14BC9F" w14:textId="0D0A2006" w:rsidR="006532CE" w:rsidRPr="006532CE" w:rsidRDefault="006532CE" w:rsidP="006532CE">
      <w:pPr>
        <w:pStyle w:val="H1G"/>
        <w:rPr>
          <w:iCs/>
        </w:rPr>
      </w:pPr>
      <w:r w:rsidRPr="006532CE">
        <w:tab/>
        <w:t>E.</w:t>
      </w:r>
      <w:r w:rsidRPr="006532CE">
        <w:tab/>
        <w:t>Libertad de asociación y de celebrar reuniones pacíficas (art. 15)</w:t>
      </w:r>
    </w:p>
    <w:p w14:paraId="6C94EA03" w14:textId="77777777" w:rsidR="006532CE" w:rsidRPr="006532CE" w:rsidRDefault="006532CE" w:rsidP="006532CE">
      <w:pPr>
        <w:pStyle w:val="SingleTxtG"/>
      </w:pPr>
      <w:r w:rsidRPr="006532CE">
        <w:t>57.</w:t>
      </w:r>
      <w:r w:rsidRPr="006532CE">
        <w:tab/>
        <w:t>La Constitución de Rusia consagra los derechos y libertades humanos como valor supremo y garantiza el ejercicio del derecho de los ciudadanos a la asociación y el libre funcionamiento de las organizaciones o asociaciones públicas (párrs. 149 y 150 del segundo informe periódico, párrs. 102 y 103 del tercer informe periódico y párrs. 73 a 76 de los informes periódicos cuarto y quinto combinados).</w:t>
      </w:r>
    </w:p>
    <w:p w14:paraId="27E27585" w14:textId="0B00AC77" w:rsidR="006532CE" w:rsidRPr="006532CE" w:rsidRDefault="006532CE" w:rsidP="006532CE">
      <w:pPr>
        <w:pStyle w:val="H1G"/>
      </w:pPr>
      <w:r w:rsidRPr="006532CE">
        <w:rPr>
          <w:bCs/>
        </w:rPr>
        <w:tab/>
        <w:t>F.</w:t>
      </w:r>
      <w:r w:rsidRPr="006532CE">
        <w:tab/>
        <w:t>Protección de la vida privada y la reputación (art. 16)</w:t>
      </w:r>
    </w:p>
    <w:p w14:paraId="35C32FAE" w14:textId="77777777" w:rsidR="006532CE" w:rsidRPr="006532CE" w:rsidRDefault="006532CE" w:rsidP="006532CE">
      <w:pPr>
        <w:pStyle w:val="SingleTxtG"/>
      </w:pPr>
      <w:r w:rsidRPr="006532CE">
        <w:t>58.</w:t>
      </w:r>
      <w:r w:rsidRPr="006532CE">
        <w:tab/>
        <w:t>La legislación de la Federación de Rusia garantiza el derecho a la vida privada, la vida familiar, la inviolabilidad de la vivienda y el secreto de la correspondencia, así como la protección frente a atentados ilícitos contra el honor y la reputación (párrs. 152 a 154 del segundo informe periódico, párr. 105 del tercer informe periódico y párrs. 78 y 79 de los informes periódicos cuarto y quinto combinados).</w:t>
      </w:r>
    </w:p>
    <w:p w14:paraId="1C09012D" w14:textId="77777777" w:rsidR="006532CE" w:rsidRPr="006532CE" w:rsidRDefault="006532CE" w:rsidP="006532CE">
      <w:pPr>
        <w:pStyle w:val="SingleTxtG"/>
      </w:pPr>
      <w:r w:rsidRPr="006532CE">
        <w:t>59.</w:t>
      </w:r>
      <w:r w:rsidRPr="006532CE">
        <w:tab/>
        <w:t xml:space="preserve">En virtud de la Ley Federal núm. 432, de 28 de diciembre de 2013, se excluyeron los delitos contra la integridad sexual de los menores de la lista de delitos sujetos a juicio con jurado, con el fin de garantizar la máxima protección frente al sufrimiento psicológico </w:t>
      </w:r>
      <w:r w:rsidRPr="006532CE">
        <w:lastRenderedPageBreak/>
        <w:t>adicional que podría ocasionar la vista pública de la causa penal y la necesidad de revivir los hechos del delito.</w:t>
      </w:r>
    </w:p>
    <w:p w14:paraId="207EE275" w14:textId="77777777" w:rsidR="006532CE" w:rsidRPr="006532CE" w:rsidRDefault="006532CE" w:rsidP="006532CE">
      <w:pPr>
        <w:pStyle w:val="SingleTxtG"/>
      </w:pPr>
      <w:r w:rsidRPr="006532CE">
        <w:t>60.</w:t>
      </w:r>
      <w:r w:rsidRPr="006532CE">
        <w:tab/>
        <w:t>Se ha tipificado la responsabilidad penal por la difusión ilícita en discursos públicos, obras expuestas al público, medios de comunicación o redes de información y telecomunicaciones de información que revele la identidad de una víctima menor de 16 años en una causa penal, o de información que describa el sufrimiento físico o mental infligido por el delito y que pueda resultar perjudicial para la salud o el bienestar mental del menor, o pueda provocar cualquier otra consecuencia grave.</w:t>
      </w:r>
    </w:p>
    <w:p w14:paraId="3EC26471" w14:textId="33E503A9" w:rsidR="006532CE" w:rsidRPr="006532CE" w:rsidRDefault="006532CE" w:rsidP="006532CE">
      <w:pPr>
        <w:pStyle w:val="H1G"/>
      </w:pPr>
      <w:r w:rsidRPr="006532CE">
        <w:tab/>
        <w:t>G.</w:t>
      </w:r>
      <w:r w:rsidRPr="006532CE">
        <w:tab/>
        <w:t>Acceso a información procedente de diversas fuentes y protección contra todo material perjudicial para el bienestar del niño (art. 17)</w:t>
      </w:r>
    </w:p>
    <w:p w14:paraId="429416E5" w14:textId="77777777" w:rsidR="006532CE" w:rsidRPr="006532CE" w:rsidRDefault="006532CE" w:rsidP="006532CE">
      <w:pPr>
        <w:pStyle w:val="SingleTxtG"/>
      </w:pPr>
      <w:r w:rsidRPr="006532CE">
        <w:t>61.</w:t>
      </w:r>
      <w:r w:rsidRPr="006532CE">
        <w:tab/>
        <w:t>Las disposiciones relativas a este artículo se detallan en los párrafos 80 y 81 de los informes periódicos cuarto y quinto combinados.</w:t>
      </w:r>
    </w:p>
    <w:p w14:paraId="463F32D9" w14:textId="2D91E344" w:rsidR="006532CE" w:rsidRPr="006532CE" w:rsidRDefault="006532CE" w:rsidP="006532CE">
      <w:pPr>
        <w:pStyle w:val="SingleTxtG"/>
      </w:pPr>
      <w:r w:rsidRPr="006532CE">
        <w:t>62.</w:t>
      </w:r>
      <w:r w:rsidRPr="006532CE">
        <w:tab/>
        <w:t xml:space="preserve">La Ley Federal núm. 436 de Protección del Niño contra la Información Perjudicial para su Salud y Desarrollo, de 29 de diciembre de 2010, establece garantías jurídicas para la seguridad de la información de los menores, fija las condiciones y el procedimiento de difusión de los materiales de información destinados a los niños, obliga a las personas jurídicas y a los particulares a garantizar la seguridad de la información de los menores, y define los tipos de información perjudicial para la salud o el desarrollo de los niños, las categorías de productos de información y su clasificación: </w:t>
      </w:r>
      <w:r w:rsidR="00CB5EC2">
        <w:t>“</w:t>
      </w:r>
      <w:r w:rsidRPr="006532CE">
        <w:t>6+</w:t>
      </w:r>
      <w:r w:rsidR="00CB5EC2">
        <w:t>”</w:t>
      </w:r>
      <w:r w:rsidRPr="006532CE">
        <w:t xml:space="preserve">, </w:t>
      </w:r>
      <w:r w:rsidR="00CB5EC2">
        <w:t>“</w:t>
      </w:r>
      <w:r w:rsidRPr="006532CE">
        <w:t>12+</w:t>
      </w:r>
      <w:r w:rsidR="00CB5EC2">
        <w:t>”</w:t>
      </w:r>
      <w:r w:rsidRPr="006532CE">
        <w:t xml:space="preserve">, </w:t>
      </w:r>
      <w:r w:rsidR="00CB5EC2">
        <w:t>“</w:t>
      </w:r>
      <w:r w:rsidRPr="006532CE">
        <w:t>16+</w:t>
      </w:r>
      <w:r w:rsidR="00CB5EC2">
        <w:t>”</w:t>
      </w:r>
      <w:r w:rsidRPr="006532CE">
        <w:t xml:space="preserve"> y </w:t>
      </w:r>
      <w:r w:rsidR="00CB5EC2">
        <w:t>“</w:t>
      </w:r>
      <w:r w:rsidRPr="006532CE">
        <w:t>18+</w:t>
      </w:r>
      <w:r w:rsidR="00CB5EC2">
        <w:t>”</w:t>
      </w:r>
      <w:r w:rsidRPr="006532CE">
        <w:t>. Con el fin de aplicar esa Ley Federal, el Gobierno de la Federación de Rusia aprobó el Marco de Seguridad de la Información Destinada a los Niños mediante la Directriz núm. 2471, de 2 de diciembre de 2015. En la Orden núm. 88 del Ministerio de Comunicaciones y Medios de Comunicación de la Federación de Rusia, de 22 de febrero de 2018, se aprobó un plan de acción para la aplicación del Marco de Seguridad de la Información Destinada a lo</w:t>
      </w:r>
      <w:r w:rsidR="00CB5EC2">
        <w:t>s</w:t>
      </w:r>
      <w:r w:rsidRPr="006532CE">
        <w:t xml:space="preserve"> Niños en el período 2018-2020.</w:t>
      </w:r>
    </w:p>
    <w:p w14:paraId="018E78A4" w14:textId="77777777" w:rsidR="006532CE" w:rsidRPr="006532CE" w:rsidRDefault="006532CE" w:rsidP="006532CE">
      <w:pPr>
        <w:pStyle w:val="SingleTxtG"/>
      </w:pPr>
      <w:r w:rsidRPr="006532CE">
        <w:t>63.</w:t>
      </w:r>
      <w:r w:rsidRPr="006532CE">
        <w:tab/>
        <w:t>El Servicio Federal de Supervisión de las Comunicaciones, las Tecnologías de la Información y los Medios de Comunicación emprende acciones administrativas ante toda infracción de la legislación sobre protección de los niños frente a la información negativa, tal y como establece el Código de Infracciones Administrativas de la Federación de Rusia.</w:t>
      </w:r>
    </w:p>
    <w:p w14:paraId="51B6DBD5" w14:textId="77777777" w:rsidR="006532CE" w:rsidRPr="006532CE" w:rsidRDefault="006532CE" w:rsidP="006532CE">
      <w:pPr>
        <w:pStyle w:val="SingleTxtG"/>
      </w:pPr>
      <w:r w:rsidRPr="006532CE">
        <w:t>64.</w:t>
      </w:r>
      <w:r w:rsidRPr="006532CE">
        <w:tab/>
        <w:t>Desde 2012 se viene aplicando de manera efectiva el mecanismo de bloqueo de sitios web que albergan información prohibida en la red de información y telecomunicaciones de Internet, previsto en el artículo 15.1 de la Ley Federal núm. 149 de Información, Tecnologías de la Información y Protección de la Información, de 27 de julio de 2006. A tal efecto, se incluyen en el Registro unificado de nombres de dominios, selectores de páginas de sitios de Internet y direcciones de redes que permiten identificar sitios de Internet que contienen información cuya difusión está prohibida en la Federación de Rusia.</w:t>
      </w:r>
    </w:p>
    <w:p w14:paraId="6F1C5351" w14:textId="54E2C466" w:rsidR="006532CE" w:rsidRPr="006532CE" w:rsidRDefault="006532CE" w:rsidP="006532CE">
      <w:pPr>
        <w:pStyle w:val="SingleTxtG"/>
      </w:pPr>
      <w:r w:rsidRPr="006532CE">
        <w:t>65.</w:t>
      </w:r>
      <w:r w:rsidRPr="006532CE">
        <w:tab/>
        <w:t xml:space="preserve">El 29 de diciembre de 2018 entró en vigor la Ley federal núm. 472 por la que se modifica el artículo 15.1 de la Ley </w:t>
      </w:r>
      <w:r w:rsidR="00552F88">
        <w:t>F</w:t>
      </w:r>
      <w:r w:rsidRPr="006532CE">
        <w:t xml:space="preserve">ederal de Información, Tecnologías de la Información y Protección de la Información y el artículo 5 de la Ley Federal de Protección del Niño contra la Información Perjudicial para su Salud y Desarrollo, de 18 de diciembre de 2018. La nueva </w:t>
      </w:r>
      <w:r w:rsidR="00552F88">
        <w:t>L</w:t>
      </w:r>
      <w:r w:rsidRPr="006532CE">
        <w:t>ey permite a la autoridad competente incluir en el Registro unificado de nombres de dominios, selectores de páginas de sitios de Internet y direcciones de redes que permiten identificar sitios de Internet que contienen información cuya difusión está prohibida en la Federación de Rusia, toda información dirigida a inducir o involucrar a menores en la comisión de acciones ilegales que supongan una amenaza para su vida o salud o para la vida o salud de otras personas (incluida la difusión de información sobre métodos para cometer suicidio, así como llamamientos a cometer suicidio).</w:t>
      </w:r>
    </w:p>
    <w:p w14:paraId="2CB54708" w14:textId="77777777" w:rsidR="006532CE" w:rsidRPr="006532CE" w:rsidRDefault="006532CE" w:rsidP="006532CE">
      <w:pPr>
        <w:pStyle w:val="SingleTxtG"/>
      </w:pPr>
      <w:r w:rsidRPr="006532CE">
        <w:t xml:space="preserve">66. </w:t>
      </w:r>
      <w:r w:rsidRPr="006532CE">
        <w:tab/>
        <w:t xml:space="preserve">Durante el período en que el mecanismo ha estado operativo se incluyeron en el Registro unificado de nombres de dominios 562.791 entradas, de las cuales: 73.504 relativas a pornografía infantil; 144.622 relativas a juegos de azar; 101.241 relativas a narcotráfico; y 59.769 relativas a llamamientos a cometer suicidio. A su vez, se restringió el acceso a direcciones URL por estar relacionadas con los siguientes conceptos: 11.323 con pornografía </w:t>
      </w:r>
      <w:r w:rsidRPr="006532CE">
        <w:lastRenderedPageBreak/>
        <w:t>infantil; 58.677 con juegos de azar; 13.531 con narcotráfico; y 390 con llamamientos a cometer suicidio.</w:t>
      </w:r>
    </w:p>
    <w:p w14:paraId="4172DA71" w14:textId="05742E56" w:rsidR="006532CE" w:rsidRPr="006532CE" w:rsidRDefault="006532CE" w:rsidP="006532CE">
      <w:pPr>
        <w:pStyle w:val="H1G"/>
        <w:rPr>
          <w:iCs/>
        </w:rPr>
      </w:pPr>
      <w:r w:rsidRPr="006532CE">
        <w:tab/>
        <w:t>H.</w:t>
      </w:r>
      <w:r w:rsidRPr="006532CE">
        <w:tab/>
        <w:t>Derecho a no ser sometido a torturas ni a otros tratos o penas crueles,</w:t>
      </w:r>
      <w:r>
        <w:t> </w:t>
      </w:r>
      <w:r w:rsidRPr="006532CE">
        <w:t>inhumanos o degradantes (arts. 37 a) y 28, párr. 2)</w:t>
      </w:r>
    </w:p>
    <w:p w14:paraId="6E330766" w14:textId="77777777" w:rsidR="006532CE" w:rsidRPr="006532CE" w:rsidRDefault="006532CE" w:rsidP="00176BE6">
      <w:pPr>
        <w:pStyle w:val="SingleTxtG"/>
        <w:spacing w:after="130"/>
      </w:pPr>
      <w:r w:rsidRPr="006532CE">
        <w:t>67.</w:t>
      </w:r>
      <w:r w:rsidRPr="006532CE">
        <w:tab/>
        <w:t>Las disposiciones relativas a este artículo se detallan en los párrafos 89 y 90 de los informes periódicos cuarto y quinto combinados.</w:t>
      </w:r>
    </w:p>
    <w:p w14:paraId="36AFD8E7" w14:textId="77777777" w:rsidR="006532CE" w:rsidRPr="006532CE" w:rsidRDefault="006532CE" w:rsidP="00176BE6">
      <w:pPr>
        <w:pStyle w:val="SingleTxtG"/>
        <w:spacing w:after="130"/>
      </w:pPr>
      <w:r w:rsidRPr="006532CE">
        <w:t>68.</w:t>
      </w:r>
      <w:r w:rsidRPr="006532CE">
        <w:tab/>
        <w:t xml:space="preserve">La Ley Federal núm. 323 por la que se modifican el Código Penal y el Código de Procedimiento Penal de la Federación de Rusia a fin de reformar los motivos y el procedimiento de exención de responsabilidad penal, de 3 de julio de 2016, suprimió parcialmente el delito tipificado en artículo 116 del Código Penal (agresión). </w:t>
      </w:r>
    </w:p>
    <w:p w14:paraId="1320F1B5" w14:textId="77777777" w:rsidR="006532CE" w:rsidRPr="006532CE" w:rsidRDefault="006532CE" w:rsidP="00176BE6">
      <w:pPr>
        <w:pStyle w:val="SingleTxtG"/>
        <w:spacing w:after="130"/>
      </w:pPr>
      <w:r w:rsidRPr="006532CE">
        <w:t>69.</w:t>
      </w:r>
      <w:r w:rsidRPr="006532CE">
        <w:tab/>
        <w:t>Esos actos socialmente peligrosos se reclasificaron como infracciones administrativas en virtud de las Leyes Federales núm. 323 y núm. 326 por las que se modifican algunos instrumentos legislativos de la Federación de Rusia en relación con la aprobación de la Ley Federal por la que se modifican el Código Penal y el Código de Procedimiento Penal de la Federación de Rusia a fin de reformar los motivos y el procedimiento de exención de responsabilidad penal, de 3 de julio de 2016. El artículo 6.1.1 del Código de Infracciones Administrativas prevé una sanción en forma de multa administrativa, detención administrativa o trabajo obligatorio por la comisión de una agresión o de otros actos violentos que causen dolor físico. Al mismo tiempo, surgió un precedente administrativo que establecía la responsabilidad penal por la comisión de lesiones cuando el autor ya hubiera sido sancionado administrativamente por un acto similar.</w:t>
      </w:r>
    </w:p>
    <w:p w14:paraId="71E573C9" w14:textId="77777777" w:rsidR="006532CE" w:rsidRPr="006532CE" w:rsidRDefault="006532CE" w:rsidP="00176BE6">
      <w:pPr>
        <w:pStyle w:val="SingleTxtG"/>
        <w:spacing w:after="130"/>
      </w:pPr>
      <w:r w:rsidRPr="006532CE">
        <w:t>70.</w:t>
      </w:r>
      <w:r w:rsidRPr="006532CE">
        <w:tab/>
        <w:t>Respecto al párrafo 34 de las observaciones finales, el Código Penal de la Federación de Rusia prevé los siguientes delitos que implican el uso de la violencia contra menores: infligir intencionadamente la muerte a un menor, a otra persona que el autor sabe que se encuentra en estado de indefensión o a una mujer que el autor sabe que está embarazada; el asesinato de un recién nacido a manos de su madre; la violación de un menor, así como de una víctima menor de 14 años; los actos violentos de naturaleza sexual contra un menor o una persona menor de 14 años; la coerción para realizar un acto de naturaleza sexual con un menor; el estupro y otros actos de naturaleza sexual con una persona menor de 16 años; los atentados al pudor; la captación de menores para ejercer la prostitución o la coacción para que se siga ejerciendo la prostitución; la obtención de los servicios sexuales de un menor; y la organización de actividades de prostitución con la participación de menores y personas de menos de 14 años. Las circunstancias agravantes consistentes en que la víctima sea menor de edad o que esté embarazada también incluyen delitos como la tortura (art. 117.2 c) y d) del Código Penal), el secuestro (art. 126.2 e) y g)), el confinamiento ilegal (art. 127.2 e) y g)), la trata de personas (art. 127.1 b) y j)), y la toma de rehenes (art. 206.2 e) y g)). Así, se contempla la responsabilidad penal por todos los tipos de abuso físico y sexual de menores, y algunas disposiciones la recogen también en lo relativo al abuso mental, la negligencia y la desatención de las necesidades básicas de los menores (por ejemplo, el art. 156 del Código Penal penaliza el incumplimiento de los deberes de crianza y el maltrato infantil).</w:t>
      </w:r>
    </w:p>
    <w:p w14:paraId="0A97C75B" w14:textId="2FC709DC" w:rsidR="006532CE" w:rsidRPr="006532CE" w:rsidRDefault="006532CE" w:rsidP="006532CE">
      <w:pPr>
        <w:pStyle w:val="H1G"/>
        <w:rPr>
          <w:iCs/>
        </w:rPr>
      </w:pPr>
      <w:r w:rsidRPr="006532CE">
        <w:tab/>
        <w:t>I.</w:t>
      </w:r>
      <w:r w:rsidRPr="006532CE">
        <w:tab/>
        <w:t>Medidas para pro</w:t>
      </w:r>
      <w:r>
        <w:t xml:space="preserve"> </w:t>
      </w:r>
      <w:r w:rsidRPr="006532CE">
        <w:t>mover la recuperación física y psicológica y</w:t>
      </w:r>
      <w:r>
        <w:t> </w:t>
      </w:r>
      <w:r w:rsidRPr="006532CE">
        <w:t>la</w:t>
      </w:r>
      <w:r>
        <w:t> </w:t>
      </w:r>
      <w:r w:rsidRPr="006532CE">
        <w:t>reintegración social de los niños víctimas (art. 39)</w:t>
      </w:r>
    </w:p>
    <w:p w14:paraId="7BC79FBC" w14:textId="66E8CE5C" w:rsidR="006532CE" w:rsidRPr="006532CE" w:rsidRDefault="006532CE" w:rsidP="006532CE">
      <w:pPr>
        <w:pStyle w:val="SingleTxtG"/>
      </w:pPr>
      <w:r w:rsidRPr="006532CE">
        <w:t>71.</w:t>
      </w:r>
      <w:r w:rsidRPr="006532CE">
        <w:tab/>
        <w:t>La Federación de Rusia ha establecido un sistema de prevención del abandono infantil y la delincuencia juvenil, así como un sistema de prevención de delitos y otras infracciones, incluso en el ámbito de las relaciones familiares y domésticas. Su creación se determinó, entre otros, mediante las disposiciones de la Ley Federal núm. 120 de Fundamentos del Sistema de Prevención del Abandono Infantil y la Delincuencia Juvenil, de 24 de junio de</w:t>
      </w:r>
      <w:r w:rsidR="00387A40">
        <w:t> </w:t>
      </w:r>
      <w:r w:rsidRPr="006532CE">
        <w:t>1999, y la Ley Federal núm. 182 de Fundamentos del Sistema de Prevención de la Delincuencia, de 23 de junio de 2016.</w:t>
      </w:r>
    </w:p>
    <w:p w14:paraId="3447D98C" w14:textId="77777777" w:rsidR="006532CE" w:rsidRPr="006532CE" w:rsidRDefault="006532CE" w:rsidP="00176BE6">
      <w:pPr>
        <w:pStyle w:val="SingleTxtG"/>
        <w:keepNext/>
        <w:keepLines/>
      </w:pPr>
      <w:r w:rsidRPr="006532CE">
        <w:lastRenderedPageBreak/>
        <w:t>72.</w:t>
      </w:r>
      <w:r w:rsidRPr="006532CE">
        <w:tab/>
        <w:t>Con el fin de prestar asistencia y aplicar programas de rehabilitación de conformidad con la Ley Federal núm. 120 y la Ley Federal núm. 442 de Fundamentos de los Servicios Sociales para los Ciudadanos en la Federación de Rusia, de 28 de diciembre de 2013, en la Federación de Rusia se han puesto en marcha centros territoriales de asistencia social para familias y niños, centros de rehabilitación social para menores, centros de acogida social para niños y adolescentes, centros de asistencia psicológica y educativa para la población y centros de asistencia psicológica telefónica de emergencia, entre otros. Los menores en situaciones difíciles y las víctimas de violencia física o mental reciben alojamiento temporal gratuito en instituciones especializadas de servicios sociales, asesoramiento psicológico y pedagógico, protección social y jurídica, atención social y médica y servicios de rehabilitación. La gestión del sistema estatal de servicios sociales corresponde a las autoridades ejecutivas de las entidades constitutivas de la Federación de Rusia, de acuerdo con sus competencias.</w:t>
      </w:r>
    </w:p>
    <w:p w14:paraId="43719937" w14:textId="77777777" w:rsidR="006532CE" w:rsidRPr="006532CE" w:rsidRDefault="006532CE" w:rsidP="006532CE">
      <w:pPr>
        <w:pStyle w:val="SingleTxtG"/>
      </w:pPr>
      <w:r w:rsidRPr="006532CE">
        <w:t>73.</w:t>
      </w:r>
      <w:r w:rsidRPr="006532CE">
        <w:tab/>
        <w:t>Mediante la Directriz núm. 520, de 22 de marzo de 2017, el Gobierno de la Federación de Rusia aprobó el Marco de Prevención del Abandono de Niños y la Delincuencia Juvenil hasta 2020, junto con el Plan de Acción 2017-2020 para su aplicación.</w:t>
      </w:r>
    </w:p>
    <w:p w14:paraId="780FA626" w14:textId="7655341A" w:rsidR="006532CE" w:rsidRPr="006532CE" w:rsidRDefault="006532CE" w:rsidP="006532CE">
      <w:pPr>
        <w:pStyle w:val="HChG"/>
      </w:pPr>
      <w:r w:rsidRPr="006532CE">
        <w:rPr>
          <w:bCs/>
        </w:rPr>
        <w:tab/>
        <w:t>VI.</w:t>
      </w:r>
      <w:r w:rsidRPr="006532CE">
        <w:tab/>
        <w:t>Entorno familiar y modalidades alternativas de cuidado</w:t>
      </w:r>
    </w:p>
    <w:p w14:paraId="0B65F179" w14:textId="2A5ABEC4" w:rsidR="006532CE" w:rsidRPr="006532CE" w:rsidRDefault="006532CE" w:rsidP="006532CE">
      <w:pPr>
        <w:pStyle w:val="H1G"/>
        <w:rPr>
          <w:iCs/>
        </w:rPr>
      </w:pPr>
      <w:r w:rsidRPr="006532CE">
        <w:tab/>
        <w:t>А.</w:t>
      </w:r>
      <w:r w:rsidRPr="006532CE">
        <w:tab/>
        <w:t>Entorno familiar y orientación de los padres impartida en consonancia</w:t>
      </w:r>
      <w:r>
        <w:t> </w:t>
      </w:r>
      <w:r w:rsidRPr="006532CE">
        <w:t>con la evolución de las facultades del niño (art. 5)</w:t>
      </w:r>
    </w:p>
    <w:p w14:paraId="60ED7790" w14:textId="77777777" w:rsidR="006532CE" w:rsidRPr="006532CE" w:rsidRDefault="006532CE" w:rsidP="006532CE">
      <w:pPr>
        <w:pStyle w:val="SingleTxtG"/>
      </w:pPr>
      <w:r w:rsidRPr="006532CE">
        <w:t>74.</w:t>
      </w:r>
      <w:r w:rsidRPr="006532CE">
        <w:tab/>
        <w:t>Las disposiciones relativas a este artículo se detallan en los párrafos 165 a 167 del segundo informe periódico, en el párrafo 120 del tercer informe periódico y en el párrafo 92 de los informes periódicos cuarto y quinto combinados.</w:t>
      </w:r>
    </w:p>
    <w:p w14:paraId="1110A988" w14:textId="3FBF3212" w:rsidR="006532CE" w:rsidRPr="006532CE" w:rsidRDefault="006532CE" w:rsidP="006532CE">
      <w:pPr>
        <w:pStyle w:val="H1G"/>
        <w:rPr>
          <w:iCs/>
        </w:rPr>
      </w:pPr>
      <w:r w:rsidRPr="006532CE">
        <w:tab/>
        <w:t>В.</w:t>
      </w:r>
      <w:r w:rsidRPr="006532CE">
        <w:tab/>
        <w:t>Obligaciones comunes de los padres, asistencia a los padres y</w:t>
      </w:r>
      <w:r>
        <w:t> </w:t>
      </w:r>
      <w:r w:rsidRPr="006532CE">
        <w:t>prestación</w:t>
      </w:r>
      <w:r>
        <w:t> </w:t>
      </w:r>
      <w:r w:rsidRPr="006532CE">
        <w:t>de servicios de atención infantil (art. 18)</w:t>
      </w:r>
    </w:p>
    <w:p w14:paraId="47446E31" w14:textId="32056CCD" w:rsidR="006532CE" w:rsidRPr="006532CE" w:rsidRDefault="006532CE" w:rsidP="006532CE">
      <w:pPr>
        <w:pStyle w:val="SingleTxtG"/>
      </w:pPr>
      <w:r w:rsidRPr="006532CE">
        <w:t>75.</w:t>
      </w:r>
      <w:r w:rsidRPr="006532CE">
        <w:tab/>
        <w:t>Las disposiciones relativas a este artículo se detallan en los párrafos 171 y 172 del segundo informe periódico, en el párrafo 125 del tercer informe periódico y en los párrafos</w:t>
      </w:r>
      <w:r w:rsidR="00E668FD">
        <w:t> </w:t>
      </w:r>
      <w:r w:rsidRPr="006532CE">
        <w:t>95 a 97 de los informes periódicos cuarto y quinto combinados.</w:t>
      </w:r>
    </w:p>
    <w:p w14:paraId="274438F3" w14:textId="77777777" w:rsidR="006532CE" w:rsidRPr="006532CE" w:rsidRDefault="006532CE" w:rsidP="006532CE">
      <w:pPr>
        <w:pStyle w:val="SingleTxtG"/>
      </w:pPr>
      <w:r w:rsidRPr="006532CE">
        <w:t>76.</w:t>
      </w:r>
      <w:r w:rsidRPr="006532CE">
        <w:tab/>
        <w:t>A fin de ampliar la lista de sanciones por el incumplimiento de las obligaciones de crianza de un menor, se aprobó la Ley Federal núm. 420 por la que se modifican el Código Penal y otros instrumentos legislativos de la Federación de Rusia, de 7 de diciembre de 2011. Así, se complementó el artículo 156 del Código Penal con la posibilidad de imponer trabajos obligatorios durante un máximo de tres años y de privar al sancionado del derecho a ocupar determinados cargos o ejercer determinadas actividades durante un máximo de cinco años.</w:t>
      </w:r>
    </w:p>
    <w:p w14:paraId="7F49925F" w14:textId="636DF181" w:rsidR="006532CE" w:rsidRPr="006532CE" w:rsidRDefault="006532CE" w:rsidP="006532CE">
      <w:pPr>
        <w:pStyle w:val="SingleTxtG"/>
      </w:pPr>
      <w:r w:rsidRPr="006532CE">
        <w:t>77.</w:t>
      </w:r>
      <w:r w:rsidRPr="006532CE">
        <w:tab/>
        <w:t xml:space="preserve">Mediante la Ley Federal núm. 185, de 2 de julio de 2013, por la que se </w:t>
      </w:r>
      <w:r w:rsidR="00CB5EC2">
        <w:t>modifican</w:t>
      </w:r>
      <w:r w:rsidRPr="006532CE">
        <w:t xml:space="preserve"> o invalidan algunos instrumentos legislativos de la Federación de Rusia en relación con la aprobación de la Ley Federal núm. 273 sobre la Educación en la Federación de Rusia, de</w:t>
      </w:r>
      <w:r w:rsidR="00B66BA4">
        <w:t> </w:t>
      </w:r>
      <w:r w:rsidRPr="006532CE">
        <w:t>29</w:t>
      </w:r>
      <w:r w:rsidR="00B66BA4">
        <w:t> </w:t>
      </w:r>
      <w:r w:rsidRPr="006532CE">
        <w:t>de diciembre de 2012, se aclaró la lista de sujetos del delito previsto en el artículo 156 del Código Penal de la Federación de Rusia.</w:t>
      </w:r>
    </w:p>
    <w:p w14:paraId="44814D62" w14:textId="77777777" w:rsidR="006532CE" w:rsidRPr="006532CE" w:rsidRDefault="006532CE" w:rsidP="006532CE">
      <w:pPr>
        <w:pStyle w:val="SingleTxtG"/>
      </w:pPr>
      <w:r w:rsidRPr="006532CE">
        <w:t>78.</w:t>
      </w:r>
      <w:r w:rsidRPr="006532CE">
        <w:tab/>
        <w:t xml:space="preserve">El artículo 44 de la Ley Federal núm. 273, de 29 de diciembre de 2012, establece el derecho preferente de los padres o representantes legales de los alumnos a educar y criar a sus hijos por encima de cualquier otra persona. De conformidad con el artículo 44 3) de dicha Ley, los padres o representantes legales tienen derecho a proporcionar a su hijo educación preescolar en la familia y están obligados a sentar las bases para el desarrollo físico, moral e intelectual de la personalidad del niño. Los padres o personas </w:t>
      </w:r>
      <w:r w:rsidRPr="006532CE">
        <w:rPr>
          <w:i/>
          <w:iCs/>
        </w:rPr>
        <w:t xml:space="preserve">in loco parentis </w:t>
      </w:r>
      <w:r w:rsidRPr="006532CE">
        <w:t>tienen la obligación de garantizar que sus hijos reciban una educación general básica.</w:t>
      </w:r>
    </w:p>
    <w:p w14:paraId="2F8280A5" w14:textId="77777777" w:rsidR="006532CE" w:rsidRPr="006532CE" w:rsidRDefault="006532CE" w:rsidP="006532CE">
      <w:pPr>
        <w:pStyle w:val="SingleTxtG"/>
      </w:pPr>
      <w:r w:rsidRPr="006532CE">
        <w:t>79.</w:t>
      </w:r>
      <w:r w:rsidRPr="006532CE">
        <w:tab/>
        <w:t xml:space="preserve">De conformidad con el artículo 261, apartado 4, del Código de Trabajo de la Federación de Rusia, aprobado en virtud de la Ley Federal núm. 188 por la que se modifica el artículo 261 del Código de Trabajo, de 12 de noviembre de 2012, ningún empresario podrá rescindir el contrato de trabajo de una mujer embarazada o de una persona con responsabilidades familiares, a saber: cuando una mujer tenga un hijo menor de 3 años; </w:t>
      </w:r>
      <w:r w:rsidRPr="006532CE">
        <w:lastRenderedPageBreak/>
        <w:t>cuando se trate de una madre soltera que críe a un hijo con discapacidad menor de 18 años o a un hijo menor de 14 años; cuando se trate de otra persona que esté criando a niños que recaigan en esas categorías y estén desprovistos de madre; cuando se trate de un progenitor o representante legal que sea el único sostén de un hijo con discapacidad menor de 18 años o el único sostén de un hijo menor de 3 años en una familia que críe a 3 o más hijos de corta edad, si el otro progenitor o representante legal del niño no tiene un empleo.</w:t>
      </w:r>
    </w:p>
    <w:p w14:paraId="3C8DFDD4" w14:textId="77777777" w:rsidR="006532CE" w:rsidRPr="006532CE" w:rsidRDefault="006532CE" w:rsidP="006532CE">
      <w:pPr>
        <w:pStyle w:val="SingleTxtG"/>
      </w:pPr>
      <w:r w:rsidRPr="006532CE">
        <w:t>80.</w:t>
      </w:r>
      <w:r w:rsidRPr="006532CE">
        <w:tab/>
        <w:t>La Ley Federal núm. 125 por la que se modifica el Código de Trabajo de la Federación de Rusia, de 18 de junio de 2017, complementa el artículo 93 del Código de Trabajo con una disposición en virtud de la cual todo empleador deberá autorizar el trabajo a tiempo parcial cuando así lo solicite una mujer embarazada, el padre o la madre (o tutor o guardián) de un niño menor de 14 años (o de un niño con discapacidad menor de 18 años), o una persona que cuide a un familiar enfermo de acuerdo con un informe médico emitido de conformidad con el procedimiento establecido por las leyes federales y otros instrumentos jurídicos y normativos de la Federación de Rusia. El trabajo a tiempo parcial se establecerá por un período conveniente para el trabajador, pero no superior a la duración de las circunstancias que dieron lugar al establecimiento obligatorio del trabajo a tiempo parcial. Las horas de trabajo y los períodos de descanso, incluida la duración del trabajo diario (turno), el comienzo y el final del trabajo y el tiempo de las pausas, se establecerán de acuerdo con las preferencias del trabajador, teniendo en cuenta las condiciones de producción (trabajo) para el empresario en cuestión.</w:t>
      </w:r>
    </w:p>
    <w:p w14:paraId="2E4F7739" w14:textId="16EE3067" w:rsidR="006532CE" w:rsidRPr="006532CE" w:rsidRDefault="006532CE" w:rsidP="006532CE">
      <w:pPr>
        <w:pStyle w:val="H1G"/>
      </w:pPr>
      <w:r w:rsidRPr="006532CE">
        <w:tab/>
        <w:t>С.</w:t>
      </w:r>
      <w:r w:rsidRPr="006532CE">
        <w:tab/>
        <w:t>Separación del niño con respecto a los padres (art. 9)</w:t>
      </w:r>
    </w:p>
    <w:p w14:paraId="399D8AF1" w14:textId="77777777" w:rsidR="006532CE" w:rsidRPr="006532CE" w:rsidRDefault="006532CE" w:rsidP="006532CE">
      <w:pPr>
        <w:pStyle w:val="SingleTxtG"/>
      </w:pPr>
      <w:r w:rsidRPr="006532CE">
        <w:t>81.</w:t>
      </w:r>
      <w:r w:rsidRPr="006532CE">
        <w:tab/>
        <w:t>La separación del niño con respecto a los padres está regulada por las leyes codificadas de la Federación de Rusia (párrs. 177 a 188 del segundo informe periódico y párrafos 130 a 133 del tercer informe periódico).</w:t>
      </w:r>
    </w:p>
    <w:p w14:paraId="6BE81318" w14:textId="4AC3A0AE" w:rsidR="006532CE" w:rsidRPr="006532CE" w:rsidRDefault="006532CE" w:rsidP="006532CE">
      <w:pPr>
        <w:pStyle w:val="H1G"/>
        <w:rPr>
          <w:iCs/>
        </w:rPr>
      </w:pPr>
      <w:r w:rsidRPr="006532CE">
        <w:tab/>
        <w:t>D.</w:t>
      </w:r>
      <w:r w:rsidRPr="006532CE">
        <w:tab/>
        <w:t>Reunificación familiar (art. 10)</w:t>
      </w:r>
    </w:p>
    <w:p w14:paraId="41316DDD" w14:textId="77777777" w:rsidR="006532CE" w:rsidRPr="006532CE" w:rsidRDefault="006532CE" w:rsidP="006532CE">
      <w:pPr>
        <w:pStyle w:val="SingleTxtG"/>
      </w:pPr>
      <w:r w:rsidRPr="006532CE">
        <w:t>82.</w:t>
      </w:r>
      <w:r w:rsidRPr="006532CE">
        <w:tab/>
        <w:t>Las disposiciones relativas a este artículo se detallan en los párrafos 190 a 195 del segundo informe periódico, en los párrafos 136 y 137 del tercer informe periódico y en los párrafos 106 y 107 de los informes periódicos cuarto y quinto combinados.</w:t>
      </w:r>
    </w:p>
    <w:p w14:paraId="205091BA" w14:textId="77777777" w:rsidR="006532CE" w:rsidRPr="006532CE" w:rsidRDefault="006532CE" w:rsidP="006532CE">
      <w:pPr>
        <w:pStyle w:val="SingleTxtG"/>
      </w:pPr>
      <w:r w:rsidRPr="006532CE">
        <w:t>83.</w:t>
      </w:r>
      <w:r w:rsidRPr="006532CE">
        <w:tab/>
        <w:t>Desde 2013, el Instituto Federal de Mediación, institución federal financiada públicamente, trabaja en el ámbito de la mediación y la resolución alternativa de conflictos familiares. En el marco de la aplicación del Convenio sobre los Aspectos Civiles de la Sustracción Internacional de Menores de 1980 y del Convenio de La Haya de 1996 relativo a la Competencia, la Ley Aplicable, el Reconocimiento, la Ejecución y la Cooperación en materia de Responsabilidad Parental y de Medidas de Protección de los Niños, los mediadores profesionales del Instituto Federal de Mediación prestan gratuitamente servicios de mediación en ruso, inglés, francés y alemán para la resolución de litigios familiares. De más de 400 casos, se organizó la mediación en 73 de ellos. Se celebraron acuerdos de mediación en tres casos y se firmaron memorandos de entendimiento en cuatro. Estos documentos recogen aspectos como: acuerdos sobre la organización de la comunicación con el menor, garantizando que cada progenitor esté informado sobre la vida del menor mientras vive con el otro progenitor; el procedimiento y el calendario para que los padres acuerden la llegada del niño con cada uno de ellos, las formalidades correspondientes y las medidas necesarias que deben tomarse; el fomento de la comunicación entre los padres; las consecuencias del incumplimiento del acuerdo de mediación; y las acciones que pueden emprender las partes cuando surjan obstáculos a la aplicación de los acuerdos (negociación o intervención de un mediador).</w:t>
      </w:r>
    </w:p>
    <w:p w14:paraId="4DF34943" w14:textId="5A69DD46" w:rsidR="006532CE" w:rsidRPr="006532CE" w:rsidRDefault="006532CE" w:rsidP="006532CE">
      <w:pPr>
        <w:pStyle w:val="H1G"/>
        <w:rPr>
          <w:iCs/>
        </w:rPr>
      </w:pPr>
      <w:r w:rsidRPr="006532CE">
        <w:tab/>
        <w:t>E.</w:t>
      </w:r>
      <w:r w:rsidRPr="006532CE">
        <w:tab/>
        <w:t>Pago de la pensión alimenticia (art. 27, párr. 4)</w:t>
      </w:r>
    </w:p>
    <w:p w14:paraId="094E6E21" w14:textId="5B378069" w:rsidR="006532CE" w:rsidRPr="006532CE" w:rsidRDefault="006532CE" w:rsidP="006532CE">
      <w:pPr>
        <w:pStyle w:val="SingleTxtG"/>
      </w:pPr>
      <w:r w:rsidRPr="006532CE">
        <w:t>84.</w:t>
      </w:r>
      <w:r w:rsidRPr="006532CE">
        <w:tab/>
        <w:t>Las cuestiones relativas a la protección del nivel de vida de los hijos durante el divorcio de los progenitores se tratan en los párrafos 197 a 201 del segundo informe periódico y en el párrafo 110 de los informes periódicos cuarto y quinto combinados.</w:t>
      </w:r>
    </w:p>
    <w:p w14:paraId="20E392D9" w14:textId="69142F0A" w:rsidR="006532CE" w:rsidRPr="006532CE" w:rsidRDefault="006532CE" w:rsidP="006532CE">
      <w:pPr>
        <w:pStyle w:val="SingleTxtG"/>
      </w:pPr>
      <w:r w:rsidRPr="006532CE">
        <w:lastRenderedPageBreak/>
        <w:t>85.</w:t>
      </w:r>
      <w:r w:rsidR="00E74886">
        <w:tab/>
      </w:r>
      <w:r w:rsidRPr="006532CE">
        <w:t xml:space="preserve">La Ley Federal núm. 323 por la que se modifican el Código Penal y el Código de Procedimiento Penal de la Federación de Rusia a fin de reformar los motivos y el procedimiento de exención de responsabilidad penal, de 3 de julio de 2016, introdujo cambios en el artículo 157 del Código Penal. Se tipificó como delito el hecho de que un progenitor deje de pagar, sin una razón válida e incumpliendo una orden judicial o un acuerdo notarial, la manutención de los hijos menores o hijos con discapacidad mayores de </w:t>
      </w:r>
      <w:r w:rsidR="00E74886">
        <w:t>18</w:t>
      </w:r>
      <w:r w:rsidRPr="006532CE">
        <w:t xml:space="preserve"> años, si el acto se comete de forma reiterada.</w:t>
      </w:r>
    </w:p>
    <w:p w14:paraId="558564C6" w14:textId="465D893F" w:rsidR="006532CE" w:rsidRPr="006532CE" w:rsidRDefault="006532CE" w:rsidP="006532CE">
      <w:pPr>
        <w:pStyle w:val="H1G"/>
      </w:pPr>
      <w:r w:rsidRPr="006532CE">
        <w:tab/>
        <w:t>F.</w:t>
      </w:r>
      <w:r w:rsidRPr="006532CE">
        <w:tab/>
        <w:t>Niños privados de un entorno familiar (art. 20)</w:t>
      </w:r>
    </w:p>
    <w:p w14:paraId="7977E6E1" w14:textId="7B462CAF" w:rsidR="006532CE" w:rsidRPr="006532CE" w:rsidRDefault="006532CE" w:rsidP="006532CE">
      <w:pPr>
        <w:pStyle w:val="SingleTxtG"/>
      </w:pPr>
      <w:r w:rsidRPr="006532CE">
        <w:t>86.</w:t>
      </w:r>
      <w:r w:rsidRPr="006532CE">
        <w:tab/>
        <w:t>Se ha establecido el marco jurídico que rige las actividades de tutela y curatela (párr.</w:t>
      </w:r>
      <w:r w:rsidR="00E74886">
        <w:t> </w:t>
      </w:r>
      <w:r w:rsidRPr="006532CE">
        <w:t>208 del segundo informe periódico, párr. 148 del tercer informe periódico, párrs. 22 y 112 de los informes periódicos cuarto y quinto combinados).</w:t>
      </w:r>
    </w:p>
    <w:p w14:paraId="07E1359C" w14:textId="3E219A2E" w:rsidR="006532CE" w:rsidRPr="006532CE" w:rsidRDefault="006532CE" w:rsidP="006532CE">
      <w:pPr>
        <w:pStyle w:val="SingleTxtG"/>
      </w:pPr>
      <w:r w:rsidRPr="006532CE">
        <w:t>87.</w:t>
      </w:r>
      <w:r w:rsidRPr="006532CE">
        <w:tab/>
        <w:t>Con el fin de garantizar el registro de la información sobre los niños privados del cuidado parental y los ciudadanos que deseen adoptar niños en sus familias, se ha desarrollado y puesto en funcionamiento permanente un sistema automatizado de información del banco estatal de datos sobre los niños privados del cuidado parental. En el marco de las actividades de modernización de dicho sistema, en 2017-2018 se programó un nuevo módulo empleado para mantener un registro que incluye a los ciudadanos privados de la patria potestad o con la patria potestad restringida; a las personas a las que se les hayan retirado las funciones de tutores o curadores por su desempeño inadecuado; y a los antiguos adoptantes que hubieran visto una adopción revocada por un tribunal de manera dolosa. En</w:t>
      </w:r>
      <w:r w:rsidR="00E74886">
        <w:t> </w:t>
      </w:r>
      <w:r w:rsidRPr="006532CE">
        <w:t>2019 estaba previsto finalizar y poner en funcionamiento permanente este módulo del sistema de información.</w:t>
      </w:r>
    </w:p>
    <w:p w14:paraId="65D25C7D" w14:textId="4E2D2F08" w:rsidR="006532CE" w:rsidRPr="006532CE" w:rsidRDefault="006532CE" w:rsidP="006532CE">
      <w:pPr>
        <w:pStyle w:val="SingleTxtG"/>
      </w:pPr>
      <w:r w:rsidRPr="006532CE">
        <w:t>88.</w:t>
      </w:r>
      <w:r w:rsidRPr="006532CE">
        <w:tab/>
        <w:t>Entre 2012 y 2017, el número de niños privados del cuidado parental registrados cada año disminuyó un 33 % (2017: 49.520 niños; 2012: 74.724 niños). Durante ese período disminuyó el número de niños cuyos padres o cuyo único progenitor fue privado de la patria potestad (2017: 24.351 niños; 2012: 33.810 niños). Al mismo tiempo, el número de niños respecto a los cuales ambos padres o el único progenitor tienen derechos limitados aumentó un 25 % (2017: 7</w:t>
      </w:r>
      <w:r w:rsidR="00E74886">
        <w:t>.</w:t>
      </w:r>
      <w:r w:rsidRPr="006532CE">
        <w:t>882 niños; 2012: 7.132 niños). Estas tendencias muestran que los organismos de tutela y custodia buscan preservar la familia y crear las condiciones para que los niños se puedan criar en su propia familia; así, emprender la retirada de la patria potestad se considera una medida de último recurso respecto a los padres, a la que se recurre cuando otras medidas han resultado ineficaces.</w:t>
      </w:r>
    </w:p>
    <w:p w14:paraId="523317CD" w14:textId="77777777" w:rsidR="006532CE" w:rsidRPr="006532CE" w:rsidRDefault="006532CE" w:rsidP="006532CE">
      <w:pPr>
        <w:pStyle w:val="SingleTxtG"/>
      </w:pPr>
      <w:r w:rsidRPr="006532CE">
        <w:t>89.</w:t>
      </w:r>
      <w:r w:rsidRPr="006532CE">
        <w:tab/>
        <w:t>Se ha registrado un aumento del número de huérfanos y niños privados del cuidado parental que son acogidos por familias en régimen de tutela o custodia (2017: 397.994 niños; 2012: 392.418 niños). Gracias al fomento del acogimiento de huérfanos en familias y al trabajo conjunto de las autoridades estatales y la ciudadanía, se está reduciendo la red de instituciones de crianza de huérfanos. Mientras que en 2012 había 1.197 instituciones, a principios de 2017 su número era de 837.</w:t>
      </w:r>
    </w:p>
    <w:p w14:paraId="0D24FF00" w14:textId="77777777" w:rsidR="006532CE" w:rsidRPr="006532CE" w:rsidRDefault="006532CE" w:rsidP="006532CE">
      <w:pPr>
        <w:pStyle w:val="SingleTxtG"/>
      </w:pPr>
      <w:r w:rsidRPr="006532CE">
        <w:t>90.</w:t>
      </w:r>
      <w:r w:rsidRPr="006532CE">
        <w:tab/>
        <w:t>En cuanto a la recomendación relativa a la adopción del proyecto de ley sobre inspecciones públicas independientes de las instituciones infantiles, cabe señalar que la Ley Federal núm. 501, de 27 de diciembre de 2018, en su versión aprobada, otorga poderes al Defensor de los Derechos del Niño dependiente de la Presidencia de la Federación de Rusia y a los defensores de los derechos del niño de las entidades constitutivas de la Federación de Rusia para supervisar y analizar la eficacia de los mecanismos de aplicación, observancia y protección de los derechos e intereses legítimos de los niños, lo que incluye las organizaciones que prestan servicios sociales y de otro tipo a niños y familias. En vista de lo anterior, los poderes conferidos a los funcionarios en cuestión por la Ley Federal ya dan respuesta al problema planteado en el párrafo 40 de las observaciones finales.</w:t>
      </w:r>
    </w:p>
    <w:p w14:paraId="5F574936" w14:textId="59122B5F" w:rsidR="006532CE" w:rsidRPr="006532CE" w:rsidRDefault="006532CE" w:rsidP="006532CE">
      <w:pPr>
        <w:pStyle w:val="H1G"/>
      </w:pPr>
      <w:r w:rsidRPr="006532CE">
        <w:tab/>
        <w:t>G.</w:t>
      </w:r>
      <w:r w:rsidRPr="006532CE">
        <w:tab/>
        <w:t>Examen periódico del acogimiento (art. 25)</w:t>
      </w:r>
    </w:p>
    <w:p w14:paraId="32A08EE2" w14:textId="77777777" w:rsidR="006532CE" w:rsidRPr="006532CE" w:rsidRDefault="006532CE" w:rsidP="006532CE">
      <w:pPr>
        <w:pStyle w:val="SingleTxtG"/>
      </w:pPr>
      <w:r w:rsidRPr="006532CE">
        <w:t>91.</w:t>
      </w:r>
      <w:r w:rsidRPr="006532CE">
        <w:tab/>
        <w:t>Las disposiciones relativas a este artículo se detallan en el párrafo 130 de los informes periódicos cuarto y quinto combinados.</w:t>
      </w:r>
    </w:p>
    <w:p w14:paraId="54964E04" w14:textId="6ABBC6E3" w:rsidR="006532CE" w:rsidRPr="006532CE" w:rsidRDefault="006532CE" w:rsidP="006532CE">
      <w:pPr>
        <w:pStyle w:val="SingleTxtG"/>
      </w:pPr>
      <w:r w:rsidRPr="006532CE">
        <w:lastRenderedPageBreak/>
        <w:t>92.</w:t>
      </w:r>
      <w:r w:rsidRPr="006532CE">
        <w:tab/>
        <w:t>De conformidad con el párrafo 2 de la Disposición sobre las actividades de los órganos y agencias de los Estados extranjeros en materia de adopción en el territorio de la Federación de Rusia y la vigilancia de su aplicación, aprobada mediante la Resolución núm. 654 del Gobierno de la Federación de Rusia del mismo título, de 4 de noviembre de 2006, el Ministerio de Educación de la Federación de Rusia está facultado para autorizar la apertura de oficinas de representación de órganos y agencias de Estados extranjeros que tramiten la adopción de niños en la Federación de Rusia. También puede otorgar los permisos de actividades relacionadas con la adopción de niños en la Federación de Rusia por parte de oficinas de representación de organizaciones no gubernamentales extranjeras sin fines de lucro. El Ministerio puede además controlar dichas actividades, así como supervisar las actividades de las oficinas de representación para la adopción internacional que cuenten con el permiso correspondiente. A fecha de 2019, en la Federación de Rusia operaban 28 oficinas de adopción extranjeras acreditadas: 13 de Italia, 7 de España, 3 de Francia, 2 de Israel, 2 de Alemania y 1 de Bélgica. Todos los años, el Ministerio de Educación de la Federación de Rusia lleva a cabo controles planificados de las actividades de las oficinas de representación de organizaciones extranjeras. El número de inspecciones fue de 45 en 2013, 25 en 2014, 18</w:t>
      </w:r>
      <w:r w:rsidR="00E74886">
        <w:t> </w:t>
      </w:r>
      <w:r w:rsidRPr="006532CE">
        <w:t>en 2015, 16 en 2016, 15 en 2017 y 8 en 2018. Entre 2013 y 2017, se puso fin a las actividades de 55 oficinas de representación de organizaciones extranjeras y se concedieron nueve permisos de actividad a otras oficinas nuevas.</w:t>
      </w:r>
    </w:p>
    <w:p w14:paraId="253BC818" w14:textId="77777777" w:rsidR="006532CE" w:rsidRPr="006532CE" w:rsidRDefault="006532CE" w:rsidP="006532CE">
      <w:pPr>
        <w:pStyle w:val="SingleTxtG"/>
      </w:pPr>
      <w:r w:rsidRPr="006532CE">
        <w:t>93.</w:t>
      </w:r>
      <w:r w:rsidRPr="006532CE">
        <w:tab/>
        <w:t>Durante ese período, la mayor parte de las adopciones se distribuyeron entre los países siguientes: Italia (2.262), España (748), Francia (383), Alemania (193) e Israel (169).</w:t>
      </w:r>
    </w:p>
    <w:p w14:paraId="017815FE" w14:textId="0E84CE62" w:rsidR="006532CE" w:rsidRPr="006532CE" w:rsidRDefault="006532CE" w:rsidP="006532CE">
      <w:pPr>
        <w:pStyle w:val="H1G"/>
        <w:rPr>
          <w:iCs/>
        </w:rPr>
      </w:pPr>
      <w:r w:rsidRPr="006532CE">
        <w:tab/>
        <w:t>H.</w:t>
      </w:r>
      <w:r w:rsidRPr="006532CE">
        <w:tab/>
        <w:t>Adopción nacional e internacional (art. 21)</w:t>
      </w:r>
    </w:p>
    <w:p w14:paraId="76F05982" w14:textId="77777777" w:rsidR="006532CE" w:rsidRPr="006532CE" w:rsidRDefault="006532CE" w:rsidP="006532CE">
      <w:pPr>
        <w:pStyle w:val="SingleTxtG"/>
      </w:pPr>
      <w:r w:rsidRPr="006532CE">
        <w:t>94.</w:t>
      </w:r>
      <w:r w:rsidRPr="006532CE">
        <w:tab/>
        <w:t>Las disposiciones relativas a este artículo se detallan en los párrafos 134 a 137 de los informes periódicos cuarto y quinto combinados. La información sobre la regulación de la adopción internacional figura en los párrafos 92 y 93 del presente informe.</w:t>
      </w:r>
    </w:p>
    <w:p w14:paraId="7DA6BED2" w14:textId="77777777" w:rsidR="006532CE" w:rsidRPr="006532CE" w:rsidRDefault="006532CE" w:rsidP="006532CE">
      <w:pPr>
        <w:pStyle w:val="SingleTxtG"/>
      </w:pPr>
      <w:r w:rsidRPr="006532CE">
        <w:t>95.</w:t>
      </w:r>
      <w:r w:rsidRPr="006532CE">
        <w:tab/>
        <w:t>En el período 2012-2018 se siguió trabajando para mantener la base de datos estatal de niños privados del cuidado parental. En 2017, su número en dicha base de datos ascendía a 50.200. En comparación con 2012, el número de niños privados del cuidado parental se ha reducido en 2,4 veces (en 2012 se registraron 120.700 niños). A principios de 2019, la base de datos estatal contabilizaba 47.200 niños.</w:t>
      </w:r>
    </w:p>
    <w:p w14:paraId="00F36791" w14:textId="2A35B8BF" w:rsidR="006532CE" w:rsidRPr="006532CE" w:rsidRDefault="006532CE" w:rsidP="006532CE">
      <w:pPr>
        <w:pStyle w:val="H1G"/>
        <w:rPr>
          <w:iCs/>
        </w:rPr>
      </w:pPr>
      <w:r w:rsidRPr="006532CE">
        <w:tab/>
        <w:t>I.</w:t>
      </w:r>
      <w:r w:rsidRPr="006532CE">
        <w:tab/>
        <w:t>Los traslados ilícitos y la retención ilícita (art. 11)</w:t>
      </w:r>
    </w:p>
    <w:p w14:paraId="14D8E119" w14:textId="77777777" w:rsidR="006532CE" w:rsidRPr="006532CE" w:rsidRDefault="006532CE" w:rsidP="006532CE">
      <w:pPr>
        <w:pStyle w:val="SingleTxtG"/>
      </w:pPr>
      <w:r w:rsidRPr="006532CE">
        <w:t>96.</w:t>
      </w:r>
      <w:r w:rsidRPr="006532CE">
        <w:tab/>
        <w:t>De conformidad con la Ley Federal núm. 102 sobre la adhesión de la Federación de Rusia al Convenio sobre los Aspectos Civiles de la Sustracción Internacional de Menores, de 31 de mayo de 2011, la Federación de Rusia, con una reserva al artículo 26, párrafo 2, se adhirió al citado Convenio de 1980, que entró en vigor para el país el 1 de octubre de 2011. En virtud de la Resolución núm. 1097 del Gobierno de la Federación de Rusia, de 22 de diciembre de 2011, se designó al Ministerio de Educación y Ciencia de la Federación de Rusia (que desde 2018 se conoce como Ministerio de Educación) como el órgano central responsable de las obligaciones dimanantes de dicho Convenio. A fecha de febrero de 2019, el Convenio de 1980 estaba en vigor entre la Federación de Rusia y otros 68 Estados.</w:t>
      </w:r>
    </w:p>
    <w:p w14:paraId="5F403121" w14:textId="364FEDAD" w:rsidR="006532CE" w:rsidRPr="006532CE" w:rsidRDefault="006532CE" w:rsidP="006532CE">
      <w:pPr>
        <w:pStyle w:val="SingleTxtG"/>
      </w:pPr>
      <w:r w:rsidRPr="006532CE">
        <w:t>97.</w:t>
      </w:r>
      <w:r w:rsidRPr="006532CE">
        <w:tab/>
        <w:t>De conformidad con la Ley Federal núm. 62 sobre la adhesión de la Federación de Rusia al Convenio de La Haya de 1996 relativo a la Competencia, la Ley Aplicable, el Reconocimiento, la Ejecución y la Cooperación en materia de Responsabilidad Parental y de Medidas de Protección de los Niños, de 5 de junio de 2012, la Federación de Rusia se adhirió a dicho Convenio con reservas al artículo 54, párrafo 2, al artículo 55, párrafo 1 y al artículo</w:t>
      </w:r>
      <w:r w:rsidR="00BC36C3">
        <w:t> </w:t>
      </w:r>
      <w:r w:rsidRPr="006532CE">
        <w:t>60, párrafo 1, y con una declaración relativa al artículo 34, párrafo 1. El Convenio entró en vigor para la Federación de Rusia el 1 de junio de 2013. En virtud de la Resolución núm. 1169 del Gobierno de la Federación de Rusia, de 15 de noviembre de 2012, se designó al Ministerio de Educación y Ciencia de la Federación de Rusia (que desde 2018 se conoce como Ministerio de Educación) como el órgano central responsable de las obligaciones dimanantes de dicho Convenio.</w:t>
      </w:r>
    </w:p>
    <w:p w14:paraId="3CA9BB68" w14:textId="34EC9AB0" w:rsidR="006532CE" w:rsidRPr="006532CE" w:rsidRDefault="006532CE" w:rsidP="006532CE">
      <w:pPr>
        <w:pStyle w:val="SingleTxtG"/>
      </w:pPr>
      <w:r w:rsidRPr="006532CE">
        <w:lastRenderedPageBreak/>
        <w:t>98.</w:t>
      </w:r>
      <w:r w:rsidRPr="006532CE">
        <w:tab/>
        <w:t>Entre 2014 y 2018, el Ministerio de Educación de Rusia recibió 503 casos en virtud de ambos Convenios, relativos a los países siguientes: Ucrania (89 casos)</w:t>
      </w:r>
      <w:r w:rsidR="00644BD4">
        <w:t>;</w:t>
      </w:r>
      <w:r w:rsidRPr="006532CE">
        <w:t xml:space="preserve"> Alemania (42</w:t>
      </w:r>
      <w:r w:rsidR="00FC4FC2">
        <w:t> </w:t>
      </w:r>
      <w:r w:rsidRPr="006532CE">
        <w:t>casos)</w:t>
      </w:r>
      <w:r w:rsidR="00644BD4">
        <w:t>;</w:t>
      </w:r>
      <w:r w:rsidRPr="006532CE">
        <w:t xml:space="preserve"> España y Francia (32 casos)</w:t>
      </w:r>
      <w:r w:rsidR="00644BD4">
        <w:t>;</w:t>
      </w:r>
      <w:r w:rsidRPr="006532CE">
        <w:t xml:space="preserve"> Italia (31 casos)</w:t>
      </w:r>
      <w:r w:rsidR="00644BD4">
        <w:t>;</w:t>
      </w:r>
      <w:r w:rsidRPr="006532CE">
        <w:t xml:space="preserve"> Israel (30 casos)</w:t>
      </w:r>
      <w:r w:rsidR="00644BD4">
        <w:t>;</w:t>
      </w:r>
      <w:r w:rsidRPr="006532CE">
        <w:t xml:space="preserve"> Reino Unido de Gran Bretaña e Irlanda del Norte (18 casos)</w:t>
      </w:r>
      <w:r w:rsidR="00644BD4">
        <w:t>;</w:t>
      </w:r>
      <w:r w:rsidRPr="006532CE">
        <w:t xml:space="preserve"> Armenia (15 casos)</w:t>
      </w:r>
      <w:r w:rsidR="00644BD4">
        <w:t>;</w:t>
      </w:r>
      <w:r w:rsidRPr="006532CE">
        <w:t xml:space="preserve"> Grecia y Kazajstán (13</w:t>
      </w:r>
      <w:r w:rsidR="00FC4FC2">
        <w:t> </w:t>
      </w:r>
      <w:r w:rsidRPr="006532CE">
        <w:t>casos)</w:t>
      </w:r>
      <w:r w:rsidR="00644BD4">
        <w:t>;</w:t>
      </w:r>
      <w:r w:rsidRPr="006532CE">
        <w:t xml:space="preserve"> Türkiye y Japón (10 casos)</w:t>
      </w:r>
      <w:r w:rsidR="00644BD4">
        <w:t>;</w:t>
      </w:r>
      <w:r w:rsidRPr="006532CE">
        <w:t xml:space="preserve"> Bélgica, Lituania, Moldavia, República Checa</w:t>
      </w:r>
      <w:r w:rsidR="00644BD4">
        <w:t xml:space="preserve"> y</w:t>
      </w:r>
      <w:r w:rsidRPr="006532CE">
        <w:t xml:space="preserve"> Suiza (8 casos)</w:t>
      </w:r>
      <w:r w:rsidR="00644BD4">
        <w:t>;</w:t>
      </w:r>
      <w:r w:rsidRPr="006532CE">
        <w:t xml:space="preserve"> Belarús</w:t>
      </w:r>
      <w:r w:rsidR="00644BD4">
        <w:t xml:space="preserve"> y</w:t>
      </w:r>
      <w:r w:rsidRPr="006532CE">
        <w:t xml:space="preserve"> Uzbekistán (7 casos)</w:t>
      </w:r>
      <w:r w:rsidR="00644BD4">
        <w:t>;</w:t>
      </w:r>
      <w:r w:rsidRPr="006532CE">
        <w:t xml:space="preserve"> Austria, Países Bajos, Suecia y Estonia (6</w:t>
      </w:r>
      <w:r w:rsidR="00644BD4">
        <w:t> </w:t>
      </w:r>
      <w:r w:rsidRPr="006532CE">
        <w:t>casos).</w:t>
      </w:r>
    </w:p>
    <w:p w14:paraId="5687630A" w14:textId="367732D9" w:rsidR="006532CE" w:rsidRPr="006532CE" w:rsidRDefault="006532CE" w:rsidP="006532CE">
      <w:pPr>
        <w:pStyle w:val="H1G"/>
        <w:rPr>
          <w:iCs/>
        </w:rPr>
      </w:pPr>
      <w:r w:rsidRPr="006532CE">
        <w:tab/>
        <w:t>J.</w:t>
      </w:r>
      <w:r w:rsidRPr="006532CE">
        <w:tab/>
        <w:t>Los abusos y el descuido (art. 19) incluidas la recuperación física y</w:t>
      </w:r>
      <w:r>
        <w:t> </w:t>
      </w:r>
      <w:r w:rsidRPr="006532CE">
        <w:t>psicológica y la reintegración social (art. 39)</w:t>
      </w:r>
    </w:p>
    <w:p w14:paraId="22EF63CE" w14:textId="77777777" w:rsidR="006532CE" w:rsidRPr="006532CE" w:rsidRDefault="006532CE" w:rsidP="006532CE">
      <w:pPr>
        <w:pStyle w:val="SingleTxtG"/>
      </w:pPr>
      <w:r w:rsidRPr="006532CE">
        <w:t>99.</w:t>
      </w:r>
      <w:r w:rsidRPr="006532CE">
        <w:tab/>
        <w:t>Las disposiciones relativas a este artículo se detallan en los párrafos 141 y 145 a 151 de los informes periódicos cuarto y quinto combinados.</w:t>
      </w:r>
    </w:p>
    <w:p w14:paraId="54D4A243" w14:textId="695AA55D" w:rsidR="006532CE" w:rsidRPr="006532CE" w:rsidRDefault="006532CE" w:rsidP="006532CE">
      <w:pPr>
        <w:pStyle w:val="SingleTxtG"/>
      </w:pPr>
      <w:r w:rsidRPr="006532CE">
        <w:t xml:space="preserve">100. </w:t>
      </w:r>
      <w:r w:rsidRPr="006532CE">
        <w:tab/>
        <w:t>Respecto a lo dispuesto en el párrafo 33 de las observaciones finales, según el artículo</w:t>
      </w:r>
      <w:r w:rsidR="00644BD4">
        <w:t> </w:t>
      </w:r>
      <w:r w:rsidRPr="006532CE">
        <w:t>65 del Código de Familia de la Federación de Rusia, en el ejercicio de la patria potestad, los padres no pueden perjudicar la salud física y mental de los hijos ni su desarrollo moral. Los niños en acogida deben ser educados de una forma que excluya todo trato negligente, cruel y brutal o degradante, así como la humillación o la explotación. A los padres que ejerzan la patria potestad en detrimento de los derechos e intereses de los niños y a otras personas que inflijan castigos corporales a los niños se les exigen las responsabilidades establecidas en la ley. Se considera circunstancia agravante de un delito cometido contra un menor el hecho de que su autor sea uno de sus progenitores u otra persona legalmente responsable de su crianza, así como un profesor u otro empleado de un centro educativo, una institución médica, una organización que preste servicios sociales u otra organización responsable de la supervisión del menor (art. 63 1) p) del Código Penal).</w:t>
      </w:r>
    </w:p>
    <w:p w14:paraId="7C61C8AA" w14:textId="5213BDEC" w:rsidR="006532CE" w:rsidRPr="006532CE" w:rsidRDefault="006532CE" w:rsidP="006532CE">
      <w:pPr>
        <w:pStyle w:val="HChG"/>
      </w:pPr>
      <w:r w:rsidRPr="006532CE">
        <w:tab/>
        <w:t>VII.</w:t>
      </w:r>
      <w:r w:rsidRPr="006532CE">
        <w:tab/>
        <w:t>Discapacidad, salud básica y bienestar</w:t>
      </w:r>
    </w:p>
    <w:p w14:paraId="4E5C2A47" w14:textId="4F9995C6" w:rsidR="006532CE" w:rsidRPr="006532CE" w:rsidRDefault="006532CE" w:rsidP="006532CE">
      <w:pPr>
        <w:pStyle w:val="H1G"/>
        <w:rPr>
          <w:iCs/>
        </w:rPr>
      </w:pPr>
      <w:r w:rsidRPr="006532CE">
        <w:tab/>
        <w:t>А.</w:t>
      </w:r>
      <w:r w:rsidRPr="006532CE">
        <w:tab/>
        <w:t>Niños y niñas con discapacidad (art. 23)</w:t>
      </w:r>
    </w:p>
    <w:p w14:paraId="40CEBDD6" w14:textId="77777777" w:rsidR="006532CE" w:rsidRPr="006532CE" w:rsidRDefault="006532CE" w:rsidP="006532CE">
      <w:pPr>
        <w:pStyle w:val="SingleTxtG"/>
      </w:pPr>
      <w:r w:rsidRPr="006532CE">
        <w:t>101.</w:t>
      </w:r>
      <w:r w:rsidRPr="006532CE">
        <w:tab/>
        <w:t>La información relativa a esta cuestión figura en los párrafos 154 a 158 de los informes periódicos cuarto y quinto combinados.</w:t>
      </w:r>
    </w:p>
    <w:p w14:paraId="56557EA0" w14:textId="67EF802F" w:rsidR="006532CE" w:rsidRPr="006532CE" w:rsidRDefault="006532CE" w:rsidP="006532CE">
      <w:pPr>
        <w:pStyle w:val="SingleTxtG"/>
      </w:pPr>
      <w:r w:rsidRPr="006532CE">
        <w:t>102.</w:t>
      </w:r>
      <w:r w:rsidRPr="006532CE">
        <w:tab/>
        <w:t>En el párrafo 148 de los informes periódicos cuarto y quinto combinados se facilita información sobre la protección social de los niños con discapacidad. De conformidad con la Ley Federal núm. 51 por la que se modifica la Ley Federal de Pensiones Estatales en la Federación de Rusia, de 5 de abril de 2013, desde el 1 de enero de 2013 se incrementó la cuantía de la pensión social para los niños con discapacidad y las personas con discapacidad desde la infancia del grupo I, en comparación con la pensión social establecida en el artículo</w:t>
      </w:r>
      <w:r w:rsidR="00FB4B55">
        <w:t> </w:t>
      </w:r>
      <w:r w:rsidRPr="006532CE">
        <w:t>18, párrafo 1, subapartado 2, de la Ley Federal núm. 166 de Pensiones Estatales en la Federación de Rusia, de 15 de diciembre de 2001, con lo que se elevó el nivel de las pensiones que reciben las familias con niños con discapacidad desde la infancia del grupo I. En 2018, el monto de la pensión social ascendía a 12.432,44 rublos.</w:t>
      </w:r>
    </w:p>
    <w:p w14:paraId="28E7AFB2" w14:textId="77777777" w:rsidR="006532CE" w:rsidRPr="006532CE" w:rsidRDefault="006532CE" w:rsidP="006532CE">
      <w:pPr>
        <w:pStyle w:val="SingleTxtG"/>
      </w:pPr>
      <w:r w:rsidRPr="006532CE">
        <w:t>103.</w:t>
      </w:r>
      <w:r w:rsidRPr="006532CE">
        <w:tab/>
        <w:t>En virtud del Decreto Presidencial núm. 175 sobre los Pagos Mensuales a los Cuidadores de Niños con Discapacidad y Personas con Discapacidad desde la Infancia del Grupo I, de 26 de febrero de 2013, se estableció un pago mensual de 5.500 rublos a todo progenitor (o padre o madre de adopción) o tutor (custodio) que se encuentre en condiciones de trabajar pero esté desempleado y que cuide a un niño con discapacidad menor de 18 años o a un niño con discapacidad desde la infancia del grupo I. El pago para otras personas que asuman dichos cuidados es de 1.200 rublos.</w:t>
      </w:r>
    </w:p>
    <w:p w14:paraId="5B4C04E5" w14:textId="77777777" w:rsidR="006532CE" w:rsidRPr="006532CE" w:rsidRDefault="006532CE" w:rsidP="006532CE">
      <w:pPr>
        <w:pStyle w:val="SingleTxtG"/>
      </w:pPr>
      <w:r w:rsidRPr="006532CE">
        <w:t>104.</w:t>
      </w:r>
      <w:r w:rsidRPr="006532CE">
        <w:tab/>
        <w:t>De conformidad con la Ley Federal núm. 242 por la que se modifica el Código de Trabajo de la Federación de Rusia, de 13 de julio de 2015, el Código de Trabajo de la Federación de Rusia se complementó mediante el artículo 262.1, que establece el derecho de uno de los progenitores (o del tutor, custodio o padre o madre de acogida) que críe a un hijo con discapacidad menor de 18 años a disfrutar de vacaciones anuales retribuidas a petición suya en el momento que le convenga.</w:t>
      </w:r>
    </w:p>
    <w:p w14:paraId="0E64BF1A" w14:textId="63B0968F" w:rsidR="006532CE" w:rsidRPr="006532CE" w:rsidRDefault="006532CE" w:rsidP="007B1CE4">
      <w:pPr>
        <w:pStyle w:val="SingleTxtG"/>
        <w:spacing w:after="130"/>
      </w:pPr>
      <w:r w:rsidRPr="006532CE">
        <w:lastRenderedPageBreak/>
        <w:t>105.</w:t>
      </w:r>
      <w:r w:rsidRPr="006532CE">
        <w:tab/>
        <w:t>Respecto a la información que figura en el párrafo 50 de las observaciones finales, la Ley Federal de Protección Social de las Personas con Discapacidad en la Federación de Rusia, de 24 de noviembre de 1995, establece que la discriminación por motivos de discapacidad es inaceptable (art. 3.1) y también prevé medidas de protección social y apoyo para las personas con discapacidad. Además, la Ley Federal núm. 273 sobre la Educación en la Federación de Rusia, de 29 de diciembre de 2012, prevé fomentar las condiciones necesarias para ofrecer a las personas con necesidades especiales una educación de calidad sin discriminación, corregir los trastornos del desarrollo, propiciar la adaptación social y prestar una atención correctiva temprana basada en planteamientos educativos especiales y en los lenguajes, métodos y medios de comunicación más adecuados para dichas personas y en las condiciones que mejor favorezcan la educación del nivel y enfoque determinado, así como favorecer su desarrollo social, entre otros mediante la organización de la enseñanza inclusiva con la participación de las personas con necesidades especiales.</w:t>
      </w:r>
    </w:p>
    <w:p w14:paraId="4A04103A" w14:textId="77777777" w:rsidR="006532CE" w:rsidRPr="006532CE" w:rsidRDefault="006532CE" w:rsidP="007B1CE4">
      <w:pPr>
        <w:pStyle w:val="SingleTxtG"/>
        <w:spacing w:after="130"/>
      </w:pPr>
      <w:r w:rsidRPr="006532CE">
        <w:t xml:space="preserve">106. </w:t>
      </w:r>
      <w:r w:rsidRPr="006532CE">
        <w:tab/>
        <w:t>Actualmente hay 23.000 estudiantes con discapacidad en la enseñanza superior (en todos los niveles educativos), lo que representa el 0,5 % de la población estudiantil total.</w:t>
      </w:r>
    </w:p>
    <w:p w14:paraId="18EF5B5D" w14:textId="07B2430C" w:rsidR="006532CE" w:rsidRPr="006532CE" w:rsidRDefault="006532CE" w:rsidP="007B1CE4">
      <w:pPr>
        <w:pStyle w:val="SingleTxtG"/>
        <w:spacing w:after="130"/>
      </w:pPr>
      <w:r w:rsidRPr="006532CE">
        <w:t>107.</w:t>
      </w:r>
      <w:r w:rsidRPr="006532CE">
        <w:tab/>
        <w:t>A 1 de enero de 2018, 479.656 niños con necesidades especiales y 74.768 niños con discapacidad asistían a organizaciones que ofrecían actividades educativas en el marco de programas de educación preescolar, así como a guarderías. A 1 de febrero de 2019, 498.943</w:t>
      </w:r>
      <w:r w:rsidR="007B1CE4">
        <w:t> </w:t>
      </w:r>
      <w:r w:rsidR="0023689E">
        <w:t> </w:t>
      </w:r>
      <w:r w:rsidRPr="006532CE">
        <w:t>niños con necesidades especiales y 53.318 niños con discapacidad recibían educación preescolar, junto con el seguimiento y los cuidados adecuados. El porcentaje de niños con necesidades especiales que reciben educación preescolar en grupos de educación general es del 0,7 %; el porcentaje de niños con discapacidad es del 0,5 %; el 86,7 % de los niños con necesidades especiales y el 8,2 % de los niños con discapacidad estudia en grupos de educación especial; el 19,8 % de los niños con necesidades especiales y el 2,1 % de los niños con discapacidad forman parte de grupos mixtos; el 6,5 % de los niños con necesidades especiales y el 0,7 % de los niños con discapacidad están adscritos a grupos de promoción de la salud. De los niños que reciben seguimiento y cuidados (sin componente educativo), el 1,4</w:t>
      </w:r>
      <w:r w:rsidR="0023689E">
        <w:t> </w:t>
      </w:r>
      <w:r w:rsidRPr="006532CE">
        <w:t>% son niños con necesidades especiales y el 0,8 % son niños con discapacidad; el 2,2 % de los niños con necesidades especiales y el 1,9 % de los niños con discapacidad estudian en grupos familiares.</w:t>
      </w:r>
    </w:p>
    <w:p w14:paraId="3190AD8B" w14:textId="77777777" w:rsidR="006532CE" w:rsidRPr="006532CE" w:rsidRDefault="006532CE" w:rsidP="007B1CE4">
      <w:pPr>
        <w:pStyle w:val="SingleTxtG"/>
        <w:spacing w:after="130"/>
      </w:pPr>
      <w:r w:rsidRPr="006532CE">
        <w:t>108.</w:t>
      </w:r>
      <w:r w:rsidRPr="006532CE">
        <w:tab/>
        <w:t>En virtud de la Orden núm. 1014 del Ministerio de Educación y Ciencia de Rusia, de 30 de agosto de 2013, se aprobó el procedimiento de organización y ejecución de actividades educativas en los programas de educación general básica y educación preescolar, según el cual la cuota de alumnos con necesidades especiales en un grupo escolar puede ser de un máximo de 15 personas. Una comisión psicológica, médica y pedagógica se encarga de determinar el itinerario educativo de un alumno con necesidades especiales y de elaborar recomendaciones sobre su modalidad de educación.</w:t>
      </w:r>
    </w:p>
    <w:p w14:paraId="165E6E29" w14:textId="4B0F1BFB" w:rsidR="006532CE" w:rsidRPr="006532CE" w:rsidRDefault="006532CE" w:rsidP="007B1CE4">
      <w:pPr>
        <w:pStyle w:val="SingleTxtG"/>
        <w:spacing w:after="130"/>
      </w:pPr>
      <w:r w:rsidRPr="006532CE">
        <w:t>109.</w:t>
      </w:r>
      <w:r w:rsidRPr="006532CE">
        <w:tab/>
        <w:t>En 2017, 309.426 niños estudiaban en programas de educación general básica adaptada, y otros 231.567 niños estudiaban en programas de educación para alumnos con deficiencia intelectual. En 2017, 276.373 niños con necesidades especiales (de los cuales 75.555 también reunían la condición de niño con discapacidad), 72.969 niños con discapacidad y 1.842 personas con discapacidad recibieron educación inclusiva. En comparación con 2016, el número de alumnos que recibió educación inclusiva aumentó</w:t>
      </w:r>
      <w:r w:rsidR="007B1CE4">
        <w:t xml:space="preserve"> </w:t>
      </w:r>
      <w:r w:rsidRPr="006532CE">
        <w:t>significativamente (en 2016 eran unos 241.000 niños). En 2017 existían 17.507 clases especiales de recuperación, en las que estudiaban 156.235 alumnos con necesidades especiales (de los cuales 39.325 también reunían la condición de persona con discapacidad),</w:t>
      </w:r>
      <w:r w:rsidR="007B1CE4">
        <w:t> </w:t>
      </w:r>
      <w:r w:rsidRPr="006532CE">
        <w:t>14 personas con discapacidad y 565 niños con discapacidad). En comparación con 2016, el número de estas clases ha aumentado: en 2016, había 16.736 clases de este tipo, que englobaban a 148.003 estudiantes con necesidades especiales (de los cuales 35.141</w:t>
      </w:r>
      <w:r w:rsidR="007B1CE4">
        <w:t> </w:t>
      </w:r>
      <w:r w:rsidRPr="006532CE">
        <w:t>estudiantes también reunían la condición de niño con discapacidad), 46 personas con discapacidad y 668 niños con discapacidad. Además, había 25.160 clases para alumnos con deficiencia intelectual, que contaban con 190.862 alumnos con discapacidad (de los cuales 87.446 también reunían la condición de persona con discapacidad), 188 personas con discapacidad y 1.627 niños con discapacidad.</w:t>
      </w:r>
    </w:p>
    <w:p w14:paraId="3FB4EB5E" w14:textId="20228258" w:rsidR="006532CE" w:rsidRPr="006532CE" w:rsidRDefault="006532CE" w:rsidP="007B1CE4">
      <w:pPr>
        <w:pStyle w:val="SingleTxtG"/>
        <w:keepNext/>
        <w:keepLines/>
      </w:pPr>
      <w:r w:rsidRPr="006532CE">
        <w:lastRenderedPageBreak/>
        <w:t>110.</w:t>
      </w:r>
      <w:r w:rsidRPr="006532CE">
        <w:tab/>
        <w:t>Se ha aprobado una lista federal de organizaciones de educación general que imparten educación en el marco de programas de educación general adaptados, y que incluye 1.901</w:t>
      </w:r>
      <w:r w:rsidR="007B1CE4">
        <w:t> </w:t>
      </w:r>
      <w:r w:rsidRPr="006532CE">
        <w:t>centros educativos de 85 entidades constitutivas de la Federación de Rusia, de los cuales 1.664 son centros individuales de educación general que imparten educación en el marco de programas de educación general adaptados para alumnos con necesidades especiales.</w:t>
      </w:r>
    </w:p>
    <w:p w14:paraId="1AB65223" w14:textId="77777777" w:rsidR="006532CE" w:rsidRPr="006532CE" w:rsidRDefault="006532CE" w:rsidP="006532CE">
      <w:pPr>
        <w:pStyle w:val="SingleTxtG"/>
      </w:pPr>
      <w:r w:rsidRPr="006532CE">
        <w:t>111.</w:t>
      </w:r>
      <w:r w:rsidRPr="006532CE">
        <w:tab/>
        <w:t>Se presta especial atención al cumplimiento del derecho a la educación de los niños con discapacidad que viven en hogares infantiles, internados y hogares de asistencia social. Al inicio del curso escolar 2017/18 se contabilizaban 217 niños no escolarizados que vivían en alguno de dichos centros (775 niños en 2016). Así, en un año, el número de niños con discapacidad que vivían en esos centros y no estaban escolarizados disminuyó un 72 %.</w:t>
      </w:r>
    </w:p>
    <w:p w14:paraId="5F79CC26" w14:textId="6CCA406F" w:rsidR="006532CE" w:rsidRPr="006532CE" w:rsidRDefault="006532CE" w:rsidP="006532CE">
      <w:pPr>
        <w:pStyle w:val="SingleTxtG"/>
      </w:pPr>
      <w:r w:rsidRPr="006532CE">
        <w:t>112.</w:t>
      </w:r>
      <w:r w:rsidRPr="006532CE">
        <w:tab/>
        <w:t xml:space="preserve">Con el fin de mejorar la accesibilidad de la educación para los niños con discapacidad en las entidades constitutivas de la Federación de Rusia, se están adoptando medidas en el marco del programa estatal para 2011-2020 </w:t>
      </w:r>
      <w:r w:rsidR="00CB5EC2">
        <w:t>“</w:t>
      </w:r>
      <w:r w:rsidRPr="006532CE">
        <w:t>Entorno accesible</w:t>
      </w:r>
      <w:r w:rsidR="00CB5EC2">
        <w:t>”</w:t>
      </w:r>
      <w:r w:rsidRPr="006532CE">
        <w:t>, aprobado mediante la Resolución del Gobierno núm. 1297, de 1 de diciembre de 2015, para crear instituciones de educación preescolar, instituciones de educación general y otros centros de educación adicional para niños (incluidas entidades que imparten educación con arreglo a programas adaptados de educación general básica) y con miras a fomentar las condiciones para que los niños de esta categoría puedan recibir una educación de calidad. A finales de 2018, la labor emprendida para crear un entorno universal sin barreras y dotar los centros de equipos especiales, incluidos equipos informáticos y de rehabilitación, abarcaba 7.427 instituciones educativas preescolares (que representaban el 18 % del total, frente al porcentaje planificado del 17,5 %) y 9.838 instituciones educativas generales (22,8 % del total, frente al porcentaje planificado del 22,3 %).</w:t>
      </w:r>
    </w:p>
    <w:p w14:paraId="5E99B9ED" w14:textId="333DCFA0" w:rsidR="006532CE" w:rsidRPr="006532CE" w:rsidRDefault="006532CE" w:rsidP="006532CE">
      <w:pPr>
        <w:pStyle w:val="SingleTxtG"/>
      </w:pPr>
      <w:r w:rsidRPr="006532CE">
        <w:t>113.</w:t>
      </w:r>
      <w:r w:rsidRPr="006532CE">
        <w:tab/>
        <w:t xml:space="preserve">En noviembre de 2018 se celebró el IV Campeonato Nacional </w:t>
      </w:r>
      <w:r w:rsidR="00CB5EC2">
        <w:t>“</w:t>
      </w:r>
      <w:r w:rsidRPr="006532CE">
        <w:t>Abilimpics</w:t>
      </w:r>
      <w:r w:rsidR="00CB5EC2">
        <w:t>”</w:t>
      </w:r>
      <w:r w:rsidRPr="006532CE">
        <w:t xml:space="preserve"> de habilidades profesionales para personas con discapacidad, que incluyó 57 disciplinas competitivas y 16 de exhibición. En las 57 disciplinas competitivas participaron 1.157</w:t>
      </w:r>
      <w:r w:rsidR="00C27C89">
        <w:t> </w:t>
      </w:r>
      <w:r w:rsidRPr="006532CE">
        <w:t>personas de entre 14 y 65 años (186 especialistas, 733 estudiantes y 238 escolares) procedentes de 83 entidades constitutivas de la Federación de Rusia. Las 16 disciplinas de exhibición reunieron a 94 participantes. En 2018, se celebraron competiciones regionales Abilimpics en 84 entidades constitutivas de la Federación de Rusia (excepto la región autónoma de Chukotka), con la participación de 9.004 personas, incluidos 1.379 especialistas (15,3 %), 4.953 estudiantes (55 %) y 2.673 escolares (29,7 %) que compitieron en 101</w:t>
      </w:r>
      <w:r w:rsidR="00C27C89">
        <w:t> </w:t>
      </w:r>
      <w:r w:rsidRPr="006532CE">
        <w:t>disciplinas, incluidas las 57 del campeonato nacional Abilimpics.</w:t>
      </w:r>
    </w:p>
    <w:p w14:paraId="4A7E970F" w14:textId="77777777" w:rsidR="006532CE" w:rsidRPr="006532CE" w:rsidRDefault="006532CE" w:rsidP="006532CE">
      <w:pPr>
        <w:pStyle w:val="SingleTxtG"/>
      </w:pPr>
      <w:r w:rsidRPr="006532CE">
        <w:t>114.</w:t>
      </w:r>
      <w:r w:rsidRPr="006532CE">
        <w:tab/>
        <w:t>Los niños con discapacidad y las personas con discapacidad desde la infancia disfrutan de derechos especiales al matricularse en programas de licenciatura y especialización.</w:t>
      </w:r>
    </w:p>
    <w:p w14:paraId="7575EBBE" w14:textId="5D7794F0" w:rsidR="006532CE" w:rsidRPr="006532CE" w:rsidRDefault="006532CE" w:rsidP="006532CE">
      <w:pPr>
        <w:pStyle w:val="H1G"/>
      </w:pPr>
      <w:r w:rsidRPr="006532CE">
        <w:tab/>
        <w:t>В.</w:t>
      </w:r>
      <w:r w:rsidRPr="006532CE">
        <w:tab/>
        <w:t>La salud y los servicios sanitarios, en particular la atención primaria de</w:t>
      </w:r>
      <w:r>
        <w:t> </w:t>
      </w:r>
      <w:r w:rsidRPr="006532CE">
        <w:t>la salud (art. 24)</w:t>
      </w:r>
    </w:p>
    <w:p w14:paraId="47E1DB4C" w14:textId="77777777" w:rsidR="006532CE" w:rsidRPr="006532CE" w:rsidRDefault="006532CE" w:rsidP="006532CE">
      <w:pPr>
        <w:pStyle w:val="SingleTxtG"/>
      </w:pPr>
      <w:r w:rsidRPr="006532CE">
        <w:t>115.</w:t>
      </w:r>
      <w:r w:rsidRPr="006532CE">
        <w:tab/>
        <w:t>Gracias a la clara alineación del sistema de tres niveles (atención médica pediátrica, desarrollo de atención médica de alta tecnología e introducción de nuevas tecnologías preventivas, diagnósticas y terapéuticas), ha habido una tendencia constante a la baja en la mortalidad de menores de 1 año: en 2012 la tasa fue de 8,6 por 1000 nacidos vivos, en 2018 de 5,1 por 1000 nacidos vivos, y en enero de 2019 de 4,3 por 1000 nacidos vivos.</w:t>
      </w:r>
    </w:p>
    <w:p w14:paraId="3EA6D571" w14:textId="4BFB3ADC" w:rsidR="006532CE" w:rsidRPr="006532CE" w:rsidRDefault="006532CE" w:rsidP="006532CE">
      <w:pPr>
        <w:pStyle w:val="SingleTxtG"/>
      </w:pPr>
      <w:r w:rsidRPr="006532CE">
        <w:t>116.</w:t>
      </w:r>
      <w:r w:rsidRPr="006532CE">
        <w:tab/>
        <w:t>La tasa de mortalidad materna también ha disminuido: de 11,3 por 100.000 nacidos vivos en 2013 a 8,8 por 100.000 nacidos vivos en 2017.</w:t>
      </w:r>
    </w:p>
    <w:p w14:paraId="215719EF" w14:textId="77777777" w:rsidR="006532CE" w:rsidRPr="006532CE" w:rsidRDefault="006532CE" w:rsidP="006532CE">
      <w:pPr>
        <w:pStyle w:val="SingleTxtG"/>
      </w:pPr>
      <w:r w:rsidRPr="006532CE">
        <w:t>117.</w:t>
      </w:r>
      <w:r w:rsidRPr="006532CE">
        <w:tab/>
        <w:t>En el marco del Programa de Desarrollo de los Centros Perinatales de la Federación de Rusia, en el período 2013-2019 se construyeron 32 centros perinatales en 30 entidades constitutivas de la Federación de Rusia, lo que permitió ofrecer a las embarazadas, las parturientas, las puérperas y los recién nacidos una atención médica accesible y de calidad, crear un sistema de tres niveles de atención médica a las mujeres durante el embarazo y el parto y reducir la mortalidad infantil y materna en la Federación de Rusia.</w:t>
      </w:r>
    </w:p>
    <w:p w14:paraId="258A9D0C" w14:textId="6C288509" w:rsidR="006532CE" w:rsidRPr="006532CE" w:rsidRDefault="006532CE" w:rsidP="006532CE">
      <w:pPr>
        <w:pStyle w:val="SingleTxtG"/>
      </w:pPr>
      <w:r w:rsidRPr="006532CE">
        <w:lastRenderedPageBreak/>
        <w:t>118.</w:t>
      </w:r>
      <w:r w:rsidRPr="006532CE">
        <w:tab/>
        <w:t xml:space="preserve">Desde 2019, como parte del proyecto nacional </w:t>
      </w:r>
      <w:r w:rsidR="00CB5EC2">
        <w:t>“</w:t>
      </w:r>
      <w:r w:rsidRPr="006532CE">
        <w:t>Atención de la salud</w:t>
      </w:r>
      <w:r w:rsidR="00CB5EC2">
        <w:t>”</w:t>
      </w:r>
      <w:r w:rsidRPr="006532CE">
        <w:t xml:space="preserve">, se está implementando el proyecto federal </w:t>
      </w:r>
      <w:r w:rsidR="00CB5EC2">
        <w:t>“</w:t>
      </w:r>
      <w:r w:rsidRPr="006532CE">
        <w:t>Fomento de la atención médica infantil, incluida la creación de una infraestructura moderna de atención médica para niños</w:t>
      </w:r>
      <w:r w:rsidR="00CB5EC2">
        <w:t>”</w:t>
      </w:r>
      <w:r w:rsidRPr="006532CE">
        <w:t>, que tiene como objetivo reducir la mortalidad de menores de 1 año para 2024 a un nivel de 4,5 por cada 1.000 nacidos vivos. Se seguirán adoptando medidas para reforzar la dotación logística de las instituciones médicas infantiles, a fin de fomentar las condiciones para implantar modernas tecnologías innovadoras de diagnóstico, tratamiento y rehabilitación, y de crear condiciones confortables para madres e hijos, lo que mejorará la accesibilidad y la calidad de la atención médica infantil.</w:t>
      </w:r>
    </w:p>
    <w:p w14:paraId="51B7AA2D" w14:textId="1821A304" w:rsidR="006532CE" w:rsidRPr="006532CE" w:rsidRDefault="006532CE" w:rsidP="006532CE">
      <w:pPr>
        <w:pStyle w:val="H1G"/>
      </w:pPr>
      <w:r w:rsidRPr="006532CE">
        <w:tab/>
        <w:t>C.</w:t>
      </w:r>
      <w:r w:rsidRPr="006532CE">
        <w:tab/>
        <w:t>Los esfuerzos para hacer frente a las dificultades de salud más prevalentes y promover la salud física y mental y el bienestar de</w:t>
      </w:r>
      <w:r>
        <w:t> </w:t>
      </w:r>
      <w:r w:rsidRPr="006532CE">
        <w:t>los</w:t>
      </w:r>
      <w:r>
        <w:t> </w:t>
      </w:r>
      <w:r w:rsidRPr="006532CE">
        <w:t>niños, y para prevenir y tratar las enfermedades transmisibles</w:t>
      </w:r>
      <w:r>
        <w:t> </w:t>
      </w:r>
      <w:r w:rsidRPr="006532CE">
        <w:t>y</w:t>
      </w:r>
      <w:r>
        <w:t> </w:t>
      </w:r>
      <w:r w:rsidRPr="006532CE">
        <w:t>no transmisibles</w:t>
      </w:r>
    </w:p>
    <w:p w14:paraId="0E0871DE" w14:textId="09922173" w:rsidR="006532CE" w:rsidRPr="006532CE" w:rsidRDefault="006532CE" w:rsidP="006532CE">
      <w:pPr>
        <w:pStyle w:val="SingleTxtG"/>
      </w:pPr>
      <w:r w:rsidRPr="006532CE">
        <w:t>119.</w:t>
      </w:r>
      <w:r w:rsidRPr="006532CE">
        <w:tab/>
        <w:t>En 2018, la cobertura de vacunación de los niños en las edades establecidas fue del 95,2 % para la tuberculosis, del 96,8 % para la difteria, del 96,6 % para la tos ferina, del 95,6</w:t>
      </w:r>
      <w:r w:rsidR="00E460BA">
        <w:t> </w:t>
      </w:r>
      <w:r w:rsidRPr="006532CE">
        <w:t>% para la poliomielitis y del 97,5 % para el sarampión.</w:t>
      </w:r>
    </w:p>
    <w:p w14:paraId="75050C3D" w14:textId="69DCFE8D" w:rsidR="006532CE" w:rsidRPr="006532CE" w:rsidRDefault="006532CE" w:rsidP="006532CE">
      <w:pPr>
        <w:pStyle w:val="SingleTxtG"/>
      </w:pPr>
      <w:r w:rsidRPr="006532CE">
        <w:t>120.</w:t>
      </w:r>
      <w:r w:rsidRPr="006532CE">
        <w:tab/>
        <w:t>En 2018, la tasa de morbilidad general entre los niños de 0 a 14 años disminuyó un 1,1 % en comparación con 2014. En la estructura de la morbilidad de los niños de este grupo de edad, las enfermedades respiratorias ocupan el primer lugar, seguidas de las enfermedades de los órganos digestivos, las enfermedades de los ojos y sus apéndices, las heridas, los envenenamientos y algunos otros efectos de causas externas. En comparación con 2014, en</w:t>
      </w:r>
      <w:r w:rsidR="00E460BA">
        <w:t> </w:t>
      </w:r>
      <w:r w:rsidRPr="006532CE">
        <w:t>2018 se produjo un aumento del 12,1 % en la incidencia de neoplasias; del 7,6 % en las anomalías congénitas y anomalías cromosómicas; del 1,9 % en las enfermedades respiratorias; y del 1,6 % en las enfermedades del sistema nervioso. La incidencia de los trastornos mentales, las enfermedades digestivas y las enfermedades de la piel y del tejido subcutáneo disminuyó un 7,5 %, un 9,2 % y un 11,6 %, respectivamente, en comparación con 2014.</w:t>
      </w:r>
    </w:p>
    <w:p w14:paraId="5DB38202" w14:textId="054E736F" w:rsidR="006532CE" w:rsidRPr="006532CE" w:rsidRDefault="006532CE" w:rsidP="006532CE">
      <w:pPr>
        <w:pStyle w:val="SingleTxtG"/>
      </w:pPr>
      <w:r w:rsidRPr="006532CE">
        <w:t>121.</w:t>
      </w:r>
      <w:r w:rsidRPr="006532CE">
        <w:tab/>
        <w:t>En el grupo de edad de 15 a 17 años, la tasa de morbilidad general disminuyó un 3,1</w:t>
      </w:r>
      <w:r w:rsidR="00363EAC">
        <w:t> </w:t>
      </w:r>
      <w:r w:rsidRPr="006532CE">
        <w:t>% en comparación con 2014. Entre los adolescentes, las enfermedades más comunes son las de los sistemas respiratorio, digestivo y musculoesquelético, las producidas por lesiones e intoxicaciones, y otras enfermedades derivadas de causas externas. En comparación con</w:t>
      </w:r>
      <w:r w:rsidR="00363EAC">
        <w:t> </w:t>
      </w:r>
      <w:r w:rsidRPr="006532CE">
        <w:t>2014, se produjo un aumento del 18,0 % en la incidencia de neoplasias; del 5,4 % en las enfermedades del sistema endocrino; del 4,5 % en las enfermedades del ojo y sus anexos; y del 1,4 % en las enfermedades respiratorias. También desde 2014, se ha producido un descenso del 16,7 % en la incidencia de enfermedades digestivas; del 15,1 % en los trastornos mentales; del 13,5 % en las enfermedades de la piel y del tejido subcutáneo; y del 10,6 % en las enfermedades del aparato genitourinario.</w:t>
      </w:r>
    </w:p>
    <w:p w14:paraId="4A8F7EB0" w14:textId="77777777" w:rsidR="006532CE" w:rsidRPr="006532CE" w:rsidRDefault="006532CE" w:rsidP="006532CE">
      <w:pPr>
        <w:pStyle w:val="SingleTxtG"/>
      </w:pPr>
      <w:r w:rsidRPr="006532CE">
        <w:t>122.</w:t>
      </w:r>
      <w:r w:rsidRPr="006532CE">
        <w:tab/>
        <w:t>Un análisis del estado de salud de los niños indica que la tendencia al alza de la tasa de incidencia se mantiene; sin embargo, se debe tener en cuenta el aumento de oportunidades para identificar una serie de enfermedades en todos los grupos de edad a través de la introducción de modernas tecnologías médicas de diagnóstico, tanto en grupos individuales como a nivel de población. En 2018, la proporción de niños de 0 a 17 años que se sometieron a reconocimientos médicos y exámenes de salud preventivos aumentó un 13,6 %, hasta los 26,7 millones de niños (en 2014 esa cifra fue de 23,6 millones de niños). En 2018, la proporción de niños clasificados dentro de los grupos de salud I y II era del 83,8 % (81,1 % en 2014).</w:t>
      </w:r>
    </w:p>
    <w:p w14:paraId="7DFBF85B" w14:textId="77777777" w:rsidR="006532CE" w:rsidRPr="006532CE" w:rsidRDefault="006532CE" w:rsidP="006532CE">
      <w:pPr>
        <w:pStyle w:val="SingleTxtG"/>
      </w:pPr>
      <w:r w:rsidRPr="006532CE">
        <w:t>123.</w:t>
      </w:r>
      <w:r w:rsidRPr="006532CE">
        <w:tab/>
        <w:t>A 1 de enero de 2019, en la Federación de Rusia operaban 145 residencias de primera infancia que albergaban a 7.524 niños. Del total de residentes, la proporción de niños en el primer año de vida era del 26,2 % (24,5 % en 2014), mientras que la de niños con discapacidad era del 19,4 % (25,7 % en 2014). Está disminuyendo la proporción de niños con deficiencias físicas (36,9 % en 2018 frente al 42,4 % en 2014) y la proporción de niños con deficiencias mentales (61,8 % en 2018 frente al 67,1 % en 2014) respecto al número total de niños.</w:t>
      </w:r>
    </w:p>
    <w:p w14:paraId="4673B3C5" w14:textId="4CDDB9D9" w:rsidR="006532CE" w:rsidRPr="006532CE" w:rsidRDefault="006532CE" w:rsidP="006532CE">
      <w:pPr>
        <w:pStyle w:val="SingleTxtG"/>
      </w:pPr>
      <w:r w:rsidRPr="006532CE">
        <w:lastRenderedPageBreak/>
        <w:t>124.</w:t>
      </w:r>
      <w:r w:rsidRPr="006532CE">
        <w:tab/>
        <w:t>Al igual que en años anteriores, las principales afecciones entre los niños que vivían en residencias de primera infancia fueron las enfermedades respiratorias (31,2 % en 2018 frente al 34,1 % en 2014); las enfermedades del sistema nervioso (16,3 % en 2018 frente al 14,1 % en 2014); y las anomalías congénitas, deformidades y anomalías cromosómicas (10,6</w:t>
      </w:r>
      <w:r w:rsidR="00716586">
        <w:t> </w:t>
      </w:r>
      <w:r w:rsidRPr="006532CE">
        <w:t>% en 2018 frente al 10,1 % en 2014). El número de niños aten</w:t>
      </w:r>
      <w:r w:rsidR="00CB5EC2">
        <w:t>d</w:t>
      </w:r>
      <w:r w:rsidRPr="006532CE">
        <w:t>idos en una clínica con fines de observación y primer diagnóstico fue de 7.136, es decir, casi el 95 % de todos los niños acogidos (el 79 % en 2014). El p</w:t>
      </w:r>
      <w:r w:rsidR="00CB5EC2">
        <w:t>or</w:t>
      </w:r>
      <w:r w:rsidRPr="006532CE">
        <w:t>centaje de niños que así lo necesitaban recibieron los cuidados siguientes: atención médica especializada: el 99,5 % (98,5 % en 2014); atención médica de alta tecnología: el 84,4 % (82,7 % en 2014); y rehabilitación médica: el 99,8 % (99,4 % en 2014).</w:t>
      </w:r>
    </w:p>
    <w:p w14:paraId="5FC45805" w14:textId="77777777" w:rsidR="006532CE" w:rsidRPr="006532CE" w:rsidRDefault="006532CE" w:rsidP="006532CE">
      <w:pPr>
        <w:pStyle w:val="SingleTxtG"/>
      </w:pPr>
      <w:r w:rsidRPr="006532CE">
        <w:t>125.</w:t>
      </w:r>
      <w:r w:rsidRPr="006532CE">
        <w:tab/>
        <w:t>Con vistas a la detección temprana de niños en situación de riesgo, niños con necesidades especiales y niños con trastornos genéticos, la Federación de Rusia está ampliando la medicina preventiva mediante la detección masiva de patologías congénitas y hereditarias en los niños, dotando a los centros y clínicas de genética federales y regionales y a otras entidades médicas del sistema sanitario estatal de equipos modernos para el diagnóstico prenatal y neonatal, la detección audiológica y las revisiones preventivas masivas de niños de todas las edades, así como mejorando el nivel del formación profesional de los médicos especialistas.</w:t>
      </w:r>
    </w:p>
    <w:p w14:paraId="0A718E4A" w14:textId="77777777" w:rsidR="006532CE" w:rsidRPr="006532CE" w:rsidRDefault="006532CE" w:rsidP="006532CE">
      <w:pPr>
        <w:pStyle w:val="SingleTxtG"/>
      </w:pPr>
      <w:r w:rsidRPr="006532CE">
        <w:t>126.</w:t>
      </w:r>
      <w:r w:rsidRPr="006532CE">
        <w:tab/>
        <w:t>El diagnóstico prenatal tiene por objeto la detección precoz, antes del nacimiento, de enfermedades o trastornos del desarrollo infantil de carácter hereditario y congénito. Detectar una enfermedad congénita o hereditaria antes del nacimiento ayuda a optimizar la atención médica que la gestante recibe durante el embarazo; a garantizar las condiciones para un parto adecuado; a proporcionar cuidados especializados, incluidos de alta tecnología, al recién nacido; y a preparar un programa de tratamiento y rehabilitación del niño en edades posteriores, a fin de reducir no solo la mortalidad, sino también la discapacidad.</w:t>
      </w:r>
    </w:p>
    <w:p w14:paraId="416C5186" w14:textId="712F8A74" w:rsidR="006532CE" w:rsidRPr="006532CE" w:rsidRDefault="006532CE" w:rsidP="006532CE">
      <w:pPr>
        <w:pStyle w:val="SingleTxtG"/>
      </w:pPr>
      <w:r w:rsidRPr="006532CE">
        <w:t>127.</w:t>
      </w:r>
      <w:r w:rsidRPr="006532CE">
        <w:tab/>
        <w:t>Los niños con enfermedades congénitas y hereditarias halladas en el proceso de detección precoz reciben tratamiento (alimentación terapéutica especial y medicamentos) inmediatamente después del diagnóstico.</w:t>
      </w:r>
    </w:p>
    <w:p w14:paraId="738054B3" w14:textId="5BEC25F3" w:rsidR="006532CE" w:rsidRPr="006532CE" w:rsidRDefault="006532CE" w:rsidP="006532CE">
      <w:pPr>
        <w:pStyle w:val="SingleTxtG"/>
      </w:pPr>
      <w:r w:rsidRPr="006532CE">
        <w:t>128.</w:t>
      </w:r>
      <w:r w:rsidRPr="006532CE">
        <w:tab/>
        <w:t>Con el fin de aplicar la política estatal con respecto al suministro de una alimentación terapéutica especializada para niños con discapacidad, prevista en las disposiciones de la Ley Federal núm. 317, por la que se modifican algunos instrumentos legislativos sobre la protección de la salud de los ciudadanos en la Federación de Rusia, de 25 de noviembre de</w:t>
      </w:r>
      <w:r w:rsidR="00716586">
        <w:t>  </w:t>
      </w:r>
      <w:r w:rsidRPr="006532CE">
        <w:t>2013, se elaboraron las Normas para el establecimiento de una lista de produ</w:t>
      </w:r>
      <w:r w:rsidR="00CB5EC2">
        <w:t>c</w:t>
      </w:r>
      <w:r w:rsidRPr="006532CE">
        <w:t>tos alimenticios terapéuticos especializados para niños con discapacidad, aprobadas mediante la Resolución del Gobierno núm. 333, de 9 de abril de 2015. De acuerdo con las Normas, desde</w:t>
      </w:r>
      <w:r w:rsidR="00716586">
        <w:t> </w:t>
      </w:r>
      <w:r w:rsidRPr="006532CE">
        <w:t>2015 se aprueba anualmente una lista de alimentos terapéuticos especializados para niños con discapacidad.</w:t>
      </w:r>
    </w:p>
    <w:p w14:paraId="1D3E3AC2" w14:textId="3FD7A694" w:rsidR="006532CE" w:rsidRPr="006532CE" w:rsidRDefault="006532CE" w:rsidP="006532CE">
      <w:pPr>
        <w:pStyle w:val="SingleTxtG"/>
      </w:pPr>
      <w:r w:rsidRPr="006532CE">
        <w:t>129.</w:t>
      </w:r>
      <w:r w:rsidRPr="006532CE">
        <w:tab/>
        <w:t xml:space="preserve">En virtud de la </w:t>
      </w:r>
      <w:r w:rsidR="00153570">
        <w:t>D</w:t>
      </w:r>
      <w:r w:rsidRPr="006532CE">
        <w:t xml:space="preserve">irectriz núm. 2203 del Gobierno de la Federación de Rusia, de 20 de octubre de 2016, se aprobó la Estrategia Estatal de Lucha contra la Propagación de la Infección por el VIH en la Federación de Rusia hasta 2020 y Ulteriormente. Como parte de esta </w:t>
      </w:r>
      <w:r w:rsidR="00716586">
        <w:t>E</w:t>
      </w:r>
      <w:r w:rsidRPr="006532CE">
        <w:t>strategia, en 2017, la Asociación Nacional de Especialistas en Prevención, Diagnóstico y Tratamiento del Virus de la Inmunodeficiencia Humana revisó las recomendaciones clínicas (protocolos de tratamiento) relativas a la infección por el VIH en adultos; la infección por el VIH en los niños; y la prevención de la transmisión perinatal del VIH. Mediante las nuevas recomendaciones clínicas se garantiza la utilización de los planes de más recientes que cuentan con el respaldo de la Organización Mundial de la Salud para tratar y prevenir la infección por el VIH.</w:t>
      </w:r>
    </w:p>
    <w:p w14:paraId="7760F552" w14:textId="72699F79" w:rsidR="006532CE" w:rsidRPr="006532CE" w:rsidRDefault="006532CE" w:rsidP="006532CE">
      <w:pPr>
        <w:pStyle w:val="SingleTxtG"/>
      </w:pPr>
      <w:r w:rsidRPr="006532CE">
        <w:t>130.</w:t>
      </w:r>
      <w:r w:rsidRPr="006532CE">
        <w:tab/>
        <w:t xml:space="preserve">La Federación de Rusia ha establecido un sistema de atención médica para las mujeres embarazadas, que incluye la prevención de la transmisión perinatal del VIH de madre a hijo. En las regiones con una elevada tasa de incidencia del VIH, se han introducido pruebas voluntarias y confidenciales del VIH para los maridos y parejas sexuales de las mujeres embarazadas, con el fin de evitar que se infecten. Como resultado de estos esfuerzos, el riesgo de transmisión perinatal del VIH en la Federación de Rusia se ha reducido casi 5 veces en los últimos 10 años, hasta situarse por debajo del 2 %. En 2018 nacieron 14.754 niños de madres seropositivas (15.044 en 2017), de los cuales 219 niños fueron seropositivos confirmados (235 en 2017). Gracias a la alta cobertura de atención a las mujeres embarazadas </w:t>
      </w:r>
      <w:r w:rsidRPr="006532CE">
        <w:lastRenderedPageBreak/>
        <w:t>infectadas por el VIH y de prevención de la transmisión maternofilial de la infección por el VIH en los recién nacidos (cobertura de prevención del 95,8 % durante el parto y del 99,1 % de los niños recién nacidos), los resultados de 2018, excluyendo los resultados de las pruebas de los niños nacidos en el cuarto trimestre de 2017, muestran un riesgo del 1,5 % de transmisión maternofilial de la infección por el VIH.</w:t>
      </w:r>
    </w:p>
    <w:p w14:paraId="5DB04A9E" w14:textId="6147BCC4" w:rsidR="006532CE" w:rsidRPr="006532CE" w:rsidRDefault="006532CE" w:rsidP="006532CE">
      <w:pPr>
        <w:pStyle w:val="H1G"/>
      </w:pPr>
      <w:r w:rsidRPr="006532CE">
        <w:tab/>
        <w:t>D.</w:t>
      </w:r>
      <w:r w:rsidRPr="006532CE">
        <w:tab/>
        <w:t>Los derechos reproductivos de los adolescentes y las medidas para</w:t>
      </w:r>
      <w:r>
        <w:t> </w:t>
      </w:r>
      <w:r w:rsidRPr="006532CE">
        <w:t>promover un estilo de vida sano</w:t>
      </w:r>
    </w:p>
    <w:p w14:paraId="4F2B64BE" w14:textId="77777777" w:rsidR="006532CE" w:rsidRPr="006532CE" w:rsidRDefault="006532CE" w:rsidP="006532CE">
      <w:pPr>
        <w:pStyle w:val="SingleTxtG"/>
      </w:pPr>
      <w:r w:rsidRPr="006532CE">
        <w:t>131.</w:t>
      </w:r>
      <w:r w:rsidRPr="006532CE">
        <w:tab/>
        <w:t>La creación de un entorno que promueva estilos de vida saludables se considera una tarea capital. Desde 2011, en toda la Federación de Rusia hay centros de salud para niños, a los que pueden acudir los menores de 17 años que se consideren sanos y quieran aprender a llevar una vida sana y deshacerse de malos hábitos. El Centro de Salud Infantil presta servicios de atención sanitaria a las siguientes categorías de usuarios: niños que acuden por primera vez en el año en curso para someterse a una revisión completa; niños cuyos padres (o tutor legal) han tomado la decisión de asistir al centro; niños (o adolescentes) que se autorremiten a un centro de salud; niños remitidos por el personal médico de centros educativos y niños del grupo de salud I (prácticamente sanos) y del grupo de salud II (con riesgo de desarrollar patologías crónicas y trastornos funcionales) remitidos por un centro sanitario; y niños que hayan estado en observación en un centro sanitario.</w:t>
      </w:r>
    </w:p>
    <w:p w14:paraId="4EC4A297" w14:textId="3B386F2D" w:rsidR="006532CE" w:rsidRPr="006532CE" w:rsidRDefault="006532CE" w:rsidP="006532CE">
      <w:pPr>
        <w:pStyle w:val="SingleTxtG"/>
      </w:pPr>
      <w:r w:rsidRPr="006532CE">
        <w:t>132.</w:t>
      </w:r>
      <w:r w:rsidRPr="006532CE">
        <w:tab/>
        <w:t>En el caso de las personas de zonas rurales que deseen acudir a un centro de salud, se puede organizar el desplazamiento al centro de salud que les corresponda geográficamente durante las horas y los días de la semana designados.</w:t>
      </w:r>
    </w:p>
    <w:p w14:paraId="689E6554" w14:textId="77777777" w:rsidR="006532CE" w:rsidRPr="006532CE" w:rsidRDefault="006532CE" w:rsidP="006532CE">
      <w:pPr>
        <w:pStyle w:val="SingleTxtG"/>
      </w:pPr>
      <w:r w:rsidRPr="006532CE">
        <w:t>133.</w:t>
      </w:r>
      <w:r w:rsidRPr="006532CE">
        <w:tab/>
        <w:t>Alrededor de 1,1 millones de niños y unos 5 millones de adultos acuden cada año a los centros de salud. En un futuro próximo está previsto crear grupos de acompañamiento sanitario formados por especialistas en medicina preventiva, trabajadores sociales, psicólogos, representantes de seguros, médicos generalistas (médicos de distrito) y voluntarios.</w:t>
      </w:r>
    </w:p>
    <w:p w14:paraId="1FA225A1" w14:textId="3FF2D0F9" w:rsidR="006532CE" w:rsidRPr="006532CE" w:rsidRDefault="006532CE" w:rsidP="006532CE">
      <w:pPr>
        <w:pStyle w:val="H1G"/>
      </w:pPr>
      <w:r w:rsidRPr="006532CE">
        <w:tab/>
        <w:t>E.</w:t>
      </w:r>
      <w:r w:rsidRPr="006532CE">
        <w:tab/>
        <w:t>Las medidas para prohibir y erradicar todo tipo de prácticas tradicionales nocivas, en particular, aunque no exclusivamente, la</w:t>
      </w:r>
      <w:r>
        <w:t> </w:t>
      </w:r>
      <w:r w:rsidRPr="006532CE">
        <w:t>mutilación genital femenina y los matrimonios precoces y</w:t>
      </w:r>
      <w:r>
        <w:t> </w:t>
      </w:r>
      <w:r w:rsidRPr="006532CE">
        <w:t>forzados</w:t>
      </w:r>
      <w:r>
        <w:t> </w:t>
      </w:r>
      <w:r w:rsidRPr="006532CE">
        <w:t>(art. 24, párr. 3)</w:t>
      </w:r>
    </w:p>
    <w:p w14:paraId="2A8A4A5C" w14:textId="7F0DDAD9" w:rsidR="006532CE" w:rsidRPr="006532CE" w:rsidRDefault="006532CE" w:rsidP="006532CE">
      <w:pPr>
        <w:pStyle w:val="SingleTxtG"/>
      </w:pPr>
      <w:r w:rsidRPr="006532CE">
        <w:t>134.</w:t>
      </w:r>
      <w:r w:rsidRPr="006532CE">
        <w:tab/>
        <w:t xml:space="preserve">En el párrafo 38 de las observaciones finales se afirmaba que debían tomarse medidas para investigar todos los actos de violencia contra mujeres y niñas en el Cáucaso Septentrional. Las denuncias de violencia contra mujeres y niñas en el Cáucaso Septentrional, incluidos los llamados </w:t>
      </w:r>
      <w:r w:rsidR="00CB5EC2">
        <w:t>“</w:t>
      </w:r>
      <w:r w:rsidRPr="006532CE">
        <w:t>asesinatos por honor</w:t>
      </w:r>
      <w:r w:rsidR="00CB5EC2">
        <w:t>”</w:t>
      </w:r>
      <w:r w:rsidRPr="006532CE">
        <w:t xml:space="preserve"> y </w:t>
      </w:r>
      <w:r w:rsidR="00CB5EC2">
        <w:t>“</w:t>
      </w:r>
      <w:r w:rsidRPr="006532CE">
        <w:t>raptos de novias</w:t>
      </w:r>
      <w:r w:rsidR="00CB5EC2">
        <w:t>”</w:t>
      </w:r>
      <w:r w:rsidRPr="006532CE">
        <w:t>, los matrimonios precoces y la poligamia, son inverosímiles. No hay pruebas de que las mujeres y niñas del Cáucaso Septentrional teman sufrir represalias o estigma si denuncian a las fuerzas del orden. Dado que las observaciones finales no aportan pruebas concretas de violaciones de los derechos de las mujeres o niñas en el Cáucaso Septentrional que se hayan podido verificar, no se puede proporcionar información detallada sobre esta cuestión. En 2018, el distrito federal del Cáucaso Septentrional registró el menor número de niños víctimas de delitos (3,2 % del total).</w:t>
      </w:r>
    </w:p>
    <w:p w14:paraId="16538018" w14:textId="1293821A" w:rsidR="006532CE" w:rsidRPr="006532CE" w:rsidRDefault="006532CE" w:rsidP="006532CE">
      <w:pPr>
        <w:pStyle w:val="H1G"/>
      </w:pPr>
      <w:r w:rsidRPr="006532CE">
        <w:tab/>
        <w:t>F.</w:t>
      </w:r>
      <w:r w:rsidRPr="006532CE">
        <w:tab/>
        <w:t>Las medidas para proteger a los niños del uso indebido de sustancias psicotrópicas (art. 33)</w:t>
      </w:r>
    </w:p>
    <w:p w14:paraId="1C65D5F0" w14:textId="77777777" w:rsidR="006532CE" w:rsidRPr="006532CE" w:rsidRDefault="006532CE" w:rsidP="006532CE">
      <w:pPr>
        <w:pStyle w:val="SingleTxtG"/>
      </w:pPr>
      <w:r w:rsidRPr="006532CE">
        <w:t>135.</w:t>
      </w:r>
      <w:r w:rsidRPr="006532CE">
        <w:tab/>
        <w:t>Las disposiciones relativas a este artículo se detallan en los párrafos 178 a 182 del presente informe.</w:t>
      </w:r>
    </w:p>
    <w:p w14:paraId="09CD1B07" w14:textId="266F300F" w:rsidR="006532CE" w:rsidRPr="006532CE" w:rsidRDefault="006532CE" w:rsidP="006532CE">
      <w:pPr>
        <w:pStyle w:val="H1G"/>
      </w:pPr>
      <w:r w:rsidRPr="006532CE">
        <w:lastRenderedPageBreak/>
        <w:tab/>
        <w:t>G.</w:t>
      </w:r>
      <w:r w:rsidRPr="006532CE">
        <w:tab/>
        <w:t>Las medidas para garantizar la protección de los niños con padres encarcelados y los niños que acompañan a su madre en prisión</w:t>
      </w:r>
    </w:p>
    <w:p w14:paraId="1C928FEC" w14:textId="77777777" w:rsidR="006532CE" w:rsidRPr="006532CE" w:rsidRDefault="006532CE" w:rsidP="006532CE">
      <w:pPr>
        <w:pStyle w:val="SingleTxtG"/>
      </w:pPr>
      <w:r w:rsidRPr="006532CE">
        <w:t>136.</w:t>
      </w:r>
      <w:r w:rsidRPr="006532CE">
        <w:tab/>
        <w:t>Las administraciones penitenciarias garantizan las condiciones necesarias para que los niños puedan vivir y desarrollarse con normalidad. Hay 13 residencias de primera infancia en prisiones de mujeres, que albergan a 479 niños. Las reclusas pueden dejar a sus hijos menores de 3 años en ellas y verlos sin restricción alguna en sus horas libres. También existe la posibilidad de que se les permita vivir con sus hijos. Con el consentimiento de las reclusas, sus hijos pueden quedar al cuidado de familiares o, si los órganos de tutela y custodia así lo deciden, de otras personas, o ser transferidos, cuando cumplan 3 años, a los centros infantiles correspondientes. Si un niño que se encuentra en la residencia de primera infancia de una institución penitenciaria cumple 3 años y a su madre le queda por cumplir menos de un año de condena, la administración penitenciaria puede permitir que el niño permanezca en la residencia hasta que la madre la termine.</w:t>
      </w:r>
    </w:p>
    <w:p w14:paraId="3DA802F0" w14:textId="77777777" w:rsidR="006532CE" w:rsidRPr="006532CE" w:rsidRDefault="006532CE" w:rsidP="006532CE">
      <w:pPr>
        <w:pStyle w:val="SingleTxtG"/>
      </w:pPr>
      <w:r w:rsidRPr="006532CE">
        <w:t>137.</w:t>
      </w:r>
      <w:r w:rsidRPr="006532CE">
        <w:tab/>
        <w:t>Las condenadas embarazadas y las condenadas durante el parto y el puerperio reciben atención médica especializada. Se fomentan las mejores condiciones posibles para el desarrollo físico y mental de los lactantes y niños de corta edad residentes en lugares de reclusión, la preservación y promoción de su salud y el mantenimiento y el desarrollo de un vínculo psicológico duradero entre la mujer encarcelada y su hijo. Según la legislación rusa, las mujeres embarazadas, las madres lactantes condenadas y las mujeres condenadas con hijos tienen derechos adicionales. Las mujeres embarazadas y las mujeres con hijos recluidas en lugares de detención deben disponer de mejores condiciones materiales y sociales, de atención médica adecuada y de una mejor alimentación.</w:t>
      </w:r>
    </w:p>
    <w:p w14:paraId="71857F7C" w14:textId="5191BE4D" w:rsidR="006532CE" w:rsidRPr="006532CE" w:rsidRDefault="006532CE" w:rsidP="006532CE">
      <w:pPr>
        <w:pStyle w:val="SingleTxtG"/>
      </w:pPr>
      <w:r w:rsidRPr="006532CE">
        <w:t>138.</w:t>
      </w:r>
      <w:r w:rsidRPr="006532CE">
        <w:tab/>
        <w:t>Con el fin de mantener vínculos socialmente útiles con la familia, sobre la base del artículo 89 del Código Penitenciario de la Federación de Rusia, las mujeres condenadas que tengan un hijo menor de 14 años pueden obtener autorización para recibir visitas prolongadas adicionales de sus hijos los fines de semana y días festivos con alojamiento fuera de la institución penal, pero dentro del municipio en el que se encuentre el centro.</w:t>
      </w:r>
    </w:p>
    <w:p w14:paraId="2978B122" w14:textId="01E417BC" w:rsidR="006532CE" w:rsidRPr="006532CE" w:rsidRDefault="006532CE" w:rsidP="006532CE">
      <w:pPr>
        <w:pStyle w:val="H1G"/>
        <w:rPr>
          <w:iCs/>
        </w:rPr>
      </w:pPr>
      <w:r w:rsidRPr="006532CE">
        <w:tab/>
        <w:t>H.</w:t>
      </w:r>
      <w:r w:rsidRPr="006532CE">
        <w:tab/>
        <w:t>La seguridad social y los servicios y establecimientos de guarda de</w:t>
      </w:r>
      <w:r>
        <w:t> </w:t>
      </w:r>
      <w:r w:rsidRPr="006532CE">
        <w:t>niños</w:t>
      </w:r>
      <w:r>
        <w:t> </w:t>
      </w:r>
      <w:r w:rsidRPr="006532CE">
        <w:t>(arts. 26 y 18, párr. 3)</w:t>
      </w:r>
    </w:p>
    <w:p w14:paraId="16302D36" w14:textId="5F3E7965" w:rsidR="006532CE" w:rsidRPr="006532CE" w:rsidRDefault="006532CE" w:rsidP="006532CE">
      <w:pPr>
        <w:pStyle w:val="SingleTxtG"/>
      </w:pPr>
      <w:r w:rsidRPr="006532CE">
        <w:t>139.</w:t>
      </w:r>
      <w:r w:rsidRPr="006532CE">
        <w:tab/>
        <w:t>La Federación de Rusia vela por las normas básicas que garantizan la seguridad social de los niños y las familias con niños, y se han introducido nuevas medidas para apoyar a las familias en relación con el nacimiento y la crianza de los niños (párrs. 272, 273, 275, 277 y 278 del segundo informe periódico, párrs. 96 a 99, 148 y 149 y 180 a 182 de los informes periódicos cuarto y quinto combinados y párrs. 142 a 146 de los informes periódicos sexto y séptimo combinados).</w:t>
      </w:r>
    </w:p>
    <w:p w14:paraId="51432B83" w14:textId="77777777" w:rsidR="006532CE" w:rsidRPr="006532CE" w:rsidRDefault="006532CE" w:rsidP="006532CE">
      <w:pPr>
        <w:pStyle w:val="SingleTxtG"/>
      </w:pPr>
      <w:r w:rsidRPr="006532CE">
        <w:t>140.</w:t>
      </w:r>
      <w:r w:rsidRPr="006532CE">
        <w:tab/>
        <w:t>Recientemente, el período máximo de cuidado de un hijo menor de un año y medio por parte de uno de los padres, que se computa a efectos de cotización con igual valor que los períodos de trabajo u otras actividades, ha pasado de 3 a 6 años.</w:t>
      </w:r>
    </w:p>
    <w:p w14:paraId="18E91197" w14:textId="623E0F76" w:rsidR="006532CE" w:rsidRPr="006532CE" w:rsidRDefault="006532CE" w:rsidP="006532CE">
      <w:pPr>
        <w:pStyle w:val="H1G"/>
      </w:pPr>
      <w:r w:rsidRPr="006532CE">
        <w:tab/>
        <w:t>I.</w:t>
      </w:r>
      <w:r w:rsidRPr="006532CE">
        <w:tab/>
        <w:t>El nivel de vida y las medidas, en particular en forma de asistencia material y programas de apoyo relativos a la nutrición, el vestido y</w:t>
      </w:r>
      <w:r>
        <w:t> </w:t>
      </w:r>
      <w:r w:rsidRPr="006532CE">
        <w:t>la</w:t>
      </w:r>
      <w:r>
        <w:t> </w:t>
      </w:r>
      <w:r w:rsidRPr="006532CE">
        <w:t>vivienda, que se hayan adoptado para garantizar el desarrollo físico, mental, espiritual, moral y social del niño y reducir la pobreza y</w:t>
      </w:r>
      <w:r>
        <w:t> </w:t>
      </w:r>
      <w:r w:rsidRPr="006532CE">
        <w:t>la desigualdad (art. 27, párrs. 1 a 3)</w:t>
      </w:r>
    </w:p>
    <w:p w14:paraId="40548EE5" w14:textId="77777777" w:rsidR="006532CE" w:rsidRPr="006532CE" w:rsidRDefault="006532CE" w:rsidP="006532CE">
      <w:pPr>
        <w:pStyle w:val="SingleTxtG"/>
      </w:pPr>
      <w:r w:rsidRPr="006532CE">
        <w:t>141.</w:t>
      </w:r>
      <w:r w:rsidRPr="006532CE">
        <w:tab/>
        <w:t>Las disposiciones relativas a este artículo se detallan en el párrafo 21 del presente informe.</w:t>
      </w:r>
    </w:p>
    <w:p w14:paraId="06FAB426" w14:textId="20BA4CE9" w:rsidR="006532CE" w:rsidRPr="006532CE" w:rsidRDefault="006532CE" w:rsidP="006532CE">
      <w:pPr>
        <w:pStyle w:val="SingleTxtG"/>
      </w:pPr>
      <w:r w:rsidRPr="006532CE">
        <w:t>142.</w:t>
      </w:r>
      <w:r w:rsidRPr="006532CE">
        <w:tab/>
        <w:t xml:space="preserve">En el párrafo 32 de los informes periódicos cuarto y quinto combinados figuraba información sobre el sistema uniforme de prestaciones estatales en relación con el nacimiento y la crianza de los hijos establecido en virtud de la Ley </w:t>
      </w:r>
      <w:r w:rsidR="00182075">
        <w:t>F</w:t>
      </w:r>
      <w:r w:rsidRPr="006532CE">
        <w:t xml:space="preserve">ederal núm. 81 de Prestaciones Estatales para Familias con Hijos, de 19 de mayo de 1995. Durante el período examinado se llevaron a cabo cambios en la Ley Federal, entre ellos: modificaciones en el procedimiento </w:t>
      </w:r>
      <w:r w:rsidRPr="006532CE">
        <w:lastRenderedPageBreak/>
        <w:t>de indexación de las prestaciones estatales; reducción del número de documentos que deben presentar los solicitantes de prestaciones estatales gracias a la implantación del intercambio de información entre organismos; y cambios en el procedimiento de asignación, indexación y pago de las prestaciones familiares establecidas por los instrumentos jurídicos y normativos de las entidades constitutivas de la Federación de Rusia. El derecho a recibir prestaciones estatales por el nacimiento y la crianza de hijos se estableció en 2013 en relación con las mujeres que estudian a tiempo completo en instituciones de formación profesional, instituciones educativas de educación superior, instituciones educativas de formación profesional complementaria y organizaciones científicas. Dicho derecho se aplica también a las mujeres que realizan el servicio militar en las tropas de la Guardia Nacional desde 2018. La cuantía del subsidio único se incrementa cuando la familia acoge a un hijo con discapacidad, a un niño mayor de siete años y a hermanos.</w:t>
      </w:r>
    </w:p>
    <w:p w14:paraId="5ADDB7D2" w14:textId="00AE9676" w:rsidR="006532CE" w:rsidRPr="006532CE" w:rsidRDefault="006532CE" w:rsidP="006532CE">
      <w:pPr>
        <w:pStyle w:val="SingleTxtG"/>
      </w:pPr>
      <w:r w:rsidRPr="006532CE">
        <w:t xml:space="preserve">143. </w:t>
      </w:r>
      <w:r w:rsidRPr="006532CE">
        <w:tab/>
        <w:t>Desde el 1 de enero de 2018, en virtud de la Ley Federal núm. 418 de Subsidios Mensuales a las Familias con Hijos, de 28 de diciembre de 2017, las familias que registren el nacimiento o adopción de su primer o segun</w:t>
      </w:r>
      <w:r w:rsidR="00CB5EC2">
        <w:t>d</w:t>
      </w:r>
      <w:r w:rsidRPr="006532CE">
        <w:t>o hijo, y cuyos ingresos medios per cápita no superen 1,5 veces el mínimo de subsistencia para la población en edad de trabajar establecido en la entidad constitutiva de la Federación de Rusia que corresponda para el segundo trimestre del año anterior al año de solicitud, reciben pagos mensuales iguales al nivel mínimo de subsistencia infantil establecido en el segundo trimestre del año anterior al año de solicitud. El pago mensual en relación con el nacimiento o adopción del primer hijo se abona con cargo al presupuesto federal en forma de subvención a los presupuestos de las entidades constitutivas de la Federación de Rusia; el pago mensual en relación con el nacimiento o adopción del segundo hijo se abona con cargo al capital de maternidad (o familiar).</w:t>
      </w:r>
    </w:p>
    <w:p w14:paraId="06E1DEF7" w14:textId="3A051A2B" w:rsidR="006532CE" w:rsidRPr="006532CE" w:rsidRDefault="006532CE" w:rsidP="006532CE">
      <w:pPr>
        <w:pStyle w:val="SingleTxtG"/>
      </w:pPr>
      <w:r w:rsidRPr="006532CE">
        <w:t>144.</w:t>
      </w:r>
      <w:r w:rsidRPr="006532CE">
        <w:tab/>
        <w:t>De conformidad con el Decreto núm. 606 del Presidente de la Federación de Rusia de medidas para aplicar la política demográfica de la Federación de Rusia, de 7 de mayo de</w:t>
      </w:r>
      <w:r w:rsidR="000C4526">
        <w:t> </w:t>
      </w:r>
      <w:r w:rsidRPr="006532CE">
        <w:t>2012, se prevé un pago mensual en metálico en relación con el nacimiento o adopción de un tercer hijo y de los hijos subsiguientes. En las entidades constitutivas de la Federación de Rusia en las que la situación demográfica es desfavorable y la tasa global de fecundidad no supera 2, la cofinanciación de las obligaciones de gasto derivadas del subsidio mensual en metálico se realiza con fondos del presupuesto federal. La lista de entidades constitutivas de la Federación de Rusia se aprueba anualmente por decreto del Gobierno de la Federación de Rusia. El procedimiento y las condiciones de concesión de un subsidio mensual en metálico, así como su cuantía, se establecen en los instrumentos jurídicos y normativos de las entidades constitutivas de la Federación de Rusia.</w:t>
      </w:r>
    </w:p>
    <w:p w14:paraId="22335DE2" w14:textId="77777777" w:rsidR="006532CE" w:rsidRPr="006532CE" w:rsidRDefault="006532CE" w:rsidP="006532CE">
      <w:pPr>
        <w:pStyle w:val="SingleTxtG"/>
      </w:pPr>
      <w:r w:rsidRPr="006532CE">
        <w:t>145.</w:t>
      </w:r>
      <w:r w:rsidRPr="006532CE">
        <w:tab/>
        <w:t>También se han introducido modificaciones en la Ley Federal núm. 256 de Medidas Adicionales de Apoyo Estatal a las Familias con Hijos, de 29 de diciembre de 2006, que prevé medidas adicionales de apoyo, en forma de capital de maternidad (o familiar), a las familias con un segundo hijo (o subsiguiente) nacido con posterioridad al 1 de enero de 2007. La lista de usos posibles del capital de maternidad (o familiar) se amplió para incluir el derecho a adquirir bienes y servicios para la adaptación social y la integración en la sociedad de los niños con discapacidad, así como a recibir un subsidio mensual por el nacimiento o adopción de un segundo hijo a partir del 1 de enero de 2018. La lista de ámbitos de utilización de los fondos de capital de maternidad (o familiar), se amplió con independencia de la edad del niño cuyo nacimiento o adopción diera lugar al derecho a medidas adicionales de apoyo estatal: para pagar el anticipo o reembolsar el principal y los intereses de préstamos o créditos para la adquisición o construcción de vivienda, incluidos los préstamos hipotecarios concedidos a ciudadanos en virtud de un contrato de préstamo celebrado con una organización, incluida una entidad de crédito; para adquirir bienes y servicios destinados a la adaptación social y la integración en la sociedad de niños con discapacidad; y para sufragar servicios educativos de pago con miras a la aplicación de programas de educación preescolar y otros gastos relacionados con la educación preescolar. También se han introducido modificaciones para mejorar el mecanismo de control del gasto del capital de maternidad (o familiar), simplificar el procedimiento y acortar el plazo de obtención del certificado de capital de maternidad (o familiar). El programa de capital de maternidad (o familiar) se prorrogó hasta el 31 de diciembre de 2021.</w:t>
      </w:r>
    </w:p>
    <w:p w14:paraId="27A56AC3" w14:textId="77777777" w:rsidR="006532CE" w:rsidRPr="006532CE" w:rsidRDefault="006532CE" w:rsidP="0026135B">
      <w:pPr>
        <w:pStyle w:val="SingleTxtG"/>
        <w:keepNext/>
        <w:keepLines/>
      </w:pPr>
      <w:r w:rsidRPr="006532CE">
        <w:lastRenderedPageBreak/>
        <w:t>146.</w:t>
      </w:r>
      <w:r w:rsidRPr="006532CE">
        <w:tab/>
        <w:t>De conformidad con la Ley Federal núm. 400 de Pensiones Asociadas a los Seguros, de 28 de diciembre de 2013, para calcular la pensión del seguro de vida que corresponde a cada hijo huérfano de padre y madre, el coeficiente de pensión individual se determina sumando los coeficientes de las pensiones individuales de ambos progenitores. Para calcular la pensión del seguro de vida que recibe cada hijo de una madre soltera fallecida, se duplica el coeficiente de la pensión individual. A partir del 1 de enero de 2018, se estableció un nuevo tipo de pensión social: la pensión social para niños cuyos dos progenitores son desconocidos, durante todo el período en el que el niño no esté en edad de trabajar, y hasta que sea adoptado.</w:t>
      </w:r>
    </w:p>
    <w:p w14:paraId="0FFD9582" w14:textId="2343270E" w:rsidR="006532CE" w:rsidRPr="006532CE" w:rsidRDefault="006532CE" w:rsidP="006532CE">
      <w:pPr>
        <w:pStyle w:val="HChG"/>
      </w:pPr>
      <w:r w:rsidRPr="006532CE">
        <w:tab/>
        <w:t>VIII.</w:t>
      </w:r>
      <w:r w:rsidRPr="006532CE">
        <w:tab/>
        <w:t>Educación, esparcimiento y actividades culturales</w:t>
      </w:r>
    </w:p>
    <w:p w14:paraId="0E5D4777" w14:textId="5B4E4830" w:rsidR="006532CE" w:rsidRPr="006532CE" w:rsidRDefault="006532CE" w:rsidP="006532CE">
      <w:pPr>
        <w:pStyle w:val="H1G"/>
      </w:pPr>
      <w:r w:rsidRPr="006532CE">
        <w:tab/>
        <w:t>А.</w:t>
      </w:r>
      <w:r w:rsidRPr="006532CE">
        <w:tab/>
        <w:t>El derecho a la educación, incluidas la formación y la orientación profesionales (art. 28)</w:t>
      </w:r>
    </w:p>
    <w:p w14:paraId="2B8B4C4A" w14:textId="049081BF" w:rsidR="006532CE" w:rsidRPr="006532CE" w:rsidRDefault="006532CE" w:rsidP="006532CE">
      <w:pPr>
        <w:pStyle w:val="SingleTxtG"/>
      </w:pPr>
      <w:r w:rsidRPr="006532CE">
        <w:t>147.</w:t>
      </w:r>
      <w:r w:rsidRPr="006532CE">
        <w:tab/>
        <w:t>La prioridad en la educación preescolar sigue siendo garantizar el 100 % de accesibilidad a dicha educación para los niños de todas las edades. Desde 2012, las entidades constitutivas de la Federación de Rusia aplican medidas a gran escala para modernizar los sistemas regionales de educación preescolar. Las entidades constitutivas de la Federación de Rusia pueden asignar fondos de subvención del presupuesto federal a los sistemas regionales de educación preescolar, inclusive para la reconstrucción y las reparaciones corrientes o integrales de las guarderías existentes. Gracias a estas medidas, a 1 de enero de 2019, la disponibilidad de educación preescolar para niños de 3 a 7 años era del 99,08 % en el conjunto de la Federación de Rusia, y del 100 % en 73 entidades constitutivas de la Federación de Rusia. A 1 de enero de 2019, la disponibilidad de educación preescolar para niños de dos meses a tres años era del 83,58 %. A fin de dar cumplimiento al Decreto Presidencial núm.</w:t>
      </w:r>
      <w:r w:rsidR="000C4526">
        <w:t> </w:t>
      </w:r>
      <w:r w:rsidRPr="006532CE">
        <w:t xml:space="preserve">204 relativo a los objetivos nacionales y las tareas estratégicas de desarrollo de la Federación de Rusia hasta 2024, de 7 de mayo de 2018, y con miras a lograr el 100 % de acceso a la educación preescolar para niños de 1,5 a 3 años para 2021, se prevé la concesión de subvenciones a las entidades constitutivas de la Federación de Rusia, con cargo al presupuesto federal, en el marco del proyecto federal </w:t>
      </w:r>
      <w:r w:rsidR="00CB5EC2">
        <w:t>“</w:t>
      </w:r>
      <w:r w:rsidRPr="006532CE">
        <w:t>Apoyo al empleo de la mujer: creación de condiciones para la educación preescolar de los niños hasta los 3 años</w:t>
      </w:r>
      <w:r w:rsidR="00CB5EC2">
        <w:t>”</w:t>
      </w:r>
      <w:r w:rsidRPr="006532CE">
        <w:t xml:space="preserve"> del proyecto nacional </w:t>
      </w:r>
      <w:r w:rsidR="00CB5EC2">
        <w:t>“</w:t>
      </w:r>
      <w:r w:rsidRPr="006532CE">
        <w:t>Demografía</w:t>
      </w:r>
      <w:r w:rsidR="00CB5EC2">
        <w:t>”</w:t>
      </w:r>
      <w:r w:rsidRPr="006532CE">
        <w:t>. En el período 2019-2021 se preveía conceder un monto de 108.400</w:t>
      </w:r>
      <w:r w:rsidR="000C4526">
        <w:t> </w:t>
      </w:r>
      <w:r w:rsidRPr="006532CE">
        <w:t xml:space="preserve">millones de rublos para la creación de al menos 165.000 plazas adicionales en </w:t>
      </w:r>
      <w:r w:rsidR="00CB5EC2" w:rsidRPr="006532CE">
        <w:t>instituciones</w:t>
      </w:r>
      <w:r w:rsidRPr="006532CE">
        <w:t xml:space="preserve"> preescolares para niños de 1,5 a 3 años.</w:t>
      </w:r>
    </w:p>
    <w:p w14:paraId="19FA853B" w14:textId="77777777" w:rsidR="006532CE" w:rsidRPr="006532CE" w:rsidRDefault="006532CE" w:rsidP="006532CE">
      <w:pPr>
        <w:pStyle w:val="SingleTxtG"/>
      </w:pPr>
      <w:r w:rsidRPr="006532CE">
        <w:t>148.</w:t>
      </w:r>
      <w:r w:rsidRPr="006532CE">
        <w:tab/>
        <w:t>A 1 de febrero de 2019, 7,5 millones de niños recibían educación, supervisión y atención preescolar.</w:t>
      </w:r>
    </w:p>
    <w:p w14:paraId="3AD5F3D0" w14:textId="210EABF0" w:rsidR="006532CE" w:rsidRPr="006532CE" w:rsidRDefault="006532CE" w:rsidP="006532CE">
      <w:pPr>
        <w:pStyle w:val="SingleTxtG"/>
      </w:pPr>
      <w:r w:rsidRPr="006532CE">
        <w:t>149.</w:t>
      </w:r>
      <w:r w:rsidRPr="006532CE">
        <w:tab/>
        <w:t>El acceso a la educación preescolar también se garantiza mediante el desarrollo de la educación preescolar privada. En el marco de las medidas de apoyo a los a los sistemas regionales de educación preescolar en la Federación de Rusia, entre 2013 y 2015 se crearon 45.796 plazas de refuerzo del sector privado de educación preescolar, medida que prosiguió con 7.893 plazas adicionales en 2016, 9.536 plazas en 2017 y 11.033 plazas en 2018. El número de instituciones educativas preescolares privadas que cuentan con programas educativos de educación preescolar y cuidado infantil aumentó 1,6 veces de 2013 a 2017. El número de alumnos en dichas instituciones casi se ha duplicado, y en 2017 era de 111.372</w:t>
      </w:r>
      <w:r w:rsidR="000C4526">
        <w:t> </w:t>
      </w:r>
      <w:r w:rsidRPr="006532CE">
        <w:t>niños.</w:t>
      </w:r>
    </w:p>
    <w:p w14:paraId="3CF74210" w14:textId="77777777" w:rsidR="006532CE" w:rsidRPr="006532CE" w:rsidRDefault="006532CE" w:rsidP="006532CE">
      <w:pPr>
        <w:pStyle w:val="SingleTxtG"/>
      </w:pPr>
      <w:r w:rsidRPr="006532CE">
        <w:t>150.</w:t>
      </w:r>
      <w:r w:rsidRPr="006532CE">
        <w:tab/>
        <w:t>También se han fomentado los grupos familiares de preescolar (al 1 de enero de 2019 existían 1.767 de ellos, con 6.497 niños) y grupos para preescolares en instituciones educativas de educación superior (al 1 de enero de 2018 existían 24 centros de educación profesional e instituciones de educación superior en 11 entidades constitutivas de la Federación de Rusia que contaban con subdivisiones o grupos dedicados a actividades de educación preescolar o supervisión y cuidado de niños, incluidos los de una edad temprana).</w:t>
      </w:r>
    </w:p>
    <w:p w14:paraId="74AE2EEF" w14:textId="77777777" w:rsidR="006532CE" w:rsidRPr="006532CE" w:rsidRDefault="006532CE" w:rsidP="006532CE">
      <w:pPr>
        <w:pStyle w:val="SingleTxtG"/>
      </w:pPr>
      <w:r w:rsidRPr="006532CE">
        <w:t>151.</w:t>
      </w:r>
      <w:r w:rsidRPr="006532CE">
        <w:tab/>
        <w:t xml:space="preserve">Según el artículo 67 de la Ley Federal núm. 273 sobre la Educación en la Federación de Rusia, de 29 de diciembre de 2012, y el Procedimiento de admisión de candidatos a la enseñanza primaria, básica y secundaria generales, aprobado por la Orden núm. 32 del Ministerio de Educación y Ciencia de Rusia, de 22 de enero de 2014, las normas de admisión a los programas de educación general deben garantizar que se acepte a toda persona con </w:t>
      </w:r>
      <w:r w:rsidRPr="006532CE">
        <w:lastRenderedPageBreak/>
        <w:t>derecho a recibir educación general. Así, los hijos de ciudadanos extranjeros o apátridas reciben educación en el territorio de la Federación de Rusia en igualdad de condiciones con los ciudadanos de la Federación de Rusia.</w:t>
      </w:r>
    </w:p>
    <w:p w14:paraId="594B7FD5" w14:textId="6E7B8344" w:rsidR="006532CE" w:rsidRPr="006532CE" w:rsidRDefault="006532CE" w:rsidP="006532CE">
      <w:pPr>
        <w:pStyle w:val="SingleTxtG"/>
      </w:pPr>
      <w:r w:rsidRPr="006532CE">
        <w:t>152.</w:t>
      </w:r>
      <w:r w:rsidRPr="006532CE">
        <w:tab/>
        <w:t xml:space="preserve">En el marco de la aplicación del Plan Integral de Actividades para el Desarrollo Socioeconómico y Etnocultural de los Romaníes en la Federación de Rusia para 2013-2014, con el objetivo de lograr una socialización más exitosa de los niños gitanos en el espacio educativo, y también como parte del proyecto del Programa Federal Especial para el Desarrollo de la Educación para 2011-2015 titulado </w:t>
      </w:r>
      <w:r w:rsidR="00CB5EC2">
        <w:t>“</w:t>
      </w:r>
      <w:r w:rsidRPr="006532CE">
        <w:t>Desarrollo y aprobación de modelos para el fomento de la conciencia cívica y nacional de los niños en las instituciones de educación general como parte de la introducción de estándares educativos estatales federales para la educación general</w:t>
      </w:r>
      <w:r w:rsidR="00CB5EC2">
        <w:t>”</w:t>
      </w:r>
      <w:r w:rsidRPr="006532CE">
        <w:t>, se han elaborado materiales sobre el alfabeto del idioma ruso para los niños romaníes que no lo hablan, así como un libro de texto en romaní para las clases de primaria.</w:t>
      </w:r>
    </w:p>
    <w:p w14:paraId="4073F5B5" w14:textId="1367C476" w:rsidR="006532CE" w:rsidRPr="006532CE" w:rsidRDefault="006532CE" w:rsidP="006532CE">
      <w:pPr>
        <w:pStyle w:val="SingleTxtG"/>
      </w:pPr>
      <w:r w:rsidRPr="006532CE">
        <w:t>153.</w:t>
      </w:r>
      <w:r w:rsidRPr="006532CE">
        <w:tab/>
        <w:t>En virtud de la Orden núm. 1598 del Ministerio de Educación y Ciencia, de 15 de diciembre de 2016, se aprobó un conjunto de medidas dirigidas a actualizar sistemáticamente los contenidos de la enseñanza general a partir de los resultados de los estudios de seguimiento y teniendo en cuenta los modernos avances de la ciencia y la tecnología, los cambios en las demandas de los estudiantes y de la sociedad, y la orientación hacia la aplicación de los conocimientos, destrezas y habilidades en situaciones de la vida real, así como a integrar el trabajo educativo y de crianza como parte de los principales programas de la enseñanza general, a reducir la carga extraescolar de los estudiantes para aumentar su interés y máxima participación en el proceso educativo, y a utilizar las tecnologías y herramientas de enseñanza y crianza modernas.</w:t>
      </w:r>
    </w:p>
    <w:p w14:paraId="3BA5E6BD" w14:textId="5D1CC2C1" w:rsidR="006532CE" w:rsidRPr="006532CE" w:rsidRDefault="006532CE" w:rsidP="006532CE">
      <w:pPr>
        <w:pStyle w:val="SingleTxtG"/>
      </w:pPr>
      <w:r w:rsidRPr="006532CE">
        <w:t>154.</w:t>
      </w:r>
      <w:r w:rsidRPr="006532CE">
        <w:tab/>
        <w:t xml:space="preserve">Con el fin de mejorar la disponibilidad y la calidad de la educación general en la Federación de Rusia, el proyecto federal </w:t>
      </w:r>
      <w:r w:rsidR="00CB5EC2">
        <w:t>“</w:t>
      </w:r>
      <w:r w:rsidRPr="006532CE">
        <w:t>Escuela moderna</w:t>
      </w:r>
      <w:r w:rsidR="00CB5EC2">
        <w:t>”</w:t>
      </w:r>
      <w:r w:rsidRPr="006532CE">
        <w:t xml:space="preserve"> de la iniciativa nacional </w:t>
      </w:r>
      <w:r w:rsidR="00CB5EC2">
        <w:t>“</w:t>
      </w:r>
      <w:r w:rsidRPr="006532CE">
        <w:t>Educación</w:t>
      </w:r>
      <w:r w:rsidR="00CB5EC2">
        <w:t>”</w:t>
      </w:r>
      <w:r w:rsidRPr="006532CE">
        <w:t xml:space="preserve"> prevé la asignación de subvenciones (u otras transferencias interpresupuestarias) del presupuesto federal a los presupuestos de las entidades constitutivas de la Federación de Rusia para aplicar: medidas que ayuden a crear nuevas plazas en los centros de educación general de las entidades constitutivas (en función de las necesidades previstas); medidas para crear nuevas plazas en los centros de enseñanza general de las entidades constitutivas de la Federación de Rusia con el fin de eliminar el tercer turno en los centros de enseñanza general y fomentar las condiciones para recibir una enseñanza general de calidad en las repúblicas de Buryatia, Daguestán, Ingusetia y Chechenia; y medidas de modernización de las infraestructuras de educación general en determinadas entidades constitutivas de la Federación de Rusia.</w:t>
      </w:r>
    </w:p>
    <w:p w14:paraId="6691AD29" w14:textId="572F3875" w:rsidR="006532CE" w:rsidRPr="006532CE" w:rsidRDefault="006532CE" w:rsidP="006532CE">
      <w:pPr>
        <w:pStyle w:val="SingleTxtG"/>
      </w:pPr>
      <w:r w:rsidRPr="006532CE">
        <w:t>155.</w:t>
      </w:r>
      <w:r w:rsidRPr="006532CE">
        <w:tab/>
        <w:t>En diciembre de 2017 se aprobó el Marco para el Desarrollo de los Servicios Psicológicos en el Sistema Educativo de la Federación de Rusia para el período hasta 2025 y, posteriormente, el plan de acción para su implementación. Dicho Marco esboza una estrategia para el desarrollo de los servicios psicológicos en el sistema educativo de la Federación de Rusia basada en la continuidad de una experiencia de trabajo positiva y en la integración de los logros de la ciencia y la práctica psicológicas contemporáneas, teniendo en cuenta las prácticas regionales existentes en los servicios psicológicos para reducir los riesgos de inadaptación y desocialización de los estudiantes.</w:t>
      </w:r>
    </w:p>
    <w:p w14:paraId="7DACE930" w14:textId="1267D922" w:rsidR="006532CE" w:rsidRPr="006532CE" w:rsidRDefault="006532CE" w:rsidP="006532CE">
      <w:pPr>
        <w:pStyle w:val="SingleTxtG"/>
        <w:rPr>
          <w:bCs/>
        </w:rPr>
      </w:pPr>
      <w:r w:rsidRPr="006532CE">
        <w:t>156.</w:t>
      </w:r>
      <w:r w:rsidRPr="006532CE">
        <w:tab/>
        <w:t>El sistema de educación profesional secundaria contaba en 2018 con 3.659</w:t>
      </w:r>
      <w:r w:rsidR="00283CE1">
        <w:t> </w:t>
      </w:r>
      <w:r w:rsidRPr="006532CE">
        <w:t>instituciones educativas que ofrecían programas de educación profesional secundaria, lo que supone una institución menos que en 2016. El número de alumnos en esos centros aumentó de 2016 a 2018 en 154.500 personas, y a finales de 2018 era de 3.006.300 personas. En 2016-2018, el número de instituciones educativas no estatales que ofrecían programas de formación profesional secundaria aumentó en más de 1,09 veces. Al mismo tiempo, el número de alumnos de centros docentes de enseñanza profesional secundaria no estatales aumentó de 168.100 a 200.100.</w:t>
      </w:r>
    </w:p>
    <w:p w14:paraId="6D7ADAD5" w14:textId="77777777" w:rsidR="006532CE" w:rsidRPr="006532CE" w:rsidRDefault="006532CE" w:rsidP="006532CE">
      <w:pPr>
        <w:pStyle w:val="SingleTxtG"/>
        <w:rPr>
          <w:bCs/>
        </w:rPr>
      </w:pPr>
      <w:r w:rsidRPr="006532CE">
        <w:t>157.</w:t>
      </w:r>
      <w:r w:rsidRPr="006532CE">
        <w:tab/>
        <w:t xml:space="preserve">De acuerdo con la lista de las 50 profesiones nuevas y prometedoras más demandadas en el mercado laboral, se han aprobado nuevos estándares educativos estatales para la educación profesional secundaria, teniendo en cuenta las profesiones y especialidades que requieren dicha formación. El desarrollo de los estándares corrió a cargo del Ministerio de Educación y Ciencia de la Federación de Rusia, junto con las asociaciones educativas y </w:t>
      </w:r>
      <w:r w:rsidRPr="006532CE">
        <w:lastRenderedPageBreak/>
        <w:t>metodológicas federales del sistema de formación profesional y con la participación directa de organizaciones educativas, empleadores y expertos de WorldSkills. Los estándares formulan nuevas competencias generales, tienen en cuenta las exigencias de las normas profesionales e internacionales y las tecnologías avanzadas; detallan los requisitos relativos al logro de los resultados conducentes a superar el programa educativo, al personal docente, a las condiciones logísticas y a la bibliografía básica; implantan un examen de demostración obligatorio como parte de la certificación final estatal; e indican los requisitos para superar las principales actividades del programa educativo (habilidades, conocimientos y experiencia práctica).</w:t>
      </w:r>
    </w:p>
    <w:p w14:paraId="1D2A1C16" w14:textId="77777777" w:rsidR="006532CE" w:rsidRPr="006532CE" w:rsidRDefault="006532CE" w:rsidP="006532CE">
      <w:pPr>
        <w:pStyle w:val="SingleTxtG"/>
        <w:rPr>
          <w:bCs/>
        </w:rPr>
      </w:pPr>
      <w:r w:rsidRPr="006532CE">
        <w:t>158.</w:t>
      </w:r>
      <w:r w:rsidRPr="006532CE">
        <w:tab/>
        <w:t>En 2018 se siguieron implementando propuestas desarrolladas conjuntamente con los empleadores para estimular la inversión privada en el sistema de formación profesional, ampliar la participación de los empleadores en las actividades educativas de las instituciones de educación profesional y proporcionar apoyo estatal a los sistemas de formación profesional de las entidades constitutivas de la Federación de Rusia en condiciones de cofinanciación por parte de los empleadores. En 75 entidades constitutivas de la Federación de Rusia, el apoyo financiero para la renovación de instalaciones materiales y técnicas ascendió en 2018 a 8.600 millones de rublos, incluidos 1.670 millones de rublos de fondos extrapresupuestarios de instituciones educativas y 440 millones de rublos de empleadores.</w:t>
      </w:r>
    </w:p>
    <w:p w14:paraId="73843176" w14:textId="3EE59F7A" w:rsidR="006532CE" w:rsidRPr="006532CE" w:rsidRDefault="006532CE" w:rsidP="006532CE">
      <w:pPr>
        <w:pStyle w:val="SingleTxtG"/>
        <w:rPr>
          <w:bCs/>
        </w:rPr>
      </w:pPr>
      <w:r w:rsidRPr="006532CE">
        <w:t>159.</w:t>
      </w:r>
      <w:r w:rsidRPr="006532CE">
        <w:tab/>
        <w:t xml:space="preserve">En 2019 estaba previsto destinar financiación federal en el marco del programa estatal de la Federación de Rusia </w:t>
      </w:r>
      <w:r w:rsidR="00CB5EC2">
        <w:t>“</w:t>
      </w:r>
      <w:r w:rsidRPr="006532CE">
        <w:t>Desarrollo de la educación</w:t>
      </w:r>
      <w:r w:rsidR="00CB5EC2">
        <w:t>”</w:t>
      </w:r>
      <w:r w:rsidRPr="006532CE">
        <w:t xml:space="preserve"> a fin de crear centros de recursos para programas de formación profesional en 28 entidades constitutivas de la Federación de Rusia; centros de formación profesional avanzada en 14 entidades constitutivas de la Federación de Rusia; y 700 talleres equipados con modernas instalaciones por cada una de las competencias.</w:t>
      </w:r>
    </w:p>
    <w:p w14:paraId="316A61EC" w14:textId="059FB779" w:rsidR="006532CE" w:rsidRPr="006532CE" w:rsidRDefault="006532CE" w:rsidP="006532CE">
      <w:pPr>
        <w:pStyle w:val="H1G"/>
      </w:pPr>
      <w:r w:rsidRPr="006532CE">
        <w:tab/>
        <w:t>В.</w:t>
      </w:r>
      <w:r w:rsidRPr="006532CE">
        <w:tab/>
        <w:t>Los objetivos de la educación (art. 29)</w:t>
      </w:r>
    </w:p>
    <w:p w14:paraId="593B5D7F" w14:textId="1065B007" w:rsidR="006532CE" w:rsidRPr="006532CE" w:rsidRDefault="006532CE" w:rsidP="006532CE">
      <w:pPr>
        <w:pStyle w:val="SingleTxtG"/>
      </w:pPr>
      <w:r w:rsidRPr="006532CE">
        <w:t>160.</w:t>
      </w:r>
      <w:r w:rsidRPr="006532CE">
        <w:tab/>
        <w:t xml:space="preserve">Las metas y los objetivos principales de la educación se definen en la Ley Federal núm. 273 sobre la Educación en la Federación de Rusia, de 29 de diciembre de 2012, en el programa estatal de la Federación de Rusia </w:t>
      </w:r>
      <w:r w:rsidR="00CB5EC2">
        <w:t>“</w:t>
      </w:r>
      <w:r w:rsidRPr="006532CE">
        <w:t>Desarrollo de la educación</w:t>
      </w:r>
      <w:r w:rsidR="00CB5EC2">
        <w:t>”</w:t>
      </w:r>
      <w:r w:rsidRPr="006532CE">
        <w:t xml:space="preserve">, aprobado mediante la Resolución del Gobierno núm. 1642, de 26 de diciembre de 2017, en el Programa Federal Especial para el Desarrollo de la Educación para 2016-2020, aprobado mediante la Resolución del Gobierno núm. 497, de 23 de mayo de 2015, y en el proyecto nacional </w:t>
      </w:r>
      <w:r w:rsidR="00CB5EC2">
        <w:t>“</w:t>
      </w:r>
      <w:r w:rsidRPr="006532CE">
        <w:t>Educación</w:t>
      </w:r>
      <w:r w:rsidR="00CB5EC2">
        <w:t>”</w:t>
      </w:r>
      <w:r w:rsidRPr="006532CE">
        <w:t>, aprobado en 2018.</w:t>
      </w:r>
    </w:p>
    <w:p w14:paraId="557EA4E8" w14:textId="638BA393" w:rsidR="006532CE" w:rsidRPr="006532CE" w:rsidRDefault="006532CE" w:rsidP="006532CE">
      <w:pPr>
        <w:pStyle w:val="H1G"/>
      </w:pPr>
      <w:r w:rsidRPr="006532CE">
        <w:tab/>
        <w:t>С.</w:t>
      </w:r>
      <w:r w:rsidRPr="006532CE">
        <w:tab/>
        <w:t>Los derechos culturales de los niños pertenecientes a grupos étnicos, religiosos y lingüísticos minoritarios (art. 30)</w:t>
      </w:r>
    </w:p>
    <w:p w14:paraId="768934F7" w14:textId="77777777" w:rsidR="006532CE" w:rsidRPr="006532CE" w:rsidRDefault="006532CE" w:rsidP="006532CE">
      <w:pPr>
        <w:pStyle w:val="SingleTxtG"/>
      </w:pPr>
      <w:r w:rsidRPr="006532CE">
        <w:t>161.</w:t>
      </w:r>
      <w:r w:rsidRPr="006532CE">
        <w:tab/>
        <w:t>En el párrafo 64 de las observaciones finales se señala la necesidad de adoptar medidas para preservar la identidad y el patrimonio cultural y lingüístico de los niños de pueblos indígenas minoritarios. Con este fin, se está aplicando la Estrategia de Política Étnica Estatal para el período hasta 2025, aprobada por el Decreto Presidencial núm. 1666, de 19 de diciembre de 2012, y que tiene por objeto fortalecer la armonía interétnica y la unidad civil, apoyar la diversidad etnocultural y lingüística de la Federación de Rusia, prevenir la discriminación por motivos de afiliación social, racial, étnica, lingüística o religiosa, prevenir el extremismo y prevenir los conflictos originados por motivos étnicos o religiosos. En los párrafos 216 a 224 del presente informe figura información al respecto, así como observaciones sobre la conclusión y el comentario mencionados.</w:t>
      </w:r>
    </w:p>
    <w:p w14:paraId="08C1DC06" w14:textId="021E6815" w:rsidR="006532CE" w:rsidRPr="006532CE" w:rsidRDefault="006532CE" w:rsidP="006532CE">
      <w:pPr>
        <w:pStyle w:val="H1G"/>
      </w:pPr>
      <w:r w:rsidRPr="006532CE">
        <w:tab/>
        <w:t>D.</w:t>
      </w:r>
      <w:r w:rsidRPr="006532CE">
        <w:tab/>
        <w:t>El descanso, el juego, el esparcimiento y las actividades recreativas, culturales y artísticas (art. 31)</w:t>
      </w:r>
    </w:p>
    <w:p w14:paraId="10228210" w14:textId="10B70F69" w:rsidR="006532CE" w:rsidRPr="006532CE" w:rsidRDefault="006532CE" w:rsidP="006532CE">
      <w:pPr>
        <w:pStyle w:val="SingleTxtG"/>
      </w:pPr>
      <w:r w:rsidRPr="006532CE">
        <w:t>162.</w:t>
      </w:r>
      <w:r w:rsidRPr="006532CE">
        <w:tab/>
        <w:t>Las organizaciones dedicadas al descanso y la promoción de la salud infantiles llevan a cabo sus actividades de conformidad con la Ley Federal núm. 124 de Garantías Básicas de los Derechos del Niño en la Federación de Rusia, de 24 de julio de 1998, y la Orden núm.</w:t>
      </w:r>
      <w:r w:rsidR="00B213EC">
        <w:t> </w:t>
      </w:r>
      <w:r w:rsidRPr="006532CE">
        <w:t xml:space="preserve">656 del Ministerio de Educación y Ciencia por la que se aprueban disposiciones modelo </w:t>
      </w:r>
      <w:r w:rsidRPr="006532CE">
        <w:lastRenderedPageBreak/>
        <w:t>aplicables a las organizaciones de descanso y promoción de la salud infantiles, de 13 de julio de 2017. Con el fin de proteger los derechos e intereses legítimos de los niños en materia de descanso y promoción de la salud, el Ministerio de Educación y Ciencia emitió la Orden núm.</w:t>
      </w:r>
      <w:r w:rsidR="00B213EC">
        <w:t> </w:t>
      </w:r>
      <w:r w:rsidRPr="006532CE">
        <w:t>6 por la que se aprueba un modelo de acuerdo sobre la organización del descanso y la promoción de la salud infantiles, de 23 de agosto de 2018. Para seguir desarrollando el ámbito de la organización del descanso y la promoción de la salud infantiles y crear condiciones seguras al respecto, mediante el Decreto núm. 978 del Gobierno de la Federación de Rusia, de 22 de mayo de 2017, se aprobó el Marco para la Regulación y el Control Estatales de la Organización del Descanso y la Promoción de la Salud Infantiles, cuya aplicación en la actualidad corre a cargo del Ministerio de Educación, junto con las autoridades públicas pertinentes y con organizaciones dedicadas al descanso y la promoción de la salud infantiles.</w:t>
      </w:r>
    </w:p>
    <w:p w14:paraId="16E455EA" w14:textId="77777777" w:rsidR="006532CE" w:rsidRPr="006532CE" w:rsidRDefault="006532CE" w:rsidP="006532CE">
      <w:pPr>
        <w:pStyle w:val="SingleTxtG"/>
      </w:pPr>
      <w:r w:rsidRPr="006532CE">
        <w:t>163.</w:t>
      </w:r>
      <w:r w:rsidRPr="006532CE">
        <w:tab/>
        <w:t>En la campaña de promoción de la salud de 2018 participaron 47.200 organizaciones de descanso y promoción de la salud, incluidas 2.000 organizaciones que operaban de manera estacional o durante todo el año, 36.600 campamentos organizados por instituciones educativas durante la temporada de vacaciones con estancia diurna, 4.200 campamentos de trabajo y ocio para niños, 1.500 campamentos en tiendas de campaña, 2.200 campamentos infantiles especializados o de diversas temáticas, y 400 campamentos de promoción de la salud en sanatorios durante todo el año (en centros de asistencia sanitaria medico-preventiva). Durante la campaña sanitaria de 2018, 7 millones de niños participaron en actividades de descanso y promoción de la salud, lo que representa más del 37 % del total de niños de 6 a 17 años, incluidos 2 millones de niños en circunstancias difíciles.</w:t>
      </w:r>
    </w:p>
    <w:p w14:paraId="50C0AB07" w14:textId="77777777" w:rsidR="006532CE" w:rsidRPr="006532CE" w:rsidRDefault="006532CE" w:rsidP="006532CE">
      <w:pPr>
        <w:pStyle w:val="SingleTxtG"/>
      </w:pPr>
      <w:r w:rsidRPr="006532CE">
        <w:t>164.</w:t>
      </w:r>
      <w:r w:rsidRPr="006532CE">
        <w:tab/>
        <w:t>Durante más de 10 años, la Biblioteca Infantil Estatal Rusa y las bibliotecas infantiles regionales de la Federación de Rusia han celebrado periódicamente actos sobre el uso seguro de Internet y la promoción de contenidos positivos para niños y adolescentes, con el apoyo del Centro Público Regional de Tecnología de Internet. Todos los años, la Biblioteca Infantil Estatal Rusa organiza en otras bibliotecas del país la Semana de la Seguridad de Internet en Ruso.</w:t>
      </w:r>
    </w:p>
    <w:p w14:paraId="0A6E0E27" w14:textId="77777777" w:rsidR="006532CE" w:rsidRPr="006532CE" w:rsidRDefault="006532CE" w:rsidP="006532CE">
      <w:pPr>
        <w:pStyle w:val="SingleTxtG"/>
      </w:pPr>
      <w:r w:rsidRPr="006532CE">
        <w:t>165.</w:t>
      </w:r>
      <w:r w:rsidRPr="006532CE">
        <w:tab/>
        <w:t>Con el fin de apoyar y fomentar la lectura infantil y de preservar y transmitir la tradición literaria y la riqueza de los recursos de la literatura infantil nacional, desde 2012, la Biblioteca Infantil Estatal Rusa, con el apoyo del Ministerio de Cultura, está poniendo en marcha una Biblioteca Electrónica Nacional Infantil (como parte de la Biblioteca Electrónica Nacional). Actualmente hay unos 17.000 materiales en la colección y más de 480 salas de lectura virtuales.</w:t>
      </w:r>
    </w:p>
    <w:p w14:paraId="3B21A325" w14:textId="59D6F7E6" w:rsidR="006532CE" w:rsidRPr="006532CE" w:rsidRDefault="006532CE" w:rsidP="006532CE">
      <w:pPr>
        <w:pStyle w:val="SingleTxtG"/>
      </w:pPr>
      <w:r w:rsidRPr="006532CE">
        <w:t>166.</w:t>
      </w:r>
      <w:r w:rsidRPr="006532CE">
        <w:tab/>
        <w:t>Con el fin de detectar a los niños con grandes talentos a una edad temprana, fomentar las condiciones para su educación artística y formación estética, permitirles adquirir conocimientos, habilidades y experiencia en las artes y prepararlos para una educación artística profesional, la Federación de Rusia cuenta con una red de instituciones educativas de formación complementaria para niños con educación artística de diversos tipos.</w:t>
      </w:r>
    </w:p>
    <w:p w14:paraId="147C8608" w14:textId="26F11AB5" w:rsidR="006532CE" w:rsidRPr="006532CE" w:rsidRDefault="006532CE" w:rsidP="006532CE">
      <w:pPr>
        <w:pStyle w:val="SingleTxtG"/>
      </w:pPr>
      <w:r w:rsidRPr="006532CE">
        <w:t>167.</w:t>
      </w:r>
      <w:r w:rsidRPr="006532CE">
        <w:tab/>
        <w:t>En conjunto, los niños representan el 40 % de todos los usuarios de las bibliotecas del Ministerio de Cultura, y la mitad de ellos acceden a sus servicios en bibliotecas infantiles especializadas. Existen cerca de 40.000 bibliotecas escolares.</w:t>
      </w:r>
    </w:p>
    <w:p w14:paraId="082E8E3E" w14:textId="0A9A57AA" w:rsidR="006532CE" w:rsidRPr="006532CE" w:rsidRDefault="006532CE" w:rsidP="006532CE">
      <w:pPr>
        <w:pStyle w:val="SingleTxtG"/>
      </w:pPr>
      <w:r w:rsidRPr="006532CE">
        <w:t>168.</w:t>
      </w:r>
      <w:r w:rsidRPr="006532CE">
        <w:tab/>
        <w:t>Una de las principales tareas del Ministerio de Cultura es crear, con apoyo financiero estatal, largometrajes, crónicas-documentales de animación y películas de divulgación científica destinadas a la educación patriótica de los rusos y a la afirmación de los principios espirituales y morales que sustentan la unidad estatal rusa.</w:t>
      </w:r>
    </w:p>
    <w:p w14:paraId="7D138FE0" w14:textId="17786DF1" w:rsidR="006532CE" w:rsidRPr="006532CE" w:rsidRDefault="006532CE" w:rsidP="006532CE">
      <w:pPr>
        <w:pStyle w:val="HChG"/>
      </w:pPr>
      <w:r w:rsidRPr="006532CE">
        <w:lastRenderedPageBreak/>
        <w:tab/>
        <w:t>IX.</w:t>
      </w:r>
      <w:r w:rsidRPr="006532CE">
        <w:tab/>
        <w:t>Medidas especiales de protección</w:t>
      </w:r>
    </w:p>
    <w:p w14:paraId="72837CC8" w14:textId="7A367D78" w:rsidR="006532CE" w:rsidRPr="006532CE" w:rsidRDefault="006532CE" w:rsidP="006532CE">
      <w:pPr>
        <w:pStyle w:val="H1G"/>
      </w:pPr>
      <w:r w:rsidRPr="006532CE">
        <w:tab/>
        <w:t>А.</w:t>
      </w:r>
      <w:r w:rsidRPr="006532CE">
        <w:tab/>
        <w:t>Los niños fuera de su país de origen que traten de obtener la</w:t>
      </w:r>
      <w:r>
        <w:t> </w:t>
      </w:r>
      <w:r w:rsidRPr="006532CE">
        <w:t>protección</w:t>
      </w:r>
      <w:r>
        <w:t> </w:t>
      </w:r>
      <w:r w:rsidRPr="006532CE">
        <w:t>como refugiados, los niños no acompañados solicitantes</w:t>
      </w:r>
      <w:r>
        <w:t> </w:t>
      </w:r>
      <w:r w:rsidRPr="006532CE">
        <w:t>de</w:t>
      </w:r>
      <w:r>
        <w:t> </w:t>
      </w:r>
      <w:r w:rsidRPr="006532CE">
        <w:t>asilo, los niños desplazados internos, los niños migrantes</w:t>
      </w:r>
      <w:r>
        <w:t> </w:t>
      </w:r>
      <w:r w:rsidRPr="006532CE">
        <w:t>y los niños afectados por la migración (art. 22)</w:t>
      </w:r>
    </w:p>
    <w:p w14:paraId="395700F7" w14:textId="77777777" w:rsidR="006532CE" w:rsidRPr="006532CE" w:rsidRDefault="006532CE" w:rsidP="006532CE">
      <w:pPr>
        <w:pStyle w:val="SingleTxtG"/>
      </w:pPr>
      <w:r w:rsidRPr="006532CE">
        <w:t>169.</w:t>
      </w:r>
      <w:r w:rsidRPr="006532CE">
        <w:tab/>
        <w:t>La información relativa a esta cuestión figura en los párrafos 240, 241, 243 y 244 de los informes periódicos cuarto y quinto combinados.</w:t>
      </w:r>
    </w:p>
    <w:p w14:paraId="59CCC464" w14:textId="77777777" w:rsidR="006532CE" w:rsidRPr="006532CE" w:rsidRDefault="006532CE" w:rsidP="006532CE">
      <w:pPr>
        <w:pStyle w:val="SingleTxtG"/>
      </w:pPr>
      <w:r w:rsidRPr="006532CE">
        <w:t>170.</w:t>
      </w:r>
      <w:r w:rsidRPr="006532CE">
        <w:tab/>
        <w:t>De conformidad con el Reglamento de detención (estancia) en instituciones especiales del Ministerio del Interior de la Federación de Rusia o de su órgano territorial correspondiente, relativo a los ciudadanos extranjeros y apátridas sujetos a expulsión administrativa de la Federación de Rusia en forma de expulsión forzosa, deportación o readmisión, aprobado mediante la Resolución núm. 1306 del Gobierno de la Federación de Rusia de 30 de diciembre de 2013, los ciudadanos extranjeros o apátridas admitidos en estas instituciones con hijos menores permanecerán juntos en una habitación separada. Los extranjeros menores de edad y los apátridas internados en una institución junto con sus padres u otros familiares cercanos (también extranjeros) recibirán comidas separadas de conformidad con las normas establecidas en el anexo del Reglamento.</w:t>
      </w:r>
    </w:p>
    <w:p w14:paraId="1F97272B" w14:textId="6341E8CB" w:rsidR="006532CE" w:rsidRPr="006532CE" w:rsidRDefault="006532CE" w:rsidP="006532CE">
      <w:pPr>
        <w:pStyle w:val="SingleTxtG"/>
      </w:pPr>
      <w:r w:rsidRPr="006532CE">
        <w:t>171.</w:t>
      </w:r>
      <w:r w:rsidRPr="006532CE">
        <w:tab/>
        <w:t xml:space="preserve">En el párrafo 62 de las observaciones finales se señalaba la necesidad de modificar la Ley Federal de Refugiados a fin de eliminar los criterios adicionales para el reconocimiento de una persona como refugiado en la Federación de Rusia. No obstante, consideramos que el contenido de la definición de </w:t>
      </w:r>
      <w:r w:rsidR="00CB5EC2">
        <w:t>“</w:t>
      </w:r>
      <w:r w:rsidRPr="006532CE">
        <w:t>refugiado</w:t>
      </w:r>
      <w:r w:rsidR="00CB5EC2">
        <w:t>”</w:t>
      </w:r>
      <w:r w:rsidRPr="006532CE">
        <w:t xml:space="preserve"> que figura en el artículo 1 de la Ley Federal núm.</w:t>
      </w:r>
      <w:r w:rsidR="00634EBA">
        <w:t> </w:t>
      </w:r>
      <w:r w:rsidRPr="006532CE">
        <w:t xml:space="preserve">4528-1 de Refugiados, de 19 de febrero de 1993, es coherente con las características del concepto de </w:t>
      </w:r>
      <w:r w:rsidR="00CB5EC2">
        <w:t>“</w:t>
      </w:r>
      <w:r w:rsidRPr="006532CE">
        <w:t>refugiado</w:t>
      </w:r>
      <w:r w:rsidR="00CB5EC2">
        <w:t>”</w:t>
      </w:r>
      <w:r w:rsidRPr="006532CE">
        <w:t xml:space="preserve"> recogido en el artículo 1 de la Convención sobre el Estatuto de los Refugiados de 28 de julio de 1951.</w:t>
      </w:r>
    </w:p>
    <w:p w14:paraId="04C6533F" w14:textId="77777777" w:rsidR="006532CE" w:rsidRPr="006532CE" w:rsidRDefault="006532CE" w:rsidP="006532CE">
      <w:pPr>
        <w:pStyle w:val="H1G"/>
      </w:pPr>
      <w:r w:rsidRPr="006532CE">
        <w:tab/>
        <w:t>B.</w:t>
      </w:r>
      <w:r w:rsidRPr="006532CE">
        <w:tab/>
        <w:t>Los niños afectados por un conflicto armado (art. 38)</w:t>
      </w:r>
    </w:p>
    <w:p w14:paraId="47745B52" w14:textId="77777777" w:rsidR="006532CE" w:rsidRPr="006532CE" w:rsidRDefault="006532CE" w:rsidP="006532CE">
      <w:pPr>
        <w:pStyle w:val="SingleTxtG"/>
      </w:pPr>
      <w:r w:rsidRPr="006532CE">
        <w:t>172.</w:t>
      </w:r>
      <w:r w:rsidRPr="006532CE">
        <w:tab/>
        <w:t>Las disposiciones relativas a este artículo se detallan en los párrafos 247 y 248 de los informes periódicos cuarto y quinto combinados.</w:t>
      </w:r>
    </w:p>
    <w:p w14:paraId="55E044E9" w14:textId="57E7780C" w:rsidR="006532CE" w:rsidRPr="006532CE" w:rsidRDefault="006532CE" w:rsidP="006532CE">
      <w:pPr>
        <w:pStyle w:val="SingleTxtG"/>
      </w:pPr>
      <w:r w:rsidRPr="006532CE">
        <w:t>173.</w:t>
      </w:r>
      <w:r w:rsidRPr="006532CE">
        <w:tab/>
        <w:t xml:space="preserve">En virtud de la Ley Federal núm. 53 relativa a las Obligaciones Militares y al Servicio Militar, de 28 de marzo de 1998, los ciudadanos de la Federación de Rusia con edades comprendidas entre los 18 y los 27 años están sujetos al servicio militar obligatorio, a menos que se les haya concedido un aplazamiento. De conformidad con el artículo 24 de la Ley Federal, el aplazamiento se aplica a los ciudadanos matriculados como estudiantes a tiempo completo en centros de enseñanza, incluidos los centros militares de enseñanza superior, en programas de especialización que hayan sido acreditados por el Estado, y corresponde al período de sus estudios. En los centros educativos preuniversitarios del Ministerio de Defensa de la Federación de Rusia, al igual que en otras instituciones educativas generales de la Federación de Rusia, se familiariza a los alumnos con los fundamentos del servicio militar, la formación militar y los tipos de armas y equipos militares dentro del curso integrado </w:t>
      </w:r>
      <w:r w:rsidR="00CB5EC2">
        <w:t>“</w:t>
      </w:r>
      <w:r w:rsidRPr="006532CE">
        <w:t>Fundamentos de la seguridad vital</w:t>
      </w:r>
      <w:r w:rsidR="00CB5EC2">
        <w:t>”</w:t>
      </w:r>
      <w:r w:rsidRPr="006532CE">
        <w:t>, cuyo estudio está previsto en las normas educativas estatales federales aprobadas por el Ministerio de Educación. En las instituciones educativas generales de la Federación de Rusia, incluidos los centros del Ministerio de Defensa, no se estudian los fundamentos de la formación militar como asignatura independiente. Los programas de educación general que se imparten en los centros preuniversitarios del Ministerio de Defensa ruso se ajustan a las normas educativas estatales federales.</w:t>
      </w:r>
    </w:p>
    <w:p w14:paraId="17C07C9B" w14:textId="77777777" w:rsidR="006532CE" w:rsidRPr="006532CE" w:rsidRDefault="006532CE" w:rsidP="006532CE">
      <w:pPr>
        <w:pStyle w:val="SingleTxtG"/>
      </w:pPr>
      <w:r w:rsidRPr="006532CE">
        <w:t>174.</w:t>
      </w:r>
      <w:r w:rsidRPr="006532CE">
        <w:tab/>
        <w:t>Los centros preuniversitarios del Ministerio de Defensa cuentan con personal docente altamente cualificado. El profesorado que contratan dichos centros ha de reunir las cualificaciones profesionales y pedagógicas acordes a los requisitos de las características del puesto y de la especialidad obtenida, que deben venir confirmadas por documentos oficiales estatales sobre el nivel de educación y la cualificación. El grado de interés personal del alumno por el aprendizaje se determina durante el proceso de matrícula en el centro preuniversitario, mediante una conversación previa con el psicólogo del centro.</w:t>
      </w:r>
    </w:p>
    <w:p w14:paraId="4E79179B" w14:textId="77777777" w:rsidR="006532CE" w:rsidRPr="006532CE" w:rsidRDefault="006532CE" w:rsidP="006532CE">
      <w:pPr>
        <w:pStyle w:val="SingleTxtG"/>
      </w:pPr>
      <w:r w:rsidRPr="006532CE">
        <w:lastRenderedPageBreak/>
        <w:t>175.</w:t>
      </w:r>
      <w:r w:rsidRPr="006532CE">
        <w:tab/>
        <w:t>Además, la admisión en los centros preuniversitarios del Ministerio de Defensa se realiza por concurso y los candidatos que desean estudiar en ellos deben superar pruebas de preparación física, así como de conocimientos de materias generales. La educación y el descanso de los alumnos en los centros preuniversitarios se organiza de acuerdo con el horario diario y los estatutos del centro. Las disposiciones del reglamento militar general de las Fuerzas Armadas de la Federación de Rusia no se aplican a la organización de la enseñanza y educación en los centros preuniversitarios. Las infracciones del reglamento interno no dan lugar a la imposición de las sanciones disciplinarias aplicables a los miembros de las fuerzas armadas. Además, la plantilla permanente de los centros preuniversitarios del Ministerio de Defensa ruso no incluye puestos militares. En los centros preuniversitarios del Ministerio de Defensa, de conformidad con sus estatutos, la aplicación de los programas de educación general prevé fomentar las condiciones para proteger y supervisar la salud de los alumnos, las medidas sanitarias e higiénicas, preventivas y de promoción de la salud, y el cumplimiento de las normas y reglamentos estatales en materia sanitaria y epidemiológica. A este respecto, las necesidades especiales de las alumnas de los centros de enseñanza del Ministerio de Defensa ruso se atienden de forma obligatoria (párr. 10 de las observaciones finales posteriores al informe inicial de la Federación de Rusia acerca de la aplicación de las disposiciones del Protocolo Facultativo de la Convención sobre los Derechos del Niño relativo a la participación de niños en los conflictos armados).</w:t>
      </w:r>
    </w:p>
    <w:p w14:paraId="168B7239" w14:textId="742CEABE" w:rsidR="006532CE" w:rsidRPr="006532CE" w:rsidRDefault="006532CE" w:rsidP="006532CE">
      <w:pPr>
        <w:pStyle w:val="H1G"/>
        <w:rPr>
          <w:iCs/>
        </w:rPr>
      </w:pPr>
      <w:r w:rsidRPr="006532CE">
        <w:tab/>
        <w:t>C.</w:t>
      </w:r>
      <w:r w:rsidRPr="006532CE">
        <w:tab/>
        <w:t>Los niños sometidos a explotación, incluida su recuperación física y</w:t>
      </w:r>
      <w:r>
        <w:t> </w:t>
      </w:r>
      <w:r w:rsidRPr="006532CE">
        <w:t>psicológica y su reinserción social (art. 39)</w:t>
      </w:r>
    </w:p>
    <w:p w14:paraId="7EA9B12C" w14:textId="13B5BF5C" w:rsidR="006532CE" w:rsidRPr="006532CE" w:rsidRDefault="006532CE" w:rsidP="006532CE">
      <w:pPr>
        <w:pStyle w:val="H23G"/>
        <w:rPr>
          <w:iCs/>
        </w:rPr>
      </w:pPr>
      <w:r w:rsidRPr="006532CE">
        <w:tab/>
        <w:t>1.</w:t>
      </w:r>
      <w:r w:rsidRPr="006532CE">
        <w:tab/>
        <w:t>La explotación económica de los niños, incluido el trabajo infantil (art. 32)</w:t>
      </w:r>
    </w:p>
    <w:p w14:paraId="4EFED53A" w14:textId="77777777" w:rsidR="006532CE" w:rsidRPr="006532CE" w:rsidRDefault="006532CE" w:rsidP="006532CE">
      <w:pPr>
        <w:pStyle w:val="SingleTxtG"/>
      </w:pPr>
      <w:r w:rsidRPr="006532CE">
        <w:t>175.</w:t>
      </w:r>
      <w:r w:rsidRPr="006532CE">
        <w:tab/>
        <w:t>Las cuestiones relativas al trabajo infantil y adolescente, incluida la edad mínima de admisión al empleo, se trataron en los párrafos 267 a 270 y 272 a 273 de los informes periódicos cuarto y quinto combinados.</w:t>
      </w:r>
    </w:p>
    <w:p w14:paraId="2146EFCF" w14:textId="77777777" w:rsidR="006532CE" w:rsidRPr="006532CE" w:rsidRDefault="006532CE" w:rsidP="006532CE">
      <w:pPr>
        <w:pStyle w:val="SingleTxtG"/>
      </w:pPr>
      <w:r w:rsidRPr="006532CE">
        <w:t>176.</w:t>
      </w:r>
      <w:r w:rsidRPr="006532CE">
        <w:tab/>
        <w:t>Según el artículo 63 (2) del Código Laboral de la Federación de Rusia, las personas que hayan recibido educación general y hayan cumplido 15 años pueden suscribir un contrato de trabajo para realizar tareas ligeras que no sean perjudiciales para su salud. De conformidad con la Ley Federal núm. 139 por la que se modifica el Código de Trabajo de la Federación de Rusia, de 1 de julio de 2017, se modificó el párrafo 2 del artículo 63 del Código de Trabajo para establecer que las personas que hayan cumplido 15 años y hayan abandonado una institución de educación general antes de recibir la educación general básica o hayan sido expulsadas de dicha institución y continúen su educación general de otra forma podrán suscribir un contrato de trabajo para realizar trabajos ligeros que no perjudiquen su salud ni su formación.</w:t>
      </w:r>
    </w:p>
    <w:p w14:paraId="396A9498" w14:textId="60AF6216" w:rsidR="006532CE" w:rsidRPr="006532CE" w:rsidRDefault="006532CE" w:rsidP="006532CE">
      <w:pPr>
        <w:pStyle w:val="SingleTxtG"/>
      </w:pPr>
      <w:r w:rsidRPr="006532CE">
        <w:t>177.</w:t>
      </w:r>
      <w:r w:rsidRPr="006532CE">
        <w:tab/>
        <w:t>Con el consentimiento escrito de uno de los padres o tutores o del responsable de la tutela o custodia, podrá suscribir un contrato de trabajo para realizar tareas ligeras que no sean perjudiciales para su salud toda persona que haya recibido educación general y haya cumplido 14 años; las personas que estén cursando educación general y hayan cumplido 14</w:t>
      </w:r>
      <w:r w:rsidR="00D30885">
        <w:t> </w:t>
      </w:r>
      <w:r w:rsidRPr="006532CE">
        <w:t>años también podrán suscribir un contrato para realizar un trabajo ligero complementario a su educación, siempre que no sea perjudicial para su salud ni le impida llevar a término su formación.</w:t>
      </w:r>
    </w:p>
    <w:p w14:paraId="48D34E21" w14:textId="5C9251B7" w:rsidR="006532CE" w:rsidRPr="006532CE" w:rsidRDefault="006532CE" w:rsidP="006532CE">
      <w:pPr>
        <w:pStyle w:val="H23G"/>
      </w:pPr>
      <w:r w:rsidRPr="006532CE">
        <w:tab/>
        <w:t>2.</w:t>
      </w:r>
      <w:r w:rsidRPr="006532CE">
        <w:tab/>
        <w:t>El uso de estupefacientes y sustancias sicotrópicas y la utilización de niños en</w:t>
      </w:r>
      <w:r>
        <w:t> </w:t>
      </w:r>
      <w:r w:rsidRPr="006532CE">
        <w:t>su</w:t>
      </w:r>
      <w:r>
        <w:t> </w:t>
      </w:r>
      <w:r w:rsidRPr="006532CE">
        <w:t>producción y tráfico ilícitos (art. 33)</w:t>
      </w:r>
    </w:p>
    <w:p w14:paraId="6D6929B1" w14:textId="77777777" w:rsidR="006532CE" w:rsidRPr="006532CE" w:rsidRDefault="006532CE" w:rsidP="006532CE">
      <w:pPr>
        <w:pStyle w:val="SingleTxtG"/>
      </w:pPr>
      <w:r w:rsidRPr="006532CE">
        <w:t>178.</w:t>
      </w:r>
      <w:r w:rsidRPr="006532CE">
        <w:tab/>
        <w:t xml:space="preserve">En virtud de la Ley Federal núm. 317 por la que se modifican o derogan algunos instrumentos legislativos de la Federación de Rusia relativos a la protección de la salud en la Federación de Rusia, de 25 de noviembre de 2013, se modificó la Ley Federal núm. 3 sobre Estupefacientes y Sustancias Sicotrópicas, de 8 de enero de 1998, a fin de adoptar disposiciones para que el tratamiento de los drogodependientes se realice con su consentimiento informado y voluntario a la intervención médica, obtenido en la forma establecida por la legislación en el campo de la protección de la salud, y, en el caso de los drogodependientes menores de edad, con el consentimiento voluntario informado previo a la intervención médica de uno de los padres u otro representante legal (a excepción de los casos </w:t>
      </w:r>
      <w:r w:rsidRPr="006532CE">
        <w:lastRenderedPageBreak/>
        <w:t>establecidos por la legislación de la Federación de Rusia cuando los menores adquieren la plena capacidad jurídica antes de cumplir los 18 años).</w:t>
      </w:r>
    </w:p>
    <w:p w14:paraId="7671661B" w14:textId="77777777" w:rsidR="006532CE" w:rsidRPr="006532CE" w:rsidRDefault="006532CE" w:rsidP="006532CE">
      <w:pPr>
        <w:pStyle w:val="SingleTxtG"/>
      </w:pPr>
      <w:r w:rsidRPr="006532CE">
        <w:t>179.</w:t>
      </w:r>
      <w:r w:rsidRPr="006532CE">
        <w:tab/>
        <w:t>Entre 2011 y 2018, la tasa de delitos juveniles vinculados con las drogas en relación con el número total de delitos cometidos por menores aumentó un 1,2 % (del 2,8 % en 2011 al 4 % en 2018). Sin embargo, el número de delitos de tráfico ilícito de estupefacientes en los que están implicados menores se redujo un 14,6 % (de 2.045 en 2011 a 1.747 en 2018). El número de adolescentes que cometieron estos delitos disminuyó un 7,9 % (de 2.088 en 2011 a 1.924 en 2018), mientras que el número de menores que cometieron delitos bajo la influencia de estupefacientes disminuyó un 30,5 % (de 236 en 2011 a 164 en 2018). En los últimos siete años, el número de menores consumidores de drogas ha disminuido un 6,5 % (de 7.082 en 2011 a 6.625 en 2017). En tres años se observó un cambio en la situación relativa a la participación de menores en el consumo de sustancias ilegales. En 2016, el número de adolescentes que involucraban a sus compañeros en actividades ilegales aumentó casi a la mitad (48,4 %) (de 64 en 2016 a 33 en 2015). Sin embargo, en 2017-2018 no se registró ningún delito de este tipo cometido por menores.</w:t>
      </w:r>
    </w:p>
    <w:p w14:paraId="77670EEB" w14:textId="77777777" w:rsidR="006532CE" w:rsidRPr="006532CE" w:rsidRDefault="006532CE" w:rsidP="006532CE">
      <w:pPr>
        <w:pStyle w:val="SingleTxtG"/>
      </w:pPr>
      <w:r w:rsidRPr="006532CE">
        <w:t>180.</w:t>
      </w:r>
      <w:r w:rsidRPr="006532CE">
        <w:tab/>
        <w:t xml:space="preserve">La labor encaminada a reducir la demanda de drogas se apoya en una serie de actividades en el ámbito de la prevención del consumo de drogas y de los delitos y comportamientos antisociales conexos, que incluyen medidas para detectar y eliminar las causas y condiciones que favorecen la propagación y el consumo de drogas, especialmente entre adolescentes y jóvenes. Con el fin de sensibilizar a los ciudadanos sobre los problemas de la drogadicción y la delincuencia conexa, aumentar la confianza en las fuerzas del orden implicadas en la lucha contra el tráfico ilícito de drogas e instaurar una mentalidad contraria a las drogas entre los adolescentes y los jóvenes, se llevaron a cabo 95.000 actividades de prevención (mesas redondas, conferencias, charlas y concursos deportivos y creativos) que abarcaron a más de 2,2 millones de personas. </w:t>
      </w:r>
    </w:p>
    <w:p w14:paraId="47B449FA" w14:textId="77777777" w:rsidR="006532CE" w:rsidRPr="006532CE" w:rsidRDefault="006532CE" w:rsidP="006532CE">
      <w:pPr>
        <w:pStyle w:val="SingleTxtG"/>
      </w:pPr>
      <w:r w:rsidRPr="006532CE">
        <w:t>181.</w:t>
      </w:r>
      <w:r w:rsidRPr="006532CE">
        <w:tab/>
        <w:t>La cooperación con representantes de los cosacos rusos ha proseguido en lo tocante a la prevención del consumo no médico de estupefacientes y sustancias psicotrópicas, inclusive entre adolescentes y jóvenes. Se está aplicando un conjunto de medidas destinadas a fomentar un movimiento voluntario de oposición a las drogas.</w:t>
      </w:r>
    </w:p>
    <w:p w14:paraId="6A86D85B" w14:textId="77777777" w:rsidR="006532CE" w:rsidRPr="006532CE" w:rsidRDefault="006532CE" w:rsidP="006532CE">
      <w:pPr>
        <w:pStyle w:val="SingleTxtG"/>
      </w:pPr>
      <w:r w:rsidRPr="006532CE">
        <w:t>182.</w:t>
      </w:r>
      <w:r w:rsidRPr="006532CE">
        <w:tab/>
        <w:t>Se supervisaron las actividades de los centros de rehabilitación y corrección psicológica y pedagógica y de rehabilitación y resocialización de menores que admiten haber consumido sustancias psicoactivas. Tras su optimización y reestructuración, la red actual de centros especializados dependientes de diversos departamentos en las entidades constitutivas de la Federación de Rusia comprende 53 centros de rehabilitación y corrección psicopedagógica de menores y 180 centros de asistencia psicopedagógica, médica y social. La infraestructura existente sirve de base para la prevención de las conductas asociales y adictivas (como el consumo de drogas) entre los menores.</w:t>
      </w:r>
    </w:p>
    <w:p w14:paraId="52270169" w14:textId="182EB28E" w:rsidR="006532CE" w:rsidRPr="006532CE" w:rsidRDefault="006532CE" w:rsidP="006532CE">
      <w:pPr>
        <w:pStyle w:val="H23G"/>
      </w:pPr>
      <w:r w:rsidRPr="006532CE">
        <w:tab/>
        <w:t>3.</w:t>
      </w:r>
      <w:r w:rsidRPr="006532CE">
        <w:tab/>
        <w:t>La explotación y el abuso sexuales (art. 34)</w:t>
      </w:r>
    </w:p>
    <w:p w14:paraId="3D6DF7A1" w14:textId="77777777" w:rsidR="006532CE" w:rsidRPr="006532CE" w:rsidRDefault="006532CE" w:rsidP="006532CE">
      <w:pPr>
        <w:pStyle w:val="SingleTxtG"/>
      </w:pPr>
      <w:r w:rsidRPr="006532CE">
        <w:t>183.</w:t>
      </w:r>
      <w:r w:rsidRPr="006532CE">
        <w:tab/>
        <w:t>Durante el período de examen se han introducido modificaciones en la legislación rusa destinadas a combatir la explotación infantil mediante la venta de niños, la explotación sexual de niños en la prostitución y la pornografía infantil; a tal fin, se ha incrementado la responsabilidad penal por delitos de naturaleza sexual cometidos contra menores; se han tipificado como delito los actos relacionados con la explotación sexual de menores, como la obtención de los servicios sexuales de un menor o la utilización de un menor para la producción de materiales u objetos pornográficos; y se ha establecido la responsabilidad administrativa de las personas jurídicas por delitos relacionados con la explotación sexual (véanse también los párrs. 24 a 26 del presente informe).</w:t>
      </w:r>
    </w:p>
    <w:p w14:paraId="3EC1B733" w14:textId="77777777" w:rsidR="006532CE" w:rsidRPr="006532CE" w:rsidRDefault="006532CE" w:rsidP="006532CE">
      <w:pPr>
        <w:pStyle w:val="SingleTxtG"/>
      </w:pPr>
      <w:r w:rsidRPr="006532CE">
        <w:t>184.</w:t>
      </w:r>
      <w:r w:rsidRPr="006532CE">
        <w:tab/>
        <w:t>Con la aprobación de la Ley Federal núm. 14, por la que se modifica el Código Penal de la Federación de Rusia para aumentar la responsabilidad por los delitos sexuales cometidos contra menores de edad, de 29 de febrero de 2012, se despenalizaron los actos tipificados como delitos en el artículo 134 (relaciones sexuales y otros actos de carácter sexual con una persona menor de 16 años) y el artículo 135 (atentado al pudor) del Código Penal, en caso de que dichos actos se hubieran cometido respecto a una persona de entre 14 y 16 años que hubiera alcanzado ya la pubertad.</w:t>
      </w:r>
    </w:p>
    <w:p w14:paraId="289E05F5" w14:textId="77777777" w:rsidR="006532CE" w:rsidRPr="006532CE" w:rsidRDefault="006532CE" w:rsidP="006532CE">
      <w:pPr>
        <w:pStyle w:val="SingleTxtG"/>
      </w:pPr>
      <w:r w:rsidRPr="006532CE">
        <w:lastRenderedPageBreak/>
        <w:t>185.</w:t>
      </w:r>
      <w:r w:rsidRPr="006532CE">
        <w:tab/>
        <w:t>De conformidad con la Ley Federal núm. 58 por la que se modifican algunos instrumentos legislativos de la Federación de Rusia para prevenir la trata de niños, su explotación, inclusive para la prostitución, y las actividades relacionadas con la producción y el tráfico de materiales o artículos con imágenes pornográficas de menores, de 5 de abril de 2013, se han introducido modificaciones en la legislación rusa para establecer la responsabilidad de las personas jurídicas por la vulneración de los derechos e intereses legítimos de los niños, cuando les cause un daño, así como medidas adicionales para complementar el Código de Infracciones Administrativas de la Federación de Rusia con artículos que establecen la responsabilidad de las personas jurídicas que propicien las condiciones para la trata de niños o su explotación o que produzcan y distribuyan materiales u objetos con imágenes pornográficas de menores (véase también el párr. 28 del presente informe).</w:t>
      </w:r>
    </w:p>
    <w:p w14:paraId="51574718" w14:textId="6429052E" w:rsidR="006532CE" w:rsidRPr="006532CE" w:rsidRDefault="006532CE" w:rsidP="006532CE">
      <w:pPr>
        <w:pStyle w:val="SingleTxtG"/>
      </w:pPr>
      <w:r w:rsidRPr="006532CE">
        <w:t>186.</w:t>
      </w:r>
      <w:r w:rsidRPr="006532CE">
        <w:tab/>
        <w:t>La cuestión de la explotación sexual de los niños en los viajes y el turismo no es relevante para la Federación de Rusia (párrs. 24 y 25 de las observaciones finales posteriores al examen del informe inicial de la Federación de Rusia acerca de la aplicación de las disposiciones del Protocolo Facultativo de la Convención sobre los Derechos del Niño relativo a la venta de niños, la prostitución infantil y la utilización de niños en la pornografía).</w:t>
      </w:r>
    </w:p>
    <w:p w14:paraId="1C4F3B50" w14:textId="4A353503" w:rsidR="006532CE" w:rsidRPr="006532CE" w:rsidRDefault="006532CE" w:rsidP="006532CE">
      <w:pPr>
        <w:pStyle w:val="H23G"/>
      </w:pPr>
      <w:r w:rsidRPr="006532CE">
        <w:tab/>
        <w:t>4.</w:t>
      </w:r>
      <w:r w:rsidRPr="006532CE">
        <w:tab/>
        <w:t>La venta, la trata y el secuestro (art. 35)</w:t>
      </w:r>
    </w:p>
    <w:p w14:paraId="26A32C81" w14:textId="0CA64981" w:rsidR="006532CE" w:rsidRPr="006532CE" w:rsidRDefault="006532CE" w:rsidP="006532CE">
      <w:pPr>
        <w:pStyle w:val="SingleTxtG"/>
      </w:pPr>
      <w:r w:rsidRPr="006532CE">
        <w:t>187.</w:t>
      </w:r>
      <w:r w:rsidRPr="006532CE">
        <w:tab/>
        <w:t xml:space="preserve">En el párrafo 27 a) de las observaciones finales posteriores al examen del informe inicial de la Federación de Rusia acerca de la aplicación de las disposiciones del Protocolo Facultativo de la Convención sobre los Derechos del Niño relativo a la venta de niños, la prostitución infantil y la utilización de niños en la pornografía, se señaló la falta de definiciones de </w:t>
      </w:r>
      <w:r w:rsidR="00CB5EC2">
        <w:t>“</w:t>
      </w:r>
      <w:r w:rsidRPr="006532CE">
        <w:t>explotación sexual de niños en la prostitución</w:t>
      </w:r>
      <w:r w:rsidR="00CB5EC2">
        <w:t>”</w:t>
      </w:r>
      <w:r w:rsidRPr="006532CE">
        <w:t xml:space="preserve"> y </w:t>
      </w:r>
      <w:r w:rsidR="00CB5EC2">
        <w:t>“</w:t>
      </w:r>
      <w:r w:rsidRPr="006532CE">
        <w:t>venta de niños</w:t>
      </w:r>
      <w:r w:rsidR="00CB5EC2">
        <w:t>”</w:t>
      </w:r>
      <w:r w:rsidRPr="006532CE">
        <w:t xml:space="preserve">. Sin embargo, los términos </w:t>
      </w:r>
      <w:r w:rsidR="00CB5EC2">
        <w:t>“</w:t>
      </w:r>
      <w:r w:rsidRPr="006532CE">
        <w:t>venta de niños</w:t>
      </w:r>
      <w:r w:rsidR="00CB5EC2">
        <w:t>”</w:t>
      </w:r>
      <w:r w:rsidRPr="006532CE">
        <w:t xml:space="preserve">, </w:t>
      </w:r>
      <w:r w:rsidR="00CB5EC2">
        <w:t>“</w:t>
      </w:r>
      <w:r w:rsidRPr="006532CE">
        <w:t>explotación sexual de niños en la prostitución</w:t>
      </w:r>
      <w:r w:rsidR="00CB5EC2">
        <w:t>”</w:t>
      </w:r>
      <w:r w:rsidRPr="006532CE">
        <w:t xml:space="preserve"> y </w:t>
      </w:r>
      <w:r w:rsidR="00CB5EC2">
        <w:t>“</w:t>
      </w:r>
      <w:r w:rsidRPr="006532CE">
        <w:t>explotación del niño</w:t>
      </w:r>
      <w:r w:rsidR="00CB5EC2">
        <w:t>”</w:t>
      </w:r>
      <w:r w:rsidRPr="006532CE">
        <w:t xml:space="preserve"> figuran en los párrafos 11 y 12 del artículo 1 de la Ley Federal núm.</w:t>
      </w:r>
      <w:r w:rsidR="004D3434">
        <w:t> </w:t>
      </w:r>
      <w:r w:rsidRPr="006532CE">
        <w:t>124 de Garantías Básicas de los Derechos del Niño en la Federación de Rusia, de 24 de julio de 1998, como se señala en los párrafos 10 a 12 del informe inicial sobre la aplicación de las disposiciones del Protocolo Facultativo antes mencionado.</w:t>
      </w:r>
    </w:p>
    <w:p w14:paraId="5CEF0C6E" w14:textId="77777777" w:rsidR="006532CE" w:rsidRPr="006532CE" w:rsidRDefault="006532CE" w:rsidP="006532CE">
      <w:pPr>
        <w:pStyle w:val="SingleTxtG"/>
      </w:pPr>
      <w:r w:rsidRPr="006532CE">
        <w:t>188.</w:t>
      </w:r>
      <w:r w:rsidRPr="006532CE">
        <w:tab/>
        <w:t>En el marco de la ejecución de las actividades del Programa de Cooperación de los Estados Miembros de la Comunidad de Estados Independientes (CEI) en la Lucha contra la Trata de Seres Humanos para 2014-2018, aprobado por la Decisión del Consejo de Jefes de Estado de la CEI de 25 de octubre de 2013, se elaboró el correspondiente Convenio, que fue aprobado por la Decisión del Consejo de Jefes de Estado de la CEI de 10 de octubre de 2014.</w:t>
      </w:r>
    </w:p>
    <w:p w14:paraId="59BCC14F" w14:textId="77777777" w:rsidR="006532CE" w:rsidRPr="006532CE" w:rsidRDefault="006532CE" w:rsidP="006532CE">
      <w:pPr>
        <w:pStyle w:val="SingleTxtG"/>
      </w:pPr>
      <w:r w:rsidRPr="006532CE">
        <w:t>189.</w:t>
      </w:r>
      <w:r w:rsidRPr="006532CE">
        <w:tab/>
        <w:t>Las fiscalías prestan atención al problema de los ciudadanos rusos que son llevados al extranjero con fines de explotación laboral y sexual, a través de entidades que operan bajo la apariencia de agencias de modelos, agencias de empleo, servicios de citas internacionales, cursos de idiomas en el extranjero y agencias de viajes.</w:t>
      </w:r>
    </w:p>
    <w:p w14:paraId="3950DC60" w14:textId="77777777" w:rsidR="006532CE" w:rsidRPr="006532CE" w:rsidRDefault="006532CE" w:rsidP="006532CE">
      <w:pPr>
        <w:pStyle w:val="SingleTxtG"/>
      </w:pPr>
      <w:r w:rsidRPr="006532CE">
        <w:t>190.</w:t>
      </w:r>
      <w:r w:rsidRPr="006532CE">
        <w:tab/>
        <w:t>A las autoridades de las fiscalías les preocupan los problemas de cumplimiento de la legislación sobre migración por parte de las autoridades de registro y control de la migración y las fuerzas del orden, debido a que los migrantes irregulares a menudo se convierten en víctimas de la trata. Por ello, los fiscales consideran inaceptable que los migrantes indocumentados que se convierten en víctimas de la trata puedan ser detenidos y deportados. Las medidas relativas a estas personas tienen por objeto restablecer los derechos vulnerados.</w:t>
      </w:r>
    </w:p>
    <w:p w14:paraId="6E231F32" w14:textId="77777777" w:rsidR="006532CE" w:rsidRPr="006532CE" w:rsidRDefault="006532CE" w:rsidP="006532CE">
      <w:pPr>
        <w:pStyle w:val="SingleTxtG"/>
      </w:pPr>
      <w:r w:rsidRPr="006532CE">
        <w:t>191.</w:t>
      </w:r>
      <w:r w:rsidRPr="006532CE">
        <w:tab/>
        <w:t>Con el fin de desarrollar el marco jurídico para la cooperación con países extranjeros en la prevención, detección, represión y resolución de delitos relacionados con la trata de personas, especialmente mujeres y niños, en 2018 se firmó, a través del Ministerio del Interior, el Protocolo de Cooperación en la Lucha contra la Delincuencia Organizada en el Mar Caspio, como extensión del Acuerdo de Cooperación en Materia de Seguridad en el Mar Caspio, de 18 de noviembre de 2010, y un acuerdo de cooperación entre el Ministerio del Interior de la Federación de Rusia y el Ministerio de Seguridad de la República Argentina (párr. 35 de las observaciones finales posteriores al examen del informe inicial de la Federación de Rusia acerca de la aplicación de las disposiciones del Protocolo Facultativo de la Convención sobre los Derechos del Niño relativo a la venta de niños, la prostitución infantil y la utilización de niños en la pornografía).</w:t>
      </w:r>
    </w:p>
    <w:p w14:paraId="5470B693" w14:textId="001CDDD6" w:rsidR="006532CE" w:rsidRPr="006532CE" w:rsidRDefault="006532CE" w:rsidP="006532CE">
      <w:pPr>
        <w:pStyle w:val="SingleTxtG"/>
      </w:pPr>
      <w:r w:rsidRPr="006532CE">
        <w:lastRenderedPageBreak/>
        <w:t>192.</w:t>
      </w:r>
      <w:r w:rsidRPr="006532CE">
        <w:tab/>
        <w:t xml:space="preserve">En 2018 se intercambiaron experiencias sobre la organización de las medidas contra la trata de personas y la protección de las víctimas de estos delitos a través de mesas redondas sobre la lucha contra la violencia y la discriminación organizadas por el Consejo de Europa junto con la Universidad Estatal de Justicia de Rusia; la 18ª conferencia de alto nivel de la Alianza contra la Trata de Personas de la Organización para la Seguridad y la Cooperación en Europa; la conferencia con motivo del décimo aniversario del Convenio del Consejo de Europa sobre la Lucha contra la Trata de Seres Humanos; la 8ª sesión del Grupo de Trabajo sobre Trata de Personas y la 11ª sesión del Grupo de Trabajo sobre el Tráfico Ilícito de Migrantes, celebradas en el marco de la Conferencia de las Partes en la Convención de las Naciones Unidas contra la Delincuencia Organizada Transnacional; el taller internacional sobre </w:t>
      </w:r>
      <w:r w:rsidR="00CB5EC2">
        <w:t>“</w:t>
      </w:r>
      <w:r w:rsidRPr="006532CE">
        <w:t>Asistencia judicial recíproca en casos penales relacionados con la trata de personas y el tráfico ilícito de migrantes</w:t>
      </w:r>
      <w:r w:rsidR="00CB5EC2">
        <w:t>”</w:t>
      </w:r>
      <w:r w:rsidRPr="006532CE">
        <w:t>, organizado por la Oficina de las Naciones Unidas contra la Droga y el Delito junto con la Fiscalía General de la República Kirguisa; y la 16ª Reunión de Fiscales Generales de los Estados miembros de la Organización de Cooperación de Shanghái.</w:t>
      </w:r>
    </w:p>
    <w:p w14:paraId="03191786" w14:textId="25F647CB" w:rsidR="006532CE" w:rsidRPr="006532CE" w:rsidRDefault="006532CE" w:rsidP="006532CE">
      <w:pPr>
        <w:pStyle w:val="H23G"/>
      </w:pPr>
      <w:r w:rsidRPr="006532CE">
        <w:tab/>
        <w:t>5.</w:t>
      </w:r>
      <w:r w:rsidRPr="006532CE">
        <w:tab/>
        <w:t>Otras formas de explotación (art. 36)</w:t>
      </w:r>
    </w:p>
    <w:p w14:paraId="74A8154A" w14:textId="77777777" w:rsidR="006532CE" w:rsidRPr="006532CE" w:rsidRDefault="006532CE" w:rsidP="006532CE">
      <w:pPr>
        <w:pStyle w:val="SingleTxtG"/>
      </w:pPr>
      <w:r w:rsidRPr="006532CE">
        <w:t>193.</w:t>
      </w:r>
      <w:r w:rsidRPr="006532CE">
        <w:tab/>
        <w:t>La legislación de la Federación de Rusia también protege a los niños de otras formas de explotación que perjudican sus derechos e intereses legítimos, y en particular protege sus derechos a la vivienda y a la propiedad (párr. 273 de los informes periódicos cuarto y quintos combinados).</w:t>
      </w:r>
    </w:p>
    <w:p w14:paraId="6F45BF21" w14:textId="053D268B" w:rsidR="006532CE" w:rsidRPr="006532CE" w:rsidRDefault="006532CE" w:rsidP="006532CE">
      <w:pPr>
        <w:pStyle w:val="SingleTxtG"/>
      </w:pPr>
      <w:r w:rsidRPr="006532CE">
        <w:t>194.</w:t>
      </w:r>
      <w:r w:rsidRPr="006532CE">
        <w:tab/>
        <w:t>La Estrategia de Seguridad Nacional de la Federación de Rusia, aprobada mediante el Decreto Presidencial núm. 683, de 31 de diciembre de 2015, y la Doctrina de Seguridad de la Información de la Federación de Rusia, aprobada mediante el Decreto Presidencial núm.</w:t>
      </w:r>
      <w:r w:rsidR="00964A78">
        <w:t> </w:t>
      </w:r>
      <w:r w:rsidRPr="006532CE">
        <w:t>646, de 5 de diciembre de 2016, establecen metas y objetivos respecto a la seguridad de la información relativa a los niños. Estos instrumentos prohíben la difusión a través de medios electrónicos de programas que promuevan la pornografía, la violencia y la crueldad y el comportamiento antisocial (véanse también los párrs. 71 a 73 del presente informe).</w:t>
      </w:r>
    </w:p>
    <w:p w14:paraId="61C24082" w14:textId="008DA59E" w:rsidR="006532CE" w:rsidRPr="006532CE" w:rsidRDefault="006532CE" w:rsidP="006532CE">
      <w:pPr>
        <w:pStyle w:val="H1G"/>
      </w:pPr>
      <w:r w:rsidRPr="006532CE">
        <w:tab/>
        <w:t>D.</w:t>
      </w:r>
      <w:r w:rsidRPr="006532CE">
        <w:tab/>
        <w:t>Los niños en conflicto con la ley y niños víctimas o testigos</w:t>
      </w:r>
    </w:p>
    <w:p w14:paraId="7431AE3D" w14:textId="67160EC5" w:rsidR="006532CE" w:rsidRPr="006532CE" w:rsidRDefault="006532CE" w:rsidP="006532CE">
      <w:pPr>
        <w:pStyle w:val="H23G"/>
      </w:pPr>
      <w:r w:rsidRPr="006532CE">
        <w:tab/>
        <w:t>1.</w:t>
      </w:r>
      <w:r w:rsidRPr="006532CE">
        <w:tab/>
        <w:t>La administración de la justicia juvenil (art. 40), la existencia de tribunales especiales</w:t>
      </w:r>
      <w:r>
        <w:t> </w:t>
      </w:r>
      <w:r w:rsidRPr="006532CE">
        <w:t>aparte para los menores y la aplicación de la edad mínima de</w:t>
      </w:r>
      <w:r>
        <w:t> </w:t>
      </w:r>
      <w:r w:rsidRPr="006532CE">
        <w:t>responsabilidad penal</w:t>
      </w:r>
    </w:p>
    <w:p w14:paraId="30F65365" w14:textId="0FAB4256" w:rsidR="006532CE" w:rsidRPr="006532CE" w:rsidRDefault="006532CE" w:rsidP="006532CE">
      <w:pPr>
        <w:pStyle w:val="SingleTxtG"/>
      </w:pPr>
      <w:r w:rsidRPr="006532CE">
        <w:t>195.</w:t>
      </w:r>
      <w:r w:rsidRPr="006532CE">
        <w:tab/>
        <w:t>El Código Penal de la Federación de Rusia establece que una persona que haya cumplido 16 años en el momento de cometer el delito será penalmente responsable. Al mismo tiempo, se ha elaborado una lista de delitos de comisión deliberada y que entrañan un peligro especial para la sociedad, con claro conocimiento de su autor, de modo que la responsabilidad por ellos puede imponerse cuando el autor alcanza la edad de 14 años. La Ley Federal núm.</w:t>
      </w:r>
      <w:r w:rsidR="00FB4088">
        <w:t> </w:t>
      </w:r>
      <w:r w:rsidRPr="006532CE">
        <w:t>375 por la que se modifica el Código Penal y el Código de Procedimiento Penal de la Federación de Rusia en lo que respecta al establecimiento de medidas adicionales para luchar contra el terrorismo y garantizar la seguridad pública, de 6 de julio de 2016, amplió la lista de delitos conexos para incluir la responsabilidad por no denunciar un delito de carácter terrorista, por colaborar en actividades extremistas y por cometer un acto de terrorismo internacional.</w:t>
      </w:r>
    </w:p>
    <w:p w14:paraId="74EA1FA2" w14:textId="77777777" w:rsidR="006532CE" w:rsidRPr="006532CE" w:rsidRDefault="006532CE" w:rsidP="006532CE">
      <w:pPr>
        <w:pStyle w:val="SingleTxtG"/>
      </w:pPr>
      <w:r w:rsidRPr="006532CE">
        <w:t>196.</w:t>
      </w:r>
      <w:r w:rsidRPr="006532CE">
        <w:tab/>
        <w:t>Según las estadísticas judiciales del Departamento Judicial del Tribunal Supremo de la Federación de Rusia, un total de 20.634 menores fueron condenados conforme a todas las categorías de delitos en 2017, de los cuales 17.152 (el 83,1 %) fueron condenados a penas no privativas de libertad. En el primer semestre de 2018, 9.598 menores fueron condenados, de los cuales 7.990 (el 83,3 %) fueron condenados a penas no privativas de libertad.</w:t>
      </w:r>
    </w:p>
    <w:p w14:paraId="54CC70CD" w14:textId="77777777" w:rsidR="006532CE" w:rsidRPr="006532CE" w:rsidRDefault="006532CE" w:rsidP="006532CE">
      <w:pPr>
        <w:pStyle w:val="SingleTxtG"/>
      </w:pPr>
      <w:r w:rsidRPr="006532CE">
        <w:t>197.</w:t>
      </w:r>
      <w:r w:rsidRPr="006532CE">
        <w:tab/>
        <w:t xml:space="preserve">En 2018, la Inspección Penitenciaria tenía contabilizados a 3.583 menores condenados a trabajos obligatorios (el 32 % del total de menores registrados). El trabajo tutelado con retención de salario se utiliza con menos frecuencia para menores. En 2018, esa medida se aplicó a 14 menores (el 0,26 % del número total de menores registrados por la Inspección). Es todavía más rara la aplicación a los menores de sanciones penales como el aplazamiento del cumplimiento de la pena. En 2018, la Inspección contabilizó 17 menores a los que se había aplicado tal medida (el 0,15 % del total). La mayor parte de los menores </w:t>
      </w:r>
      <w:r w:rsidRPr="006532CE">
        <w:lastRenderedPageBreak/>
        <w:t>contabilizados por la Inspección corresponde a los que se encuentran en libertad condicional. En 2018, 6.200 menores recibieron ese tipo de condena (el 55,2 % del total de menores contabilizados por la Inspección).</w:t>
      </w:r>
    </w:p>
    <w:p w14:paraId="4210587E" w14:textId="16D51441" w:rsidR="006532CE" w:rsidRPr="006532CE" w:rsidRDefault="006532CE" w:rsidP="006532CE">
      <w:pPr>
        <w:pStyle w:val="SingleTxtG"/>
      </w:pPr>
      <w:r w:rsidRPr="006532CE">
        <w:t>198.</w:t>
      </w:r>
      <w:r w:rsidRPr="006532CE">
        <w:tab/>
        <w:t>En 2018, el 60,9 % del total de menores infractores que la Inspección Penitenciaria tenía registrados causó baja en el registro al haber cumplido su condena por la cancelación de la libertad condicional y la eliminación de antecedentes penales. Un aspecto crucial de las labores preventivas con los menores que tienen una sentencia condicional es la prórroga del período de prueba y la imposición de obligaciones adicionales. En 2018, a instancias de la Inspección, se prorrogó el período de prueba del 5,4 % de los menores condenados de acuerdo con los datos de la Inspección, y se impusieron obligaciones adicionales al 5 % de los menores conforme a sentencias de los tribunales. Como resultado del trabajo preventivo realizado, se ha producido una tendencia positiva de reducción de la tasa de reincidencia entre los menores condenados sin aislamiento social (-8,17 %).</w:t>
      </w:r>
    </w:p>
    <w:p w14:paraId="081FA275" w14:textId="2DDBABDB" w:rsidR="006532CE" w:rsidRPr="006532CE" w:rsidRDefault="006532CE" w:rsidP="006532CE">
      <w:pPr>
        <w:pStyle w:val="H23G"/>
      </w:pPr>
      <w:r w:rsidRPr="006532CE">
        <w:tab/>
        <w:t>2.</w:t>
      </w:r>
      <w:r w:rsidRPr="006532CE">
        <w:tab/>
        <w:t>Los niños privados de su libertad, y las medidas para asegurar que la detención, el</w:t>
      </w:r>
      <w:r>
        <w:t> </w:t>
      </w:r>
      <w:r w:rsidRPr="006532CE">
        <w:t>encarcelamiento o la prisión de un niño se utilicen tan solo como medidas de</w:t>
      </w:r>
      <w:r>
        <w:t> </w:t>
      </w:r>
      <w:r w:rsidRPr="006532CE">
        <w:t>último</w:t>
      </w:r>
      <w:r>
        <w:t> </w:t>
      </w:r>
      <w:r w:rsidRPr="006532CE">
        <w:t>recurso y durante el período más breve que proceda y que se proporcionará</w:t>
      </w:r>
      <w:r>
        <w:t> </w:t>
      </w:r>
      <w:r w:rsidRPr="006532CE">
        <w:t>al niño pronto acceso a la asistencia jurídica y otra asistencia (art.</w:t>
      </w:r>
      <w:r>
        <w:t> </w:t>
      </w:r>
      <w:r w:rsidRPr="006532CE">
        <w:t>37</w:t>
      </w:r>
      <w:r>
        <w:t> </w:t>
      </w:r>
      <w:r w:rsidRPr="006532CE">
        <w:t>b) a d))</w:t>
      </w:r>
    </w:p>
    <w:p w14:paraId="40A81D53" w14:textId="77777777" w:rsidR="006532CE" w:rsidRPr="006532CE" w:rsidRDefault="006532CE" w:rsidP="006532CE">
      <w:pPr>
        <w:pStyle w:val="SingleTxtG"/>
      </w:pPr>
      <w:r w:rsidRPr="006532CE">
        <w:t>199.</w:t>
      </w:r>
      <w:r w:rsidRPr="006532CE">
        <w:tab/>
        <w:t>La información sobre los derechos de los acusados menores de edad en los procesos penales en los que están implicados figura en los párrafos 240 a 241 de los informes periódicos cuarto y quinto combinados. La Fiscalía General de la Federación de Rusia adoptó la Orden núm. 74 sobre el control fiscal de la observancia de los derechos de los menores en las fases previas al juicio de los procedimientos penales, de 14 de noviembre de 2017.</w:t>
      </w:r>
    </w:p>
    <w:p w14:paraId="0C79C32F" w14:textId="6B2C2AEE" w:rsidR="006532CE" w:rsidRPr="006532CE" w:rsidRDefault="006532CE" w:rsidP="006532CE">
      <w:pPr>
        <w:pStyle w:val="SingleTxtG"/>
      </w:pPr>
      <w:r w:rsidRPr="006532CE">
        <w:t>200.</w:t>
      </w:r>
      <w:r w:rsidRPr="006532CE">
        <w:tab/>
        <w:t xml:space="preserve">La Federación de Rusia está adoptando una serie de medidas consecuentes para humanizar la legislación penitenciaria y mejorar la situación de los detenidos y condenados. En virtud de la Resolución núm. 420 del Gobierno de la Federación de Rusia, de 6 de abril de 2018, se aprobó el programa federal </w:t>
      </w:r>
      <w:r w:rsidR="00CB5EC2">
        <w:t>“</w:t>
      </w:r>
      <w:r w:rsidRPr="006532CE">
        <w:t>Desarrollo del Sistema Penitenciario (2018-2026)</w:t>
      </w:r>
      <w:r w:rsidR="00CB5EC2">
        <w:t>”</w:t>
      </w:r>
      <w:r w:rsidRPr="006532CE">
        <w:t>, que también pretende abordar estos objetivos.</w:t>
      </w:r>
    </w:p>
    <w:p w14:paraId="3641A73C" w14:textId="77777777" w:rsidR="006532CE" w:rsidRPr="006532CE" w:rsidRDefault="006532CE" w:rsidP="006532CE">
      <w:pPr>
        <w:pStyle w:val="SingleTxtG"/>
      </w:pPr>
      <w:r w:rsidRPr="006532CE">
        <w:t>201.</w:t>
      </w:r>
      <w:r w:rsidRPr="006532CE">
        <w:tab/>
        <w:t>A 1 de enero de 2019, había 939 menores sospechosos o acusados de cometer delitos en 211 centros de prisión preventiva del sistema penitenciario.</w:t>
      </w:r>
    </w:p>
    <w:p w14:paraId="0FB97560" w14:textId="77777777" w:rsidR="006532CE" w:rsidRPr="006532CE" w:rsidRDefault="006532CE" w:rsidP="006532CE">
      <w:pPr>
        <w:pStyle w:val="SingleTxtG"/>
      </w:pPr>
      <w:r w:rsidRPr="006532CE">
        <w:t>202.</w:t>
      </w:r>
      <w:r w:rsidRPr="006532CE">
        <w:tab/>
        <w:t>El artículo 80 del Código Penitenciario ruso establece la separación de presos y presas y de menores y adultos en los centros penitenciarios. El artículo 76 2) del Código Penitenciario establece la norma del traslado separado bajo escolta de menores y adultos condenados a penas de prisión. El párrafo 6 del artículo 99 del Código Penitenciario prevé la creación de mejores condiciones de vida para los menores condenados y el establecimiento de requisitos más estrictos en materia de alimentación.</w:t>
      </w:r>
    </w:p>
    <w:p w14:paraId="58D8AFC7" w14:textId="77777777" w:rsidR="006532CE" w:rsidRPr="006532CE" w:rsidRDefault="006532CE" w:rsidP="006532CE">
      <w:pPr>
        <w:pStyle w:val="SingleTxtG"/>
      </w:pPr>
      <w:r w:rsidRPr="006532CE">
        <w:t>203.</w:t>
      </w:r>
      <w:r w:rsidRPr="006532CE">
        <w:tab/>
        <w:t>La privación de libertad de los menores sospechosos y acusados se lleva a cabo en 135 centros de detención preventiva, donde se han creado las condiciones necesarias y se imparte educación, entre otros mediante tecnologías de enseñanza a distancia o en centros de enseñanza general subordinados a los órganos del poder ejecutivo de las entidades constitutivas de la Federación de Rusia. Al inicio del curso escolar 2017/18, 1.046 menores sospechosos e imputados habían comenzado estudios. Al final del año, 12 personas habían completado la educación general primaria, 228 la educación general básica y 144 la educación general secundaria.</w:t>
      </w:r>
    </w:p>
    <w:p w14:paraId="0BDC3F36" w14:textId="2140259A" w:rsidR="006532CE" w:rsidRPr="006532CE" w:rsidRDefault="006532CE" w:rsidP="006532CE">
      <w:pPr>
        <w:pStyle w:val="SingleTxtG"/>
      </w:pPr>
      <w:r w:rsidRPr="006532CE">
        <w:t>204.</w:t>
      </w:r>
      <w:r w:rsidRPr="006532CE">
        <w:tab/>
        <w:t>A 1 de enero de 2019, había 23 centros penitenciarios en la Federación de Rusia, 21</w:t>
      </w:r>
      <w:r w:rsidR="00183CEE">
        <w:t> </w:t>
      </w:r>
      <w:r w:rsidRPr="006532CE">
        <w:t>de ellos para reclusos y 2 para reclusas. La ocupación máxima de los centros penitenciarios era de 5.897 plazas (a 1 de enero de 2018, la capacidad máxima era de 5.909 plazas). El número de menores condenados en esa fecha era de 1.309 (1.395 a 1 de enero de 2018).</w:t>
      </w:r>
    </w:p>
    <w:p w14:paraId="1B71ACE6" w14:textId="77777777" w:rsidR="006532CE" w:rsidRPr="006532CE" w:rsidRDefault="006532CE" w:rsidP="006532CE">
      <w:pPr>
        <w:pStyle w:val="SingleTxtG"/>
      </w:pPr>
      <w:r w:rsidRPr="006532CE">
        <w:t>205.</w:t>
      </w:r>
      <w:r w:rsidRPr="006532CE">
        <w:tab/>
        <w:t>La información sobre las condiciones de vida de los menores condenados en centros penitenciarios figura en los párrafos 249 a 251 de los informes periódicos cuarto y quinto combinados. A 1 de enero de 2019, el suministro de ropa a los menores internos que cumplían condena en instituciones del sistema penitenciario ascendía al 100 % de los estándares de suministro aprobados.</w:t>
      </w:r>
    </w:p>
    <w:p w14:paraId="7302A275" w14:textId="77777777" w:rsidR="006532CE" w:rsidRPr="006532CE" w:rsidRDefault="006532CE" w:rsidP="006532CE">
      <w:pPr>
        <w:pStyle w:val="SingleTxtG"/>
      </w:pPr>
      <w:r w:rsidRPr="006532CE">
        <w:lastRenderedPageBreak/>
        <w:t>206.</w:t>
      </w:r>
      <w:r w:rsidRPr="006532CE">
        <w:tab/>
        <w:t>Los reclusos de los centros penitenciarios reciben tratamiento preventivo y servicios de atención sanitaria de acuerdo con las especialidades que reúna el personal médico de la institución. En los casos en que no pueda prestarse atención médica en el dispensario del centro, los reclusos podrán recibir el tratamiento necesario en instituciones sanitarias estatales o municipales. A fin de poder prestar atención médica especializada, consultiva y hospitalaria a los reclusos, los centros penitenciarios, mediante acuerdos con las autoridades sanitarias locales, pueden remitir pacientes a hospitales regionales, provinciales, municipales y de distrito. La prestación de asistencia médica tanto a los reclusos como a los presos preventivos está regulada por la Orden núm. 285 del Ministerio de Justicia por la que se aprueba el procedimiento de organización de la asistencia médica a las personas detenidas o que cumplen una pena de prisión, de 28 de diciembre de 2017.</w:t>
      </w:r>
    </w:p>
    <w:p w14:paraId="471F5778" w14:textId="77777777" w:rsidR="006532CE" w:rsidRPr="006532CE" w:rsidRDefault="006532CE" w:rsidP="006532CE">
      <w:pPr>
        <w:pStyle w:val="SingleTxtG"/>
      </w:pPr>
      <w:r w:rsidRPr="006532CE">
        <w:t>207.</w:t>
      </w:r>
      <w:r w:rsidRPr="006532CE">
        <w:tab/>
        <w:t>Se ha elaborado un proyecto de ley federal sobre la enmienda de los artículos 73 y 81 del Código Penitenciario, cuyas disposiciones se aplican, entre otros, a los menores condenados a penas privativas de libertad. Así, previa solicitud escrita de una persona condenada con arreglo al procedimiento establecido en el artículo 73, párrafos 1, 2 o 3, del Código Penitenciario, o de uno de sus parientes cercanos con su consentimiento, y por decisión del órgano federal del sistema penitenciario, cuando exista la posibilidad, un condenado podrá ser trasladado una vez durante el cumplimiento de la condena, para seguir cumpliéndola, de una institución penal a otra del mismo tipo en una entidad constitutiva de la Federación de Rusia en la que resida uno de sus parientes cercanos. Si es imposible reubicarlo en un centro de la región solicitada, podrá ser trasladado a un centro penitenciario ubicado en el territorio de la entidad territorial de la Federación de Rusia más cercana que cuente con capacidad para acoger al convicto.</w:t>
      </w:r>
    </w:p>
    <w:p w14:paraId="186B5EE7" w14:textId="33333DD1" w:rsidR="006532CE" w:rsidRPr="006532CE" w:rsidRDefault="006532CE" w:rsidP="006532CE">
      <w:pPr>
        <w:pStyle w:val="SingleTxtG"/>
      </w:pPr>
      <w:r w:rsidRPr="006532CE">
        <w:t>208.</w:t>
      </w:r>
      <w:r w:rsidRPr="006532CE">
        <w:tab/>
        <w:t>Mediante la Ley Federal núm. 203 por la que se modifica el artículo 18.1 de la Ley Federal de Prisión Preventiva de Imputados y Procesados y la Ley Federal de Supervisión Pública de los Derechos Humanos en los Lugares de Detención y de Asistencia a las Personas Detenidas en Lugares de Detención, de 19 de julio de 2018, se han mejorado los procedimientos de actuación de las comisiones públicas que supervisan el ejercicio de los derechos humanos en los lugares de detención. Las disposiciones de la Ley Federal prevén, entre otras cosas, un procedimiento especial para documentar las violaciones de los derechos de los menores de edad recluidos en lugares de detención. Por ejemplo, la toma de fotografías o vídeos de menores en un lugar de detención solo se puede llevar a cabo con el consentimiento por escrito de uno de los padres u otro representante legal y el consentimiento por escrito de la persona afectada. El menor de edad tiene la oportunidad de retirar su consentimiento a la toma de imágenes. Actualmente, las comisiones públicas operan en 83</w:t>
      </w:r>
      <w:r w:rsidR="00FE6CE7">
        <w:t> </w:t>
      </w:r>
      <w:r w:rsidRPr="006532CE">
        <w:t>entidades constitutivas de la Federación de Rusia.</w:t>
      </w:r>
    </w:p>
    <w:p w14:paraId="6A248242" w14:textId="2D366275" w:rsidR="006532CE" w:rsidRPr="006532CE" w:rsidRDefault="006532CE" w:rsidP="006532CE">
      <w:pPr>
        <w:pStyle w:val="H23G"/>
      </w:pPr>
      <w:r w:rsidRPr="006532CE">
        <w:tab/>
        <w:t>3.</w:t>
      </w:r>
      <w:r w:rsidRPr="006532CE">
        <w:tab/>
        <w:t>La imposición de penas a los niños, en particular la prohibición de la pena capital</w:t>
      </w:r>
      <w:r>
        <w:t> </w:t>
      </w:r>
      <w:r w:rsidRPr="006532CE">
        <w:t>y</w:t>
      </w:r>
      <w:r>
        <w:t> </w:t>
      </w:r>
      <w:r w:rsidRPr="006532CE">
        <w:t>de</w:t>
      </w:r>
      <w:r>
        <w:t> </w:t>
      </w:r>
      <w:r w:rsidRPr="006532CE">
        <w:t>la prisión perpetua (art. 37 a)) y la existencia de sanciones sustitutivas</w:t>
      </w:r>
      <w:r>
        <w:t> </w:t>
      </w:r>
      <w:r w:rsidRPr="006532CE">
        <w:t>basadas en un enfoque restaurativo</w:t>
      </w:r>
    </w:p>
    <w:p w14:paraId="15A5FC9D" w14:textId="77777777" w:rsidR="006532CE" w:rsidRPr="006532CE" w:rsidRDefault="006532CE" w:rsidP="006532CE">
      <w:pPr>
        <w:pStyle w:val="SingleTxtG"/>
      </w:pPr>
      <w:r w:rsidRPr="006532CE">
        <w:t>209.</w:t>
      </w:r>
      <w:r w:rsidRPr="006532CE">
        <w:tab/>
        <w:t>La información relativa a esta cuestión figura en el párrafo 255 de los informes periódicos cuarto y quinto combinados.</w:t>
      </w:r>
    </w:p>
    <w:p w14:paraId="1BD8D653" w14:textId="6AB3F43C" w:rsidR="006532CE" w:rsidRPr="006532CE" w:rsidRDefault="006532CE" w:rsidP="006532CE">
      <w:pPr>
        <w:pStyle w:val="H23G"/>
      </w:pPr>
      <w:r w:rsidRPr="006532CE">
        <w:tab/>
        <w:t>4.</w:t>
      </w:r>
      <w:r w:rsidRPr="006532CE">
        <w:tab/>
        <w:t>La recuperación física y psicológica y la reinserción social del niño (art. 39)</w:t>
      </w:r>
    </w:p>
    <w:p w14:paraId="68A2E5F9" w14:textId="77777777" w:rsidR="006532CE" w:rsidRPr="006532CE" w:rsidRDefault="006532CE" w:rsidP="006532CE">
      <w:pPr>
        <w:pStyle w:val="SingleTxtG"/>
      </w:pPr>
      <w:r w:rsidRPr="006532CE">
        <w:t>210.</w:t>
      </w:r>
      <w:r w:rsidRPr="006532CE">
        <w:tab/>
        <w:t>De conformidad con el artículo 141 del Código Penitenciario, con miras a reformar a los reclusos y prepararlos para la vida independiente, se organiza un proceso educativo y de formación unificado orientado a fomentar un comportamiento respetuoso de la ley, una actitud concienzuda hacia el trabajo y el estudio, la formación profesional y la enseñanza profesional secundaria y la mejora del nivel educativo y cultural de los reclusos. De conformidad con lo dispuesto en el artículo 108 del Código Penitenciario, en los centros penitenciarios se imparte enseñanza profesional secundaria para la formación de trabajadores y empleados cualificados y formación profesional a través de talleres. Los reclusos menores de edad pueden cursar estudios a distancia en las instituciones de enseñanza superior y de formación profesional.</w:t>
      </w:r>
    </w:p>
    <w:p w14:paraId="4C5D67A9" w14:textId="77777777" w:rsidR="006532CE" w:rsidRPr="006532CE" w:rsidRDefault="006532CE" w:rsidP="006532CE">
      <w:pPr>
        <w:pStyle w:val="SingleTxtG"/>
      </w:pPr>
      <w:r w:rsidRPr="006532CE">
        <w:t>211.</w:t>
      </w:r>
      <w:r w:rsidRPr="006532CE">
        <w:tab/>
        <w:t xml:space="preserve">Al inicio del curso escolar 2017/18, 1.165 reclusos habían comenzado estudios. A finales de año, 4 alumnos habían completado la educación general primaria, 329 la educación general básica y 202 la educación general secundaria, y otras 47 personas habían superado </w:t>
      </w:r>
      <w:r w:rsidRPr="006532CE">
        <w:lastRenderedPageBreak/>
        <w:t>los cursos de apoyo. En 2018, 69 alumnos se presentaron al examen final estatal en la modalidad de examen estatal unificado.</w:t>
      </w:r>
    </w:p>
    <w:p w14:paraId="365E8EF2" w14:textId="77777777" w:rsidR="006532CE" w:rsidRPr="006532CE" w:rsidRDefault="006532CE" w:rsidP="006532CE">
      <w:pPr>
        <w:pStyle w:val="SingleTxtG"/>
      </w:pPr>
      <w:r w:rsidRPr="006532CE">
        <w:t>211.</w:t>
      </w:r>
      <w:r w:rsidRPr="006532CE">
        <w:tab/>
        <w:t>En la actualidad, existen 15 centros de formación profesional y 7 filiales en centros penitenciarios. Se imparte formación en más de 20 profesiones demandadas en el sector penitenciario y en los mercados laborales de las entidades constitutivas de la Federación de Rusia.</w:t>
      </w:r>
    </w:p>
    <w:p w14:paraId="649E9781" w14:textId="77777777" w:rsidR="006532CE" w:rsidRPr="006532CE" w:rsidRDefault="006532CE" w:rsidP="006532CE">
      <w:pPr>
        <w:pStyle w:val="SingleTxtG"/>
      </w:pPr>
      <w:r w:rsidRPr="006532CE">
        <w:t>212.</w:t>
      </w:r>
      <w:r w:rsidRPr="006532CE">
        <w:tab/>
        <w:t>En el marco de la reinserción social de los condenados, se han creado grupos de protección social de los condenados que funcionan eficazmente en cada centro penitenciario. Seis meses antes de la puesta en libertad, se envían notificaciones a las administraciones municipales y de distrito, a los órganos de orden público, a los centros de empleo, a las comisiones de menores y de protección de sus derechos y, en el caso de los huérfanos, a las autoridades de tutela y curatela. Al salir del centro, los reclusos reciben una tarjeta de la seguridad social y certificados de los ingresos recibidos y el tiempo trabajado durante su condena. También se les proporciona ayuda material y dinero para viajar a su lugar de residencia y se envían avisos a sus padres. Todos los huérfanos que son enviados tras su puesta en libertad a internados, orfanatos y centros de rehabilitación están acompañados durante su traslado por personal penitenciario.</w:t>
      </w:r>
    </w:p>
    <w:p w14:paraId="3327158B" w14:textId="0F819A28" w:rsidR="006532CE" w:rsidRPr="006532CE" w:rsidRDefault="006532CE" w:rsidP="006532CE">
      <w:pPr>
        <w:pStyle w:val="SingleTxtG"/>
      </w:pPr>
      <w:r w:rsidRPr="006532CE">
        <w:t>213.</w:t>
      </w:r>
      <w:r w:rsidRPr="006532CE">
        <w:tab/>
        <w:t>En 2018, con la asistencia de la Inspección Penitenciaria, 9.761 internos menores de edad recibieron asistencia social, psicológica y de otro tipo (el 99,6 % del total de internos menores de edad que precisaban dicha asistencia); de ellos, 700 encontraron un empleo; 140</w:t>
      </w:r>
      <w:r w:rsidR="00281EB5">
        <w:t> </w:t>
      </w:r>
      <w:r w:rsidRPr="006532CE">
        <w:t>recibieron asistencia material; 144 recibieron tratamiento médico; 109 han tramitado o recuperado su documentación; 70 han adquirido una profesión; 592 pudieron participar en la organización de vacaciones de verano; 3.074 colaboraron en actividades recreativas; y</w:t>
      </w:r>
      <w:r w:rsidR="009A6357">
        <w:t> </w:t>
      </w:r>
      <w:r w:rsidRPr="006532CE">
        <w:t>8.785</w:t>
      </w:r>
      <w:r w:rsidR="009A6357">
        <w:t> </w:t>
      </w:r>
      <w:r w:rsidRPr="006532CE">
        <w:t>fueron examinados por los psicólogos de la Inspección Penitenciaria.</w:t>
      </w:r>
    </w:p>
    <w:p w14:paraId="7D723BA0" w14:textId="77777777" w:rsidR="006532CE" w:rsidRPr="006532CE" w:rsidRDefault="006532CE" w:rsidP="006532CE">
      <w:pPr>
        <w:pStyle w:val="SingleTxtG"/>
      </w:pPr>
      <w:r w:rsidRPr="006532CE">
        <w:t>214.</w:t>
      </w:r>
      <w:r w:rsidRPr="006532CE">
        <w:tab/>
        <w:t>En los párrafos 69 y 70 de sus observaciones finales, el Comité expresó su preocupación por las enmiendas introducidas en 2008 por las que la mayoría de edad de los condenados internados en centros correccionales para jóvenes infractores se redujo de 21 a 19 años. Los condenados menores de 21 años permanecen en centros correccionales para consolidar los resultados de su corrección y completar su educación general o formación profesional. Sin embargo, el aumento del 17,8 % al 32 % de la proporción de reclusos de entre 18 y 21 años recluidos en centros correccionales no ha favorecido su reforma debido a la amplia franja de edad (de 14 a 21 años). Un análisis de la situación de la delincuencia puso de relieve que la mayoría de los delitos registrados durante el encarcelamiento fueron cometidos por jóvenes de 18 a 21 años o bajo su influencia (de 34 delitos en 2007, 21 fueron cometidos por condenados adultos). La influencia negativa de los reclusos adultos sobre los reclusos menores de edad en los centros correccionales alteraba el funcionamiento normal de las instituciones; equiparar a los reclusos adultos con los menores no estaba justificado y contradecía el principio de separar a los reclusos menores de edad de los adultos. Tampoco se puede apoyar la recomendación del Comité de mantener a las personas que hayan cumplido la mayoría de edad en centros para menores hasta que tengan entre 24 y 26 años.</w:t>
      </w:r>
    </w:p>
    <w:p w14:paraId="226669EE" w14:textId="406822F7" w:rsidR="006532CE" w:rsidRPr="006532CE" w:rsidRDefault="006532CE" w:rsidP="006532CE">
      <w:pPr>
        <w:pStyle w:val="H23G"/>
      </w:pPr>
      <w:r w:rsidRPr="006532CE">
        <w:tab/>
        <w:t>5.</w:t>
      </w:r>
      <w:r w:rsidRPr="006532CE">
        <w:tab/>
        <w:t>Las actividades de formación organizadas para todos los profesionales que tengan que</w:t>
      </w:r>
      <w:r>
        <w:t> </w:t>
      </w:r>
      <w:r w:rsidRPr="006532CE">
        <w:t>ver con el sistema de justicia juvenil, incluidos los jueces y magistrados, fiscales, abogados, agentes del orden público, funcionarios de inmigración y trabajadores sociales, sobre las disposiciones de la Convención</w:t>
      </w:r>
    </w:p>
    <w:p w14:paraId="4DFA8C3A" w14:textId="77777777" w:rsidR="006532CE" w:rsidRPr="006532CE" w:rsidRDefault="006532CE" w:rsidP="006532CE">
      <w:pPr>
        <w:pStyle w:val="SingleTxtG"/>
      </w:pPr>
      <w:r w:rsidRPr="006532CE">
        <w:t>215.</w:t>
      </w:r>
      <w:r w:rsidRPr="006532CE">
        <w:tab/>
        <w:t>En cuanto a la recomendación de garantizar una formación adecuada y sistemática de los funcionarios encargados de hacer cumplir la ley (párrafo 7 b) de las observaciones finales), cabe señalar que, en 2018, la Universidad de la Fiscalía de la Federación de Rusia celebró dos actos destacados acerca de la protección de los derechos del niño: una mesa redonda sobre las actividades de las autoridades fiscales en materia de protección de los derechos de los niños en las situaciones sociales más difíciles (niños con discapacidad, huérfanos, niños que viven en territorios remotos y de difícil acceso); y un seminario sobre cuestiones teóricas y prácticas relativas a las actuaciones de investigación en las que están implicados menores (al acto asistieron, entre otros, el Defensor de los Derechos del Niño adscrito a la Presidencia, el Primer Fiscal General Adjunto de la Federación de Rusia y representantes de las fiscalías generales de los Estados miembros de la CEI).</w:t>
      </w:r>
    </w:p>
    <w:p w14:paraId="1FE272D3" w14:textId="4FE52CD8" w:rsidR="006532CE" w:rsidRPr="006532CE" w:rsidRDefault="006532CE" w:rsidP="006532CE">
      <w:pPr>
        <w:pStyle w:val="H1G"/>
      </w:pPr>
      <w:r w:rsidRPr="006532CE">
        <w:lastRenderedPageBreak/>
        <w:tab/>
        <w:t>E.</w:t>
      </w:r>
      <w:r w:rsidRPr="006532CE">
        <w:tab/>
        <w:t>Los niños pertenecientes a minorías étnicas, religiosas o lingüísticas o</w:t>
      </w:r>
      <w:r>
        <w:t> </w:t>
      </w:r>
      <w:r w:rsidRPr="006532CE">
        <w:t>a</w:t>
      </w:r>
      <w:r>
        <w:t> </w:t>
      </w:r>
      <w:r w:rsidRPr="006532CE">
        <w:t>pueblos indígenas (art. 30)</w:t>
      </w:r>
    </w:p>
    <w:p w14:paraId="4D5BD5C1" w14:textId="4904956C" w:rsidR="006532CE" w:rsidRPr="006532CE" w:rsidRDefault="006532CE" w:rsidP="006532CE">
      <w:pPr>
        <w:pStyle w:val="SingleTxtG"/>
      </w:pPr>
      <w:r w:rsidRPr="006532CE">
        <w:t>216.</w:t>
      </w:r>
      <w:r w:rsidRPr="006532CE">
        <w:tab/>
        <w:t>Desde 2017, el Organismo Federal para Cuestiones Étnicas, junto con la Asociación de Pueblos Indígenas del Norte, Siberia y el Extremo Oriente de la Federación de Rusia, con la participación de Finlandia y el Canadá, ha venido implementando el proyecto internacional Niños del Ártico como parte del trabajo del grupo de desarrollo sostenible del Consejo Ártico. Mediante este proyecto se pretende realizar y evaluar, junto con expertos de los Estados miembros del Consejo Ártico, una investigación sobre las mejores prácticas en materia de educación preescolar gratuita para niños de pueblos indígenas minoritarios de Siberia, con el objetivo de garantizar el estudio de la historia nacional y de la lengua materna junto con la lengua estatal, y la adquisición y conservación de conocimientos sobre el uso tradicional de los recursos naturales. En 2018, el Organismo Federal para Cuestiones Étnicas puso en marcha un sitio web oficial dedicado al Año Internacional de las Lenguas Indígenas en la Federación de Rusia, abierto principalmente a académicos, profesores, hablantes nativos y todos aquellos que participan profesional o voluntariamente en la preservación de las lenguas.</w:t>
      </w:r>
    </w:p>
    <w:p w14:paraId="5724236E" w14:textId="3A5E52D3" w:rsidR="006532CE" w:rsidRPr="006532CE" w:rsidRDefault="006532CE" w:rsidP="006532CE">
      <w:pPr>
        <w:pStyle w:val="SingleTxtG"/>
      </w:pPr>
      <w:r w:rsidRPr="006532CE">
        <w:t>217.</w:t>
      </w:r>
      <w:r w:rsidRPr="006532CE">
        <w:tab/>
        <w:t>En el marco del programa nacional de ejecución de la política estatal en materia de</w:t>
      </w:r>
      <w:r w:rsidR="005373AE">
        <w:t xml:space="preserve"> </w:t>
      </w:r>
      <w:r w:rsidRPr="006532CE">
        <w:t>etnias, aprobado mediante la Resolución del Gobierno núm. 1532, de 29 de diciembre de</w:t>
      </w:r>
      <w:r w:rsidR="005373AE">
        <w:t xml:space="preserve"> </w:t>
      </w:r>
      <w:r w:rsidRPr="006532CE">
        <w:t>2016, se conceden subvenciones con cargo al presupuesto federal a las entidades constitutivas de la Federación de Rusia en cuyo territorio viven los pueblos indígenas minoritarios del Norte, Siberia y el Extremo Oriente, a fin de apoyar el desarrollo económico y social de dichos pueblos.</w:t>
      </w:r>
    </w:p>
    <w:p w14:paraId="20701665" w14:textId="77777777" w:rsidR="006532CE" w:rsidRPr="006532CE" w:rsidRDefault="006532CE" w:rsidP="006532CE">
      <w:pPr>
        <w:pStyle w:val="SingleTxtG"/>
      </w:pPr>
      <w:r w:rsidRPr="006532CE">
        <w:t>218.</w:t>
      </w:r>
      <w:r w:rsidRPr="006532CE">
        <w:tab/>
        <w:t>Con el fin de crear las condiciones para preservar y estudiar las lenguas nativas de los pueblos de la Federación de Rusia, que son un tesoro nacional y un patrimonio histórico y cultural de la Federación de Rusia, de conformidad con el Decreto Presidencial núm. 611, de 26 de octubre de 2018, se creó la Fundación para la Preservación y el Estudio de las Lenguas Nativas de los Pueblos de la Federación de Rusia. El objetivo principal de la Fundación es crear las condiciones para: preservar las lenguas nativas de los pueblos de la Federación de Rusia y fomentar su desarrollo integral; ampliar las oportunidades de las organizaciones educativas para garantizar los derechos de los estudiantes y sus padres a elegir libremente su lengua de crianza, estudio y educación entre las lenguas de los pueblos de la Federación de Rusia; desarrollar, examinar y publicar literatura educativa, metodológica y de otro tipo en las lenguas de los pueblos de la Federación de Rusia; actualizar los diccionarios de las lenguas nativas de los pueblos de la Federación de Rusia; formar especialistas en estas áreas; y organizar investigaciones en el ámbito de las lenguas y la cultura autóctonas de los pueblos de la Federación de Rusia.</w:t>
      </w:r>
    </w:p>
    <w:p w14:paraId="0717D598" w14:textId="1768E124" w:rsidR="006532CE" w:rsidRPr="006532CE" w:rsidRDefault="006532CE" w:rsidP="006532CE">
      <w:pPr>
        <w:pStyle w:val="SingleTxtG"/>
      </w:pPr>
      <w:r w:rsidRPr="006532CE">
        <w:t>219.</w:t>
      </w:r>
      <w:r w:rsidRPr="006532CE">
        <w:tab/>
        <w:t xml:space="preserve">Los estándares educativos federales para la educación preescolar, primaria y general básica establecen la oportunidad de recibir educación en lenguas nativas de los pueblos de la Federación de Rusia y de estudiar las lenguas estatales de las repúblicas de la Federación de Rusia y las lenguas nativas de los pueblos de la Federación de Rusia, incluido el ruso como lengua nativa. El Ministerio de Educación trabaja sistemáticamente en la actualización de los contenidos de la educación general con el fin de garantizar un espacio educativo común en la Federación de Rusia en lo que se refiere a la definición de los contenidos básicos de la parte obligatoria del plan de estudios de la educación general básica en los estándares educativos federales para la educación primaria, la educación general básica y la educación general secundaria, entre otros para las asignaturas individuales </w:t>
      </w:r>
      <w:r w:rsidR="00CB5EC2">
        <w:t>“</w:t>
      </w:r>
      <w:r w:rsidRPr="006532CE">
        <w:t>Lengua nativa y lectura literaria en lengua nativa</w:t>
      </w:r>
      <w:r w:rsidR="00CB5EC2">
        <w:t>”</w:t>
      </w:r>
      <w:r w:rsidRPr="006532CE">
        <w:t xml:space="preserve"> y </w:t>
      </w:r>
      <w:r w:rsidR="00CB5EC2">
        <w:t>“</w:t>
      </w:r>
      <w:r w:rsidRPr="006532CE">
        <w:t>Lengua nativa y literatura nativa</w:t>
      </w:r>
      <w:r w:rsidR="00CB5EC2">
        <w:t>”</w:t>
      </w:r>
      <w:r w:rsidRPr="006532CE">
        <w:t>.</w:t>
      </w:r>
    </w:p>
    <w:p w14:paraId="3869E4D6" w14:textId="15E68EE5" w:rsidR="006532CE" w:rsidRPr="006532CE" w:rsidRDefault="006532CE" w:rsidP="006532CE">
      <w:pPr>
        <w:pStyle w:val="SingleTxtG"/>
      </w:pPr>
      <w:r w:rsidRPr="006532CE">
        <w:t>220.</w:t>
      </w:r>
      <w:r w:rsidRPr="006532CE">
        <w:tab/>
        <w:t>En la Federación de Rusia, además del ruso como lengua estatal, se imparte enseñanza en 24 lenguas estatales de las repúblicas constituyentes de la Federación de Rusia y se estudian como asignatura 73 lenguas de los pueblos que la constituyen. Además, en las escuelas rusas se estudia literatura en el idioma de los pueblos indígenas de la Federación de Rusia y, en algunas entidades constitutivas de la Federación de Rusia, también se estudian en esos idiomas la geografía o la historia local.</w:t>
      </w:r>
    </w:p>
    <w:p w14:paraId="517CBD8F" w14:textId="77777777" w:rsidR="006532CE" w:rsidRPr="006532CE" w:rsidRDefault="006532CE" w:rsidP="006532CE">
      <w:pPr>
        <w:pStyle w:val="SingleTxtG"/>
      </w:pPr>
      <w:r w:rsidRPr="006532CE">
        <w:t>221.</w:t>
      </w:r>
      <w:r w:rsidRPr="006532CE">
        <w:tab/>
        <w:t xml:space="preserve">El sistema educativo general en las regiones del Norte, Siberia y el Extremo Oriente de la Federación de Rusia incluye organizaciones de educación general con un componente etnocultural, instituciones educativas nómadas como entidades jurídicas independientes y </w:t>
      </w:r>
      <w:r w:rsidRPr="006532CE">
        <w:lastRenderedPageBreak/>
        <w:t>escuelas nómadas dependientes de centros educativos. Actualmente hay escuelas nómadas en la República de Sajá (Yakutia) y en el distrito autónomo de Yamalo-Nenetsia, y también se está fomentando la educación nómada en los distritos de Taimyr (Dolgano-Nenetsia) y Evenkia (territorio de Krasnoyarsk) y en la provincia de Amur.</w:t>
      </w:r>
    </w:p>
    <w:p w14:paraId="3980EC4B" w14:textId="2BC2230E" w:rsidR="006532CE" w:rsidRPr="006532CE" w:rsidRDefault="006532CE" w:rsidP="006532CE">
      <w:pPr>
        <w:pStyle w:val="SingleTxtG"/>
      </w:pPr>
      <w:r w:rsidRPr="006532CE">
        <w:t>222.</w:t>
      </w:r>
      <w:r w:rsidRPr="006532CE">
        <w:tab/>
        <w:t>El Instituto de los Pueblos del Norte de la Universidad Pedagógica Estatal A. I. Herzen desempeña un importante papel en la formación de personal especializado en lenguas nativas en las regiones del Norte, Siberia y Extremo Oriente. La Universidad Federal del Noreste M.</w:t>
      </w:r>
      <w:r w:rsidR="005373AE">
        <w:t> </w:t>
      </w:r>
      <w:r w:rsidRPr="006532CE">
        <w:t>K. Ammosov, las Universidades Estatales de Yugor, Gorno-Altaisk y Buryatia, la Escuela Superior Tecnológica y Pedagógica de Janty-Mansi, la Escuela Superior Pedagógica de Petrozavodsk y otras instituciones de formación profesional y enseñanza superior también forman a especialistas de entre los pequeños pueblos indígenas del Norte a petición de las entidades constitutivas de la Federación de Rusia.</w:t>
      </w:r>
    </w:p>
    <w:p w14:paraId="21F5CED1" w14:textId="77777777" w:rsidR="006532CE" w:rsidRPr="006532CE" w:rsidRDefault="006532CE" w:rsidP="006532CE">
      <w:pPr>
        <w:pStyle w:val="SingleTxtG"/>
      </w:pPr>
      <w:r w:rsidRPr="006532CE">
        <w:t>223.</w:t>
      </w:r>
      <w:r w:rsidRPr="006532CE">
        <w:tab/>
        <w:t>Actualmente se está elaborando un marco conceptual para la enseñanza de las lenguas nativas de los pueblos de la Federación de Rusia, con especial atención a la enseñanza de las lenguas de los pueblos indígenas minoritarios del Norte, Siberia y el Extremo Oriente de la Federación de Rusia.</w:t>
      </w:r>
    </w:p>
    <w:p w14:paraId="6E0BEC08" w14:textId="62412D3F" w:rsidR="006532CE" w:rsidRPr="006532CE" w:rsidRDefault="006532CE" w:rsidP="006532CE">
      <w:pPr>
        <w:pStyle w:val="SingleTxtG"/>
      </w:pPr>
      <w:r w:rsidRPr="006532CE">
        <w:t>224.</w:t>
      </w:r>
      <w:r w:rsidRPr="006532CE">
        <w:tab/>
        <w:t>En consonancia con el párrafo 64 de las observaciones finales, el Comité expresó su preocupación por el estado de la atención sanitaria en las aldeas remotas y por el estado nutricional de los niños de los pueblos indígenas minoritarios del Norte. Se están tomando medidas para mejorar la accesibilidad y la calidad de la atención médica en las zonas poco pobladas y de difícil acceso: se ha creado una red de organizaciones médicas, se han establecido más de 35 nuevos puestos de atención obstétrica y ambulatoria y se han reformado otros 1.200, y se han adquirido más de 1.300 unidades móviles de diagnóstico para los habitantes de las zonas rurales. Se están ampliando los servicios de ambulancia aérea para prestar asistencia médica en zonas remotas e inaccesibles. A finales de 2018, se realizaron 6.700 vuelos, lo que permitió la evacuación y asistencia oportuna de más de 9.000</w:t>
      </w:r>
      <w:r w:rsidR="00D77E16">
        <w:t> </w:t>
      </w:r>
      <w:r w:rsidRPr="006532CE">
        <w:t>pacientes, incluidos casi 2.000 niños, de los cuales 724 eran menores de un año.</w:t>
      </w:r>
    </w:p>
    <w:p w14:paraId="5F0E5C37" w14:textId="7BB2BFCF" w:rsidR="00381C24" w:rsidRPr="006532CE" w:rsidRDefault="006532CE" w:rsidP="006532CE">
      <w:pPr>
        <w:pStyle w:val="SingleTxtG"/>
        <w:suppressAutoHyphens/>
        <w:spacing w:before="240" w:after="0"/>
        <w:jc w:val="center"/>
        <w:rPr>
          <w:u w:val="single"/>
        </w:rPr>
      </w:pPr>
      <w:r>
        <w:rPr>
          <w:u w:val="single"/>
        </w:rPr>
        <w:tab/>
      </w:r>
      <w:r>
        <w:rPr>
          <w:u w:val="single"/>
        </w:rPr>
        <w:tab/>
      </w:r>
      <w:r>
        <w:rPr>
          <w:u w:val="single"/>
        </w:rPr>
        <w:tab/>
      </w:r>
    </w:p>
    <w:sectPr w:rsidR="00381C24" w:rsidRPr="006532CE" w:rsidSect="00646CB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D200D" w14:textId="77777777" w:rsidR="003045AF" w:rsidRPr="007C2DEF" w:rsidRDefault="003045AF" w:rsidP="007C2DEF">
      <w:pPr>
        <w:pStyle w:val="Piedepgina"/>
      </w:pPr>
    </w:p>
  </w:endnote>
  <w:endnote w:type="continuationSeparator" w:id="0">
    <w:p w14:paraId="60D0AA42" w14:textId="77777777" w:rsidR="003045AF" w:rsidRPr="007C2DEF" w:rsidRDefault="003045A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2F9EA" w14:textId="30E80C10" w:rsidR="00646CB1" w:rsidRPr="00646CB1" w:rsidRDefault="00646CB1" w:rsidP="00646CB1">
    <w:pPr>
      <w:pStyle w:val="Piedepgina"/>
      <w:tabs>
        <w:tab w:val="right" w:pos="9638"/>
      </w:tabs>
    </w:pPr>
    <w:r w:rsidRPr="00646CB1">
      <w:rPr>
        <w:b/>
        <w:sz w:val="18"/>
      </w:rPr>
      <w:fldChar w:fldCharType="begin"/>
    </w:r>
    <w:r w:rsidRPr="00646CB1">
      <w:rPr>
        <w:b/>
        <w:sz w:val="18"/>
      </w:rPr>
      <w:instrText xml:space="preserve"> PAGE  \* MERGEFORMAT </w:instrText>
    </w:r>
    <w:r w:rsidRPr="00646CB1">
      <w:rPr>
        <w:b/>
        <w:sz w:val="18"/>
      </w:rPr>
      <w:fldChar w:fldCharType="separate"/>
    </w:r>
    <w:r w:rsidRPr="00646CB1">
      <w:rPr>
        <w:b/>
        <w:noProof/>
        <w:sz w:val="18"/>
      </w:rPr>
      <w:t>2</w:t>
    </w:r>
    <w:r w:rsidRPr="00646CB1">
      <w:rPr>
        <w:b/>
        <w:sz w:val="18"/>
      </w:rPr>
      <w:fldChar w:fldCharType="end"/>
    </w:r>
    <w:r>
      <w:rPr>
        <w:b/>
        <w:sz w:val="18"/>
      </w:rPr>
      <w:tab/>
    </w:r>
    <w:r>
      <w:t>GE.22-25905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7906D" w14:textId="1B4EC07B" w:rsidR="00646CB1" w:rsidRPr="00646CB1" w:rsidRDefault="00646CB1" w:rsidP="00646CB1">
    <w:pPr>
      <w:pStyle w:val="Piedepgina"/>
      <w:tabs>
        <w:tab w:val="right" w:pos="9638"/>
      </w:tabs>
      <w:rPr>
        <w:b/>
        <w:sz w:val="18"/>
      </w:rPr>
    </w:pPr>
    <w:r>
      <w:t>GE.22-25905</w:t>
    </w:r>
    <w:r>
      <w:tab/>
    </w:r>
    <w:r w:rsidRPr="00646CB1">
      <w:rPr>
        <w:b/>
        <w:sz w:val="18"/>
      </w:rPr>
      <w:fldChar w:fldCharType="begin"/>
    </w:r>
    <w:r w:rsidRPr="00646CB1">
      <w:rPr>
        <w:b/>
        <w:sz w:val="18"/>
      </w:rPr>
      <w:instrText xml:space="preserve"> PAGE  \* MERGEFORMAT </w:instrText>
    </w:r>
    <w:r w:rsidRPr="00646CB1">
      <w:rPr>
        <w:b/>
        <w:sz w:val="18"/>
      </w:rPr>
      <w:fldChar w:fldCharType="separate"/>
    </w:r>
    <w:r w:rsidRPr="00646CB1">
      <w:rPr>
        <w:b/>
        <w:noProof/>
        <w:sz w:val="18"/>
      </w:rPr>
      <w:t>3</w:t>
    </w:r>
    <w:r w:rsidRPr="00646C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ACD70" w14:textId="553604C3" w:rsidR="007E16A7" w:rsidRPr="00646CB1" w:rsidRDefault="00646CB1" w:rsidP="00646CB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A9D986B" wp14:editId="3FE9852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22-25905  (S)</w:t>
    </w:r>
    <w:r>
      <w:rPr>
        <w:noProof/>
        <w:sz w:val="20"/>
      </w:rPr>
      <w:drawing>
        <wp:anchor distT="0" distB="0" distL="114300" distR="114300" simplePos="0" relativeHeight="251658752" behindDoc="0" locked="0" layoutInCell="1" allowOverlap="1" wp14:anchorId="544DDDE3" wp14:editId="313884F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060423    120423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8D4EB" w14:textId="77777777" w:rsidR="003045AF" w:rsidRPr="001075E9" w:rsidRDefault="003045AF" w:rsidP="001075E9">
      <w:pPr>
        <w:tabs>
          <w:tab w:val="right" w:pos="2155"/>
        </w:tabs>
        <w:spacing w:after="80" w:line="240" w:lineRule="auto"/>
        <w:ind w:left="680"/>
        <w:rPr>
          <w:u w:val="single"/>
        </w:rPr>
      </w:pPr>
      <w:r>
        <w:rPr>
          <w:u w:val="single"/>
        </w:rPr>
        <w:tab/>
      </w:r>
    </w:p>
  </w:footnote>
  <w:footnote w:type="continuationSeparator" w:id="0">
    <w:p w14:paraId="1130554D" w14:textId="77777777" w:rsidR="003045AF" w:rsidRDefault="003045AF" w:rsidP="007C2DEF">
      <w:pPr>
        <w:tabs>
          <w:tab w:val="right" w:pos="2155"/>
        </w:tabs>
        <w:spacing w:after="80" w:line="240" w:lineRule="auto"/>
        <w:ind w:left="680"/>
        <w:rPr>
          <w:u w:val="single"/>
        </w:rPr>
      </w:pPr>
      <w:r>
        <w:rPr>
          <w:u w:val="single"/>
        </w:rPr>
        <w:tab/>
      </w:r>
    </w:p>
  </w:footnote>
  <w:footnote w:id="1">
    <w:p w14:paraId="7A4E2730" w14:textId="4918B979" w:rsidR="006532CE" w:rsidRPr="006532CE" w:rsidRDefault="006532CE" w:rsidP="006532CE">
      <w:pPr>
        <w:pStyle w:val="Textonotapie"/>
        <w:rPr>
          <w:sz w:val="20"/>
        </w:rPr>
      </w:pPr>
      <w:r>
        <w:tab/>
      </w:r>
      <w:r w:rsidRPr="006532CE">
        <w:rPr>
          <w:rStyle w:val="Refdenotaalpie"/>
          <w:sz w:val="20"/>
          <w:vertAlign w:val="baseline"/>
        </w:rPr>
        <w:t>*</w:t>
      </w:r>
      <w:r w:rsidRPr="006532CE">
        <w:rPr>
          <w:rStyle w:val="Refdenotaalpie"/>
          <w:vertAlign w:val="baseline"/>
        </w:rPr>
        <w:tab/>
      </w:r>
      <w:r w:rsidRPr="006532CE">
        <w:t>La versión original del presente documento no fue objeto de revisión editorial oficial.</w:t>
      </w:r>
    </w:p>
  </w:footnote>
  <w:footnote w:id="2">
    <w:p w14:paraId="41CD256E" w14:textId="272D2293" w:rsidR="006532CE" w:rsidRPr="006532CE" w:rsidRDefault="006532CE" w:rsidP="006532CE">
      <w:pPr>
        <w:pStyle w:val="Textonotapie"/>
        <w:rPr>
          <w:sz w:val="20"/>
        </w:rPr>
      </w:pPr>
      <w:r>
        <w:tab/>
      </w:r>
      <w:r w:rsidRPr="006532CE">
        <w:rPr>
          <w:rStyle w:val="Refdenotaalpie"/>
          <w:sz w:val="20"/>
          <w:vertAlign w:val="baseline"/>
        </w:rPr>
        <w:t>**</w:t>
      </w:r>
      <w:r w:rsidRPr="006532CE">
        <w:rPr>
          <w:rStyle w:val="Refdenotaalpie"/>
          <w:vertAlign w:val="baseline"/>
        </w:rPr>
        <w:tab/>
      </w:r>
      <w:r w:rsidRPr="006532CE">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03E09" w14:textId="035F9A6B" w:rsidR="00646CB1" w:rsidRPr="00646CB1" w:rsidRDefault="00C2751B">
    <w:pPr>
      <w:pStyle w:val="Encabezado"/>
    </w:pPr>
    <w:r>
      <w:fldChar w:fldCharType="begin"/>
    </w:r>
    <w:r>
      <w:instrText xml:space="preserve"> TITLE  \* MERGEFORMAT </w:instrText>
    </w:r>
    <w:r>
      <w:fldChar w:fldCharType="separate"/>
    </w:r>
    <w:r>
      <w:t>CRC/C/RUS/6-7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1AF4C" w14:textId="56C49A11" w:rsidR="00646CB1" w:rsidRPr="00646CB1" w:rsidRDefault="00C2751B" w:rsidP="00646CB1">
    <w:pPr>
      <w:pStyle w:val="Encabezado"/>
      <w:jc w:val="right"/>
    </w:pPr>
    <w:r>
      <w:fldChar w:fldCharType="begin"/>
    </w:r>
    <w:r>
      <w:instrText xml:space="preserve"> TITLE  \* MERGEFORMAT </w:instrText>
    </w:r>
    <w:r>
      <w:fldChar w:fldCharType="separate"/>
    </w:r>
    <w:r>
      <w:t>CRC/C/RUS/6-7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5936973">
    <w:abstractNumId w:val="14"/>
  </w:num>
  <w:num w:numId="2" w16cid:durableId="1057315140">
    <w:abstractNumId w:val="11"/>
  </w:num>
  <w:num w:numId="3" w16cid:durableId="657802156">
    <w:abstractNumId w:val="16"/>
  </w:num>
  <w:num w:numId="4" w16cid:durableId="1554005720">
    <w:abstractNumId w:val="15"/>
  </w:num>
  <w:num w:numId="5" w16cid:durableId="9725819">
    <w:abstractNumId w:val="13"/>
  </w:num>
  <w:num w:numId="6" w16cid:durableId="323700561">
    <w:abstractNumId w:val="8"/>
  </w:num>
  <w:num w:numId="7" w16cid:durableId="1192063025">
    <w:abstractNumId w:val="3"/>
  </w:num>
  <w:num w:numId="8" w16cid:durableId="552229445">
    <w:abstractNumId w:val="2"/>
  </w:num>
  <w:num w:numId="9" w16cid:durableId="1396780419">
    <w:abstractNumId w:val="1"/>
  </w:num>
  <w:num w:numId="10" w16cid:durableId="1411922061">
    <w:abstractNumId w:val="0"/>
  </w:num>
  <w:num w:numId="11" w16cid:durableId="798643719">
    <w:abstractNumId w:val="9"/>
  </w:num>
  <w:num w:numId="12" w16cid:durableId="1486583293">
    <w:abstractNumId w:val="7"/>
  </w:num>
  <w:num w:numId="13" w16cid:durableId="921336507">
    <w:abstractNumId w:val="6"/>
  </w:num>
  <w:num w:numId="14" w16cid:durableId="1270316488">
    <w:abstractNumId w:val="5"/>
  </w:num>
  <w:num w:numId="15" w16cid:durableId="1296450398">
    <w:abstractNumId w:val="4"/>
  </w:num>
  <w:num w:numId="16" w16cid:durableId="698243882">
    <w:abstractNumId w:val="10"/>
  </w:num>
  <w:num w:numId="17" w16cid:durableId="785275634">
    <w:abstractNumId w:val="14"/>
  </w:num>
  <w:num w:numId="18" w16cid:durableId="1809128697">
    <w:abstractNumId w:val="11"/>
  </w:num>
  <w:num w:numId="19" w16cid:durableId="1212495178">
    <w:abstractNumId w:val="10"/>
  </w:num>
  <w:num w:numId="20" w16cid:durableId="1312176365">
    <w:abstractNumId w:val="16"/>
  </w:num>
  <w:num w:numId="21" w16cid:durableId="1555047179">
    <w:abstractNumId w:val="15"/>
  </w:num>
  <w:num w:numId="22" w16cid:durableId="1666393284">
    <w:abstractNumId w:val="12"/>
  </w:num>
  <w:num w:numId="23" w16cid:durableId="1166360194">
    <w:abstractNumId w:val="12"/>
  </w:num>
  <w:num w:numId="24" w16cid:durableId="2073114851">
    <w:abstractNumId w:val="13"/>
  </w:num>
  <w:num w:numId="25" w16cid:durableId="1710760575">
    <w:abstractNumId w:val="9"/>
  </w:num>
  <w:num w:numId="26" w16cid:durableId="14771574">
    <w:abstractNumId w:val="7"/>
  </w:num>
  <w:num w:numId="27" w16cid:durableId="772474929">
    <w:abstractNumId w:val="6"/>
  </w:num>
  <w:num w:numId="28" w16cid:durableId="1240023581">
    <w:abstractNumId w:val="5"/>
  </w:num>
  <w:num w:numId="29" w16cid:durableId="613439920">
    <w:abstractNumId w:val="4"/>
  </w:num>
  <w:num w:numId="30" w16cid:durableId="241841170">
    <w:abstractNumId w:val="8"/>
  </w:num>
  <w:num w:numId="31" w16cid:durableId="1672561316">
    <w:abstractNumId w:val="3"/>
  </w:num>
  <w:num w:numId="32" w16cid:durableId="1905020702">
    <w:abstractNumId w:val="2"/>
  </w:num>
  <w:num w:numId="33" w16cid:durableId="1554806771">
    <w:abstractNumId w:val="1"/>
  </w:num>
  <w:num w:numId="34" w16cid:durableId="131290775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5AF"/>
    <w:rsid w:val="00002131"/>
    <w:rsid w:val="00021AE2"/>
    <w:rsid w:val="00023B74"/>
    <w:rsid w:val="00033EE1"/>
    <w:rsid w:val="000739F7"/>
    <w:rsid w:val="000A3DB6"/>
    <w:rsid w:val="000B57E7"/>
    <w:rsid w:val="000C4526"/>
    <w:rsid w:val="000F09DF"/>
    <w:rsid w:val="000F61B2"/>
    <w:rsid w:val="001075E9"/>
    <w:rsid w:val="001256EA"/>
    <w:rsid w:val="001359B4"/>
    <w:rsid w:val="00153570"/>
    <w:rsid w:val="00161852"/>
    <w:rsid w:val="00176BE6"/>
    <w:rsid w:val="00180183"/>
    <w:rsid w:val="00182075"/>
    <w:rsid w:val="00183CEE"/>
    <w:rsid w:val="0018649F"/>
    <w:rsid w:val="00196389"/>
    <w:rsid w:val="001B269E"/>
    <w:rsid w:val="001B5FFA"/>
    <w:rsid w:val="001C7A89"/>
    <w:rsid w:val="001D1565"/>
    <w:rsid w:val="001F7A55"/>
    <w:rsid w:val="00220F72"/>
    <w:rsid w:val="0023689E"/>
    <w:rsid w:val="00240004"/>
    <w:rsid w:val="0026135B"/>
    <w:rsid w:val="00281EB5"/>
    <w:rsid w:val="00283CE1"/>
    <w:rsid w:val="002931F6"/>
    <w:rsid w:val="002A2EFC"/>
    <w:rsid w:val="002C0E18"/>
    <w:rsid w:val="002D5AAC"/>
    <w:rsid w:val="002F214C"/>
    <w:rsid w:val="002F7749"/>
    <w:rsid w:val="00301299"/>
    <w:rsid w:val="003045AF"/>
    <w:rsid w:val="00322004"/>
    <w:rsid w:val="003402C2"/>
    <w:rsid w:val="00363EAC"/>
    <w:rsid w:val="00381C24"/>
    <w:rsid w:val="00387A40"/>
    <w:rsid w:val="003958D0"/>
    <w:rsid w:val="003B00E5"/>
    <w:rsid w:val="003C0590"/>
    <w:rsid w:val="004043B6"/>
    <w:rsid w:val="00414A16"/>
    <w:rsid w:val="00427F10"/>
    <w:rsid w:val="00451233"/>
    <w:rsid w:val="00454E07"/>
    <w:rsid w:val="004B0706"/>
    <w:rsid w:val="004C6CF0"/>
    <w:rsid w:val="004D3434"/>
    <w:rsid w:val="004D45DB"/>
    <w:rsid w:val="004E1901"/>
    <w:rsid w:val="0050108D"/>
    <w:rsid w:val="00536DF4"/>
    <w:rsid w:val="005373AE"/>
    <w:rsid w:val="00552F88"/>
    <w:rsid w:val="00566B84"/>
    <w:rsid w:val="00571951"/>
    <w:rsid w:val="00572E19"/>
    <w:rsid w:val="005A182D"/>
    <w:rsid w:val="005A566C"/>
    <w:rsid w:val="005C43E4"/>
    <w:rsid w:val="005D7179"/>
    <w:rsid w:val="005E007A"/>
    <w:rsid w:val="005F0B42"/>
    <w:rsid w:val="005F2AD1"/>
    <w:rsid w:val="005F63DB"/>
    <w:rsid w:val="00634EBA"/>
    <w:rsid w:val="00644BD4"/>
    <w:rsid w:val="00646CB1"/>
    <w:rsid w:val="006532CE"/>
    <w:rsid w:val="006B3A76"/>
    <w:rsid w:val="006F35EE"/>
    <w:rsid w:val="006F7B0F"/>
    <w:rsid w:val="007021FF"/>
    <w:rsid w:val="00716586"/>
    <w:rsid w:val="00757357"/>
    <w:rsid w:val="007A059A"/>
    <w:rsid w:val="007B1CE4"/>
    <w:rsid w:val="007C2DEF"/>
    <w:rsid w:val="007D0A1F"/>
    <w:rsid w:val="007D2DB5"/>
    <w:rsid w:val="007D431B"/>
    <w:rsid w:val="007E16A7"/>
    <w:rsid w:val="007E4474"/>
    <w:rsid w:val="007F3812"/>
    <w:rsid w:val="007F4281"/>
    <w:rsid w:val="008136D8"/>
    <w:rsid w:val="00834B71"/>
    <w:rsid w:val="00850E06"/>
    <w:rsid w:val="0086445C"/>
    <w:rsid w:val="00867322"/>
    <w:rsid w:val="008675EF"/>
    <w:rsid w:val="008A08D7"/>
    <w:rsid w:val="008A3EA3"/>
    <w:rsid w:val="008C2B1A"/>
    <w:rsid w:val="008E1429"/>
    <w:rsid w:val="008E3E83"/>
    <w:rsid w:val="00906890"/>
    <w:rsid w:val="00945724"/>
    <w:rsid w:val="00951972"/>
    <w:rsid w:val="00964A78"/>
    <w:rsid w:val="009A6357"/>
    <w:rsid w:val="009C646E"/>
    <w:rsid w:val="009C7505"/>
    <w:rsid w:val="009E1414"/>
    <w:rsid w:val="009F0194"/>
    <w:rsid w:val="00A20F80"/>
    <w:rsid w:val="00A43957"/>
    <w:rsid w:val="00A5723C"/>
    <w:rsid w:val="00A917B3"/>
    <w:rsid w:val="00A9316D"/>
    <w:rsid w:val="00A97C80"/>
    <w:rsid w:val="00AB4B51"/>
    <w:rsid w:val="00B10CC7"/>
    <w:rsid w:val="00B213EC"/>
    <w:rsid w:val="00B62458"/>
    <w:rsid w:val="00B66BA4"/>
    <w:rsid w:val="00B8687E"/>
    <w:rsid w:val="00BC36C3"/>
    <w:rsid w:val="00BD33EE"/>
    <w:rsid w:val="00C2751B"/>
    <w:rsid w:val="00C27C89"/>
    <w:rsid w:val="00C60F0C"/>
    <w:rsid w:val="00C67843"/>
    <w:rsid w:val="00C805C9"/>
    <w:rsid w:val="00CA1679"/>
    <w:rsid w:val="00CB278D"/>
    <w:rsid w:val="00CB5EC2"/>
    <w:rsid w:val="00CF6CA6"/>
    <w:rsid w:val="00D15EAE"/>
    <w:rsid w:val="00D30885"/>
    <w:rsid w:val="00D318C7"/>
    <w:rsid w:val="00D33D63"/>
    <w:rsid w:val="00D6494B"/>
    <w:rsid w:val="00D77E16"/>
    <w:rsid w:val="00D83653"/>
    <w:rsid w:val="00D90138"/>
    <w:rsid w:val="00DB3538"/>
    <w:rsid w:val="00DD299D"/>
    <w:rsid w:val="00DD451F"/>
    <w:rsid w:val="00DF63E3"/>
    <w:rsid w:val="00E0448B"/>
    <w:rsid w:val="00E23796"/>
    <w:rsid w:val="00E44B43"/>
    <w:rsid w:val="00E460BA"/>
    <w:rsid w:val="00E50229"/>
    <w:rsid w:val="00E668FD"/>
    <w:rsid w:val="00E73F76"/>
    <w:rsid w:val="00E74886"/>
    <w:rsid w:val="00EF1360"/>
    <w:rsid w:val="00EF3220"/>
    <w:rsid w:val="00F23FB6"/>
    <w:rsid w:val="00F53D44"/>
    <w:rsid w:val="00F65F7A"/>
    <w:rsid w:val="00F718AB"/>
    <w:rsid w:val="00F80811"/>
    <w:rsid w:val="00F94155"/>
    <w:rsid w:val="00FA3077"/>
    <w:rsid w:val="00FB2D3D"/>
    <w:rsid w:val="00FB4088"/>
    <w:rsid w:val="00FB4B55"/>
    <w:rsid w:val="00FC4FC2"/>
    <w:rsid w:val="00FD2EF7"/>
    <w:rsid w:val="00FD56A9"/>
    <w:rsid w:val="00FE6C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CB890"/>
  <w15:docId w15:val="{40E040C0-1706-4705-975E-D4638B226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9F77C-B22B-4B79-BDF5-E33D31612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42</Pages>
  <Words>27883</Words>
  <Characters>142205</Characters>
  <Application>Microsoft Office Word</Application>
  <DocSecurity>0</DocSecurity>
  <Lines>2091</Lines>
  <Paragraphs>436</Paragraphs>
  <ScaleCrop>false</ScaleCrop>
  <HeadingPairs>
    <vt:vector size="2" baseType="variant">
      <vt:variant>
        <vt:lpstr>Título</vt:lpstr>
      </vt:variant>
      <vt:variant>
        <vt:i4>1</vt:i4>
      </vt:variant>
    </vt:vector>
  </HeadingPairs>
  <TitlesOfParts>
    <vt:vector size="1" baseType="lpstr">
      <vt:lpstr>CRC/C/RUS/6-7</vt:lpstr>
    </vt:vector>
  </TitlesOfParts>
  <Company/>
  <LinksUpToDate>false</LinksUpToDate>
  <CharactersWithSpaces>169652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CRC/C/RUS/6-7</dc:title>
  <dc:subject/>
  <dc:creator>Angel ANGEL-MORENO-TORRES</dc:creator>
  <cp:keywords/>
  <cp:lastModifiedBy>Angel Moreno Torres</cp:lastModifiedBy>
  <cp:revision>3</cp:revision>
  <cp:lastPrinted>2023-04-12T12:43:00Z</cp:lastPrinted>
  <dcterms:created xsi:type="dcterms:W3CDTF">2023-04-12T12:43:00Z</dcterms:created>
  <dcterms:modified xsi:type="dcterms:W3CDTF">2023-04-12T12:43:00Z</dcterms:modified>
</cp:coreProperties>
</file>