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pPr>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876C6B" w:rsidP="00433A3C">
            <w:pPr>
              <w:bidi w:val="0"/>
              <w:spacing w:after="20"/>
              <w:jc w:val="left"/>
              <w:rPr>
                <w:szCs w:val="20"/>
              </w:rPr>
            </w:pPr>
            <w:r w:rsidRPr="00876C6B">
              <w:rPr>
                <w:sz w:val="40"/>
                <w:szCs w:val="20"/>
              </w:rPr>
              <w:t>CRC</w:t>
            </w:r>
            <w:r>
              <w:rPr>
                <w:szCs w:val="20"/>
              </w:rPr>
              <w:t>/C/82/D/43/2018</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433A3C" w:rsidP="00433A3C">
            <w:pPr>
              <w:bidi w:val="0"/>
              <w:spacing w:before="240"/>
              <w:jc w:val="left"/>
            </w:pPr>
            <w:r>
              <w:t>Distr.: General</w:t>
            </w:r>
          </w:p>
          <w:p w:rsidR="00433A3C" w:rsidRDefault="00433A3C" w:rsidP="00433A3C">
            <w:pPr>
              <w:bidi w:val="0"/>
              <w:jc w:val="left"/>
            </w:pPr>
            <w:r>
              <w:t>1 November 2019</w:t>
            </w:r>
          </w:p>
          <w:p w:rsidR="00433A3C" w:rsidRDefault="00433A3C" w:rsidP="00433A3C">
            <w:pPr>
              <w:bidi w:val="0"/>
              <w:jc w:val="left"/>
            </w:pPr>
            <w:r>
              <w:t>Arabic</w:t>
            </w:r>
          </w:p>
          <w:p w:rsidR="00433A3C" w:rsidRPr="008B4BC6" w:rsidRDefault="00433A3C" w:rsidP="00433A3C">
            <w:pPr>
              <w:bidi w:val="0"/>
              <w:jc w:val="left"/>
            </w:pPr>
            <w:r>
              <w:t>Original: English</w:t>
            </w:r>
          </w:p>
        </w:tc>
      </w:tr>
    </w:tbl>
    <w:p w:rsidR="00433A3C" w:rsidRPr="00433A3C" w:rsidRDefault="00433A3C" w:rsidP="00433A3C">
      <w:pPr>
        <w:spacing w:before="120" w:line="380" w:lineRule="exact"/>
        <w:textDirection w:val="tbRlV"/>
        <w:rPr>
          <w:b/>
          <w:bCs/>
          <w:sz w:val="30"/>
          <w:szCs w:val="36"/>
          <w:rtl/>
          <w:lang w:val="ar-SA" w:eastAsia="zh-TW"/>
        </w:rPr>
      </w:pPr>
      <w:r w:rsidRPr="00433A3C">
        <w:rPr>
          <w:b/>
          <w:bCs/>
          <w:sz w:val="26"/>
          <w:szCs w:val="36"/>
          <w:rtl/>
        </w:rPr>
        <w:t>لجنة حقوق الطفل</w:t>
      </w:r>
      <w:r w:rsidRPr="00433A3C">
        <w:rPr>
          <w:sz w:val="26"/>
          <w:szCs w:val="36"/>
        </w:rPr>
        <w:t>‏</w:t>
      </w:r>
    </w:p>
    <w:p w:rsidR="00433A3C" w:rsidRPr="00433A3C" w:rsidRDefault="00433A3C" w:rsidP="00433A3C">
      <w:pPr>
        <w:pStyle w:val="HChGA"/>
        <w:rPr>
          <w:rFonts w:hint="cs"/>
          <w:spacing w:val="-2"/>
          <w:rtl/>
          <w:lang w:val="ar-SA" w:eastAsia="zh-TW"/>
        </w:rPr>
      </w:pPr>
      <w:r w:rsidRPr="00433A3C">
        <w:rPr>
          <w:spacing w:val="-2"/>
        </w:rPr>
        <w:tab/>
      </w:r>
      <w:r w:rsidRPr="00433A3C">
        <w:rPr>
          <w:spacing w:val="-2"/>
        </w:rPr>
        <w:tab/>
      </w:r>
      <w:r w:rsidRPr="00433A3C">
        <w:rPr>
          <w:spacing w:val="-2"/>
          <w:rtl/>
        </w:rPr>
        <w:t>قرار اعتمدته اللجنة بموجب البروتوكول الاختياري لاتفاقية حقوق الطفل المتعلق بإجراء تقديم البلاغات، بشأن البلاغ رقم 43/2018</w:t>
      </w:r>
      <w:r w:rsidRPr="00433A3C">
        <w:rPr>
          <w:rStyle w:val="FootnoteReference"/>
          <w:spacing w:val="-2"/>
          <w:sz w:val="20"/>
          <w:vertAlign w:val="baseline"/>
          <w:rtl/>
        </w:rPr>
        <w:footnoteReference w:customMarkFollows="1" w:id="1"/>
        <w:t>*</w:t>
      </w:r>
      <w:r w:rsidR="004158F2">
        <w:rPr>
          <w:rFonts w:hint="cs"/>
          <w:spacing w:val="-2"/>
          <w:sz w:val="20"/>
          <w:rtl/>
          <w:lang w:val="ar-SA" w:eastAsia="zh-TW"/>
        </w:rPr>
        <w:t xml:space="preserve"> </w:t>
      </w:r>
      <w:r w:rsidRPr="00433A3C">
        <w:rPr>
          <w:rStyle w:val="FootnoteReference"/>
          <w:b/>
          <w:spacing w:val="-2"/>
          <w:sz w:val="20"/>
          <w:vertAlign w:val="baseline"/>
          <w:rtl/>
          <w:lang w:val="ar-SA" w:eastAsia="zh-TW"/>
        </w:rPr>
        <w:footnoteReference w:customMarkFollows="1" w:id="2"/>
        <w:t>**</w:t>
      </w:r>
    </w:p>
    <w:p w:rsidR="00433A3C" w:rsidRPr="007A1BB9" w:rsidRDefault="00433A3C" w:rsidP="00433A3C">
      <w:pPr>
        <w:pStyle w:val="SingleTxtGA"/>
        <w:tabs>
          <w:tab w:val="clear" w:pos="1928"/>
          <w:tab w:val="clear" w:pos="2608"/>
          <w:tab w:val="clear" w:pos="3289"/>
          <w:tab w:val="clear" w:pos="3969"/>
          <w:tab w:val="clear" w:pos="4649"/>
          <w:tab w:val="left" w:pos="4459"/>
        </w:tabs>
        <w:ind w:left="4459" w:hanging="2531"/>
        <w:rPr>
          <w:rtl/>
          <w:lang w:val="ar-SA" w:eastAsia="zh-TW"/>
        </w:rPr>
      </w:pPr>
      <w:bookmarkStart w:id="0" w:name="_Hlk23417772"/>
      <w:r>
        <w:rPr>
          <w:i/>
          <w:iCs/>
          <w:rtl/>
        </w:rPr>
        <w:t>بلاغ مقدم من:</w:t>
      </w:r>
      <w:r>
        <w:rPr>
          <w:rtl/>
        </w:rPr>
        <w:tab/>
        <w:t>ز.</w:t>
      </w:r>
      <w:r>
        <w:rPr>
          <w:rFonts w:hint="cs"/>
          <w:rtl/>
        </w:rPr>
        <w:t xml:space="preserve"> </w:t>
      </w:r>
      <w:r>
        <w:rPr>
          <w:rtl/>
        </w:rPr>
        <w:t>ر. وك.</w:t>
      </w:r>
      <w:r>
        <w:rPr>
          <w:rFonts w:hint="cs"/>
          <w:rtl/>
        </w:rPr>
        <w:t xml:space="preserve"> </w:t>
      </w:r>
      <w:r>
        <w:rPr>
          <w:rtl/>
        </w:rPr>
        <w:t>س. (يمثلهما المجلس الدانمركي للاجئين)</w:t>
      </w:r>
      <w:bookmarkEnd w:id="0"/>
    </w:p>
    <w:p w:rsidR="00433A3C" w:rsidRPr="003547DB" w:rsidRDefault="00433A3C" w:rsidP="00433A3C">
      <w:pPr>
        <w:pStyle w:val="SingleTxtGA"/>
        <w:tabs>
          <w:tab w:val="clear" w:pos="1928"/>
          <w:tab w:val="clear" w:pos="2608"/>
          <w:tab w:val="clear" w:pos="3289"/>
          <w:tab w:val="clear" w:pos="3969"/>
          <w:tab w:val="clear" w:pos="4649"/>
          <w:tab w:val="left" w:pos="4459"/>
        </w:tabs>
        <w:ind w:left="4459" w:hanging="2531"/>
        <w:rPr>
          <w:rtl/>
          <w:lang w:val="ar-SA" w:eastAsia="zh-TW"/>
        </w:rPr>
      </w:pPr>
      <w:r>
        <w:rPr>
          <w:i/>
          <w:iCs/>
          <w:rtl/>
        </w:rPr>
        <w:t>الأشخاص المدعى أنهم ضحايا:</w:t>
      </w:r>
      <w:r>
        <w:rPr>
          <w:rtl/>
        </w:rPr>
        <w:tab/>
        <w:t xml:space="preserve">صاحبا البلاغ وأطفالهما الأربعة </w:t>
      </w:r>
    </w:p>
    <w:p w:rsidR="00433A3C" w:rsidRPr="003547DB" w:rsidRDefault="00433A3C" w:rsidP="00433A3C">
      <w:pPr>
        <w:pStyle w:val="SingleTxtGA"/>
        <w:tabs>
          <w:tab w:val="clear" w:pos="1928"/>
          <w:tab w:val="clear" w:pos="2608"/>
          <w:tab w:val="clear" w:pos="3289"/>
          <w:tab w:val="clear" w:pos="3969"/>
          <w:tab w:val="clear" w:pos="4649"/>
          <w:tab w:val="left" w:pos="4459"/>
        </w:tabs>
        <w:ind w:left="4459" w:hanging="2531"/>
        <w:rPr>
          <w:rtl/>
          <w:lang w:val="ar-SA" w:eastAsia="zh-TW"/>
        </w:rPr>
      </w:pPr>
      <w:r>
        <w:rPr>
          <w:i/>
          <w:iCs/>
          <w:rtl/>
        </w:rPr>
        <w:t>الدولة الطرف:</w:t>
      </w:r>
      <w:r>
        <w:rPr>
          <w:rtl/>
        </w:rPr>
        <w:tab/>
        <w:t>الدانمرك</w:t>
      </w:r>
    </w:p>
    <w:p w:rsidR="00433A3C" w:rsidRPr="003547DB" w:rsidRDefault="00433A3C" w:rsidP="00433A3C">
      <w:pPr>
        <w:pStyle w:val="SingleTxtGA"/>
        <w:tabs>
          <w:tab w:val="clear" w:pos="1928"/>
          <w:tab w:val="clear" w:pos="2608"/>
          <w:tab w:val="clear" w:pos="3289"/>
          <w:tab w:val="clear" w:pos="3969"/>
          <w:tab w:val="clear" w:pos="4649"/>
          <w:tab w:val="left" w:pos="4459"/>
        </w:tabs>
        <w:ind w:left="4459" w:hanging="2531"/>
        <w:rPr>
          <w:rtl/>
          <w:lang w:val="ar-SA" w:eastAsia="zh-TW"/>
        </w:rPr>
      </w:pPr>
      <w:r>
        <w:rPr>
          <w:i/>
          <w:iCs/>
          <w:rtl/>
        </w:rPr>
        <w:t>تاريخ تقديم البلاغ</w:t>
      </w:r>
      <w:r w:rsidR="008161D8" w:rsidRPr="008161D8">
        <w:rPr>
          <w:rFonts w:hint="cs"/>
          <w:i/>
          <w:iCs/>
          <w:rtl/>
        </w:rPr>
        <w:t>:</w:t>
      </w:r>
      <w:r>
        <w:rPr>
          <w:rtl/>
        </w:rPr>
        <w:tab/>
        <w:t>١٦ شباط/فبراير ٢٠١٨</w:t>
      </w:r>
    </w:p>
    <w:p w:rsidR="00433A3C" w:rsidRPr="00433A3C" w:rsidRDefault="00433A3C" w:rsidP="00433A3C">
      <w:pPr>
        <w:pStyle w:val="SingleTxtGA"/>
        <w:tabs>
          <w:tab w:val="clear" w:pos="1928"/>
          <w:tab w:val="clear" w:pos="2608"/>
          <w:tab w:val="clear" w:pos="3289"/>
          <w:tab w:val="clear" w:pos="3969"/>
          <w:tab w:val="clear" w:pos="4649"/>
          <w:tab w:val="left" w:pos="4459"/>
        </w:tabs>
        <w:ind w:left="4459" w:hanging="2531"/>
        <w:rPr>
          <w:spacing w:val="-4"/>
          <w:rtl/>
          <w:lang w:val="ar-SA" w:eastAsia="zh-TW"/>
        </w:rPr>
      </w:pPr>
      <w:r w:rsidRPr="00433A3C">
        <w:rPr>
          <w:i/>
          <w:iCs/>
          <w:spacing w:val="-4"/>
          <w:rtl/>
        </w:rPr>
        <w:t>الموضوع</w:t>
      </w:r>
      <w:r w:rsidR="008161D8" w:rsidRPr="008161D8">
        <w:rPr>
          <w:rFonts w:hint="cs"/>
          <w:i/>
          <w:iCs/>
          <w:spacing w:val="-4"/>
          <w:rtl/>
        </w:rPr>
        <w:t>:</w:t>
      </w:r>
      <w:r w:rsidRPr="00433A3C">
        <w:rPr>
          <w:spacing w:val="-4"/>
          <w:rtl/>
        </w:rPr>
        <w:tab/>
        <w:t>ترحيل أسرة لاجئة إيرانية لديها أربعة أطفال إلى إيطاليا</w:t>
      </w:r>
    </w:p>
    <w:p w:rsidR="00433A3C" w:rsidRDefault="00433A3C" w:rsidP="00433A3C">
      <w:pPr>
        <w:pStyle w:val="SingleTxtGA"/>
        <w:rPr>
          <w:color w:val="000000"/>
          <w:rtl/>
          <w:lang w:val="ar-SA" w:eastAsia="zh-TW"/>
        </w:rPr>
      </w:pPr>
      <w:r>
        <w:rPr>
          <w:rtl/>
        </w:rPr>
        <w:t>١-</w:t>
      </w:r>
      <w:r>
        <w:rPr>
          <w:rtl/>
        </w:rPr>
        <w:tab/>
        <w:t>صاحبا البلاغ هما مواطنان من جمهورية إيران الإسلامية. ويقدّمان البلاغ بالنيابة عن أطفالهما الأربعة، الذين كانت</w:t>
      </w:r>
      <w:r>
        <w:rPr>
          <w:rtl/>
          <w:lang w:val="fr-CH" w:bidi="ar-DZ"/>
        </w:rPr>
        <w:t xml:space="preserve"> تتراوح</w:t>
      </w:r>
      <w:r>
        <w:rPr>
          <w:rtl/>
        </w:rPr>
        <w:t xml:space="preserve"> أعمارهم وقت تقديم البلاغ ما بين سنة </w:t>
      </w:r>
      <w:proofErr w:type="spellStart"/>
      <w:r>
        <w:rPr>
          <w:rtl/>
        </w:rPr>
        <w:t>و١١</w:t>
      </w:r>
      <w:proofErr w:type="spellEnd"/>
      <w:r>
        <w:rPr>
          <w:rtl/>
        </w:rPr>
        <w:t xml:space="preserve"> سنة. وقد وصل صاحبا البلاغ إلى إيطاليا في تشرين الأول/أكتوبر ٢٠١٢، حيث طلبا اللجوء. وفي نيسان/أبريل ٢٠١٣، فور منحهما حق اللجوء، أُخرجا من دار إيوائهما المؤقتة وأجبرا على العيش في الشارع. ونتيجة لذلك، غادرا إيطاليا إلى الدانمرك بعد مضي ١٥ يوماً.</w:t>
      </w:r>
    </w:p>
    <w:p w:rsidR="00433A3C" w:rsidRDefault="00433A3C" w:rsidP="00433A3C">
      <w:pPr>
        <w:pStyle w:val="SingleTxtGA"/>
        <w:rPr>
          <w:color w:val="000000"/>
          <w:rtl/>
          <w:lang w:val="ar-SA" w:eastAsia="zh-TW"/>
        </w:rPr>
      </w:pPr>
      <w:r w:rsidRPr="00433A3C">
        <w:rPr>
          <w:rtl/>
        </w:rPr>
        <w:t>٢-</w:t>
      </w:r>
      <w:r w:rsidRPr="00433A3C">
        <w:rPr>
          <w:rtl/>
        </w:rPr>
        <w:tab/>
        <w:t>وفي كانون الأول/ديسمبر 2015، أعيد صاحبا البلاغ وأطفالهما إلى إيطاليا بموجب</w:t>
      </w:r>
      <w:r>
        <w:rPr>
          <w:rFonts w:hint="cs"/>
          <w:rtl/>
        </w:rPr>
        <w:t> </w:t>
      </w:r>
      <w:r w:rsidRPr="00433A3C">
        <w:rPr>
          <w:rtl/>
        </w:rPr>
        <w:t>اللائحة رقم 604/2013 الصادرة عن البرلمان الأوروبي والمجلس، والمؤرخة 26 حزيران/</w:t>
      </w:r>
      <w:r>
        <w:rPr>
          <w:rFonts w:hint="cs"/>
          <w:rtl/>
        </w:rPr>
        <w:t xml:space="preserve"> </w:t>
      </w:r>
      <w:proofErr w:type="gramStart"/>
      <w:r w:rsidRPr="00433A3C">
        <w:rPr>
          <w:rtl/>
        </w:rPr>
        <w:t>يونيه</w:t>
      </w:r>
      <w:proofErr w:type="gramEnd"/>
      <w:r w:rsidRPr="00433A3C">
        <w:rPr>
          <w:rtl/>
        </w:rPr>
        <w:t xml:space="preserve"> 2013،</w:t>
      </w:r>
      <w:r>
        <w:rPr>
          <w:rtl/>
        </w:rPr>
        <w:t xml:space="preserve"> التي تحدد معايير وآليات تحديد الدولة العضو المسؤولة عن دراسة طلب الحماية الدولية الذي يقدمه في إحدى الدول الأعضاء شخص من رعايا بلد ثالث أو عديم جنسية (لائحة دبلن الثالثة). وعاشا مرة أخرى لمدة خمسة أشهر، في الشارع، ولم يحصلا على أي مساعدة من الخدمات الاجتماعية.</w:t>
      </w:r>
      <w:bookmarkStart w:id="1" w:name="_GoBack"/>
      <w:bookmarkEnd w:id="1"/>
      <w:r>
        <w:rPr>
          <w:rtl/>
        </w:rPr>
        <w:t xml:space="preserve"> وحُرم الأطفال من الالتحاق بالمدرسة ومنعت أمهم الحامل آنذاك من الحصول على الرعاية الطبية. ونتيجة لذلك، عادوا إلى الدانمرك. </w:t>
      </w:r>
    </w:p>
    <w:p w:rsidR="00433A3C" w:rsidRDefault="00433A3C" w:rsidP="00433A3C">
      <w:pPr>
        <w:pStyle w:val="SingleTxtGA"/>
        <w:rPr>
          <w:color w:val="000000"/>
          <w:rtl/>
          <w:lang w:val="ar-SA" w:eastAsia="zh-TW"/>
        </w:rPr>
      </w:pPr>
      <w:r>
        <w:rPr>
          <w:rtl/>
        </w:rPr>
        <w:t>٣-</w:t>
      </w:r>
      <w:r>
        <w:rPr>
          <w:rtl/>
        </w:rPr>
        <w:tab/>
        <w:t>وفي أيار/مايو ٢٠١٧، حبس الأب نفسه في مركز اللجوء في الدانمرك مع الأم والأطفال الأصغر سنا</w:t>
      </w:r>
      <w:r w:rsidR="00AB4BFB">
        <w:rPr>
          <w:rFonts w:hint="cs"/>
          <w:rtl/>
        </w:rPr>
        <w:t>ً</w:t>
      </w:r>
      <w:r>
        <w:rPr>
          <w:rtl/>
        </w:rPr>
        <w:t xml:space="preserve"> وهدد بقتلهم بالسكين ما لم تمنحهم السلطات تصاريح إقامة في الدانمرك. ونتيجة لذلك، أمضى الأب ثلاثة أشهر في السجن. وفي تموز/يوليه ٢٠١٧، حاول الأب الانتحار. وتبين من تشخيص حالته في آب/أغسطس ٢٠١٧، أنه يعاني من اكتئاب حاد، </w:t>
      </w:r>
      <w:r>
        <w:rPr>
          <w:rtl/>
          <w:lang w:val="fr-CH" w:bidi="ar-DZ"/>
        </w:rPr>
        <w:t>ف</w:t>
      </w:r>
      <w:r>
        <w:rPr>
          <w:rtl/>
        </w:rPr>
        <w:t xml:space="preserve">احتجز في مؤسسة دانمركية للطب النفسي حتى كانون الأول/ديسمبر ٢٠١٧. </w:t>
      </w:r>
    </w:p>
    <w:p w:rsidR="00433A3C" w:rsidRDefault="00433A3C" w:rsidP="00433A3C">
      <w:pPr>
        <w:pStyle w:val="SingleTxtGA"/>
        <w:rPr>
          <w:color w:val="000000"/>
          <w:rtl/>
          <w:lang w:val="ar-SA" w:eastAsia="zh-TW"/>
        </w:rPr>
      </w:pPr>
      <w:r>
        <w:rPr>
          <w:rtl/>
        </w:rPr>
        <w:t>٤-</w:t>
      </w:r>
      <w:r>
        <w:rPr>
          <w:rtl/>
        </w:rPr>
        <w:tab/>
        <w:t>وفي كانون الأول/ديسمبر ٢٠١٧، عادت الأسرة جوا</w:t>
      </w:r>
      <w:r w:rsidR="00AB4BFB">
        <w:rPr>
          <w:rFonts w:hint="cs"/>
          <w:rtl/>
        </w:rPr>
        <w:t>ً</w:t>
      </w:r>
      <w:r>
        <w:rPr>
          <w:rtl/>
        </w:rPr>
        <w:t xml:space="preserve"> إلى إيطاليا للمرة الثانية. وأثناء الرحلة، كان صاحبا البلاغ مكبلي </w:t>
      </w:r>
      <w:r>
        <w:rPr>
          <w:rFonts w:hint="cs"/>
          <w:rtl/>
        </w:rPr>
        <w:t>الأ</w:t>
      </w:r>
      <w:r>
        <w:rPr>
          <w:rtl/>
        </w:rPr>
        <w:t xml:space="preserve">يدي، وجلس كل فرد من أفراد الأسرة في صف مختلف من صفوف الطائرة، بجوار ضابط للشرطة. ولدى وصول الأسرة، رفضت الشرطة الإيطالية استقبالها، لأن السلطات الدانمركية لم تخطر السلطات الإيطالية بقدومها. ونتيجة لذلك، عادت الأسرة مرة أخرى جواً إلى الدانمرك. وفي وقت تقديم البلاغ، كانت الأسرة تنتظر ترحيلها إلى إيطاليا. وكانت الأم وأطفالها في مركز للجوء، أما الأب فكان في السجن. وكان الأطفال يواظبون على المدرسة ويتلقون العلاج النفسي والدعم الاجتماعي. </w:t>
      </w:r>
    </w:p>
    <w:p w:rsidR="00433A3C" w:rsidRPr="00C700ED" w:rsidRDefault="00433A3C" w:rsidP="00433A3C">
      <w:pPr>
        <w:pStyle w:val="SingleTxtGA"/>
        <w:rPr>
          <w:color w:val="000000"/>
          <w:rtl/>
          <w:lang w:val="ar-SA" w:eastAsia="zh-TW"/>
        </w:rPr>
      </w:pPr>
      <w:r>
        <w:rPr>
          <w:rtl/>
        </w:rPr>
        <w:t>٥-</w:t>
      </w:r>
      <w:r>
        <w:rPr>
          <w:rtl/>
        </w:rPr>
        <w:tab/>
        <w:t>وفي 20 شباط/فبراير ٢٠١8، سجلت اللجنة البلاغ، وطلبت إلى الدولة الطرف الامتناع عن ترحيل صاحبي البلاغ إلى إيطاليا ما</w:t>
      </w:r>
      <w:r w:rsidR="00AB4BFB">
        <w:rPr>
          <w:rFonts w:hint="cs"/>
          <w:rtl/>
        </w:rPr>
        <w:t xml:space="preserve"> </w:t>
      </w:r>
      <w:r>
        <w:rPr>
          <w:rtl/>
        </w:rPr>
        <w:t>دامت القضية معروضة على اللجنة.</w:t>
      </w:r>
    </w:p>
    <w:p w:rsidR="00433A3C" w:rsidRPr="00AB4BFB" w:rsidRDefault="00433A3C" w:rsidP="00433A3C">
      <w:pPr>
        <w:pStyle w:val="SingleTxtGA"/>
        <w:rPr>
          <w:color w:val="000000"/>
          <w:spacing w:val="-2"/>
          <w:rtl/>
          <w:lang w:val="ar-SA" w:eastAsia="zh-TW"/>
        </w:rPr>
      </w:pPr>
      <w:r>
        <w:rPr>
          <w:rtl/>
        </w:rPr>
        <w:t>٦-</w:t>
      </w:r>
      <w:r>
        <w:rPr>
          <w:rtl/>
        </w:rPr>
        <w:tab/>
        <w:t xml:space="preserve">وفي ٢٣ أيار/مايو ٢٠١٨، أبلغت الدولة الطرف اللجنة بأن صاحبي البلاغ طلبا </w:t>
      </w:r>
      <w:r w:rsidRPr="00AB4BFB">
        <w:rPr>
          <w:spacing w:val="-4"/>
          <w:rtl/>
        </w:rPr>
        <w:t>في</w:t>
      </w:r>
      <w:r w:rsidR="00AB4BFB" w:rsidRPr="00AB4BFB">
        <w:rPr>
          <w:rFonts w:hint="cs"/>
          <w:spacing w:val="-4"/>
          <w:rtl/>
        </w:rPr>
        <w:t> </w:t>
      </w:r>
      <w:r w:rsidRPr="00AB4BFB">
        <w:rPr>
          <w:spacing w:val="-4"/>
          <w:rtl/>
        </w:rPr>
        <w:t xml:space="preserve">٨ شباط/فبراير ٢٠١٨، إلى مجلس طعون اللاجئين </w:t>
      </w:r>
      <w:r w:rsidRPr="00AB4BFB">
        <w:rPr>
          <w:rFonts w:hint="cs"/>
          <w:spacing w:val="-4"/>
          <w:rtl/>
        </w:rPr>
        <w:t>الدانمركي</w:t>
      </w:r>
      <w:r w:rsidRPr="00AB4BFB">
        <w:rPr>
          <w:spacing w:val="-4"/>
          <w:rtl/>
        </w:rPr>
        <w:t xml:space="preserve"> إعادة فتح إجراءات اللجوء، وبأن</w:t>
      </w:r>
      <w:r w:rsidR="00AB4BFB">
        <w:rPr>
          <w:rFonts w:hint="cs"/>
          <w:spacing w:val="-4"/>
          <w:rtl/>
        </w:rPr>
        <w:t> </w:t>
      </w:r>
      <w:r w:rsidRPr="00AB4BFB">
        <w:rPr>
          <w:spacing w:val="-4"/>
          <w:rtl/>
        </w:rPr>
        <w:t xml:space="preserve">المجلس قرر في ٢٣ أيار/مايو ٢٠١٨، منح صاحبي البلاغ تصاريح إقامة بموجب المادة ٧(١) </w:t>
      </w:r>
      <w:r w:rsidRPr="00AB4BFB">
        <w:rPr>
          <w:spacing w:val="-2"/>
          <w:rtl/>
        </w:rPr>
        <w:t xml:space="preserve">من قانون الأجانب الدانمركي. ولذلك، طلبت الدولة الطرف إلى اللجنة وقف النظر في البلاغ. </w:t>
      </w:r>
    </w:p>
    <w:p w:rsidR="00433A3C" w:rsidRDefault="00433A3C" w:rsidP="00433A3C">
      <w:pPr>
        <w:pStyle w:val="SingleTxtGA"/>
        <w:rPr>
          <w:rtl/>
          <w:lang w:val="ar-SA" w:eastAsia="zh-TW"/>
        </w:rPr>
      </w:pPr>
      <w:r>
        <w:rPr>
          <w:rtl/>
        </w:rPr>
        <w:t>٧-</w:t>
      </w:r>
      <w:r>
        <w:rPr>
          <w:rtl/>
        </w:rPr>
        <w:tab/>
        <w:t>وأحيل طلب الدولة الطرف المتعلق بعدم مواصلة البلاغ إلى محامي صاحبي البلاغ في</w:t>
      </w:r>
      <w:r>
        <w:rPr>
          <w:rFonts w:hint="cs"/>
          <w:rtl/>
        </w:rPr>
        <w:t> </w:t>
      </w:r>
      <w:r>
        <w:rPr>
          <w:rtl/>
        </w:rPr>
        <w:t>٢٩ أيار/مايو ٢٠١٨ للتعليق عليه. وبعد ذلك، أرسلت ثلاث رسائل تذكير. ومع ذلك، لم</w:t>
      </w:r>
      <w:r>
        <w:rPr>
          <w:rFonts w:hint="cs"/>
          <w:rtl/>
        </w:rPr>
        <w:t> </w:t>
      </w:r>
      <w:r>
        <w:rPr>
          <w:rtl/>
        </w:rPr>
        <w:t>ترد أي تعليقات حتى الآن.</w:t>
      </w:r>
      <w:r w:rsidR="006244C6">
        <w:rPr>
          <w:rFonts w:hint="cs"/>
          <w:rtl/>
          <w:lang w:val="ar-SA" w:eastAsia="zh-TW"/>
        </w:rPr>
        <w:t xml:space="preserve"> </w:t>
      </w:r>
    </w:p>
    <w:p w:rsidR="00433A3C" w:rsidRPr="00433A3C" w:rsidRDefault="00433A3C" w:rsidP="00433A3C">
      <w:pPr>
        <w:pStyle w:val="SingleTxtGA"/>
        <w:rPr>
          <w:rtl/>
          <w:lang w:val="ar-SA" w:eastAsia="zh-TW"/>
        </w:rPr>
      </w:pPr>
      <w:r w:rsidRPr="00433A3C">
        <w:rPr>
          <w:spacing w:val="-4"/>
          <w:rtl/>
        </w:rPr>
        <w:t>٨-</w:t>
      </w:r>
      <w:r w:rsidRPr="00433A3C">
        <w:rPr>
          <w:spacing w:val="-4"/>
          <w:rtl/>
        </w:rPr>
        <w:tab/>
        <w:t xml:space="preserve">وقررت اللجنة، في جلستها المعقودة في 27 أيلول/سبتمبر 2019، بعد </w:t>
      </w:r>
      <w:r w:rsidRPr="00433A3C">
        <w:rPr>
          <w:spacing w:val="-4"/>
          <w:rtl/>
          <w:lang w:val="fr-CH" w:bidi="ar-DZ"/>
        </w:rPr>
        <w:t>دراسة</w:t>
      </w:r>
      <w:r w:rsidRPr="00433A3C">
        <w:rPr>
          <w:spacing w:val="-4"/>
          <w:rtl/>
        </w:rPr>
        <w:t xml:space="preserve"> طلب الدولة الطرف المتعلق بعدم مواصلة البلاغ، وقف النظر في البلاغ رقم 43/2018، وفقاً للمادة 26 </w:t>
      </w:r>
      <w:r w:rsidRPr="00433A3C">
        <w:rPr>
          <w:rtl/>
        </w:rPr>
        <w:t>من نظامها الداخلي بموجب البروتوكول الاختياري لاتفاقية حقوق الطفل المتعلق بإجراء تقديم</w:t>
      </w:r>
      <w:r>
        <w:rPr>
          <w:rFonts w:hint="cs"/>
          <w:rtl/>
        </w:rPr>
        <w:t> </w:t>
      </w:r>
      <w:r w:rsidRPr="00433A3C">
        <w:rPr>
          <w:rtl/>
        </w:rPr>
        <w:t>البلاغات.</w:t>
      </w:r>
    </w:p>
    <w:p w:rsidR="00433A3C" w:rsidRPr="00433A3C" w:rsidRDefault="00433A3C" w:rsidP="00433A3C">
      <w:pPr>
        <w:spacing w:before="120"/>
        <w:jc w:val="center"/>
        <w:rPr>
          <w:rFonts w:hint="cs"/>
          <w:u w:val="single"/>
          <w:rtl/>
        </w:rPr>
      </w:pPr>
      <w:r>
        <w:rPr>
          <w:u w:val="single"/>
          <w:rtl/>
        </w:rPr>
        <w:tab/>
      </w:r>
      <w:r>
        <w:rPr>
          <w:u w:val="single"/>
          <w:rtl/>
        </w:rPr>
        <w:tab/>
      </w:r>
      <w:r>
        <w:rPr>
          <w:u w:val="single"/>
          <w:rtl/>
        </w:rPr>
        <w:tab/>
      </w:r>
    </w:p>
    <w:sectPr w:rsidR="00433A3C" w:rsidRPr="00433A3C" w:rsidSect="00876C6B">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63D83" w:rsidRPr="002901D9" w:rsidRDefault="00E63D83" w:rsidP="002901D9">
      <w:pPr>
        <w:spacing w:after="60" w:line="240" w:lineRule="auto"/>
        <w:rPr>
          <w:i/>
          <w:iCs/>
        </w:rPr>
      </w:pPr>
      <w:r>
        <w:rPr>
          <w:rFonts w:hint="cs"/>
          <w:i/>
          <w:iCs/>
          <w:rtl/>
        </w:rPr>
        <w:t>الحواشي</w:t>
      </w:r>
    </w:p>
  </w:endnote>
  <w:endnote w:type="continuationSeparator" w:id="0">
    <w:p w:rsidR="00E63D83" w:rsidRDefault="00E63D8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6C6B" w:rsidRPr="00433A3C" w:rsidRDefault="00433A3C" w:rsidP="00433A3C">
    <w:pPr>
      <w:pStyle w:val="Footer"/>
      <w:tabs>
        <w:tab w:val="right" w:pos="9598"/>
      </w:tabs>
      <w:rPr>
        <w:sz w:val="17"/>
      </w:rPr>
    </w:pPr>
    <w:r>
      <w:rPr>
        <w:sz w:val="17"/>
      </w:rPr>
      <w:t>GE.19-18955</w:t>
    </w:r>
    <w:r>
      <w:rPr>
        <w:sz w:val="17"/>
      </w:rPr>
      <w:tab/>
    </w:r>
    <w:r w:rsidRPr="00433A3C">
      <w:rPr>
        <w:b/>
        <w:sz w:val="18"/>
      </w:rPr>
      <w:fldChar w:fldCharType="begin"/>
    </w:r>
    <w:r w:rsidRPr="00433A3C">
      <w:rPr>
        <w:b/>
        <w:sz w:val="18"/>
      </w:rPr>
      <w:instrText xml:space="preserve"> PAGE  \* MERGEFORMAT </w:instrText>
    </w:r>
    <w:r w:rsidRPr="00433A3C">
      <w:rPr>
        <w:b/>
        <w:sz w:val="18"/>
      </w:rPr>
      <w:fldChar w:fldCharType="separate"/>
    </w:r>
    <w:r>
      <w:rPr>
        <w:b/>
        <w:sz w:val="18"/>
      </w:rPr>
      <w:t>2</w:t>
    </w:r>
    <w:r w:rsidRPr="00433A3C">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9B0" w:rsidRPr="00433A3C" w:rsidRDefault="00433A3C" w:rsidP="006959B0">
    <w:pPr>
      <w:pStyle w:val="Footer"/>
      <w:tabs>
        <w:tab w:val="right" w:pos="9599"/>
      </w:tabs>
      <w:jc w:val="left"/>
      <w:rPr>
        <w:b/>
        <w:sz w:val="18"/>
        <w:lang w:val="en-US"/>
      </w:rPr>
    </w:pPr>
    <w:r w:rsidRPr="00433A3C">
      <w:rPr>
        <w:b/>
        <w:sz w:val="18"/>
        <w:lang w:val="en-US"/>
      </w:rPr>
      <w:fldChar w:fldCharType="begin"/>
    </w:r>
    <w:r w:rsidRPr="00433A3C">
      <w:rPr>
        <w:b/>
        <w:sz w:val="18"/>
        <w:lang w:val="en-US"/>
      </w:rPr>
      <w:instrText xml:space="preserve"> PAGE  \* MERGEFORMAT </w:instrText>
    </w:r>
    <w:r w:rsidRPr="00433A3C">
      <w:rPr>
        <w:b/>
        <w:sz w:val="18"/>
        <w:lang w:val="en-US"/>
      </w:rPr>
      <w:fldChar w:fldCharType="separate"/>
    </w:r>
    <w:r w:rsidRPr="00433A3C">
      <w:rPr>
        <w:b/>
        <w:noProof/>
        <w:sz w:val="18"/>
        <w:lang w:val="en-US"/>
      </w:rPr>
      <w:t>3</w:t>
    </w:r>
    <w:r w:rsidRPr="00433A3C">
      <w:rPr>
        <w:b/>
        <w:sz w:val="18"/>
        <w:lang w:val="en-US"/>
      </w:rPr>
      <w:fldChar w:fldCharType="end"/>
    </w:r>
    <w:r>
      <w:rPr>
        <w:b/>
        <w:sz w:val="18"/>
        <w:lang w:val="en-US"/>
      </w:rPr>
      <w:tab/>
    </w:r>
    <w:r>
      <w:rPr>
        <w:sz w:val="17"/>
        <w:lang w:val="en-US"/>
      </w:rPr>
      <w:t>GE.19-18955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5AC0" w:rsidRDefault="00876C6B" w:rsidP="006E444F">
    <w:pPr>
      <w:pStyle w:val="Footer"/>
      <w:spacing w:before="360"/>
      <w:jc w:val="right"/>
      <w:rPr>
        <w:sz w:val="20"/>
        <w:szCs w:val="20"/>
      </w:rPr>
    </w:pPr>
    <w:r>
      <w:rPr>
        <w:sz w:val="20"/>
        <w:szCs w:val="20"/>
      </w:rPr>
      <w:t>GE.19-18955</w:t>
    </w:r>
    <w:r w:rsidR="001D5AC0">
      <w:rPr>
        <w:noProof/>
        <w:lang w:val="en-US"/>
      </w:rPr>
      <w:drawing>
        <wp:anchor distT="0" distB="0" distL="114300" distR="114300" simplePos="0" relativeHeight="251665408" behindDoc="1" locked="1" layoutInCell="0" allowOverlap="1" wp14:anchorId="10D3B486" wp14:editId="24C12E6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D5AC0" w:rsidRPr="007A0286">
      <w:rPr>
        <w:sz w:val="20"/>
        <w:szCs w:val="20"/>
      </w:rPr>
      <w:t>(A)</w:t>
    </w:r>
  </w:p>
  <w:p w:rsidR="00876C6B" w:rsidRPr="00876C6B" w:rsidRDefault="00876C6B" w:rsidP="00876C6B">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63D83" w:rsidRDefault="00E63D83" w:rsidP="00CB28F9">
      <w:pPr>
        <w:pStyle w:val="Footer"/>
        <w:bidi/>
        <w:spacing w:after="80" w:line="200" w:lineRule="exact"/>
        <w:ind w:left="680"/>
      </w:pPr>
      <w:r>
        <w:rPr>
          <w:rtl/>
        </w:rPr>
        <w:t>__________</w:t>
      </w:r>
    </w:p>
  </w:footnote>
  <w:footnote w:type="continuationSeparator" w:id="0">
    <w:p w:rsidR="00E63D83" w:rsidRDefault="00E63D83" w:rsidP="00656392">
      <w:pPr>
        <w:spacing w:line="240" w:lineRule="auto"/>
      </w:pPr>
      <w:r>
        <w:continuationSeparator/>
      </w:r>
    </w:p>
  </w:footnote>
  <w:footnote w:id="1">
    <w:p w:rsidR="00433A3C" w:rsidRPr="00433A3C" w:rsidRDefault="00433A3C" w:rsidP="00433A3C">
      <w:pPr>
        <w:pStyle w:val="FootnoteText1"/>
        <w:rPr>
          <w:rFonts w:hint="cs"/>
        </w:rPr>
      </w:pPr>
      <w:r>
        <w:rPr>
          <w:rtl/>
        </w:rPr>
        <w:t>*</w:t>
      </w:r>
      <w:r>
        <w:rPr>
          <w:rtl/>
        </w:rPr>
        <w:tab/>
      </w:r>
      <w:r>
        <w:rPr>
          <w:rtl/>
        </w:rPr>
        <w:t>اعتمدته اللجنة في دورتها الثانية والثمانين (9-27 أيلول/سبتمبر 2019).</w:t>
      </w:r>
    </w:p>
  </w:footnote>
  <w:footnote w:id="2">
    <w:p w:rsidR="00433A3C" w:rsidRPr="00433A3C" w:rsidRDefault="00433A3C" w:rsidP="00433A3C">
      <w:pPr>
        <w:pStyle w:val="FootnoteText1"/>
        <w:rPr>
          <w:rFonts w:hint="cs"/>
          <w:rtl/>
        </w:rPr>
      </w:pPr>
      <w:r>
        <w:rPr>
          <w:rtl/>
        </w:rPr>
        <w:t>**</w:t>
      </w:r>
      <w:r>
        <w:rPr>
          <w:rtl/>
        </w:rPr>
        <w:tab/>
      </w:r>
      <w:r>
        <w:rPr>
          <w:rtl/>
        </w:rPr>
        <w:t xml:space="preserve">شارك في دراسة هذا البلاغ أعضاء اللجنة التالية أسماؤهم: سوزان أهو أسوما، وأمل سلمان الدوسري، وهند أيوبي إدريسي، وبراجي </w:t>
      </w:r>
      <w:proofErr w:type="spellStart"/>
      <w:r>
        <w:rPr>
          <w:rtl/>
        </w:rPr>
        <w:t>غودبراندسون</w:t>
      </w:r>
      <w:proofErr w:type="spellEnd"/>
      <w:r>
        <w:rPr>
          <w:rtl/>
        </w:rPr>
        <w:t xml:space="preserve">، وفيليب جافي، وأولغا أ. </w:t>
      </w:r>
      <w:proofErr w:type="spellStart"/>
      <w:r>
        <w:rPr>
          <w:rtl/>
        </w:rPr>
        <w:t>خازوفا</w:t>
      </w:r>
      <w:proofErr w:type="spellEnd"/>
      <w:r>
        <w:rPr>
          <w:rtl/>
        </w:rPr>
        <w:t xml:space="preserve">، وسيفاس لومينا، وجهاد ماضي، </w:t>
      </w:r>
      <w:proofErr w:type="spellStart"/>
      <w:r>
        <w:rPr>
          <w:rtl/>
        </w:rPr>
        <w:t>وفيث</w:t>
      </w:r>
      <w:proofErr w:type="spellEnd"/>
      <w:r>
        <w:rPr>
          <w:rtl/>
        </w:rPr>
        <w:t xml:space="preserve"> مارشال هاريس، وبنيام داويت مزمور، </w:t>
      </w:r>
      <w:proofErr w:type="spellStart"/>
      <w:r>
        <w:rPr>
          <w:rtl/>
        </w:rPr>
        <w:t>وميكيكو</w:t>
      </w:r>
      <w:proofErr w:type="spellEnd"/>
      <w:r>
        <w:rPr>
          <w:rtl/>
        </w:rPr>
        <w:t xml:space="preserve"> أوتاني، ولويس </w:t>
      </w:r>
      <w:proofErr w:type="spellStart"/>
      <w:r>
        <w:rPr>
          <w:rtl/>
        </w:rPr>
        <w:t>إرنستو</w:t>
      </w:r>
      <w:proofErr w:type="spellEnd"/>
      <w:r>
        <w:rPr>
          <w:rtl/>
        </w:rPr>
        <w:t xml:space="preserve"> </w:t>
      </w:r>
      <w:proofErr w:type="spellStart"/>
      <w:r>
        <w:rPr>
          <w:rtl/>
        </w:rPr>
        <w:t>بيدرنيرا</w:t>
      </w:r>
      <w:proofErr w:type="spellEnd"/>
      <w:r>
        <w:rPr>
          <w:rtl/>
        </w:rPr>
        <w:t xml:space="preserve"> رينا، وخوسيه أنجيل </w:t>
      </w:r>
      <w:proofErr w:type="spellStart"/>
      <w:r>
        <w:rPr>
          <w:rtl/>
        </w:rPr>
        <w:t>رودريغيز</w:t>
      </w:r>
      <w:proofErr w:type="spellEnd"/>
      <w:r>
        <w:rPr>
          <w:rtl/>
        </w:rPr>
        <w:t xml:space="preserve"> </w:t>
      </w:r>
      <w:proofErr w:type="spellStart"/>
      <w:r>
        <w:rPr>
          <w:rtl/>
        </w:rPr>
        <w:t>رييس</w:t>
      </w:r>
      <w:proofErr w:type="spellEnd"/>
      <w:r>
        <w:rPr>
          <w:rtl/>
        </w:rPr>
        <w:t xml:space="preserve">، </w:t>
      </w:r>
      <w:proofErr w:type="spellStart"/>
      <w:r>
        <w:rPr>
          <w:rtl/>
        </w:rPr>
        <w:t>وأيساتو</w:t>
      </w:r>
      <w:proofErr w:type="spellEnd"/>
      <w:r>
        <w:rPr>
          <w:rtl/>
        </w:rPr>
        <w:t xml:space="preserve"> ألاساني </w:t>
      </w:r>
      <w:proofErr w:type="spellStart"/>
      <w:r>
        <w:rPr>
          <w:rtl/>
        </w:rPr>
        <w:t>سيديكو</w:t>
      </w:r>
      <w:proofErr w:type="spellEnd"/>
      <w:r>
        <w:rPr>
          <w:rtl/>
        </w:rPr>
        <w:t xml:space="preserve">، وآن ماري </w:t>
      </w:r>
      <w:proofErr w:type="spellStart"/>
      <w:r>
        <w:rPr>
          <w:rtl/>
        </w:rPr>
        <w:t>سكيلتون</w:t>
      </w:r>
      <w:proofErr w:type="spellEnd"/>
      <w:r>
        <w:rPr>
          <w:rtl/>
        </w:rPr>
        <w:t xml:space="preserve">، وفيلينا </w:t>
      </w:r>
      <w:proofErr w:type="spellStart"/>
      <w:r>
        <w:rPr>
          <w:rtl/>
        </w:rPr>
        <w:t>تودوروفا</w:t>
      </w:r>
      <w:proofErr w:type="spellEnd"/>
      <w:r>
        <w:rPr>
          <w:rtl/>
        </w:rPr>
        <w:t xml:space="preserve">، </w:t>
      </w:r>
      <w:proofErr w:type="spellStart"/>
      <w:r>
        <w:rPr>
          <w:rtl/>
        </w:rPr>
        <w:t>وريناتي</w:t>
      </w:r>
      <w:proofErr w:type="spellEnd"/>
      <w:r>
        <w:rPr>
          <w:rtl/>
        </w:rPr>
        <w:t xml:space="preserve"> وينتر.</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6C6B" w:rsidRPr="00433A3C" w:rsidRDefault="00433A3C" w:rsidP="00433A3C">
    <w:pPr>
      <w:pStyle w:val="Header"/>
      <w:jc w:val="right"/>
    </w:pPr>
    <w:r w:rsidRPr="00433A3C">
      <w:t>CRC/C/82/D/43/2018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6C6B" w:rsidRPr="00433A3C" w:rsidRDefault="00433A3C" w:rsidP="00433A3C">
    <w:pPr>
      <w:pStyle w:val="Header"/>
      <w:jc w:val="left"/>
    </w:pPr>
    <w:r w:rsidRPr="00433A3C">
      <w:t>CRC/C/82/D/43/2018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defaultTabStop w:val="567"/>
  <w:evenAndOddHeaders/>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E63D83"/>
    <w:rsid w:val="000076D5"/>
    <w:rsid w:val="00043663"/>
    <w:rsid w:val="000505CF"/>
    <w:rsid w:val="000D701C"/>
    <w:rsid w:val="000E2A71"/>
    <w:rsid w:val="00160263"/>
    <w:rsid w:val="00181F96"/>
    <w:rsid w:val="001A1371"/>
    <w:rsid w:val="001B346A"/>
    <w:rsid w:val="001D5AC0"/>
    <w:rsid w:val="001E1CAD"/>
    <w:rsid w:val="001E290D"/>
    <w:rsid w:val="002144FA"/>
    <w:rsid w:val="0023469A"/>
    <w:rsid w:val="00243C8A"/>
    <w:rsid w:val="00267A0E"/>
    <w:rsid w:val="002901D9"/>
    <w:rsid w:val="002959A1"/>
    <w:rsid w:val="002976C2"/>
    <w:rsid w:val="002D2D42"/>
    <w:rsid w:val="003260FF"/>
    <w:rsid w:val="00343D95"/>
    <w:rsid w:val="00374341"/>
    <w:rsid w:val="003C50EA"/>
    <w:rsid w:val="003D1062"/>
    <w:rsid w:val="004158F2"/>
    <w:rsid w:val="00420D7B"/>
    <w:rsid w:val="00433A3C"/>
    <w:rsid w:val="00450B21"/>
    <w:rsid w:val="00453B63"/>
    <w:rsid w:val="00455780"/>
    <w:rsid w:val="0045649E"/>
    <w:rsid w:val="004A14A6"/>
    <w:rsid w:val="004B0A1C"/>
    <w:rsid w:val="004D298E"/>
    <w:rsid w:val="00523BAE"/>
    <w:rsid w:val="0054472E"/>
    <w:rsid w:val="005662A9"/>
    <w:rsid w:val="005827D4"/>
    <w:rsid w:val="0059622A"/>
    <w:rsid w:val="005C5878"/>
    <w:rsid w:val="005C7CEA"/>
    <w:rsid w:val="005D3C0B"/>
    <w:rsid w:val="005E5217"/>
    <w:rsid w:val="005F0FA4"/>
    <w:rsid w:val="005F30EE"/>
    <w:rsid w:val="0060473A"/>
    <w:rsid w:val="006244C6"/>
    <w:rsid w:val="00656392"/>
    <w:rsid w:val="0068781D"/>
    <w:rsid w:val="006959B0"/>
    <w:rsid w:val="006B3E27"/>
    <w:rsid w:val="006B6507"/>
    <w:rsid w:val="006C104C"/>
    <w:rsid w:val="006E444F"/>
    <w:rsid w:val="00733704"/>
    <w:rsid w:val="0078071A"/>
    <w:rsid w:val="008161D8"/>
    <w:rsid w:val="00852A9A"/>
    <w:rsid w:val="00876C6B"/>
    <w:rsid w:val="008F49E1"/>
    <w:rsid w:val="0090370F"/>
    <w:rsid w:val="009269D2"/>
    <w:rsid w:val="00942135"/>
    <w:rsid w:val="009521B0"/>
    <w:rsid w:val="00994130"/>
    <w:rsid w:val="009A7E9F"/>
    <w:rsid w:val="009E19A3"/>
    <w:rsid w:val="009E5018"/>
    <w:rsid w:val="00A12B37"/>
    <w:rsid w:val="00A65558"/>
    <w:rsid w:val="00AB4BFB"/>
    <w:rsid w:val="00AB6758"/>
    <w:rsid w:val="00B13763"/>
    <w:rsid w:val="00B477A4"/>
    <w:rsid w:val="00B54045"/>
    <w:rsid w:val="00C438D7"/>
    <w:rsid w:val="00C81B50"/>
    <w:rsid w:val="00CB28F9"/>
    <w:rsid w:val="00CD1801"/>
    <w:rsid w:val="00D10EF1"/>
    <w:rsid w:val="00D42810"/>
    <w:rsid w:val="00D914A7"/>
    <w:rsid w:val="00DD13C3"/>
    <w:rsid w:val="00DD596E"/>
    <w:rsid w:val="00DD621E"/>
    <w:rsid w:val="00DF0575"/>
    <w:rsid w:val="00E63D83"/>
    <w:rsid w:val="00E70E04"/>
    <w:rsid w:val="00E76499"/>
    <w:rsid w:val="00EC05A7"/>
    <w:rsid w:val="00EC4B6B"/>
    <w:rsid w:val="00EF1EE5"/>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EDD16CE"/>
  <w15:docId w15:val="{69B66291-D3EC-4369-9A78-1164072C1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SingleTxtG">
    <w:name w:val="_ Single Txt_G"/>
    <w:basedOn w:val="Normal"/>
    <w:qFormat/>
    <w:rsid w:val="00433A3C"/>
    <w:pPr>
      <w:suppressAutoHyphens/>
      <w:bidi w:val="0"/>
      <w:spacing w:after="120"/>
      <w:ind w:left="1134" w:right="1134"/>
      <w:jc w:val="both"/>
    </w:pPr>
    <w:rPr>
      <w:rFonts w:hint="cs"/>
      <w:lang w:val="en-GB"/>
    </w:rPr>
  </w:style>
  <w:style w:type="paragraph" w:customStyle="1" w:styleId="HChG">
    <w:name w:val="_ H _Ch_G"/>
    <w:basedOn w:val="Normal"/>
    <w:next w:val="Normal"/>
    <w:qFormat/>
    <w:rsid w:val="00433A3C"/>
    <w:pPr>
      <w:keepNext/>
      <w:keepLines/>
      <w:tabs>
        <w:tab w:val="right" w:pos="851"/>
      </w:tabs>
      <w:suppressAutoHyphens/>
      <w:bidi w:val="0"/>
      <w:spacing w:before="360" w:after="240" w:line="300" w:lineRule="exact"/>
      <w:ind w:left="1134" w:right="1134" w:hanging="1134"/>
      <w:jc w:val="left"/>
    </w:pPr>
    <w:rPr>
      <w:rFonts w:hint="cs"/>
      <w:b/>
      <w:sz w:val="2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4468E8-6C96-4378-840D-7158B002A8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Pages>
  <Words>540</Words>
  <Characters>2779</Characters>
  <Application>Microsoft Office Word</Application>
  <DocSecurity>0</DocSecurity>
  <Lines>55</Lines>
  <Paragraphs>26</Paragraphs>
  <ScaleCrop>false</ScaleCrop>
  <HeadingPairs>
    <vt:vector size="2" baseType="variant">
      <vt:variant>
        <vt:lpstr>Title</vt:lpstr>
      </vt:variant>
      <vt:variant>
        <vt:i4>1</vt:i4>
      </vt:variant>
    </vt:vector>
  </HeadingPairs>
  <TitlesOfParts>
    <vt:vector size="1" baseType="lpstr">
      <vt:lpstr>CRC/C/82/D/43/2018</vt:lpstr>
    </vt:vector>
  </TitlesOfParts>
  <Company>DCM</Company>
  <LinksUpToDate>false</LinksUpToDate>
  <CharactersWithSpaces>3293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CRC/C/82/D/43/2018</dc:title>
  <dc:subject/>
  <dc:creator>IBAL34</dc:creator>
  <cp:keywords/>
  <dc:description/>
  <cp:lastModifiedBy>Ibrahim Balan</cp:lastModifiedBy>
  <cp:revision>2</cp:revision>
  <cp:lastPrinted>2019-11-19T15:30:00Z</cp:lastPrinted>
  <dcterms:created xsi:type="dcterms:W3CDTF">2019-11-19T16:07:00Z</dcterms:created>
  <dcterms:modified xsi:type="dcterms:W3CDTF">2019-11-19T16:07:00Z</dcterms:modified>
</cp:coreProperties>
</file>