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r>
        <w:rPr>
          <w:rFonts w:hint="eastAsia"/>
        </w:rPr>
        <w:t>1999</w:t>
      </w:r>
      <w:r>
        <w:rPr>
          <w:rFonts w:hint="eastAsia"/>
        </w:rPr>
        <w:t>年实质性会议</w:t>
      </w:r>
    </w:p>
    <w:p w:rsidR="00000000" w:rsidRDefault="00000000"/>
    <w:p w:rsidR="00000000" w:rsidRDefault="00000000"/>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在经济、社会、文化权利委员会审议了缔约国</w:t>
      </w:r>
      <w:r>
        <w:br/>
      </w:r>
      <w:r>
        <w:rPr>
          <w:rFonts w:hint="eastAsia"/>
        </w:rPr>
        <w:t>提交的报告之后，公约缔约国提交的增补资料</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u w:val="none"/>
        </w:rPr>
      </w:pPr>
      <w:r>
        <w:rPr>
          <w:rFonts w:hint="eastAsia"/>
        </w:rPr>
        <w:t>以</w:t>
      </w:r>
      <w:r>
        <w:rPr>
          <w:rFonts w:hint="eastAsia"/>
        </w:rPr>
        <w:t xml:space="preserve"> </w:t>
      </w:r>
      <w:r>
        <w:rPr>
          <w:rFonts w:hint="eastAsia"/>
        </w:rPr>
        <w:t>色</w:t>
      </w:r>
      <w:r>
        <w:rPr>
          <w:rFonts w:hint="eastAsia"/>
        </w:rPr>
        <w:t xml:space="preserve"> </w:t>
      </w:r>
      <w:r>
        <w:rPr>
          <w:rFonts w:hint="eastAsia"/>
        </w:rPr>
        <w:t>列</w:t>
      </w:r>
      <w:r>
        <w:rPr>
          <w:rFonts w:hint="eastAsia"/>
          <w:u w:val="none"/>
        </w:rPr>
        <w:t xml:space="preserve"> </w:t>
      </w:r>
      <w:r>
        <w:rPr>
          <w:rStyle w:val="FootnoteReference"/>
          <w:u w:val="none"/>
        </w:rPr>
        <w:footnoteReference w:customMarkFollows="1" w:id="1"/>
        <w:t>*</w:t>
      </w:r>
    </w:p>
    <w:p w:rsidR="00000000" w:rsidRDefault="00000000">
      <w:pPr>
        <w:jc w:val="right"/>
        <w:rPr>
          <w:rFonts w:hint="eastAsia"/>
        </w:rPr>
      </w:pPr>
      <w:r>
        <w:rPr>
          <w:rFonts w:hint="eastAsia"/>
        </w:rPr>
        <w:t>[2001</w:t>
      </w:r>
      <w:r>
        <w:rPr>
          <w:rFonts w:hint="eastAsia"/>
        </w:rPr>
        <w:t>年</w:t>
      </w:r>
      <w:r>
        <w:rPr>
          <w:rFonts w:hint="eastAsia"/>
        </w:rPr>
        <w:t>4</w:t>
      </w:r>
      <w:r>
        <w:rPr>
          <w:rFonts w:hint="eastAsia"/>
        </w:rPr>
        <w:t>月</w:t>
      </w:r>
      <w:r>
        <w:rPr>
          <w:rFonts w:hint="eastAsia"/>
        </w:rPr>
        <w:t>20</w:t>
      </w:r>
      <w:r>
        <w:rPr>
          <w:rFonts w:hint="eastAsia"/>
        </w:rPr>
        <w:t>日</w:t>
      </w:r>
      <w:r>
        <w:rPr>
          <w:rFonts w:hint="eastAsia"/>
        </w:rPr>
        <w:t>]</w:t>
      </w:r>
    </w:p>
    <w:p w:rsidR="00000000" w:rsidRDefault="00000000">
      <w:pPr>
        <w:pStyle w:val="Heading3"/>
        <w:rPr>
          <w:rFonts w:hint="eastAsia"/>
        </w:rPr>
      </w:pPr>
      <w:r>
        <w:br w:type="page"/>
      </w:r>
      <w:r>
        <w:rPr>
          <w:rFonts w:hint="eastAsia"/>
        </w:rPr>
        <w:t>就以色列国关于《经济、社会、文化权利国际公约》</w:t>
      </w:r>
      <w:r>
        <w:br/>
      </w:r>
      <w:r>
        <w:rPr>
          <w:rFonts w:hint="eastAsia"/>
        </w:rPr>
        <w:t>执行情况初次报告提交的增补资料</w:t>
      </w:r>
    </w:p>
    <w:p w:rsidR="00000000" w:rsidRDefault="00000000">
      <w:pPr>
        <w:pStyle w:val="Heading3"/>
        <w:rPr>
          <w:rFonts w:hint="eastAsia"/>
        </w:rPr>
      </w:pP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本文件包括：</w:t>
      </w:r>
    </w:p>
    <w:p w:rsidR="00000000" w:rsidRDefault="00000000">
      <w:pPr>
        <w:numPr>
          <w:ilvl w:val="0"/>
          <w:numId w:val="26"/>
        </w:numPr>
        <w:tabs>
          <w:tab w:val="clear" w:pos="1531"/>
        </w:tabs>
        <w:rPr>
          <w:rFonts w:hint="eastAsia"/>
        </w:rPr>
      </w:pPr>
      <w:r>
        <w:rPr>
          <w:rFonts w:hint="eastAsia"/>
        </w:rPr>
        <w:t>按经济、社会、文化权利委员会（以下称“委员会”）在（</w:t>
      </w:r>
      <w:r>
        <w:rPr>
          <w:rFonts w:hint="eastAsia"/>
        </w:rPr>
        <w:t>1998</w:t>
      </w:r>
      <w:r>
        <w:rPr>
          <w:rFonts w:hint="eastAsia"/>
        </w:rPr>
        <w:t>年</w:t>
      </w:r>
      <w:r>
        <w:rPr>
          <w:rFonts w:hint="eastAsia"/>
        </w:rPr>
        <w:t>12</w:t>
      </w:r>
      <w:r>
        <w:rPr>
          <w:rFonts w:hint="eastAsia"/>
        </w:rPr>
        <w:t>月</w:t>
      </w:r>
      <w:r>
        <w:rPr>
          <w:rFonts w:hint="eastAsia"/>
        </w:rPr>
        <w:t>4</w:t>
      </w:r>
      <w:r>
        <w:rPr>
          <w:rFonts w:hint="eastAsia"/>
        </w:rPr>
        <w:t>日</w:t>
      </w:r>
      <w:r>
        <w:rPr>
          <w:rFonts w:hint="eastAsia"/>
        </w:rPr>
        <w:t>E/C.12/1/</w:t>
      </w:r>
      <w:r>
        <w:t>Add.27</w:t>
      </w:r>
      <w:r>
        <w:rPr>
          <w:rFonts w:hint="eastAsia"/>
        </w:rPr>
        <w:t>号文件第</w:t>
      </w:r>
      <w:r>
        <w:rPr>
          <w:rFonts w:hint="eastAsia"/>
        </w:rPr>
        <w:t>32</w:t>
      </w:r>
      <w:r>
        <w:rPr>
          <w:rFonts w:hint="eastAsia"/>
        </w:rPr>
        <w:t>段中所载的）结论性意见（以下称“结论性意见”）的要求，提供的增补资料；</w:t>
      </w:r>
    </w:p>
    <w:p w:rsidR="00000000" w:rsidRDefault="00000000">
      <w:pPr>
        <w:numPr>
          <w:ilvl w:val="0"/>
          <w:numId w:val="26"/>
        </w:numPr>
        <w:tabs>
          <w:tab w:val="clear" w:pos="1531"/>
        </w:tabs>
        <w:spacing w:after="320"/>
        <w:rPr>
          <w:rFonts w:hint="eastAsia"/>
        </w:rPr>
      </w:pPr>
      <w:r>
        <w:rPr>
          <w:rFonts w:hint="eastAsia"/>
        </w:rPr>
        <w:t>根据应于</w:t>
      </w:r>
      <w:r>
        <w:rPr>
          <w:rFonts w:hint="eastAsia"/>
        </w:rPr>
        <w:t>2001</w:t>
      </w:r>
      <w:r>
        <w:rPr>
          <w:rFonts w:hint="eastAsia"/>
        </w:rPr>
        <w:t>年</w:t>
      </w:r>
      <w:r>
        <w:rPr>
          <w:rFonts w:hint="eastAsia"/>
        </w:rPr>
        <w:t>3</w:t>
      </w:r>
      <w:r>
        <w:rPr>
          <w:rFonts w:hint="eastAsia"/>
        </w:rPr>
        <w:t>月</w:t>
      </w:r>
      <w:r>
        <w:rPr>
          <w:rFonts w:hint="eastAsia"/>
        </w:rPr>
        <w:t>31</w:t>
      </w:r>
      <w:r>
        <w:rPr>
          <w:rFonts w:hint="eastAsia"/>
        </w:rPr>
        <w:t>日到期提交委员会的以色列国关于《经济、社会、文化权利国际公约》第二次定期报告（以下简称“第二次报告”）的相关部分，对委员会的结论性意见作出的答复。上述报告中所载的数据，包括了截至</w:t>
      </w:r>
      <w:r>
        <w:rPr>
          <w:rFonts w:hint="eastAsia"/>
        </w:rPr>
        <w:t>2000</w:t>
      </w:r>
      <w:r>
        <w:rPr>
          <w:rFonts w:hint="eastAsia"/>
        </w:rPr>
        <w:t>年</w:t>
      </w:r>
      <w:r>
        <w:rPr>
          <w:rFonts w:hint="eastAsia"/>
        </w:rPr>
        <w:t>8</w:t>
      </w:r>
      <w:r>
        <w:rPr>
          <w:rFonts w:hint="eastAsia"/>
        </w:rPr>
        <w:t>月的一切现有资料。</w:t>
      </w:r>
    </w:p>
    <w:p w:rsidR="00000000" w:rsidRDefault="00000000">
      <w:pPr>
        <w:pStyle w:val="Heading2"/>
        <w:rPr>
          <w:rFonts w:hint="eastAsia"/>
        </w:rPr>
      </w:pPr>
      <w:r>
        <w:rPr>
          <w:rFonts w:hint="eastAsia"/>
        </w:rPr>
        <w:t>一、增补资料</w:t>
      </w:r>
    </w:p>
    <w:p w:rsidR="00000000" w:rsidRDefault="00000000">
      <w:pPr>
        <w:pStyle w:val="Heading3"/>
        <w:rPr>
          <w:rFonts w:hint="eastAsia"/>
        </w:rPr>
      </w:pPr>
      <w:r>
        <w:rPr>
          <w:rFonts w:hint="eastAsia"/>
          <w:u w:val="none"/>
        </w:rPr>
        <w:t xml:space="preserve">A.  </w:t>
      </w:r>
      <w:r>
        <w:rPr>
          <w:rFonts w:hint="eastAsia"/>
          <w:u w:val="none"/>
        </w:rPr>
        <w:t>《</w:t>
      </w:r>
      <w:r>
        <w:rPr>
          <w:rFonts w:hint="eastAsia"/>
        </w:rPr>
        <w:t>经济、社会、文化权利国际公约》对西岸和</w:t>
      </w:r>
      <w:r>
        <w:br/>
      </w:r>
      <w:r>
        <w:rPr>
          <w:rFonts w:hint="eastAsia"/>
        </w:rPr>
        <w:t>加沙地带的适用性</w:t>
      </w:r>
    </w:p>
    <w:p w:rsidR="00000000" w:rsidRDefault="00000000">
      <w:pPr>
        <w:rPr>
          <w:rFonts w:hint="eastAsia"/>
        </w:rPr>
      </w:pPr>
      <w:r>
        <w:rPr>
          <w:rFonts w:hint="eastAsia"/>
        </w:rPr>
        <w:tab/>
        <w:t xml:space="preserve">2.  </w:t>
      </w:r>
      <w:r>
        <w:rPr>
          <w:rFonts w:hint="eastAsia"/>
        </w:rPr>
        <w:t>在对以色列初次报告提出的结论性意见中，委员会就以色列对在西岸和加沙地带适用《经济、社会、文化权利国际公约》问题所持的立场提出了质疑。以色列始终坚持，《公约》不适用于不属于其领土主权和司法管辖的地区。这是以国际法在人权与人道主义法律之间牢固确立的区别为依据确定的立场。因此，以色列认为，就西岸和加沙地带作为武装冲突的地区而论，显然与人权关系的性质不同，因此委员会的使命与西岸和加沙地带的事件无关。</w:t>
      </w:r>
    </w:p>
    <w:p w:rsidR="00000000" w:rsidRDefault="00000000">
      <w:pPr>
        <w:rPr>
          <w:rFonts w:hint="eastAsia"/>
        </w:rPr>
      </w:pPr>
      <w:r>
        <w:rPr>
          <w:rFonts w:hint="eastAsia"/>
        </w:rPr>
        <w:tab/>
        <w:t xml:space="preserve">3.  </w:t>
      </w:r>
      <w:r>
        <w:rPr>
          <w:rFonts w:hint="eastAsia"/>
        </w:rPr>
        <w:t>此外，根据</w:t>
      </w:r>
      <w:r>
        <w:rPr>
          <w:rFonts w:hint="eastAsia"/>
        </w:rPr>
        <w:t>1995</w:t>
      </w:r>
      <w:r>
        <w:rPr>
          <w:rFonts w:hint="eastAsia"/>
        </w:rPr>
        <w:t>年以色列</w:t>
      </w:r>
      <w:r>
        <w:rPr>
          <w:rFonts w:hint="eastAsia"/>
          <w:spacing w:val="-40"/>
          <w:sz w:val="22"/>
        </w:rPr>
        <w:t>——</w:t>
      </w:r>
      <w:r>
        <w:rPr>
          <w:sz w:val="22"/>
        </w:rPr>
        <w:t xml:space="preserve"> </w:t>
      </w:r>
      <w:r>
        <w:rPr>
          <w:rFonts w:hint="eastAsia"/>
        </w:rPr>
        <w:t>巴勒斯坦临时协议</w:t>
      </w:r>
      <w:r>
        <w:rPr>
          <w:rFonts w:hint="eastAsia"/>
        </w:rPr>
        <w:t xml:space="preserve"> </w:t>
      </w:r>
      <w:r>
        <w:rPr>
          <w:rStyle w:val="FootnoteReference"/>
        </w:rPr>
        <w:footnoteReference w:id="2"/>
      </w:r>
      <w:r>
        <w:rPr>
          <w:rFonts w:hint="eastAsia"/>
        </w:rPr>
        <w:t>，和随后的一些文献以及巴勒斯坦解放组织（巴解）所作的承诺</w:t>
      </w:r>
      <w:r>
        <w:rPr>
          <w:rFonts w:hint="eastAsia"/>
        </w:rPr>
        <w:t xml:space="preserve"> </w:t>
      </w:r>
      <w:r>
        <w:rPr>
          <w:rStyle w:val="FootnoteReference"/>
        </w:rPr>
        <w:footnoteReference w:id="3"/>
      </w:r>
      <w:r>
        <w:rPr>
          <w:rFonts w:hint="eastAsia"/>
        </w:rPr>
        <w:t>，所有民事领域（包括经济、社会和文化领域）以及各类治安问题方面的绝大部分权力和责任已经转交给巴勒斯坦委员会。总之，该委员会直接承担起了对西岸和加沙地带整个巴勒斯坦人口有关上述这类问题的职责和责任。根据这一现实的改变以及巴勒斯坦委员会在这些地区的管辖权，以色列不能承担保障这一地区《经济、社会、文化权利国际公约》所规定的各项权利的国际责任。</w:t>
      </w:r>
    </w:p>
    <w:p w:rsidR="00000000" w:rsidRDefault="00000000">
      <w:pPr>
        <w:rPr>
          <w:rFonts w:hint="eastAsia"/>
        </w:rPr>
      </w:pPr>
      <w:r>
        <w:rPr>
          <w:rFonts w:hint="eastAsia"/>
        </w:rPr>
        <w:tab/>
        <w:t xml:space="preserve">4.  </w:t>
      </w:r>
      <w:r>
        <w:rPr>
          <w:rFonts w:hint="eastAsia"/>
        </w:rPr>
        <w:t>巴勒斯坦委员会本身不能作为一个国家的现实，并不意味着可排除其在这一地区保护人权的职责。事实上，《关于西岸和加沙地带的以色列</w:t>
      </w:r>
      <w:r>
        <w:rPr>
          <w:rFonts w:hint="eastAsia"/>
          <w:spacing w:val="-40"/>
          <w:sz w:val="22"/>
        </w:rPr>
        <w:t>——</w:t>
      </w:r>
      <w:r>
        <w:rPr>
          <w:sz w:val="22"/>
        </w:rPr>
        <w:t xml:space="preserve"> </w:t>
      </w:r>
      <w:r>
        <w:rPr>
          <w:rFonts w:hint="eastAsia"/>
        </w:rPr>
        <w:t>巴勒斯坦临时协议》第</w:t>
      </w:r>
      <w:r>
        <w:rPr>
          <w:rFonts w:hint="eastAsia"/>
        </w:rPr>
        <w:t>19</w:t>
      </w:r>
      <w:r>
        <w:rPr>
          <w:rFonts w:hint="eastAsia"/>
        </w:rPr>
        <w:t>条也明确地规定了这一点。根据这一协议巴勒斯坦人本身承诺“在遵从国际公认人权和法治准则与原则的情况下”行使其权利和职责。同样，根据《沙姆沙伊赫备忘录》第二条（</w:t>
      </w:r>
      <w:r>
        <w:t>c</w:t>
      </w:r>
      <w:r>
        <w:rPr>
          <w:rFonts w:hint="eastAsia"/>
        </w:rPr>
        <w:t>）款第</w:t>
      </w:r>
      <w:r>
        <w:rPr>
          <w:rFonts w:hint="eastAsia"/>
        </w:rPr>
        <w:t>4</w:t>
      </w:r>
      <w:r>
        <w:rPr>
          <w:rFonts w:hint="eastAsia"/>
        </w:rPr>
        <w:t>项，巴勒斯坦警察有义务“在适当遵从国际公认人权和法治准则的情况下，行使其权力和职责，并且以保护民众、尊重人的尊严和防止骚扰的必要性为指导”。</w:t>
      </w:r>
    </w:p>
    <w:p w:rsidR="00000000" w:rsidRDefault="00000000">
      <w:pPr>
        <w:spacing w:after="320"/>
        <w:rPr>
          <w:rFonts w:hint="eastAsia"/>
        </w:rPr>
      </w:pPr>
      <w:r>
        <w:rPr>
          <w:rFonts w:hint="eastAsia"/>
        </w:rPr>
        <w:tab/>
        <w:t xml:space="preserve">5.  </w:t>
      </w:r>
      <w:r>
        <w:rPr>
          <w:rFonts w:hint="eastAsia"/>
        </w:rPr>
        <w:t>对此，以色列指出，在不有损于其这一基本立场的情况下，以色列始终，而且事实上在口头介绍以色列的初次报告期间已经自愿地与委员会合作，并在尽可能的程度上提供了有关行使这方面权力和职责的资料，因为根据与巴勒斯坦达成的协议，以色列继续在西岸和加沙地带行使这些权力和职责。</w:t>
      </w:r>
    </w:p>
    <w:p w:rsidR="00000000" w:rsidRDefault="00000000">
      <w:pPr>
        <w:pStyle w:val="Heading3"/>
        <w:rPr>
          <w:rFonts w:hint="eastAsia"/>
        </w:rPr>
      </w:pPr>
      <w:r>
        <w:rPr>
          <w:rFonts w:hint="eastAsia"/>
          <w:u w:val="none"/>
        </w:rPr>
        <w:t xml:space="preserve">B.  </w:t>
      </w:r>
      <w:r>
        <w:rPr>
          <w:rFonts w:hint="eastAsia"/>
        </w:rPr>
        <w:t>耶路撒冷东区的人口</w:t>
      </w:r>
    </w:p>
    <w:p w:rsidR="00000000" w:rsidRDefault="00000000">
      <w:pPr>
        <w:rPr>
          <w:rFonts w:hint="eastAsia"/>
        </w:rPr>
      </w:pPr>
      <w:r>
        <w:rPr>
          <w:rFonts w:hint="eastAsia"/>
        </w:rPr>
        <w:tab/>
        <w:t xml:space="preserve">6.  </w:t>
      </w:r>
      <w:r>
        <w:rPr>
          <w:rFonts w:hint="eastAsia"/>
        </w:rPr>
        <w:t>委员会对居住在耶路撒冷东区阿拉伯居民实现经济、社会、文化权利的情况表示尤为关注，这就有必要参照历史、文化和人口背景，作出某些评论。</w:t>
      </w:r>
    </w:p>
    <w:p w:rsidR="00000000" w:rsidRDefault="00000000">
      <w:pPr>
        <w:rPr>
          <w:rFonts w:hint="eastAsia"/>
        </w:rPr>
      </w:pPr>
      <w:r>
        <w:rPr>
          <w:rFonts w:hint="eastAsia"/>
        </w:rPr>
        <w:tab/>
        <w:t xml:space="preserve">7. </w:t>
      </w:r>
      <w:r>
        <w:rPr>
          <w:rFonts w:hint="eastAsia"/>
        </w:rPr>
        <w:t>纵观约</w:t>
      </w:r>
      <w:r>
        <w:rPr>
          <w:rFonts w:hint="eastAsia"/>
        </w:rPr>
        <w:t>3000</w:t>
      </w:r>
      <w:r>
        <w:rPr>
          <w:rFonts w:hint="eastAsia"/>
        </w:rPr>
        <w:t>年的历史，仅根据</w:t>
      </w:r>
      <w:r>
        <w:rPr>
          <w:rFonts w:hint="eastAsia"/>
        </w:rPr>
        <w:t>1948</w:t>
      </w:r>
      <w:r>
        <w:rPr>
          <w:rFonts w:hint="eastAsia"/>
        </w:rPr>
        <w:t>至</w:t>
      </w:r>
      <w:r>
        <w:rPr>
          <w:rFonts w:hint="eastAsia"/>
        </w:rPr>
        <w:t>1967</w:t>
      </w:r>
      <w:r>
        <w:rPr>
          <w:rFonts w:hint="eastAsia"/>
        </w:rPr>
        <w:t>年耶路撒冷一分为二这段</w:t>
      </w:r>
      <w:r>
        <w:rPr>
          <w:rFonts w:hint="eastAsia"/>
        </w:rPr>
        <w:t>19</w:t>
      </w:r>
      <w:r>
        <w:rPr>
          <w:rFonts w:hint="eastAsia"/>
        </w:rPr>
        <w:t>年的时期来划分耶路撒冷东西两区，多少有些超乎寻常。从</w:t>
      </w:r>
      <w:r>
        <w:rPr>
          <w:rFonts w:hint="eastAsia"/>
        </w:rPr>
        <w:t>1948</w:t>
      </w:r>
      <w:r>
        <w:rPr>
          <w:rFonts w:hint="eastAsia"/>
        </w:rPr>
        <w:t>至</w:t>
      </w:r>
      <w:r>
        <w:rPr>
          <w:rFonts w:hint="eastAsia"/>
        </w:rPr>
        <w:t>1967</w:t>
      </w:r>
      <w:r>
        <w:rPr>
          <w:rFonts w:hint="eastAsia"/>
        </w:rPr>
        <w:t>年期间，东耶路撒冷只是一连串乡村性质的村落，从未开发过。自</w:t>
      </w:r>
      <w:r>
        <w:rPr>
          <w:rFonts w:hint="eastAsia"/>
        </w:rPr>
        <w:t>1967</w:t>
      </w:r>
      <w:r>
        <w:rPr>
          <w:rFonts w:hint="eastAsia"/>
        </w:rPr>
        <w:t>年起，东耶路撒冷发展成了现代的市政环境。相反，西耶路撒冷在上述整个期间始终是一个现代型的都城。自</w:t>
      </w:r>
      <w:r>
        <w:rPr>
          <w:rFonts w:hint="eastAsia"/>
        </w:rPr>
        <w:t>1914</w:t>
      </w:r>
      <w:r>
        <w:rPr>
          <w:rFonts w:hint="eastAsia"/>
        </w:rPr>
        <w:t>年起，基于该城区特殊地貌制定的市政规划，发展起了都城区。因此，在</w:t>
      </w:r>
      <w:r>
        <w:rPr>
          <w:rFonts w:hint="eastAsia"/>
        </w:rPr>
        <w:t>1967</w:t>
      </w:r>
      <w:r>
        <w:rPr>
          <w:rFonts w:hint="eastAsia"/>
        </w:rPr>
        <w:t>年耶路撒冷合并之后，耶路撒冷东部与西部之间在发展上存在着明显的差距。</w:t>
      </w:r>
    </w:p>
    <w:p w:rsidR="00000000" w:rsidRDefault="00000000">
      <w:pPr>
        <w:rPr>
          <w:rFonts w:hint="eastAsia"/>
        </w:rPr>
      </w:pPr>
      <w:r>
        <w:rPr>
          <w:rFonts w:hint="eastAsia"/>
        </w:rPr>
        <w:tab/>
        <w:t xml:space="preserve">8.  </w:t>
      </w:r>
      <w:r>
        <w:rPr>
          <w:rFonts w:hint="eastAsia"/>
        </w:rPr>
        <w:t>坐落在该城市东部地区的一些村庄是从一些家庭定居点发展起来的，并出现了零星的小块地皮由各类私人土地所有者所拥有的趋势。既未实行系统的土地登记，也没有更新补充的登记资料，因此所有权不明确，而且在许多情况下，会出现多方对同一块地皮声称拥有所有权的现象。市政规划是基于地皮所有权发展起来的；在制定市政规划之前，必须为重新制定和更新补充登记制度作出大量的调查工作，而这项工作进程尚未完成。</w:t>
      </w:r>
    </w:p>
    <w:p w:rsidR="00000000" w:rsidRDefault="00000000">
      <w:pPr>
        <w:rPr>
          <w:rFonts w:hint="eastAsia"/>
        </w:rPr>
      </w:pPr>
      <w:r>
        <w:rPr>
          <w:rFonts w:hint="eastAsia"/>
        </w:rPr>
        <w:tab/>
        <w:t xml:space="preserve">9.  </w:t>
      </w:r>
      <w:r>
        <w:rPr>
          <w:rFonts w:hint="eastAsia"/>
        </w:rPr>
        <w:t>因此，存在着许多无法确定的地皮所有权，或者两个地主对同一块地皮声称所有权的情况。耶路撒冷市政厅奉行的政策认可</w:t>
      </w:r>
      <w:r>
        <w:rPr>
          <w:lang w:val="fr-CH"/>
        </w:rPr>
        <w:t>Mukhtars</w:t>
      </w:r>
      <w:r>
        <w:rPr>
          <w:rFonts w:hint="eastAsia"/>
        </w:rPr>
        <w:t>村或周边地区颁发的地皮所权证明书。</w:t>
      </w:r>
    </w:p>
    <w:p w:rsidR="00000000" w:rsidRDefault="00000000">
      <w:pPr>
        <w:rPr>
          <w:rFonts w:hint="eastAsia"/>
        </w:rPr>
      </w:pPr>
      <w:r>
        <w:rPr>
          <w:rFonts w:hint="eastAsia"/>
        </w:rPr>
        <w:tab/>
        <w:t xml:space="preserve">10.  </w:t>
      </w:r>
      <w:r>
        <w:rPr>
          <w:rFonts w:hint="eastAsia"/>
        </w:rPr>
        <w:t>长期以来这些村庄始终把为个人的考虑放在首位，而社区利益则次之。因此，对于诸如公路建造之类的项目，虽然居民们也希望建造，但是由于涉及到征税和土地的征用而形成问题。事实上并没有要求耶路撒冷东区的居民为发展或整修其城区的基础设施直接地承担费用，而西耶路撒冷的居民则必须为这类项目的开支缴纳实质性的税款。</w:t>
      </w:r>
    </w:p>
    <w:p w:rsidR="00000000" w:rsidRDefault="00000000">
      <w:pPr>
        <w:rPr>
          <w:rFonts w:hint="eastAsia"/>
        </w:rPr>
      </w:pPr>
      <w:r>
        <w:rPr>
          <w:rFonts w:hint="eastAsia"/>
        </w:rPr>
        <w:tab/>
        <w:t>11.  1967</w:t>
      </w:r>
      <w:r>
        <w:rPr>
          <w:rFonts w:hint="eastAsia"/>
        </w:rPr>
        <w:t>年耶路撒冷东区的居民饮用的是从井内提取的水。耶路撒冷合并之后，就必须对所有的基本供排系统实行统建。因此，目前已经建成了有效的供水和排污系统。</w:t>
      </w:r>
    </w:p>
    <w:p w:rsidR="00000000" w:rsidRDefault="00000000">
      <w:pPr>
        <w:rPr>
          <w:rFonts w:hint="eastAsia"/>
        </w:rPr>
      </w:pPr>
      <w:r>
        <w:rPr>
          <w:rFonts w:hint="eastAsia"/>
        </w:rPr>
        <w:tab/>
        <w:t xml:space="preserve">12.  </w:t>
      </w:r>
      <w:r>
        <w:rPr>
          <w:rFonts w:hint="eastAsia"/>
        </w:rPr>
        <w:t>耶路撒冷东区的人口自然增长率始终高于犹太人口的自然增长率。</w:t>
      </w:r>
      <w:r>
        <w:rPr>
          <w:rFonts w:hint="eastAsia"/>
        </w:rPr>
        <w:t>1967</w:t>
      </w:r>
      <w:r>
        <w:rPr>
          <w:rFonts w:hint="eastAsia"/>
        </w:rPr>
        <w:t>年耶城的人口由</w:t>
      </w:r>
      <w:r>
        <w:rPr>
          <w:rFonts w:hint="eastAsia"/>
        </w:rPr>
        <w:t>197,000</w:t>
      </w:r>
      <w:r>
        <w:rPr>
          <w:rFonts w:hint="eastAsia"/>
        </w:rPr>
        <w:t>犹太人（占</w:t>
      </w:r>
      <w:r>
        <w:rPr>
          <w:rFonts w:hint="eastAsia"/>
        </w:rPr>
        <w:t>74.2%</w:t>
      </w:r>
      <w:r>
        <w:rPr>
          <w:rFonts w:hint="eastAsia"/>
        </w:rPr>
        <w:t>）和</w:t>
      </w:r>
      <w:r>
        <w:rPr>
          <w:rFonts w:hint="eastAsia"/>
        </w:rPr>
        <w:t>68,000</w:t>
      </w:r>
      <w:r>
        <w:rPr>
          <w:rFonts w:hint="eastAsia"/>
        </w:rPr>
        <w:t>阿拉伯人（占</w:t>
      </w:r>
      <w:r>
        <w:rPr>
          <w:rFonts w:hint="eastAsia"/>
        </w:rPr>
        <w:t>25.8%</w:t>
      </w:r>
      <w:r>
        <w:rPr>
          <w:rFonts w:hint="eastAsia"/>
        </w:rPr>
        <w:t>）组成。</w:t>
      </w:r>
      <w:r>
        <w:rPr>
          <w:rFonts w:hint="eastAsia"/>
        </w:rPr>
        <w:t>1999</w:t>
      </w:r>
      <w:r>
        <w:rPr>
          <w:rFonts w:hint="eastAsia"/>
        </w:rPr>
        <w:t>年耶城的犹太人口增长到</w:t>
      </w:r>
      <w:r>
        <w:rPr>
          <w:rFonts w:hint="eastAsia"/>
        </w:rPr>
        <w:t>429,000</w:t>
      </w:r>
      <w:r>
        <w:rPr>
          <w:rFonts w:hint="eastAsia"/>
        </w:rPr>
        <w:t>（占人口的</w:t>
      </w:r>
      <w:r>
        <w:rPr>
          <w:rFonts w:hint="eastAsia"/>
        </w:rPr>
        <w:t>69%</w:t>
      </w:r>
      <w:r>
        <w:rPr>
          <w:rFonts w:hint="eastAsia"/>
        </w:rPr>
        <w:t>），而阿拉伯人口增长至</w:t>
      </w:r>
      <w:r>
        <w:rPr>
          <w:rFonts w:hint="eastAsia"/>
        </w:rPr>
        <w:t>193,000</w:t>
      </w:r>
      <w:r>
        <w:rPr>
          <w:rFonts w:hint="eastAsia"/>
        </w:rPr>
        <w:t>（占人口的</w:t>
      </w:r>
      <w:r>
        <w:rPr>
          <w:rFonts w:hint="eastAsia"/>
        </w:rPr>
        <w:t>31%</w:t>
      </w:r>
      <w:r>
        <w:rPr>
          <w:rFonts w:hint="eastAsia"/>
        </w:rPr>
        <w:t>）。</w:t>
      </w:r>
    </w:p>
    <w:p w:rsidR="00000000" w:rsidRDefault="00000000">
      <w:pPr>
        <w:rPr>
          <w:rFonts w:hint="eastAsia"/>
        </w:rPr>
      </w:pPr>
      <w:r>
        <w:rPr>
          <w:rFonts w:hint="eastAsia"/>
        </w:rPr>
        <w:tab/>
        <w:t xml:space="preserve">13.  </w:t>
      </w:r>
      <w:r>
        <w:rPr>
          <w:rFonts w:hint="eastAsia"/>
        </w:rPr>
        <w:t>自</w:t>
      </w:r>
      <w:r>
        <w:rPr>
          <w:rFonts w:hint="eastAsia"/>
        </w:rPr>
        <w:t>1967</w:t>
      </w:r>
      <w:r>
        <w:rPr>
          <w:rFonts w:hint="eastAsia"/>
        </w:rPr>
        <w:t>年以来，住宅单元数量的增长相应于人口的比例，正如目前在耶路撒冷东区计划建造</w:t>
      </w:r>
      <w:r>
        <w:rPr>
          <w:rFonts w:hint="eastAsia"/>
        </w:rPr>
        <w:t>15,000</w:t>
      </w:r>
      <w:r>
        <w:rPr>
          <w:rFonts w:hint="eastAsia"/>
        </w:rPr>
        <w:t>套新住宅单位和在犹太人住区建造</w:t>
      </w:r>
      <w:r>
        <w:rPr>
          <w:rFonts w:hint="eastAsia"/>
        </w:rPr>
        <w:t>35,000</w:t>
      </w:r>
      <w:r>
        <w:rPr>
          <w:rFonts w:hint="eastAsia"/>
        </w:rPr>
        <w:t>套住宅单位的计划一样，也是按人口比例确定的。</w:t>
      </w:r>
    </w:p>
    <w:p w:rsidR="00000000" w:rsidRDefault="00000000">
      <w:pPr>
        <w:rPr>
          <w:rFonts w:hint="eastAsia"/>
        </w:rPr>
      </w:pPr>
      <w:r>
        <w:rPr>
          <w:rFonts w:hint="eastAsia"/>
        </w:rPr>
        <w:tab/>
        <w:t xml:space="preserve">14.  </w:t>
      </w:r>
      <w:r>
        <w:rPr>
          <w:rFonts w:hint="eastAsia"/>
        </w:rPr>
        <w:t>耶路撒冷东区的传统乡村住房建造包括了在私有地皮上大家族分立门户的家庭。与以公寓大楼为特点的犹太人居住区相比，乡村住房是颇占地皮的住宅建造办法。在阿拉伯人区，平均每一德南（约四分之一公顷）的地皮上盖有</w:t>
      </w:r>
      <w:r>
        <w:rPr>
          <w:rFonts w:hint="eastAsia"/>
        </w:rPr>
        <w:t>1.9</w:t>
      </w:r>
      <w:r>
        <w:rPr>
          <w:rFonts w:hint="eastAsia"/>
        </w:rPr>
        <w:t>住房单位，居住着</w:t>
      </w:r>
      <w:r>
        <w:rPr>
          <w:rFonts w:hint="eastAsia"/>
        </w:rPr>
        <w:t>11</w:t>
      </w:r>
      <w:r>
        <w:rPr>
          <w:rFonts w:hint="eastAsia"/>
        </w:rPr>
        <w:t>人，而犹太人区的比例是，每德南地皮建有</w:t>
      </w:r>
      <w:r>
        <w:rPr>
          <w:rFonts w:hint="eastAsia"/>
        </w:rPr>
        <w:t>5.9</w:t>
      </w:r>
      <w:r>
        <w:rPr>
          <w:rFonts w:hint="eastAsia"/>
        </w:rPr>
        <w:t>个住房单位，居住着</w:t>
      </w:r>
      <w:r>
        <w:rPr>
          <w:rFonts w:hint="eastAsia"/>
        </w:rPr>
        <w:t>19</w:t>
      </w:r>
      <w:r>
        <w:rPr>
          <w:rFonts w:hint="eastAsia"/>
        </w:rPr>
        <w:t>人。</w:t>
      </w:r>
    </w:p>
    <w:p w:rsidR="00000000" w:rsidRDefault="00000000">
      <w:pPr>
        <w:rPr>
          <w:rFonts w:hint="eastAsia"/>
        </w:rPr>
      </w:pPr>
      <w:r>
        <w:rPr>
          <w:rFonts w:hint="eastAsia"/>
        </w:rPr>
        <w:tab/>
        <w:t xml:space="preserve">15.  </w:t>
      </w:r>
      <w:r>
        <w:rPr>
          <w:rFonts w:hint="eastAsia"/>
        </w:rPr>
        <w:t>耶路撒冷西区的相当大部分公共建筑是靠散居在海外的犹太侨民私人捐助供资的，而耶路撒冷市政厅和政府则为耶城所有各部分的公共建筑供资。</w:t>
      </w:r>
    </w:p>
    <w:p w:rsidR="00000000" w:rsidRDefault="00000000">
      <w:pPr>
        <w:rPr>
          <w:rFonts w:hint="eastAsia"/>
        </w:rPr>
      </w:pPr>
      <w:r>
        <w:rPr>
          <w:rFonts w:hint="eastAsia"/>
        </w:rPr>
        <w:tab/>
        <w:t xml:space="preserve">16.  </w:t>
      </w:r>
      <w:r>
        <w:rPr>
          <w:rFonts w:hint="eastAsia"/>
        </w:rPr>
        <w:t>耶路撒冷市政厅在与以色列政府的合作下，把耶路撒冷东区的发展方案列为优先重点。估计为缩小城建差距所需的总款额为</w:t>
      </w:r>
      <w:r>
        <w:rPr>
          <w:rFonts w:hint="eastAsia"/>
        </w:rPr>
        <w:t>5.2</w:t>
      </w:r>
      <w:r>
        <w:rPr>
          <w:rFonts w:hint="eastAsia"/>
        </w:rPr>
        <w:t>亿以色列新锡克尔（新锡克尔）。为此目的，政府拨出了</w:t>
      </w:r>
      <w:r>
        <w:rPr>
          <w:rFonts w:hint="eastAsia"/>
        </w:rPr>
        <w:t>4.5</w:t>
      </w:r>
      <w:r>
        <w:rPr>
          <w:rFonts w:hint="eastAsia"/>
        </w:rPr>
        <w:t>亿新锡克尔。</w:t>
      </w:r>
      <w:r>
        <w:rPr>
          <w:rFonts w:hint="eastAsia"/>
        </w:rPr>
        <w:t>1999</w:t>
      </w:r>
      <w:r>
        <w:rPr>
          <w:rFonts w:hint="eastAsia"/>
        </w:rPr>
        <w:t>年政府拨出了</w:t>
      </w:r>
      <w:r>
        <w:rPr>
          <w:rFonts w:hint="eastAsia"/>
        </w:rPr>
        <w:t>6,010</w:t>
      </w:r>
      <w:r>
        <w:rPr>
          <w:rFonts w:hint="eastAsia"/>
        </w:rPr>
        <w:t>万新锡克尔专门用于发展耶路撒冷东区。</w:t>
      </w:r>
    </w:p>
    <w:p w:rsidR="00000000" w:rsidRDefault="00000000">
      <w:pPr>
        <w:rPr>
          <w:rFonts w:hint="eastAsia"/>
        </w:rPr>
      </w:pPr>
      <w:r>
        <w:rPr>
          <w:rFonts w:hint="eastAsia"/>
        </w:rPr>
        <w:tab/>
        <w:t>17.  1997</w:t>
      </w:r>
      <w:r>
        <w:rPr>
          <w:rFonts w:hint="eastAsia"/>
        </w:rPr>
        <w:t>至</w:t>
      </w:r>
      <w:r>
        <w:rPr>
          <w:rFonts w:hint="eastAsia"/>
        </w:rPr>
        <w:t>1999</w:t>
      </w:r>
      <w:r>
        <w:rPr>
          <w:rFonts w:hint="eastAsia"/>
        </w:rPr>
        <w:t>年期间，在耶路撒冷东区完成了若干重要项目，其中包括建造公路（</w:t>
      </w:r>
      <w:r>
        <w:rPr>
          <w:rFonts w:hint="eastAsia"/>
        </w:rPr>
        <w:t>4,200</w:t>
      </w:r>
      <w:r>
        <w:rPr>
          <w:rFonts w:hint="eastAsia"/>
        </w:rPr>
        <w:t>万新锡克尔）、整修现有公路（</w:t>
      </w:r>
      <w:r>
        <w:rPr>
          <w:rFonts w:hint="eastAsia"/>
        </w:rPr>
        <w:t>4,000</w:t>
      </w:r>
      <w:r>
        <w:rPr>
          <w:rFonts w:hint="eastAsia"/>
        </w:rPr>
        <w:t>万新锡克尔）、供水和排污系统（</w:t>
      </w:r>
      <w:r>
        <w:rPr>
          <w:rFonts w:hint="eastAsia"/>
        </w:rPr>
        <w:t>4,000</w:t>
      </w:r>
      <w:r>
        <w:rPr>
          <w:rFonts w:hint="eastAsia"/>
        </w:rPr>
        <w:t>万新锡克尔）、社区中心（</w:t>
      </w:r>
      <w:r>
        <w:rPr>
          <w:rFonts w:hint="eastAsia"/>
        </w:rPr>
        <w:t>1,000</w:t>
      </w:r>
      <w:r>
        <w:rPr>
          <w:rFonts w:hint="eastAsia"/>
        </w:rPr>
        <w:t>万新锡克尔）和其它一些项目（</w:t>
      </w:r>
      <w:r>
        <w:rPr>
          <w:rFonts w:hint="eastAsia"/>
        </w:rPr>
        <w:t>4,700</w:t>
      </w:r>
      <w:r>
        <w:rPr>
          <w:rFonts w:hint="eastAsia"/>
        </w:rPr>
        <w:t>万新锡克尔），总共投入了</w:t>
      </w:r>
      <w:r>
        <w:rPr>
          <w:rFonts w:hint="eastAsia"/>
        </w:rPr>
        <w:t>1.79</w:t>
      </w:r>
      <w:r>
        <w:rPr>
          <w:rFonts w:hint="eastAsia"/>
        </w:rPr>
        <w:t>亿新锡克尔。</w:t>
      </w:r>
    </w:p>
    <w:p w:rsidR="00000000" w:rsidRDefault="00000000">
      <w:r>
        <w:rPr>
          <w:rFonts w:hint="eastAsia"/>
        </w:rPr>
        <w:tab/>
        <w:t xml:space="preserve">18.  </w:t>
      </w:r>
      <w:r>
        <w:rPr>
          <w:rFonts w:hint="eastAsia"/>
        </w:rPr>
        <w:t>耶城正在为全城所有住区拟订两项规划。在犹太人住宅区落实这样一项计划平均需要三年，而在耶路撒冷东区，由于以上所述种种历史原因，计划的落实需要长得多的时间。</w:t>
      </w:r>
    </w:p>
    <w:p w:rsidR="00000000" w:rsidRDefault="00000000">
      <w:pPr>
        <w:rPr>
          <w:rFonts w:hint="eastAsia"/>
        </w:rPr>
      </w:pPr>
      <w:r>
        <w:rPr>
          <w:rFonts w:hint="eastAsia"/>
        </w:rPr>
        <w:tab/>
        <w:t xml:space="preserve">19.  </w:t>
      </w:r>
      <w:r>
        <w:rPr>
          <w:rFonts w:hint="eastAsia"/>
        </w:rPr>
        <w:t>耶路撒冷始终奉行了与东区居民合作推行发展规划的政策；诸如在</w:t>
      </w:r>
      <w:r>
        <w:t>Har Homa</w:t>
      </w:r>
      <w:r>
        <w:rPr>
          <w:rFonts w:hint="eastAsia"/>
          <w:lang w:val="fr-CH"/>
        </w:rPr>
        <w:t>附近的</w:t>
      </w:r>
      <w:r>
        <w:t>Tsur Baher</w:t>
      </w:r>
      <w:r>
        <w:rPr>
          <w:rFonts w:hint="eastAsia"/>
        </w:rPr>
        <w:t>将在属于政府的地皮上建造将向阿拉伯社团推销的</w:t>
      </w:r>
      <w:r>
        <w:rPr>
          <w:rFonts w:hint="eastAsia"/>
        </w:rPr>
        <w:t>400</w:t>
      </w:r>
      <w:r>
        <w:rPr>
          <w:rFonts w:hint="eastAsia"/>
        </w:rPr>
        <w:t>套住房。为了能够更紧凑地进行建造，对该区域的界区重新进行了划定：可供房的地皮达到</w:t>
      </w:r>
      <w:r>
        <w:rPr>
          <w:rFonts w:hint="eastAsia"/>
        </w:rPr>
        <w:t>75%</w:t>
      </w:r>
      <w:r>
        <w:rPr>
          <w:rFonts w:hint="eastAsia"/>
        </w:rPr>
        <w:t>，而原来拨出的可供建房地皮是</w:t>
      </w:r>
      <w:r>
        <w:rPr>
          <w:rFonts w:hint="eastAsia"/>
        </w:rPr>
        <w:t>50%</w:t>
      </w:r>
      <w:r>
        <w:rPr>
          <w:rFonts w:hint="eastAsia"/>
        </w:rPr>
        <w:t>。</w:t>
      </w:r>
    </w:p>
    <w:p w:rsidR="00000000" w:rsidRDefault="00000000">
      <w:pPr>
        <w:rPr>
          <w:rFonts w:hint="eastAsia"/>
        </w:rPr>
      </w:pPr>
      <w:r>
        <w:rPr>
          <w:rFonts w:hint="eastAsia"/>
        </w:rPr>
        <w:tab/>
        <w:t xml:space="preserve">20.  </w:t>
      </w:r>
      <w:r>
        <w:rPr>
          <w:rFonts w:hint="eastAsia"/>
        </w:rPr>
        <w:t>在</w:t>
      </w:r>
      <w:r>
        <w:t>A-Sawaneh</w:t>
      </w:r>
      <w:r>
        <w:rPr>
          <w:rFonts w:hint="eastAsia"/>
        </w:rPr>
        <w:t>一座无家可归者收容营是建在属于穆斯林慈善捐赠机构的地皮上的，而在这块地皮上已经规划建立一座特别教育学校。穆斯林慈善捐赠机构与市政厅按默契合作，驱走了收容营内的居民，把这块地皮交给市政厅建造特殊教育学校。</w:t>
      </w:r>
    </w:p>
    <w:p w:rsidR="00000000" w:rsidRDefault="00000000">
      <w:pPr>
        <w:rPr>
          <w:rFonts w:hint="eastAsia"/>
        </w:rPr>
      </w:pPr>
      <w:r>
        <w:rPr>
          <w:rFonts w:hint="eastAsia"/>
        </w:rPr>
        <w:tab/>
        <w:t xml:space="preserve">21.  </w:t>
      </w:r>
      <w:r>
        <w:rPr>
          <w:rFonts w:hint="eastAsia"/>
        </w:rPr>
        <w:t>所有建房计划都必须得到区规划和建筑委员会的批准。建房许可申请的比率基本上与人口增长的百分比相称。</w:t>
      </w:r>
      <w:r>
        <w:rPr>
          <w:rFonts w:hint="eastAsia"/>
        </w:rPr>
        <w:t>1999</w:t>
      </w:r>
      <w:r>
        <w:rPr>
          <w:rFonts w:hint="eastAsia"/>
        </w:rPr>
        <w:t>年上半年收到了耶路撒冷东区居民提出的申请占总件数的约</w:t>
      </w:r>
      <w:r>
        <w:rPr>
          <w:rFonts w:hint="eastAsia"/>
        </w:rPr>
        <w:t>20%</w:t>
      </w:r>
      <w:r>
        <w:rPr>
          <w:rFonts w:hint="eastAsia"/>
        </w:rPr>
        <w:t>。在所收到的建房许可申请总数中，东区居民提出申请获得批准的比率约为</w:t>
      </w:r>
      <w:r>
        <w:rPr>
          <w:rFonts w:hint="eastAsia"/>
        </w:rPr>
        <w:t>60%</w:t>
      </w:r>
      <w:r>
        <w:rPr>
          <w:rFonts w:hint="eastAsia"/>
        </w:rPr>
        <w:t>，西耶路撒冷居民提出的申请批准率约为</w:t>
      </w:r>
      <w:r>
        <w:rPr>
          <w:rFonts w:hint="eastAsia"/>
        </w:rPr>
        <w:t>67%</w:t>
      </w:r>
      <w:r>
        <w:rPr>
          <w:rFonts w:hint="eastAsia"/>
        </w:rPr>
        <w:t>。东耶路撒冷的违章建筑几乎都不可避免地在合法的建筑内增加非法建造，诸如在院子内增建的房屋，或者在房顶空间增盖的阁楼。在耶路撒冷东区内，最常见的违章建筑则是不经批准非法建造的整栋楼房。因此，耶路撒冷东区拆除违章建筑的规模远比耶城西区大。</w:t>
      </w:r>
    </w:p>
    <w:p w:rsidR="00000000" w:rsidRDefault="00000000">
      <w:pPr>
        <w:spacing w:after="320"/>
        <w:rPr>
          <w:rFonts w:hint="eastAsia"/>
        </w:rPr>
      </w:pPr>
      <w:r>
        <w:rPr>
          <w:rFonts w:hint="eastAsia"/>
        </w:rPr>
        <w:tab/>
        <w:t xml:space="preserve">22.  </w:t>
      </w:r>
      <w:r>
        <w:rPr>
          <w:rFonts w:hint="eastAsia"/>
        </w:rPr>
        <w:t>关于拆毁违章建筑问题，耶路撒冷市政厅的政策是，对于有碍公共设施计划，诸如阻碍学校和公路，或者城市历史遗迹的违章建筑下达拆毁令。内务部也有权拆除非法建筑。过去几年期间，在耶路撒冷东区未经许可而违章建造的倾向日益增长。</w:t>
      </w:r>
      <w:r>
        <w:rPr>
          <w:rFonts w:hint="eastAsia"/>
        </w:rPr>
        <w:t>1997</w:t>
      </w:r>
      <w:r>
        <w:rPr>
          <w:rFonts w:hint="eastAsia"/>
        </w:rPr>
        <w:t>年，此类违章新建筑物的总数量是</w:t>
      </w:r>
      <w:r>
        <w:rPr>
          <w:rFonts w:hint="eastAsia"/>
        </w:rPr>
        <w:t>202</w:t>
      </w:r>
      <w:r>
        <w:rPr>
          <w:rFonts w:hint="eastAsia"/>
        </w:rPr>
        <w:t>栋，</w:t>
      </w:r>
      <w:r>
        <w:rPr>
          <w:rFonts w:hint="eastAsia"/>
        </w:rPr>
        <w:t>1998</w:t>
      </w:r>
      <w:r>
        <w:rPr>
          <w:rFonts w:hint="eastAsia"/>
        </w:rPr>
        <w:t>年是</w:t>
      </w:r>
      <w:r>
        <w:rPr>
          <w:rFonts w:hint="eastAsia"/>
        </w:rPr>
        <w:t>485</w:t>
      </w:r>
      <w:r>
        <w:rPr>
          <w:rFonts w:hint="eastAsia"/>
        </w:rPr>
        <w:t>栋，而</w:t>
      </w:r>
      <w:r>
        <w:rPr>
          <w:rFonts w:hint="eastAsia"/>
        </w:rPr>
        <w:t>1999</w:t>
      </w:r>
      <w:r>
        <w:rPr>
          <w:rFonts w:hint="eastAsia"/>
        </w:rPr>
        <w:t>年是</w:t>
      </w:r>
      <w:r>
        <w:rPr>
          <w:rFonts w:hint="eastAsia"/>
        </w:rPr>
        <w:t>554</w:t>
      </w:r>
      <w:r>
        <w:rPr>
          <w:rFonts w:hint="eastAsia"/>
        </w:rPr>
        <w:t>栋。实际上，每年仅拆除极少数的违章建筑。</w:t>
      </w:r>
    </w:p>
    <w:p w:rsidR="00000000" w:rsidRDefault="00000000">
      <w:pPr>
        <w:pStyle w:val="Heading3"/>
        <w:rPr>
          <w:rFonts w:hint="eastAsia"/>
        </w:rPr>
      </w:pPr>
      <w:r>
        <w:rPr>
          <w:rFonts w:hint="eastAsia"/>
        </w:rPr>
        <w:t>1999</w:t>
      </w:r>
      <w:r>
        <w:rPr>
          <w:rFonts w:hint="eastAsia"/>
        </w:rPr>
        <w:t>年</w:t>
      </w:r>
      <w:r>
        <w:rPr>
          <w:rFonts w:hint="eastAsia"/>
        </w:rPr>
        <w:t>1</w:t>
      </w:r>
      <w:r>
        <w:rPr>
          <w:rFonts w:hint="eastAsia"/>
        </w:rPr>
        <w:t>月</w:t>
      </w:r>
      <w:r>
        <w:rPr>
          <w:rFonts w:hint="eastAsia"/>
        </w:rPr>
        <w:t>1</w:t>
      </w:r>
      <w:r>
        <w:rPr>
          <w:rFonts w:hint="eastAsia"/>
        </w:rPr>
        <w:t>日至</w:t>
      </w:r>
      <w:r>
        <w:rPr>
          <w:rFonts w:hint="eastAsia"/>
        </w:rPr>
        <w:t>1999</w:t>
      </w:r>
      <w:r>
        <w:rPr>
          <w:rFonts w:hint="eastAsia"/>
        </w:rPr>
        <w:t>年</w:t>
      </w:r>
      <w:r>
        <w:rPr>
          <w:rFonts w:hint="eastAsia"/>
        </w:rPr>
        <w:t>6</w:t>
      </w:r>
      <w:r>
        <w:rPr>
          <w:rFonts w:hint="eastAsia"/>
        </w:rPr>
        <w:t>月</w:t>
      </w:r>
      <w:r>
        <w:rPr>
          <w:rFonts w:hint="eastAsia"/>
        </w:rPr>
        <w:t>30</w:t>
      </w:r>
      <w:r>
        <w:rPr>
          <w:rFonts w:hint="eastAsia"/>
        </w:rPr>
        <w:t>日期间的数字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1"/>
      </w:tblGrid>
      <w:tr w:rsidR="00000000">
        <w:tblPrEx>
          <w:tblCellMar>
            <w:top w:w="0" w:type="dxa"/>
            <w:bottom w:w="0" w:type="dxa"/>
          </w:tblCellMar>
        </w:tblPrEx>
        <w:tc>
          <w:tcPr>
            <w:tcW w:w="3190" w:type="dxa"/>
          </w:tcPr>
          <w:p w:rsidR="00000000" w:rsidRDefault="00000000">
            <w:pPr>
              <w:jc w:val="center"/>
              <w:rPr>
                <w:rFonts w:hint="eastAsia"/>
              </w:rPr>
            </w:pPr>
          </w:p>
        </w:tc>
        <w:tc>
          <w:tcPr>
            <w:tcW w:w="3190" w:type="dxa"/>
          </w:tcPr>
          <w:p w:rsidR="00000000" w:rsidRDefault="00000000">
            <w:pPr>
              <w:jc w:val="center"/>
              <w:rPr>
                <w:rFonts w:hint="eastAsia"/>
              </w:rPr>
            </w:pPr>
            <w:r>
              <w:rPr>
                <w:rFonts w:hint="eastAsia"/>
              </w:rPr>
              <w:t>耶路撒冷西区</w:t>
            </w:r>
          </w:p>
        </w:tc>
        <w:tc>
          <w:tcPr>
            <w:tcW w:w="3191" w:type="dxa"/>
          </w:tcPr>
          <w:p w:rsidR="00000000" w:rsidRDefault="00000000">
            <w:pPr>
              <w:jc w:val="center"/>
              <w:rPr>
                <w:rFonts w:hint="eastAsia"/>
              </w:rPr>
            </w:pPr>
            <w:r>
              <w:rPr>
                <w:rFonts w:hint="eastAsia"/>
              </w:rPr>
              <w:t>耶路撒冷东区</w:t>
            </w:r>
          </w:p>
        </w:tc>
      </w:tr>
      <w:tr w:rsidR="00000000">
        <w:tblPrEx>
          <w:tblCellMar>
            <w:top w:w="0" w:type="dxa"/>
            <w:bottom w:w="0" w:type="dxa"/>
          </w:tblCellMar>
        </w:tblPrEx>
        <w:tc>
          <w:tcPr>
            <w:tcW w:w="3190" w:type="dxa"/>
          </w:tcPr>
          <w:p w:rsidR="00000000" w:rsidRDefault="00000000">
            <w:pPr>
              <w:rPr>
                <w:rFonts w:hint="eastAsia"/>
              </w:rPr>
            </w:pPr>
            <w:r>
              <w:rPr>
                <w:rFonts w:hint="eastAsia"/>
              </w:rPr>
              <w:t>拟应实施的行政拆除令</w:t>
            </w:r>
          </w:p>
        </w:tc>
        <w:tc>
          <w:tcPr>
            <w:tcW w:w="3190" w:type="dxa"/>
          </w:tcPr>
          <w:p w:rsidR="00000000" w:rsidRDefault="00000000">
            <w:pPr>
              <w:jc w:val="center"/>
              <w:rPr>
                <w:rFonts w:hint="eastAsia"/>
              </w:rPr>
            </w:pPr>
            <w:r>
              <w:rPr>
                <w:rFonts w:hint="eastAsia"/>
              </w:rPr>
              <w:t>9</w:t>
            </w:r>
            <w:r>
              <w:rPr>
                <w:rFonts w:hint="eastAsia"/>
              </w:rPr>
              <w:t>份命令</w:t>
            </w:r>
          </w:p>
        </w:tc>
        <w:tc>
          <w:tcPr>
            <w:tcW w:w="3191" w:type="dxa"/>
          </w:tcPr>
          <w:p w:rsidR="00000000" w:rsidRDefault="00000000">
            <w:pPr>
              <w:jc w:val="center"/>
              <w:rPr>
                <w:rFonts w:hint="eastAsia"/>
              </w:rPr>
            </w:pPr>
            <w:r>
              <w:rPr>
                <w:rFonts w:hint="eastAsia"/>
              </w:rPr>
              <w:t>50</w:t>
            </w:r>
            <w:r>
              <w:rPr>
                <w:rFonts w:hint="eastAsia"/>
              </w:rPr>
              <w:t>份命令</w:t>
            </w:r>
          </w:p>
        </w:tc>
      </w:tr>
      <w:tr w:rsidR="00000000">
        <w:tblPrEx>
          <w:tblCellMar>
            <w:top w:w="0" w:type="dxa"/>
            <w:bottom w:w="0" w:type="dxa"/>
          </w:tblCellMar>
        </w:tblPrEx>
        <w:tc>
          <w:tcPr>
            <w:tcW w:w="3190" w:type="dxa"/>
          </w:tcPr>
          <w:p w:rsidR="00000000" w:rsidRDefault="00000000">
            <w:pPr>
              <w:rPr>
                <w:rFonts w:hint="eastAsia"/>
              </w:rPr>
            </w:pPr>
            <w:r>
              <w:rPr>
                <w:rFonts w:hint="eastAsia"/>
              </w:rPr>
              <w:t>得到实施的行政拆除令</w:t>
            </w:r>
          </w:p>
        </w:tc>
        <w:tc>
          <w:tcPr>
            <w:tcW w:w="3190" w:type="dxa"/>
          </w:tcPr>
          <w:p w:rsidR="00000000" w:rsidRDefault="00000000">
            <w:pPr>
              <w:jc w:val="center"/>
              <w:rPr>
                <w:rFonts w:hint="eastAsia"/>
              </w:rPr>
            </w:pPr>
            <w:r>
              <w:rPr>
                <w:rFonts w:hint="eastAsia"/>
              </w:rPr>
              <w:t>4</w:t>
            </w:r>
            <w:r>
              <w:rPr>
                <w:rFonts w:hint="eastAsia"/>
              </w:rPr>
              <w:t>份命令</w:t>
            </w:r>
          </w:p>
        </w:tc>
        <w:tc>
          <w:tcPr>
            <w:tcW w:w="3191" w:type="dxa"/>
          </w:tcPr>
          <w:p w:rsidR="00000000" w:rsidRDefault="00000000">
            <w:pPr>
              <w:jc w:val="center"/>
              <w:rPr>
                <w:rFonts w:hint="eastAsia"/>
              </w:rPr>
            </w:pPr>
            <w:r>
              <w:rPr>
                <w:rFonts w:hint="eastAsia"/>
              </w:rPr>
              <w:t>11</w:t>
            </w:r>
            <w:r>
              <w:rPr>
                <w:rFonts w:hint="eastAsia"/>
              </w:rPr>
              <w:t>份命令</w:t>
            </w:r>
          </w:p>
        </w:tc>
      </w:tr>
    </w:tbl>
    <w:p w:rsidR="00000000" w:rsidRDefault="00000000">
      <w:pPr>
        <w:rPr>
          <w:rFonts w:hint="eastAsia"/>
        </w:rPr>
      </w:pPr>
    </w:p>
    <w:p w:rsidR="00000000" w:rsidRDefault="00000000">
      <w:pPr>
        <w:spacing w:after="320"/>
        <w:rPr>
          <w:rFonts w:hint="eastAsia"/>
        </w:rPr>
      </w:pPr>
      <w:r>
        <w:rPr>
          <w:rFonts w:hint="eastAsia"/>
        </w:rPr>
        <w:t>在此，应当指出，所有拆除行动都是按应有的程序并经司法审查后实施的。</w:t>
      </w:r>
    </w:p>
    <w:p w:rsidR="00000000" w:rsidRDefault="00000000">
      <w:pPr>
        <w:pStyle w:val="Heading3"/>
        <w:rPr>
          <w:rFonts w:hint="eastAsia"/>
        </w:rPr>
      </w:pPr>
      <w:r>
        <w:rPr>
          <w:rFonts w:hint="eastAsia"/>
          <w:u w:val="none"/>
        </w:rPr>
        <w:t xml:space="preserve">C.  </w:t>
      </w:r>
      <w:r>
        <w:rPr>
          <w:rFonts w:hint="eastAsia"/>
          <w:u w:val="none"/>
        </w:rPr>
        <w:t>“未经承认的村庄”</w:t>
      </w:r>
    </w:p>
    <w:p w:rsidR="00000000" w:rsidRDefault="00000000">
      <w:pPr>
        <w:spacing w:after="320"/>
        <w:rPr>
          <w:rFonts w:hint="eastAsia"/>
        </w:rPr>
      </w:pPr>
      <w:r>
        <w:rPr>
          <w:rFonts w:hint="eastAsia"/>
        </w:rPr>
        <w:tab/>
        <w:t xml:space="preserve">23.  </w:t>
      </w:r>
      <w:r>
        <w:rPr>
          <w:rFonts w:hint="eastAsia"/>
        </w:rPr>
        <w:t>请参阅以下第二章：答复，</w:t>
      </w:r>
      <w:r>
        <w:rPr>
          <w:rFonts w:hint="eastAsia"/>
        </w:rPr>
        <w:t>M.4</w:t>
      </w:r>
      <w:r>
        <w:rPr>
          <w:rFonts w:hint="eastAsia"/>
        </w:rPr>
        <w:t>下的第</w:t>
      </w:r>
      <w:r>
        <w:rPr>
          <w:rFonts w:hint="eastAsia"/>
        </w:rPr>
        <w:t xml:space="preserve"> 23</w:t>
      </w:r>
      <w:r>
        <w:rPr>
          <w:rFonts w:hint="eastAsia"/>
        </w:rPr>
        <w:t>节。</w:t>
      </w:r>
    </w:p>
    <w:p w:rsidR="00000000" w:rsidRDefault="00000000">
      <w:pPr>
        <w:pStyle w:val="Heading3"/>
        <w:rPr>
          <w:rFonts w:hint="eastAsia"/>
        </w:rPr>
      </w:pPr>
      <w:r>
        <w:rPr>
          <w:rFonts w:hint="eastAsia"/>
          <w:u w:val="none"/>
        </w:rPr>
        <w:t xml:space="preserve">D.  </w:t>
      </w:r>
      <w:r>
        <w:rPr>
          <w:rFonts w:hint="eastAsia"/>
        </w:rPr>
        <w:t>向未经承认的村庄提供基本服务的概要计划</w:t>
      </w:r>
    </w:p>
    <w:p w:rsidR="00000000" w:rsidRDefault="00000000">
      <w:pPr>
        <w:spacing w:after="320"/>
        <w:rPr>
          <w:rFonts w:hint="eastAsia"/>
        </w:rPr>
      </w:pPr>
      <w:r>
        <w:rPr>
          <w:rFonts w:hint="eastAsia"/>
        </w:rPr>
        <w:tab/>
        <w:t xml:space="preserve">24.  </w:t>
      </w:r>
      <w:r>
        <w:rPr>
          <w:rFonts w:hint="eastAsia"/>
        </w:rPr>
        <w:t>以下第二章：答复，</w:t>
      </w:r>
      <w:r>
        <w:rPr>
          <w:rFonts w:hint="eastAsia"/>
        </w:rPr>
        <w:t>M.4</w:t>
      </w:r>
      <w:r>
        <w:rPr>
          <w:rFonts w:hint="eastAsia"/>
        </w:rPr>
        <w:t>下的第</w:t>
      </w:r>
      <w:r>
        <w:rPr>
          <w:rFonts w:hint="eastAsia"/>
        </w:rPr>
        <w:t xml:space="preserve"> 23</w:t>
      </w:r>
      <w:r>
        <w:rPr>
          <w:rFonts w:hint="eastAsia"/>
        </w:rPr>
        <w:t>节介绍了关于向未经承认的村庄提供基本服务的情况。正如在此所述的，政府的具体决定和行动已确立了向未经承认的村庄提供基本服务的概要计划。</w:t>
      </w:r>
    </w:p>
    <w:p w:rsidR="00000000" w:rsidRDefault="00000000">
      <w:pPr>
        <w:pStyle w:val="Heading3"/>
        <w:rPr>
          <w:rFonts w:hint="eastAsia"/>
        </w:rPr>
      </w:pPr>
      <w:r>
        <w:rPr>
          <w:rFonts w:hint="eastAsia"/>
          <w:u w:val="none"/>
        </w:rPr>
        <w:t xml:space="preserve">E.  </w:t>
      </w:r>
      <w:r>
        <w:t>Ein Hod</w:t>
      </w:r>
      <w:r>
        <w:rPr>
          <w:rFonts w:hint="eastAsia"/>
        </w:rPr>
        <w:t>和阿拉伯</w:t>
      </w:r>
      <w:r>
        <w:t>El</w:t>
      </w:r>
      <w:r>
        <w:rPr>
          <w:rFonts w:hint="eastAsia"/>
        </w:rPr>
        <w:t>-N</w:t>
      </w:r>
      <w:r>
        <w:t>aim</w:t>
      </w:r>
      <w:r>
        <w:rPr>
          <w:rFonts w:hint="eastAsia"/>
        </w:rPr>
        <w:t>的情况</w:t>
      </w:r>
    </w:p>
    <w:p w:rsidR="00000000" w:rsidRDefault="00000000">
      <w:pPr>
        <w:spacing w:after="320"/>
        <w:rPr>
          <w:rFonts w:hint="eastAsia"/>
        </w:rPr>
      </w:pPr>
      <w:r>
        <w:rPr>
          <w:rFonts w:hint="eastAsia"/>
        </w:rPr>
        <w:tab/>
        <w:t xml:space="preserve">25.  </w:t>
      </w:r>
      <w:r>
        <w:rPr>
          <w:rFonts w:hint="eastAsia"/>
        </w:rPr>
        <w:t>以下第二章：答复，</w:t>
      </w:r>
      <w:r>
        <w:rPr>
          <w:rFonts w:hint="eastAsia"/>
        </w:rPr>
        <w:t>M.4</w:t>
      </w:r>
      <w:r>
        <w:rPr>
          <w:rFonts w:hint="eastAsia"/>
        </w:rPr>
        <w:t>下的第</w:t>
      </w:r>
      <w:r>
        <w:rPr>
          <w:rFonts w:hint="eastAsia"/>
        </w:rPr>
        <w:t xml:space="preserve"> 23</w:t>
      </w:r>
      <w:r>
        <w:rPr>
          <w:rFonts w:hint="eastAsia"/>
        </w:rPr>
        <w:t>节阐述了这一问题。当阿拉伯</w:t>
      </w:r>
      <w:r>
        <w:t>El</w:t>
      </w:r>
      <w:r>
        <w:rPr>
          <w:rFonts w:hint="eastAsia"/>
        </w:rPr>
        <w:t>-N</w:t>
      </w:r>
      <w:r>
        <w:t>aim</w:t>
      </w:r>
      <w:r>
        <w:rPr>
          <w:rFonts w:hint="eastAsia"/>
        </w:rPr>
        <w:t>村计划制定完毕并批准之后将承认该村庄。至于</w:t>
      </w:r>
      <w:r>
        <w:rPr>
          <w:lang w:val="fr-CH"/>
        </w:rPr>
        <w:t xml:space="preserve">Ein Hod, </w:t>
      </w:r>
      <w:r>
        <w:rPr>
          <w:rFonts w:hint="eastAsia"/>
        </w:rPr>
        <w:t>村庄建造计划已经拟订，正有待批准。当这些计划得到批准之后，即可着手实施</w:t>
      </w:r>
      <w:r>
        <w:rPr>
          <w:rFonts w:hint="eastAsia"/>
        </w:rPr>
        <w:t xml:space="preserve"> </w:t>
      </w:r>
      <w:r>
        <w:rPr>
          <w:rFonts w:hint="eastAsia"/>
        </w:rPr>
        <w:t>（供电、供水、排污和通信）</w:t>
      </w:r>
      <w:r>
        <w:rPr>
          <w:rFonts w:hint="eastAsia"/>
        </w:rPr>
        <w:t xml:space="preserve"> </w:t>
      </w:r>
      <w:r>
        <w:rPr>
          <w:rFonts w:hint="eastAsia"/>
        </w:rPr>
        <w:t>基础设施计划。</w:t>
      </w:r>
    </w:p>
    <w:p w:rsidR="00000000" w:rsidRDefault="00000000">
      <w:pPr>
        <w:pStyle w:val="Heading3"/>
        <w:rPr>
          <w:rFonts w:hint="eastAsia"/>
        </w:rPr>
      </w:pPr>
      <w:r>
        <w:rPr>
          <w:rFonts w:hint="eastAsia"/>
          <w:u w:val="none"/>
        </w:rPr>
        <w:t xml:space="preserve">F.  </w:t>
      </w:r>
      <w:r>
        <w:rPr>
          <w:lang w:val="fr-CH"/>
        </w:rPr>
        <w:t>Jahalin</w:t>
      </w:r>
      <w:r>
        <w:rPr>
          <w:rFonts w:hint="eastAsia"/>
        </w:rPr>
        <w:t>贝多因人</w:t>
      </w:r>
    </w:p>
    <w:p w:rsidR="00000000" w:rsidRDefault="00000000">
      <w:pPr>
        <w:rPr>
          <w:rFonts w:hint="eastAsia"/>
          <w:lang w:val="fr-CH"/>
        </w:rPr>
      </w:pPr>
      <w:r>
        <w:rPr>
          <w:rFonts w:hint="eastAsia"/>
        </w:rPr>
        <w:tab/>
        <w:t xml:space="preserve">26.  </w:t>
      </w:r>
      <w:r>
        <w:rPr>
          <w:rFonts w:hint="eastAsia"/>
        </w:rPr>
        <w:t>委员会对</w:t>
      </w:r>
      <w:r>
        <w:rPr>
          <w:lang w:val="fr-CH"/>
        </w:rPr>
        <w:t>Jahalin</w:t>
      </w:r>
      <w:r>
        <w:rPr>
          <w:rFonts w:hint="eastAsia"/>
        </w:rPr>
        <w:t>贝多因家族的情况表示了特别关注。这是一个贝多因游牧部族，从来没有长期的居所。当</w:t>
      </w:r>
      <w:r>
        <w:t>Ma’ale Edomi</w:t>
      </w:r>
      <w:r>
        <w:rPr>
          <w:lang w:val="fr-CH"/>
        </w:rPr>
        <w:t>m</w:t>
      </w:r>
      <w:r>
        <w:rPr>
          <w:rFonts w:hint="eastAsia"/>
        </w:rPr>
        <w:t>城建立之后，</w:t>
      </w:r>
      <w:r>
        <w:rPr>
          <w:lang w:val="fr-CH"/>
        </w:rPr>
        <w:t xml:space="preserve"> Jahalin</w:t>
      </w:r>
      <w:r>
        <w:rPr>
          <w:rFonts w:hint="eastAsia"/>
          <w:lang w:val="fr-CH"/>
        </w:rPr>
        <w:t>人在城市附近其他人已经购买的地皮上居住了下来。</w:t>
      </w:r>
    </w:p>
    <w:p w:rsidR="00000000" w:rsidRDefault="00000000">
      <w:pPr>
        <w:rPr>
          <w:rFonts w:hint="eastAsia"/>
        </w:rPr>
      </w:pPr>
      <w:r>
        <w:rPr>
          <w:rFonts w:hint="eastAsia"/>
          <w:lang w:val="fr-CH"/>
        </w:rPr>
        <w:tab/>
        <w:t>27.  1996</w:t>
      </w:r>
      <w:r>
        <w:rPr>
          <w:rFonts w:hint="eastAsia"/>
          <w:lang w:val="fr-CH"/>
        </w:rPr>
        <w:t>年</w:t>
      </w:r>
      <w:r>
        <w:rPr>
          <w:lang w:val="fr-CH"/>
        </w:rPr>
        <w:t>Jahalin</w:t>
      </w:r>
      <w:r>
        <w:rPr>
          <w:rFonts w:hint="eastAsia"/>
        </w:rPr>
        <w:t>族人向以色列最高法院提出了申诉。最高法院驳回了他们对土地的要求。法院判定，</w:t>
      </w:r>
      <w:r>
        <w:rPr>
          <w:lang w:val="fr-CH"/>
        </w:rPr>
        <w:t xml:space="preserve"> Jahalin</w:t>
      </w:r>
      <w:r>
        <w:rPr>
          <w:rFonts w:hint="eastAsia"/>
        </w:rPr>
        <w:t>族人只是在城市建立之后才来到此地的。</w:t>
      </w:r>
    </w:p>
    <w:p w:rsidR="00000000" w:rsidRDefault="00000000">
      <w:pPr>
        <w:rPr>
          <w:rFonts w:hint="eastAsia"/>
          <w:lang w:val="fr-CH"/>
        </w:rPr>
      </w:pPr>
      <w:r>
        <w:rPr>
          <w:rFonts w:hint="eastAsia"/>
        </w:rPr>
        <w:tab/>
        <w:t xml:space="preserve">28.  </w:t>
      </w:r>
      <w:r>
        <w:rPr>
          <w:rFonts w:hint="eastAsia"/>
        </w:rPr>
        <w:t>然后，政府试图将</w:t>
      </w:r>
      <w:r>
        <w:rPr>
          <w:lang w:val="fr-CH"/>
        </w:rPr>
        <w:t>Jahalin</w:t>
      </w:r>
      <w:r>
        <w:rPr>
          <w:rFonts w:hint="eastAsia"/>
        </w:rPr>
        <w:t>家族搬迁至离原地点约</w:t>
      </w:r>
      <w:r>
        <w:rPr>
          <w:rFonts w:hint="eastAsia"/>
        </w:rPr>
        <w:t>1</w:t>
      </w:r>
      <w:r>
        <w:rPr>
          <w:rFonts w:hint="eastAsia"/>
        </w:rPr>
        <w:t>公里之外的另一处。新的地点离一条主公路较近而且靠近巴勒斯坦人的定居点，从而可向他们提供民政服务。</w:t>
      </w:r>
    </w:p>
    <w:p w:rsidR="00000000" w:rsidRDefault="00000000">
      <w:pPr>
        <w:spacing w:after="320"/>
        <w:rPr>
          <w:rFonts w:hint="eastAsia"/>
          <w:lang w:val="fr-CH"/>
        </w:rPr>
      </w:pPr>
      <w:r>
        <w:rPr>
          <w:rFonts w:hint="eastAsia"/>
          <w:lang w:val="fr-CH"/>
        </w:rPr>
        <w:tab/>
        <w:t xml:space="preserve">29.  </w:t>
      </w:r>
      <w:r>
        <w:rPr>
          <w:rFonts w:hint="eastAsia"/>
          <w:lang w:val="fr-CH"/>
        </w:rPr>
        <w:t>每个家庭都得到了一块按其姓名注册的地皮。政府落实了一项土地开发项目，包括架设连接这一地区的输电网和铺设供水管道。政府已经批准了此项计划，而且决定不向每位居民征收按常规本应为开发规划支付的税款和费用。尽管</w:t>
      </w:r>
      <w:r>
        <w:rPr>
          <w:lang w:val="fr-CH"/>
        </w:rPr>
        <w:t>Jahalin</w:t>
      </w:r>
      <w:r>
        <w:rPr>
          <w:rFonts w:hint="eastAsia"/>
        </w:rPr>
        <w:t>家庭居住在其保留的帐篷里，然而政府还是向他们提供了钢铁集装箱，以供他们存放物品。政府同时鼓励他们建造长期的住房。政府还向愿意迁徙的每个家庭提供了一笔临时性的搬迁期援助款。这些都是在</w:t>
      </w:r>
      <w:r>
        <w:rPr>
          <w:lang w:val="fr-CH"/>
        </w:rPr>
        <w:t>Jahalin</w:t>
      </w:r>
      <w:r>
        <w:rPr>
          <w:rFonts w:hint="eastAsia"/>
          <w:lang w:val="fr-CH"/>
        </w:rPr>
        <w:t>族家庭在向最高法院提出第二次上诉时，就定居问题达成的安排。最高法庭规定这些安排于</w:t>
      </w:r>
      <w:r>
        <w:rPr>
          <w:rFonts w:hint="eastAsia"/>
          <w:lang w:val="fr-CH"/>
        </w:rPr>
        <w:t>1999</w:t>
      </w:r>
      <w:r>
        <w:rPr>
          <w:rFonts w:hint="eastAsia"/>
          <w:lang w:val="fr-CH"/>
        </w:rPr>
        <w:t>年</w:t>
      </w:r>
      <w:r>
        <w:rPr>
          <w:rFonts w:hint="eastAsia"/>
          <w:lang w:val="fr-CH"/>
        </w:rPr>
        <w:t>2</w:t>
      </w:r>
      <w:r>
        <w:rPr>
          <w:rFonts w:hint="eastAsia"/>
          <w:lang w:val="fr-CH"/>
        </w:rPr>
        <w:t>月</w:t>
      </w:r>
      <w:r>
        <w:rPr>
          <w:rFonts w:hint="eastAsia"/>
          <w:lang w:val="fr-CH"/>
        </w:rPr>
        <w:t>7</w:t>
      </w:r>
      <w:r>
        <w:rPr>
          <w:rFonts w:hint="eastAsia"/>
          <w:lang w:val="fr-CH"/>
        </w:rPr>
        <w:t>日生效（本文在此列入了此项安排协议的全文</w:t>
      </w:r>
      <w:r>
        <w:rPr>
          <w:rStyle w:val="FootnoteReference"/>
          <w:lang w:val="fr-CH"/>
        </w:rPr>
        <w:footnoteReference w:customMarkFollows="1" w:id="4"/>
        <w:sym w:font="Symbol" w:char="F02A"/>
      </w:r>
      <w:r>
        <w:rPr>
          <w:rFonts w:hint="eastAsia"/>
          <w:lang w:val="fr-CH"/>
        </w:rPr>
        <w:t>）。总之，自从迁徙到新地点之后，</w:t>
      </w:r>
      <w:r>
        <w:rPr>
          <w:lang w:val="fr-CH"/>
        </w:rPr>
        <w:t xml:space="preserve"> Jahalin</w:t>
      </w:r>
      <w:r>
        <w:rPr>
          <w:rFonts w:hint="eastAsia"/>
          <w:lang w:val="fr-CH"/>
        </w:rPr>
        <w:t>族家庭的生活条件得到了改善。</w:t>
      </w:r>
    </w:p>
    <w:p w:rsidR="00000000" w:rsidRDefault="00000000">
      <w:pPr>
        <w:pStyle w:val="Heading2"/>
        <w:rPr>
          <w:rFonts w:hint="eastAsia"/>
          <w:lang w:val="fr-CH"/>
        </w:rPr>
      </w:pPr>
      <w:r>
        <w:rPr>
          <w:rFonts w:hint="eastAsia"/>
          <w:lang w:val="fr-CH"/>
        </w:rPr>
        <w:t>二、答</w:t>
      </w:r>
      <w:r>
        <w:rPr>
          <w:rFonts w:hint="eastAsia"/>
          <w:lang w:val="fr-CH"/>
        </w:rPr>
        <w:t xml:space="preserve">  </w:t>
      </w:r>
      <w:r>
        <w:rPr>
          <w:rFonts w:hint="eastAsia"/>
          <w:lang w:val="fr-CH"/>
        </w:rPr>
        <w:t>复</w:t>
      </w:r>
    </w:p>
    <w:p w:rsidR="00000000" w:rsidRDefault="00000000">
      <w:pPr>
        <w:spacing w:after="320"/>
        <w:rPr>
          <w:rFonts w:hint="eastAsia"/>
          <w:lang w:val="fr-CH"/>
        </w:rPr>
      </w:pPr>
      <w:r>
        <w:rPr>
          <w:rFonts w:hint="eastAsia"/>
          <w:lang w:val="fr-CH"/>
        </w:rPr>
        <w:tab/>
        <w:t xml:space="preserve">30.  </w:t>
      </w:r>
      <w:r>
        <w:rPr>
          <w:rFonts w:hint="eastAsia"/>
          <w:lang w:val="fr-CH"/>
        </w:rPr>
        <w:t>以下各段是对委员会结论性意见中提出的“主要关注问题”</w:t>
      </w:r>
      <w:r>
        <w:rPr>
          <w:rFonts w:hint="eastAsia"/>
          <w:lang w:val="fr-CH"/>
        </w:rPr>
        <w:t xml:space="preserve"> </w:t>
      </w:r>
      <w:r>
        <w:rPr>
          <w:rFonts w:hint="eastAsia"/>
          <w:lang w:val="fr-CH"/>
        </w:rPr>
        <w:t>（第</w:t>
      </w:r>
      <w:r>
        <w:rPr>
          <w:rFonts w:hint="eastAsia"/>
          <w:lang w:val="fr-CH"/>
        </w:rPr>
        <w:t>9</w:t>
      </w:r>
      <w:r>
        <w:rPr>
          <w:rFonts w:hint="eastAsia"/>
          <w:lang w:val="fr-CH"/>
        </w:rPr>
        <w:t>至</w:t>
      </w:r>
      <w:r>
        <w:rPr>
          <w:rFonts w:hint="eastAsia"/>
          <w:lang w:val="fr-CH"/>
        </w:rPr>
        <w:t>31</w:t>
      </w:r>
      <w:r>
        <w:rPr>
          <w:rFonts w:hint="eastAsia"/>
          <w:lang w:val="fr-CH"/>
        </w:rPr>
        <w:t>段）</w:t>
      </w:r>
      <w:r>
        <w:rPr>
          <w:rFonts w:hint="eastAsia"/>
          <w:lang w:val="fr-CH"/>
        </w:rPr>
        <w:t xml:space="preserve"> </w:t>
      </w:r>
      <w:r>
        <w:rPr>
          <w:rFonts w:hint="eastAsia"/>
          <w:lang w:val="fr-CH"/>
        </w:rPr>
        <w:t>的答复。</w:t>
      </w:r>
    </w:p>
    <w:p w:rsidR="00000000" w:rsidRDefault="00000000">
      <w:pPr>
        <w:pStyle w:val="Heading3"/>
        <w:rPr>
          <w:rFonts w:hint="eastAsia"/>
          <w:u w:val="none"/>
          <w:lang w:val="fr-CH"/>
        </w:rPr>
      </w:pPr>
      <w:r>
        <w:rPr>
          <w:rFonts w:hint="eastAsia"/>
          <w:u w:val="none"/>
          <w:lang w:val="fr-CH"/>
        </w:rPr>
        <w:t xml:space="preserve">A.  </w:t>
      </w:r>
      <w:r>
        <w:rPr>
          <w:rFonts w:hint="eastAsia"/>
          <w:lang w:val="fr-CH"/>
        </w:rPr>
        <w:t>土地和人民（结论性意见第</w:t>
      </w:r>
      <w:r>
        <w:rPr>
          <w:rFonts w:hint="eastAsia"/>
          <w:lang w:val="fr-CH"/>
        </w:rPr>
        <w:t>8</w:t>
      </w:r>
      <w:r>
        <w:rPr>
          <w:rFonts w:hint="eastAsia"/>
          <w:lang w:val="fr-CH"/>
        </w:rPr>
        <w:t>段</w:t>
      </w:r>
      <w:r>
        <w:rPr>
          <w:rFonts w:hint="eastAsia"/>
          <w:u w:val="none"/>
          <w:lang w:val="fr-CH"/>
        </w:rPr>
        <w:t>）</w:t>
      </w:r>
    </w:p>
    <w:p w:rsidR="00000000" w:rsidRDefault="00000000">
      <w:pPr>
        <w:spacing w:after="320"/>
        <w:rPr>
          <w:rFonts w:hint="eastAsia"/>
          <w:lang w:val="fr-CH"/>
        </w:rPr>
      </w:pPr>
      <w:r>
        <w:rPr>
          <w:rFonts w:hint="eastAsia"/>
          <w:lang w:val="fr-CH"/>
        </w:rPr>
        <w:tab/>
        <w:t xml:space="preserve">31.  </w:t>
      </w:r>
      <w:r>
        <w:rPr>
          <w:rFonts w:hint="eastAsia"/>
          <w:lang w:val="fr-CH"/>
        </w:rPr>
        <w:t>增补资料的上述第一部分</w:t>
      </w:r>
      <w:r>
        <w:rPr>
          <w:rFonts w:hint="eastAsia"/>
          <w:lang w:val="fr-CH"/>
        </w:rPr>
        <w:t>A</w:t>
      </w:r>
      <w:r>
        <w:rPr>
          <w:rFonts w:hint="eastAsia"/>
          <w:lang w:val="fr-CH"/>
        </w:rPr>
        <w:t>节已就此问题已作出了答复。</w:t>
      </w:r>
    </w:p>
    <w:p w:rsidR="00000000" w:rsidRDefault="00000000">
      <w:pPr>
        <w:pStyle w:val="Heading3"/>
        <w:rPr>
          <w:rFonts w:hint="eastAsia"/>
          <w:lang w:val="fr-CH"/>
        </w:rPr>
      </w:pPr>
      <w:r>
        <w:rPr>
          <w:rFonts w:hint="eastAsia"/>
          <w:u w:val="none"/>
          <w:lang w:val="fr-CH"/>
        </w:rPr>
        <w:t xml:space="preserve">B.  </w:t>
      </w:r>
      <w:r>
        <w:rPr>
          <w:rFonts w:hint="eastAsia"/>
          <w:u w:val="none"/>
          <w:lang w:val="fr-CH"/>
        </w:rPr>
        <w:t>《</w:t>
      </w:r>
      <w:r>
        <w:rPr>
          <w:rFonts w:hint="eastAsia"/>
          <w:lang w:val="fr-CH"/>
        </w:rPr>
        <w:t>公约》的地位（结论性意见第</w:t>
      </w:r>
      <w:r>
        <w:rPr>
          <w:rFonts w:hint="eastAsia"/>
          <w:lang w:val="fr-CH"/>
        </w:rPr>
        <w:t>9</w:t>
      </w:r>
      <w:r>
        <w:rPr>
          <w:rFonts w:hint="eastAsia"/>
          <w:lang w:val="fr-CH"/>
        </w:rPr>
        <w:t>段</w:t>
      </w:r>
      <w:r>
        <w:rPr>
          <w:rFonts w:hint="eastAsia"/>
          <w:u w:val="none"/>
          <w:lang w:val="fr-CH"/>
        </w:rPr>
        <w:t>）</w:t>
      </w:r>
    </w:p>
    <w:p w:rsidR="00000000" w:rsidRDefault="00000000">
      <w:pPr>
        <w:spacing w:after="320"/>
        <w:rPr>
          <w:rFonts w:hint="eastAsia"/>
          <w:lang w:val="fr-CH"/>
        </w:rPr>
      </w:pPr>
      <w:r>
        <w:rPr>
          <w:rFonts w:hint="eastAsia"/>
          <w:lang w:val="fr-CH"/>
        </w:rPr>
        <w:tab/>
        <w:t xml:space="preserve">32.  </w:t>
      </w:r>
      <w:r>
        <w:rPr>
          <w:rFonts w:hint="eastAsia"/>
          <w:lang w:val="fr-CH"/>
        </w:rPr>
        <w:t>初次报告已经讨论了“基本法草案</w:t>
      </w:r>
      <w:r>
        <w:rPr>
          <w:rFonts w:hint="eastAsia"/>
          <w:lang w:val="fr-CH"/>
        </w:rPr>
        <w:t> </w:t>
      </w:r>
      <w:r>
        <w:rPr>
          <w:rFonts w:hint="eastAsia"/>
          <w:lang w:val="fr-CH"/>
        </w:rPr>
        <w:t>：社会权利”。委员会阐明，该法的措词不符合以色列按照《公约》规定所承担义务的要求。以色列议会已经不再讨论《基本法草案</w:t>
      </w:r>
      <w:r>
        <w:rPr>
          <w:rFonts w:hint="eastAsia"/>
          <w:lang w:val="fr-CH"/>
        </w:rPr>
        <w:t> </w:t>
      </w:r>
      <w:r>
        <w:rPr>
          <w:rFonts w:hint="eastAsia"/>
          <w:lang w:val="fr-CH"/>
        </w:rPr>
        <w:t>：社会权利》。这类立法的前景不明确。然而，《公约》保护的各项权利已是以色列眼下公开辩论的部分内容，并且列入了各法学院的教学课程。此外，以色列的法学体系已越来越承认经济、社会和文化权利为宪法规定的权利。以色列将在第二次定期报告中提供更详细的情况。</w:t>
      </w:r>
    </w:p>
    <w:p w:rsidR="00000000" w:rsidRDefault="00000000">
      <w:pPr>
        <w:pStyle w:val="Heading3"/>
        <w:rPr>
          <w:rFonts w:hint="eastAsia"/>
          <w:lang w:val="fr-CH"/>
        </w:rPr>
      </w:pPr>
      <w:r>
        <w:rPr>
          <w:rFonts w:hint="eastAsia"/>
          <w:u w:val="none"/>
          <w:lang w:val="fr-CH"/>
        </w:rPr>
        <w:t xml:space="preserve">C.  </w:t>
      </w:r>
      <w:r>
        <w:rPr>
          <w:rFonts w:hint="eastAsia"/>
          <w:lang w:val="fr-CH"/>
        </w:rPr>
        <w:t>促进非犹太人公民的平等地位（结论性意见第</w:t>
      </w:r>
      <w:r>
        <w:rPr>
          <w:rFonts w:hint="eastAsia"/>
          <w:lang w:val="fr-CH"/>
        </w:rPr>
        <w:t>10</w:t>
      </w:r>
      <w:r>
        <w:rPr>
          <w:rFonts w:hint="eastAsia"/>
          <w:lang w:val="fr-CH"/>
        </w:rPr>
        <w:t>段</w:t>
      </w:r>
      <w:r>
        <w:rPr>
          <w:rFonts w:hint="eastAsia"/>
          <w:u w:val="none"/>
          <w:lang w:val="fr-CH"/>
        </w:rPr>
        <w:t>）</w:t>
      </w:r>
    </w:p>
    <w:p w:rsidR="00000000" w:rsidRDefault="00000000">
      <w:pPr>
        <w:rPr>
          <w:rFonts w:hint="eastAsia"/>
          <w:lang w:val="fr-CH"/>
        </w:rPr>
      </w:pPr>
      <w:r>
        <w:rPr>
          <w:rFonts w:hint="eastAsia"/>
          <w:lang w:val="fr-CH"/>
        </w:rPr>
        <w:tab/>
        <w:t xml:space="preserve">33.  </w:t>
      </w:r>
      <w:r>
        <w:rPr>
          <w:rFonts w:hint="eastAsia"/>
          <w:lang w:val="fr-CH"/>
        </w:rPr>
        <w:t>委员会对该国过分地强调以色列特点可能会助长歧视现象，表示了关注。为此必须注意以色列政府于</w:t>
      </w:r>
      <w:r>
        <w:rPr>
          <w:rFonts w:hint="eastAsia"/>
          <w:lang w:val="fr-CH"/>
        </w:rPr>
        <w:t>2000</w:t>
      </w:r>
      <w:r>
        <w:rPr>
          <w:rFonts w:hint="eastAsia"/>
          <w:lang w:val="fr-CH"/>
        </w:rPr>
        <w:t>年</w:t>
      </w:r>
      <w:r>
        <w:rPr>
          <w:rFonts w:hint="eastAsia"/>
          <w:lang w:val="fr-CH"/>
        </w:rPr>
        <w:t>10</w:t>
      </w:r>
      <w:r>
        <w:rPr>
          <w:rFonts w:hint="eastAsia"/>
          <w:lang w:val="fr-CH"/>
        </w:rPr>
        <w:t>月就此问题作出的一项直接相关的决定。这项决定是大多数政府机构都参与了拟订工作以后作出的。决定大体上阐明</w:t>
      </w:r>
      <w:r>
        <w:rPr>
          <w:rFonts w:hint="eastAsia"/>
          <w:lang w:val="fr-CH"/>
        </w:rPr>
        <w:t> </w:t>
      </w:r>
      <w:r>
        <w:rPr>
          <w:rFonts w:hint="eastAsia"/>
          <w:lang w:val="fr-CH"/>
        </w:rPr>
        <w:t>：</w:t>
      </w:r>
    </w:p>
    <w:p w:rsidR="00000000" w:rsidRDefault="00000000">
      <w:pPr>
        <w:pStyle w:val="ad"/>
        <w:rPr>
          <w:rFonts w:hint="eastAsia"/>
          <w:lang w:val="fr-CH"/>
        </w:rPr>
      </w:pPr>
      <w:r>
        <w:rPr>
          <w:rFonts w:hint="eastAsia"/>
          <w:lang w:val="fr-CH"/>
        </w:rPr>
        <w:t>“以色列政府认为其本身有义务采取行动在社会经济领域，特别是教</w:t>
      </w:r>
    </w:p>
    <w:p w:rsidR="00000000" w:rsidRDefault="00000000">
      <w:pPr>
        <w:pStyle w:val="ad"/>
        <w:rPr>
          <w:rFonts w:hint="eastAsia"/>
          <w:lang w:val="fr-CH"/>
        </w:rPr>
      </w:pPr>
      <w:r>
        <w:rPr>
          <w:rFonts w:hint="eastAsia"/>
          <w:lang w:val="fr-CH"/>
        </w:rPr>
        <w:t>育、住房和就业各领域，赋予以色列的阿拉伯人平等和公平的条件。</w:t>
      </w:r>
    </w:p>
    <w:p w:rsidR="00000000" w:rsidRDefault="00000000">
      <w:pPr>
        <w:pStyle w:val="ad"/>
        <w:rPr>
          <w:rFonts w:hint="eastAsia"/>
          <w:lang w:val="fr-CH"/>
        </w:rPr>
      </w:pPr>
      <w:r>
        <w:rPr>
          <w:rFonts w:hint="eastAsia"/>
          <w:lang w:val="fr-CH"/>
        </w:rPr>
        <w:t>“以色列政府视以色列境内阿拉伯人口部分各社区的社会经济发展是</w:t>
      </w:r>
    </w:p>
    <w:p w:rsidR="00000000" w:rsidRDefault="00000000">
      <w:pPr>
        <w:pStyle w:val="ad"/>
        <w:rPr>
          <w:rFonts w:hint="eastAsia"/>
          <w:lang w:val="fr-CH"/>
        </w:rPr>
      </w:pPr>
      <w:r>
        <w:rPr>
          <w:rFonts w:hint="eastAsia"/>
          <w:lang w:val="fr-CH"/>
        </w:rPr>
        <w:t>对整个以色列社会和经济增长和发展的促进。</w:t>
      </w:r>
    </w:p>
    <w:p w:rsidR="00000000" w:rsidRDefault="00000000">
      <w:pPr>
        <w:pStyle w:val="ad"/>
        <w:rPr>
          <w:rFonts w:hint="eastAsia"/>
          <w:lang w:val="fr-CH"/>
        </w:rPr>
      </w:pPr>
      <w:r>
        <w:rPr>
          <w:rFonts w:hint="eastAsia"/>
          <w:lang w:val="fr-CH"/>
        </w:rPr>
        <w:t>“以色列政府应采取行动促进阿拉伯人口部分各社区社会经济的发展</w:t>
      </w:r>
    </w:p>
    <w:p w:rsidR="00000000" w:rsidRDefault="00000000">
      <w:pPr>
        <w:pStyle w:val="ad"/>
        <w:rPr>
          <w:rFonts w:hint="eastAsia"/>
          <w:lang w:val="fr-CH"/>
        </w:rPr>
      </w:pPr>
      <w:r>
        <w:rPr>
          <w:rFonts w:hint="eastAsia"/>
          <w:lang w:val="fr-CH"/>
        </w:rPr>
        <w:t>和地位的提高，并弥合阿拉伯和犹太人口部分之间的差距……。”</w:t>
      </w:r>
    </w:p>
    <w:p w:rsidR="00000000" w:rsidRDefault="00000000">
      <w:pPr>
        <w:rPr>
          <w:rFonts w:hint="eastAsia"/>
          <w:lang w:val="fr-CH"/>
        </w:rPr>
      </w:pPr>
      <w:r>
        <w:rPr>
          <w:rFonts w:hint="eastAsia"/>
          <w:lang w:val="fr-CH"/>
        </w:rPr>
        <w:tab/>
        <w:t xml:space="preserve">34.  </w:t>
      </w:r>
      <w:r>
        <w:rPr>
          <w:rFonts w:hint="eastAsia"/>
          <w:lang w:val="fr-CH"/>
        </w:rPr>
        <w:t>这项决定的逐步实施已经开始，但对此决定的充分确认还得等到</w:t>
      </w:r>
      <w:r>
        <w:rPr>
          <w:rFonts w:hint="eastAsia"/>
          <w:lang w:val="fr-CH"/>
        </w:rPr>
        <w:t>2001</w:t>
      </w:r>
      <w:r>
        <w:rPr>
          <w:rFonts w:hint="eastAsia"/>
          <w:lang w:val="fr-CH"/>
        </w:rPr>
        <w:t>年议会通过年度预算法之后。这项决定表明，政府意识到过去这几年在弥合犹太人和阿拉伯人之间的差距方面未取得令人满意的进展。</w:t>
      </w:r>
    </w:p>
    <w:p w:rsidR="00000000" w:rsidRDefault="00000000">
      <w:pPr>
        <w:rPr>
          <w:lang w:val="fr-CH"/>
        </w:rPr>
      </w:pPr>
      <w:r>
        <w:rPr>
          <w:rFonts w:hint="eastAsia"/>
          <w:lang w:val="fr-CH"/>
        </w:rPr>
        <w:tab/>
        <w:t xml:space="preserve">35.  </w:t>
      </w:r>
      <w:r>
        <w:rPr>
          <w:rFonts w:hint="eastAsia"/>
          <w:lang w:val="fr-CH"/>
        </w:rPr>
        <w:t>以色列已提交的第二次定期报告将载有此项决定的全文和更详细的情况。</w:t>
      </w:r>
    </w:p>
    <w:p w:rsidR="00000000" w:rsidRDefault="00000000">
      <w:pPr>
        <w:rPr>
          <w:rFonts w:hint="eastAsia"/>
          <w:lang w:val="fr-CH"/>
        </w:rPr>
      </w:pPr>
      <w:r>
        <w:rPr>
          <w:rFonts w:hint="eastAsia"/>
          <w:lang w:val="fr-CH"/>
        </w:rPr>
        <w:tab/>
        <w:t xml:space="preserve">36.  </w:t>
      </w:r>
      <w:r>
        <w:rPr>
          <w:rFonts w:hint="eastAsia"/>
          <w:lang w:val="fr-CH"/>
        </w:rPr>
        <w:t>此外，在</w:t>
      </w:r>
      <w:r>
        <w:rPr>
          <w:rFonts w:hint="eastAsia"/>
          <w:lang w:val="fr-CH"/>
        </w:rPr>
        <w:t>1995</w:t>
      </w:r>
      <w:r>
        <w:rPr>
          <w:rFonts w:hint="eastAsia"/>
          <w:lang w:val="fr-CH"/>
        </w:rPr>
        <w:t>至</w:t>
      </w:r>
      <w:r>
        <w:rPr>
          <w:rFonts w:hint="eastAsia"/>
          <w:lang w:val="fr-CH"/>
        </w:rPr>
        <w:t>1999</w:t>
      </w:r>
      <w:r>
        <w:rPr>
          <w:rFonts w:hint="eastAsia"/>
          <w:lang w:val="fr-CH"/>
        </w:rPr>
        <w:t>年期间，</w:t>
      </w:r>
      <w:r>
        <w:rPr>
          <w:lang w:val="fr-CH"/>
        </w:rPr>
        <w:t>Druze</w:t>
      </w:r>
      <w:r>
        <w:rPr>
          <w:rFonts w:hint="eastAsia"/>
          <w:lang w:val="fr-CH"/>
        </w:rPr>
        <w:t>和</w:t>
      </w:r>
      <w:r>
        <w:rPr>
          <w:lang w:val="fr-CH"/>
        </w:rPr>
        <w:t>Circassian</w:t>
      </w:r>
      <w:r>
        <w:rPr>
          <w:rFonts w:hint="eastAsia"/>
          <w:lang w:val="fr-CH"/>
        </w:rPr>
        <w:t>区实施了一项五年发展计划。这项计划编列了</w:t>
      </w:r>
      <w:r>
        <w:rPr>
          <w:rFonts w:hint="eastAsia"/>
          <w:lang w:val="fr-CH"/>
        </w:rPr>
        <w:t>10.7</w:t>
      </w:r>
      <w:r>
        <w:rPr>
          <w:rFonts w:hint="eastAsia"/>
          <w:lang w:val="fr-CH"/>
        </w:rPr>
        <w:t>亿新锡克尔（约</w:t>
      </w:r>
      <w:r>
        <w:rPr>
          <w:rFonts w:hint="eastAsia"/>
          <w:lang w:val="fr-CH"/>
        </w:rPr>
        <w:t>2.5</w:t>
      </w:r>
      <w:r>
        <w:rPr>
          <w:rFonts w:hint="eastAsia"/>
          <w:lang w:val="fr-CH"/>
        </w:rPr>
        <w:t>亿美元）的预算，主要用于实现诸如排污、饮用水、公路、电力、保健、住房和其他方面的目标。</w:t>
      </w:r>
    </w:p>
    <w:p w:rsidR="00000000" w:rsidRDefault="00000000">
      <w:pPr>
        <w:rPr>
          <w:rFonts w:hint="eastAsia"/>
        </w:rPr>
      </w:pPr>
      <w:r>
        <w:rPr>
          <w:rFonts w:hint="eastAsia"/>
          <w:lang w:val="fr-CH"/>
        </w:rPr>
        <w:tab/>
        <w:t>37.  2000</w:t>
      </w:r>
      <w:r>
        <w:rPr>
          <w:rFonts w:hint="eastAsia"/>
          <w:lang w:val="fr-CH"/>
        </w:rPr>
        <w:t>年</w:t>
      </w:r>
      <w:r>
        <w:rPr>
          <w:rFonts w:hint="eastAsia"/>
          <w:lang w:val="fr-CH"/>
        </w:rPr>
        <w:t>7</w:t>
      </w:r>
      <w:r>
        <w:rPr>
          <w:rFonts w:hint="eastAsia"/>
          <w:lang w:val="fr-CH"/>
        </w:rPr>
        <w:t>月</w:t>
      </w:r>
      <w:r>
        <w:rPr>
          <w:rFonts w:hint="eastAsia"/>
          <w:lang w:val="fr-CH"/>
        </w:rPr>
        <w:t>30</w:t>
      </w:r>
      <w:r>
        <w:rPr>
          <w:rFonts w:hint="eastAsia"/>
          <w:lang w:val="fr-CH"/>
        </w:rPr>
        <w:t>日，政府决定实施一项</w:t>
      </w:r>
      <w:r>
        <w:rPr>
          <w:rFonts w:hint="eastAsia"/>
          <w:lang w:val="fr-CH"/>
        </w:rPr>
        <w:t>2000</w:t>
      </w:r>
      <w:r>
        <w:rPr>
          <w:rFonts w:hint="eastAsia"/>
          <w:lang w:val="fr-CH"/>
        </w:rPr>
        <w:t>年方案，为</w:t>
      </w:r>
      <w:r>
        <w:rPr>
          <w:rFonts w:hint="eastAsia"/>
          <w:lang w:val="fr-CH"/>
        </w:rPr>
        <w:t>11</w:t>
      </w:r>
      <w:r>
        <w:rPr>
          <w:rFonts w:hint="eastAsia"/>
          <w:lang w:val="fr-CH"/>
        </w:rPr>
        <w:t>个失业率较高而且长期以来社会经济条件较困难的地方当局提供援助，其重点是公用设施、公共机构和基础设施。</w:t>
      </w:r>
      <w:r>
        <w:rPr>
          <w:lang w:val="fr-CH"/>
        </w:rPr>
        <w:t>Lod</w:t>
      </w:r>
      <w:r>
        <w:rPr>
          <w:rFonts w:hint="eastAsia"/>
          <w:lang w:val="fr-CH"/>
        </w:rPr>
        <w:t>、</w:t>
      </w:r>
      <w:r>
        <w:rPr>
          <w:lang w:val="fr-CH"/>
        </w:rPr>
        <w:t>Ramla</w:t>
      </w:r>
      <w:r>
        <w:rPr>
          <w:rFonts w:hint="eastAsia"/>
          <w:lang w:val="fr-CH"/>
        </w:rPr>
        <w:t>和</w:t>
      </w:r>
      <w:r>
        <w:rPr>
          <w:lang w:val="fr-CH"/>
        </w:rPr>
        <w:t>Acre</w:t>
      </w:r>
      <w:r>
        <w:rPr>
          <w:rFonts w:hint="eastAsia"/>
          <w:lang w:val="fr-CH"/>
        </w:rPr>
        <w:t>这三个地方当局是犹太人和阿拉伯居民的混合区（这也是在结论性意见中提及的几个地方当局）。此外，这个方案也包括一个较大的贝多因人村庄</w:t>
      </w:r>
      <w:r>
        <w:rPr>
          <w:rFonts w:hint="eastAsia"/>
          <w:spacing w:val="-40"/>
          <w:sz w:val="22"/>
          <w:lang w:val="fr-CH"/>
        </w:rPr>
        <w:t>——</w:t>
      </w:r>
      <w:r>
        <w:rPr>
          <w:sz w:val="22"/>
          <w:lang w:val="fr-CH"/>
        </w:rPr>
        <w:t xml:space="preserve"> </w:t>
      </w:r>
      <w:r>
        <w:rPr>
          <w:lang w:val="fr-CH"/>
        </w:rPr>
        <w:t>Tel Sheva</w:t>
      </w:r>
      <w:r>
        <w:rPr>
          <w:rFonts w:hint="eastAsia"/>
        </w:rPr>
        <w:t>。以色列的第二次定期报告将进一步详细阐述这个问题。</w:t>
      </w:r>
    </w:p>
    <w:p w:rsidR="00000000" w:rsidRDefault="00000000">
      <w:pPr>
        <w:rPr>
          <w:rFonts w:hint="eastAsia"/>
        </w:rPr>
      </w:pPr>
      <w:r>
        <w:rPr>
          <w:rFonts w:hint="eastAsia"/>
        </w:rPr>
        <w:tab/>
        <w:t xml:space="preserve">38.  </w:t>
      </w:r>
      <w:r>
        <w:rPr>
          <w:rFonts w:hint="eastAsia"/>
        </w:rPr>
        <w:t>关于阿拉伯语言的地位问题，根据司法部长关于由阿拉伯文译为官方文件的第</w:t>
      </w:r>
      <w:r>
        <w:rPr>
          <w:rFonts w:hint="eastAsia"/>
        </w:rPr>
        <w:t>21.556A</w:t>
      </w:r>
      <w:r>
        <w:rPr>
          <w:rFonts w:hint="eastAsia"/>
        </w:rPr>
        <w:t>号指令的规定，禁止要求某一公民将阿拉伯语的官方证件，诸如结婚证书、离婚证书等译为希伯来语，只要颁发这份证件的当局得到以色列国的承认即可。此外，司法部长的指令规定，政府必须提供以希伯来语和阿拉伯语印制的两种法定表格。此外，根据司法部长向运输部下达的具体指令，新的汽车牌照可用阿拉伯语以及希伯来语注明以色列国的名称。这一新指令的目的是强调阿拉伯语在以色列境内的官方地位以及增强对以色列境内少数人需要的意识。</w:t>
      </w:r>
    </w:p>
    <w:p w:rsidR="00000000" w:rsidRDefault="00000000">
      <w:pPr>
        <w:rPr>
          <w:rFonts w:hint="eastAsia"/>
        </w:rPr>
      </w:pPr>
      <w:r>
        <w:rPr>
          <w:rFonts w:hint="eastAsia"/>
        </w:rPr>
        <w:tab/>
        <w:t xml:space="preserve">39.  </w:t>
      </w:r>
      <w:r>
        <w:rPr>
          <w:rFonts w:hint="eastAsia"/>
        </w:rPr>
        <w:t>司法部长在另一项指令中指示所有民事服务部门的法律顾问，凡是公开的招标都应在阿拉伯语以及希伯来语报刊上公布，并且刊登在互联网上。该指令强调，禁止按这些招标与阿拉伯人口部分的相关程度作出区别。此外，政府应负责将这些公共招标译为阿拉伯语。</w:t>
      </w:r>
    </w:p>
    <w:p w:rsidR="00000000" w:rsidRDefault="00000000">
      <w:pPr>
        <w:spacing w:after="320"/>
        <w:rPr>
          <w:rFonts w:hint="eastAsia"/>
        </w:rPr>
      </w:pPr>
      <w:r>
        <w:rPr>
          <w:rFonts w:hint="eastAsia"/>
        </w:rPr>
        <w:tab/>
        <w:t xml:space="preserve">40.  </w:t>
      </w:r>
      <w:r>
        <w:rPr>
          <w:rFonts w:hint="eastAsia"/>
        </w:rPr>
        <w:t>以色列第二次定期报告将就阿拉伯语言地位问题作出进一步详细阐述。</w:t>
      </w:r>
    </w:p>
    <w:p w:rsidR="00000000" w:rsidRDefault="00000000">
      <w:pPr>
        <w:pStyle w:val="Heading3"/>
        <w:rPr>
          <w:rFonts w:hint="eastAsia"/>
        </w:rPr>
      </w:pPr>
      <w:r>
        <w:rPr>
          <w:rFonts w:hint="eastAsia"/>
          <w:u w:val="none"/>
        </w:rPr>
        <w:t xml:space="preserve">D.  </w:t>
      </w:r>
      <w:r>
        <w:rPr>
          <w:rFonts w:hint="eastAsia"/>
        </w:rPr>
        <w:t>“体制上的平等”（结论性意见第</w:t>
      </w:r>
      <w:r>
        <w:rPr>
          <w:rFonts w:hint="eastAsia"/>
        </w:rPr>
        <w:t>11</w:t>
      </w:r>
      <w:r>
        <w:rPr>
          <w:rFonts w:hint="eastAsia"/>
        </w:rPr>
        <w:t>段</w:t>
      </w:r>
      <w:r>
        <w:rPr>
          <w:rFonts w:hint="eastAsia"/>
          <w:u w:val="none"/>
        </w:rPr>
        <w:t>）</w:t>
      </w:r>
    </w:p>
    <w:p w:rsidR="00000000" w:rsidRDefault="00000000">
      <w:pPr>
        <w:rPr>
          <w:rFonts w:hint="eastAsia"/>
        </w:rPr>
      </w:pPr>
      <w:r>
        <w:rPr>
          <w:rFonts w:hint="eastAsia"/>
        </w:rPr>
        <w:tab/>
        <w:t xml:space="preserve">41.  </w:t>
      </w:r>
      <w:r>
        <w:rPr>
          <w:rFonts w:hint="eastAsia"/>
        </w:rPr>
        <w:t>关于对“体制性歧视”的评论意见，应当注意到以色列最高法院最近就</w:t>
      </w:r>
      <w:r>
        <w:rPr>
          <w:lang w:val="fr-CH"/>
        </w:rPr>
        <w:t>A’</w:t>
      </w:r>
      <w:r>
        <w:t>dal Ka’adan</w:t>
      </w:r>
      <w:r>
        <w:rPr>
          <w:rFonts w:hint="eastAsia"/>
        </w:rPr>
        <w:t>案作出的裁决。法院裁定，以色列国和以色列土地委员会有义务在土地使用方面实行平等待遇（</w:t>
      </w:r>
      <w:r>
        <w:rPr>
          <w:rFonts w:hint="eastAsia"/>
        </w:rPr>
        <w:t xml:space="preserve">HCJ 6698/95 </w:t>
      </w:r>
      <w:r>
        <w:rPr>
          <w:lang w:val="fr-CH"/>
        </w:rPr>
        <w:t>A’</w:t>
      </w:r>
      <w:r>
        <w:t>dal Ka’adan</w:t>
      </w:r>
      <w:r>
        <w:rPr>
          <w:rFonts w:hint="eastAsia"/>
        </w:rPr>
        <w:t>诉以色列土地管理局）。这项案件的申诉人是一对阿拉伯夫妇他们希望在以色列北部</w:t>
      </w:r>
      <w:r>
        <w:rPr>
          <w:lang w:val="fr-CH"/>
        </w:rPr>
        <w:t>Eron River</w:t>
      </w:r>
      <w:r>
        <w:rPr>
          <w:rFonts w:hint="eastAsia"/>
        </w:rPr>
        <w:t>的一个社区定居点</w:t>
      </w:r>
      <w:r>
        <w:t>Katzir</w:t>
      </w:r>
      <w:r>
        <w:rPr>
          <w:rFonts w:hint="eastAsia"/>
        </w:rPr>
        <w:t>建造住房。以色列机构与</w:t>
      </w:r>
      <w:r>
        <w:rPr>
          <w:lang w:val="fr-CH"/>
        </w:rPr>
        <w:t>Katzir</w:t>
      </w:r>
      <w:r>
        <w:rPr>
          <w:rFonts w:hint="eastAsia"/>
        </w:rPr>
        <w:t>合作社于</w:t>
      </w:r>
      <w:r>
        <w:rPr>
          <w:rFonts w:hint="eastAsia"/>
        </w:rPr>
        <w:t>1982</w:t>
      </w:r>
      <w:r>
        <w:rPr>
          <w:rFonts w:hint="eastAsia"/>
        </w:rPr>
        <w:t>年在国家地皮上建立了这个定居点。这块地皮是（经以色列土地管理局）为此目的拨给犹太人机构的。</w:t>
      </w:r>
    </w:p>
    <w:p w:rsidR="00000000" w:rsidRDefault="00000000">
      <w:pPr>
        <w:rPr>
          <w:rFonts w:hint="eastAsia"/>
        </w:rPr>
      </w:pPr>
      <w:r>
        <w:rPr>
          <w:rFonts w:hint="eastAsia"/>
        </w:rPr>
        <w:tab/>
        <w:t>42.  K</w:t>
      </w:r>
      <w:r>
        <w:t>atzir</w:t>
      </w:r>
      <w:r>
        <w:rPr>
          <w:rFonts w:hint="eastAsia"/>
        </w:rPr>
        <w:t>合作社只接受犹太人成员。为此，该社拒绝接受这两位上诉人，不让他们在</w:t>
      </w:r>
      <w:r>
        <w:rPr>
          <w:rFonts w:hint="eastAsia"/>
        </w:rPr>
        <w:t>K</w:t>
      </w:r>
      <w:r>
        <w:t>atzir</w:t>
      </w:r>
      <w:r>
        <w:rPr>
          <w:rFonts w:hint="eastAsia"/>
        </w:rPr>
        <w:t>社区定居点建造他们的家园。这两位上诉人声称这项政策构成了基于宗教和种族原因的歧视，而国家地皮的有关法律则禁止这类歧视。</w:t>
      </w:r>
    </w:p>
    <w:p w:rsidR="00000000" w:rsidRDefault="00000000">
      <w:pPr>
        <w:spacing w:after="320"/>
        <w:rPr>
          <w:rFonts w:hint="eastAsia"/>
        </w:rPr>
      </w:pPr>
      <w:r>
        <w:rPr>
          <w:rFonts w:hint="eastAsia"/>
        </w:rPr>
        <w:tab/>
        <w:t xml:space="preserve">43.  </w:t>
      </w:r>
      <w:r>
        <w:rPr>
          <w:rFonts w:hint="eastAsia"/>
        </w:rPr>
        <w:t>最高法院裁定，必须在平等的基础上分配地皮，这一地区将地皮分配给犹太人使用是不合法的，该机构将地皮拨给犹太人代理商也是不合法的，这样作构成了间接的歧视。这项裁决重新确认了在地皮使用方面的不歧视原则，尽管这仅限于这一案件的具体事实。对于国家地皮用于建造定居点目的的普遍问题，是一个较为广泛的问题。第一，对</w:t>
      </w:r>
      <w:r>
        <w:rPr>
          <w:rFonts w:hint="eastAsia"/>
        </w:rPr>
        <w:t>K</w:t>
      </w:r>
      <w:r>
        <w:t>a’adan</w:t>
      </w:r>
      <w:r>
        <w:rPr>
          <w:rFonts w:hint="eastAsia"/>
        </w:rPr>
        <w:t>案件的裁决并不针对以往国家地皮的分配情况。第二，这个案件针对</w:t>
      </w:r>
      <w:r>
        <w:rPr>
          <w:rFonts w:hint="eastAsia"/>
        </w:rPr>
        <w:t>K</w:t>
      </w:r>
      <w:r>
        <w:t>atzir</w:t>
      </w:r>
      <w:r>
        <w:rPr>
          <w:rFonts w:hint="eastAsia"/>
        </w:rPr>
        <w:t>社区定居点的具体情况。在讨论这个问题时，法院并未就（诸如设立在</w:t>
      </w:r>
      <w:r>
        <w:rPr>
          <w:rFonts w:hint="eastAsia"/>
        </w:rPr>
        <w:t>k</w:t>
      </w:r>
      <w:r>
        <w:t>ibbutz</w:t>
      </w:r>
      <w:r>
        <w:rPr>
          <w:rFonts w:hint="eastAsia"/>
        </w:rPr>
        <w:t>或</w:t>
      </w:r>
      <w:r>
        <w:t>moshav</w:t>
      </w:r>
      <w:r>
        <w:rPr>
          <w:rFonts w:hint="eastAsia"/>
        </w:rPr>
        <w:t>的社区等）其他类型定居点问题采取立场。</w:t>
      </w:r>
    </w:p>
    <w:p w:rsidR="00000000" w:rsidRDefault="00000000">
      <w:pPr>
        <w:pStyle w:val="Heading3"/>
        <w:rPr>
          <w:rFonts w:hint="eastAsia"/>
          <w:u w:val="none"/>
        </w:rPr>
      </w:pPr>
      <w:r>
        <w:rPr>
          <w:rFonts w:hint="eastAsia"/>
          <w:u w:val="none"/>
        </w:rPr>
        <w:t xml:space="preserve">E.  </w:t>
      </w:r>
      <w:r>
        <w:rPr>
          <w:rFonts w:hint="eastAsia"/>
        </w:rPr>
        <w:t>J</w:t>
      </w:r>
      <w:r>
        <w:t>ahalin</w:t>
      </w:r>
      <w:r>
        <w:rPr>
          <w:rFonts w:hint="eastAsia"/>
        </w:rPr>
        <w:t>贝多因人（结论性意见第</w:t>
      </w:r>
      <w:r>
        <w:rPr>
          <w:rFonts w:hint="eastAsia"/>
        </w:rPr>
        <w:t>12</w:t>
      </w:r>
      <w:r>
        <w:rPr>
          <w:rFonts w:hint="eastAsia"/>
        </w:rPr>
        <w:t>段</w:t>
      </w:r>
      <w:r>
        <w:rPr>
          <w:rFonts w:hint="eastAsia"/>
          <w:u w:val="none"/>
        </w:rPr>
        <w:t>）</w:t>
      </w:r>
    </w:p>
    <w:p w:rsidR="00000000" w:rsidRDefault="00000000">
      <w:pPr>
        <w:spacing w:after="320"/>
        <w:rPr>
          <w:rFonts w:hint="eastAsia"/>
        </w:rPr>
      </w:pPr>
      <w:r>
        <w:rPr>
          <w:rFonts w:hint="eastAsia"/>
        </w:rPr>
        <w:tab/>
        <w:t xml:space="preserve">44.  </w:t>
      </w:r>
      <w:r>
        <w:rPr>
          <w:rFonts w:hint="eastAsia"/>
        </w:rPr>
        <w:t>请参阅上文第</w:t>
      </w:r>
      <w:r>
        <w:rPr>
          <w:rFonts w:hint="eastAsia"/>
        </w:rPr>
        <w:t>26</w:t>
      </w:r>
      <w:r>
        <w:rPr>
          <w:rFonts w:hint="eastAsia"/>
        </w:rPr>
        <w:t>至</w:t>
      </w:r>
      <w:r>
        <w:rPr>
          <w:rFonts w:hint="eastAsia"/>
        </w:rPr>
        <w:t>29</w:t>
      </w:r>
      <w:r>
        <w:rPr>
          <w:rFonts w:hint="eastAsia"/>
        </w:rPr>
        <w:t>段。</w:t>
      </w:r>
    </w:p>
    <w:p w:rsidR="00000000" w:rsidRDefault="00000000">
      <w:pPr>
        <w:pStyle w:val="Heading3"/>
        <w:rPr>
          <w:rFonts w:hint="eastAsia"/>
        </w:rPr>
      </w:pPr>
      <w:r>
        <w:rPr>
          <w:rFonts w:hint="eastAsia"/>
          <w:u w:val="none"/>
        </w:rPr>
        <w:t xml:space="preserve">F.  </w:t>
      </w:r>
      <w:r>
        <w:rPr>
          <w:rFonts w:hint="eastAsia"/>
        </w:rPr>
        <w:t>《回归法》（结论性意见第</w:t>
      </w:r>
      <w:r>
        <w:rPr>
          <w:rFonts w:hint="eastAsia"/>
        </w:rPr>
        <w:t>13</w:t>
      </w:r>
      <w:r>
        <w:rPr>
          <w:rFonts w:hint="eastAsia"/>
        </w:rPr>
        <w:t>段</w:t>
      </w:r>
      <w:r>
        <w:rPr>
          <w:rFonts w:hint="eastAsia"/>
          <w:u w:val="none"/>
        </w:rPr>
        <w:t>）</w:t>
      </w:r>
    </w:p>
    <w:p w:rsidR="00000000" w:rsidRDefault="00000000">
      <w:pPr>
        <w:rPr>
          <w:rFonts w:hint="eastAsia"/>
        </w:rPr>
      </w:pPr>
      <w:r>
        <w:rPr>
          <w:rFonts w:hint="eastAsia"/>
        </w:rPr>
        <w:tab/>
        <w:t xml:space="preserve">45.  </w:t>
      </w:r>
      <w:r>
        <w:rPr>
          <w:rFonts w:hint="eastAsia"/>
        </w:rPr>
        <w:t>委员会对在以色列《回归法》中察觉到的歧视情况感到关注。以色列《回归法》拟人化了以色列国作为一个“犹太人的民主国家”的根本精神。人们应该记得，自</w:t>
      </w:r>
      <w:r>
        <w:rPr>
          <w:rFonts w:hint="eastAsia"/>
        </w:rPr>
        <w:t>1939</w:t>
      </w:r>
      <w:r>
        <w:rPr>
          <w:rFonts w:hint="eastAsia"/>
        </w:rPr>
        <w:t>年起以来的这段期间，托管巴勒斯坦以及实际上几乎所有国家都对犹太移民关闭了大门，从而造成了在第二次世界大战期间欧洲几百万犹太人死于纳粹德国的手中。在经历了二次大战的恐怖，并建立起了以色列国之后，以色列的建国者们颁布了一项《回归法》正式阐明了建立以色列国为犹太人唯一家园的三项根本性的核心原则。这就是说，在以色列的领土上建立一个犹太国，特别是在大屠杀的恐怖揭露出来以后，收容汇聚四处流落的犹太人，并且维持以色列国与世界其他各地犹太人社区之间的牢固关系。</w:t>
      </w:r>
    </w:p>
    <w:p w:rsidR="00000000" w:rsidRDefault="00000000">
      <w:pPr>
        <w:rPr>
          <w:rFonts w:hint="eastAsia"/>
        </w:rPr>
      </w:pPr>
      <w:r>
        <w:rPr>
          <w:rFonts w:hint="eastAsia"/>
        </w:rPr>
        <w:tab/>
        <w:t>46.  1950</w:t>
      </w:r>
      <w:r>
        <w:rPr>
          <w:rFonts w:hint="eastAsia"/>
        </w:rPr>
        <w:t>年的《回归法》和</w:t>
      </w:r>
      <w:r>
        <w:rPr>
          <w:rFonts w:hint="eastAsia"/>
        </w:rPr>
        <w:t>1952</w:t>
      </w:r>
      <w:r>
        <w:rPr>
          <w:rFonts w:hint="eastAsia"/>
        </w:rPr>
        <w:t>年的《国籍法》规定了犹太人有向以色列移民，并可自动获得以色列国籍的权利。作为以色列移民政策的一部分赋予这项特权显然是国内事务，属于国家按主权裁量的问题。然而，还应当强调并不阻止非犹太人向以色列移民，而且也不对任何具体的群体加以任何限制。非以色列人若要获得以色列国籍，可以根据以色列的国籍法，按程序提出入籍申请。</w:t>
      </w:r>
    </w:p>
    <w:p w:rsidR="00000000" w:rsidRDefault="00000000">
      <w:pPr>
        <w:rPr>
          <w:rFonts w:hint="eastAsia"/>
        </w:rPr>
      </w:pPr>
      <w:r>
        <w:rPr>
          <w:rFonts w:hint="eastAsia"/>
        </w:rPr>
        <w:tab/>
        <w:t xml:space="preserve">47.  </w:t>
      </w:r>
      <w:r>
        <w:rPr>
          <w:rFonts w:hint="eastAsia"/>
        </w:rPr>
        <w:t>在这方面，以色列在建国之后，与其他国家并无二致，并根据自行抉择的原则，向那些与以色列国具有某些社会、文化、或种族关系的个人可在获取以色列国籍方面得到优待。</w:t>
      </w:r>
    </w:p>
    <w:p w:rsidR="00000000" w:rsidRDefault="00000000">
      <w:pPr>
        <w:spacing w:after="320"/>
        <w:rPr>
          <w:rFonts w:hint="eastAsia"/>
        </w:rPr>
      </w:pPr>
      <w:r>
        <w:rPr>
          <w:rFonts w:hint="eastAsia"/>
        </w:rPr>
        <w:tab/>
        <w:t xml:space="preserve">48.  </w:t>
      </w:r>
      <w:r>
        <w:rPr>
          <w:rFonts w:hint="eastAsia"/>
        </w:rPr>
        <w:t>委员会在结论性意见中指出，《回归法》应平等地处置有关巴勒斯坦人对返回权利的要求。以色列坚持的立场认为，在以色列的《回归法》与任何巴勒斯坦人要求返回的权利之间应划出明确的区别。此外，这也是以色列与巴勒斯坦之间谈判中各个悬而未决问题的部分内容。</w:t>
      </w:r>
    </w:p>
    <w:p w:rsidR="00000000" w:rsidRDefault="00000000">
      <w:pPr>
        <w:pStyle w:val="Heading3"/>
        <w:rPr>
          <w:rFonts w:hint="eastAsia"/>
        </w:rPr>
      </w:pPr>
      <w:r>
        <w:rPr>
          <w:rFonts w:hint="eastAsia"/>
          <w:u w:val="none"/>
        </w:rPr>
        <w:t xml:space="preserve">G.  </w:t>
      </w:r>
      <w:r>
        <w:rPr>
          <w:rFonts w:hint="eastAsia"/>
        </w:rPr>
        <w:t>就业（结论性意见第</w:t>
      </w:r>
      <w:r>
        <w:rPr>
          <w:rFonts w:hint="eastAsia"/>
        </w:rPr>
        <w:t>14</w:t>
      </w:r>
      <w:r>
        <w:rPr>
          <w:rFonts w:hint="eastAsia"/>
        </w:rPr>
        <w:t>条</w:t>
      </w:r>
      <w:r>
        <w:rPr>
          <w:rFonts w:hint="eastAsia"/>
          <w:u w:val="none"/>
        </w:rPr>
        <w:t>）</w:t>
      </w:r>
    </w:p>
    <w:p w:rsidR="00000000" w:rsidRDefault="00000000">
      <w:pPr>
        <w:rPr>
          <w:rFonts w:hint="eastAsia"/>
        </w:rPr>
      </w:pPr>
      <w:r>
        <w:rPr>
          <w:rFonts w:hint="eastAsia"/>
        </w:rPr>
        <w:tab/>
        <w:t xml:space="preserve">49.  </w:t>
      </w:r>
      <w:r>
        <w:rPr>
          <w:rFonts w:hint="eastAsia"/>
        </w:rPr>
        <w:t>委员会对于以色列境内失业人数迅速增加感到关注，实际上，</w:t>
      </w:r>
      <w:r>
        <w:rPr>
          <w:rFonts w:hint="eastAsia"/>
        </w:rPr>
        <w:t xml:space="preserve"> 1996</w:t>
      </w:r>
      <w:r>
        <w:rPr>
          <w:rFonts w:hint="eastAsia"/>
        </w:rPr>
        <w:t>年以来失业人数增加主要是由于以色列境内经济活动减缓和受到全球化的影响。此外，</w:t>
      </w:r>
      <w:r>
        <w:rPr>
          <w:rFonts w:hint="eastAsia"/>
        </w:rPr>
        <w:t>1999</w:t>
      </w:r>
      <w:r>
        <w:rPr>
          <w:rFonts w:hint="eastAsia"/>
        </w:rPr>
        <w:t>年第二季度初经济活动开始扩增，随之从</w:t>
      </w:r>
      <w:r>
        <w:rPr>
          <w:rFonts w:hint="eastAsia"/>
        </w:rPr>
        <w:t>1996-1999</w:t>
      </w:r>
      <w:r>
        <w:rPr>
          <w:rFonts w:hint="eastAsia"/>
        </w:rPr>
        <w:t>年期间增长的失业率出现了下降，就业率持续地缓步递增。</w:t>
      </w:r>
    </w:p>
    <w:p w:rsidR="00000000" w:rsidRDefault="00000000">
      <w:pPr>
        <w:rPr>
          <w:rFonts w:hint="eastAsia"/>
        </w:rPr>
      </w:pPr>
      <w:r>
        <w:rPr>
          <w:rFonts w:hint="eastAsia"/>
        </w:rPr>
        <w:tab/>
        <w:t xml:space="preserve">50.  </w:t>
      </w:r>
      <w:r>
        <w:rPr>
          <w:rFonts w:hint="eastAsia"/>
        </w:rPr>
        <w:t>主要来自前苏联的一些移民，尽管比本十年最初几年抵达的平均人数有所减少，但仍持续不断地抵达以色列。在</w:t>
      </w:r>
      <w:r>
        <w:rPr>
          <w:rFonts w:hint="eastAsia"/>
        </w:rPr>
        <w:t>1996-1999</w:t>
      </w:r>
      <w:r>
        <w:rPr>
          <w:rFonts w:hint="eastAsia"/>
        </w:rPr>
        <w:t>年期间，以色列的劳工增加了将近</w:t>
      </w:r>
      <w:r>
        <w:rPr>
          <w:rFonts w:hint="eastAsia"/>
        </w:rPr>
        <w:t>9%</w:t>
      </w:r>
      <w:r>
        <w:rPr>
          <w:rFonts w:hint="eastAsia"/>
        </w:rPr>
        <w:t>，其中相当大一部分是由于新移民进入劳动市场所致。</w:t>
      </w:r>
    </w:p>
    <w:p w:rsidR="00000000" w:rsidRDefault="00000000">
      <w:pPr>
        <w:rPr>
          <w:rFonts w:hint="eastAsia"/>
        </w:rPr>
      </w:pPr>
      <w:r>
        <w:rPr>
          <w:rFonts w:hint="eastAsia"/>
        </w:rPr>
        <w:tab/>
        <w:t xml:space="preserve">51.  </w:t>
      </w:r>
      <w:r>
        <w:rPr>
          <w:rFonts w:hint="eastAsia"/>
        </w:rPr>
        <w:t>在</w:t>
      </w:r>
      <w:r>
        <w:rPr>
          <w:rFonts w:hint="eastAsia"/>
        </w:rPr>
        <w:t>1997-1999</w:t>
      </w:r>
      <w:r>
        <w:rPr>
          <w:rFonts w:hint="eastAsia"/>
        </w:rPr>
        <w:t>年期间，与前五年相比，就业率的增长相对较缓慢（</w:t>
      </w:r>
      <w:r>
        <w:rPr>
          <w:rFonts w:hint="eastAsia"/>
        </w:rPr>
        <w:t>1997-1999</w:t>
      </w:r>
      <w:r>
        <w:rPr>
          <w:rFonts w:hint="eastAsia"/>
        </w:rPr>
        <w:t>年期间的年均增长率为</w:t>
      </w:r>
      <w:r>
        <w:rPr>
          <w:rFonts w:hint="eastAsia"/>
        </w:rPr>
        <w:t>2%</w:t>
      </w:r>
      <w:r>
        <w:rPr>
          <w:rFonts w:hint="eastAsia"/>
        </w:rPr>
        <w:t>，而</w:t>
      </w:r>
      <w:r>
        <w:rPr>
          <w:rFonts w:hint="eastAsia"/>
        </w:rPr>
        <w:t>1991-1996</w:t>
      </w:r>
      <w:r>
        <w:rPr>
          <w:rFonts w:hint="eastAsia"/>
        </w:rPr>
        <w:t>年期间的年均增长率为</w:t>
      </w:r>
      <w:r>
        <w:rPr>
          <w:rFonts w:hint="eastAsia"/>
        </w:rPr>
        <w:t>4.9%</w:t>
      </w:r>
      <w:r>
        <w:rPr>
          <w:rFonts w:hint="eastAsia"/>
        </w:rPr>
        <w:t>）。在</w:t>
      </w:r>
      <w:r>
        <w:rPr>
          <w:rFonts w:hint="eastAsia"/>
        </w:rPr>
        <w:t>1997-1999</w:t>
      </w:r>
      <w:r>
        <w:rPr>
          <w:rFonts w:hint="eastAsia"/>
        </w:rPr>
        <w:t>年期间，新移民之中的就业人数的增加率尤其突出，年均达</w:t>
      </w:r>
      <w:r>
        <w:rPr>
          <w:rFonts w:hint="eastAsia"/>
        </w:rPr>
        <w:t>9.5%</w:t>
      </w:r>
      <w:r>
        <w:rPr>
          <w:rFonts w:hint="eastAsia"/>
        </w:rPr>
        <w:t>，年龄极小的少年就业率，即</w:t>
      </w:r>
      <w:r>
        <w:rPr>
          <w:rFonts w:hint="eastAsia"/>
        </w:rPr>
        <w:t>15-17</w:t>
      </w:r>
      <w:r>
        <w:rPr>
          <w:rFonts w:hint="eastAsia"/>
        </w:rPr>
        <w:t>岁之间的就业率下降了</w:t>
      </w:r>
      <w:r>
        <w:rPr>
          <w:rFonts w:hint="eastAsia"/>
        </w:rPr>
        <w:t>8%</w:t>
      </w:r>
      <w:r>
        <w:rPr>
          <w:rFonts w:hint="eastAsia"/>
        </w:rPr>
        <w:t>，而</w:t>
      </w:r>
      <w:r>
        <w:rPr>
          <w:rFonts w:hint="eastAsia"/>
        </w:rPr>
        <w:t>18-24</w:t>
      </w:r>
      <w:r>
        <w:rPr>
          <w:rFonts w:hint="eastAsia"/>
        </w:rPr>
        <w:t>岁年龄段的就业率保持了稳定。上述两方面的发展情况体现出了这些年龄组教育期和服兵役期延长的长期性趋势，以及近几年来经济活动减缓的效应。</w:t>
      </w:r>
    </w:p>
    <w:p w:rsidR="00000000" w:rsidRDefault="00000000">
      <w:pPr>
        <w:rPr>
          <w:rFonts w:hint="eastAsia"/>
        </w:rPr>
      </w:pPr>
      <w:r>
        <w:rPr>
          <w:rFonts w:hint="eastAsia"/>
        </w:rPr>
        <w:tab/>
        <w:t xml:space="preserve">52.  </w:t>
      </w:r>
      <w:r>
        <w:rPr>
          <w:rFonts w:hint="eastAsia"/>
        </w:rPr>
        <w:t>关于失业问题，在</w:t>
      </w:r>
      <w:r>
        <w:rPr>
          <w:rFonts w:hint="eastAsia"/>
        </w:rPr>
        <w:t>15-24</w:t>
      </w:r>
      <w:r>
        <w:rPr>
          <w:rFonts w:hint="eastAsia"/>
        </w:rPr>
        <w:t>岁年龄段之间的青年工人失业率仍然是最高的。以色列境内阿拉伯人以及其他非犹太人口群体，即一些开发区居民和新移民的失业率也相当高。</w:t>
      </w:r>
    </w:p>
    <w:p w:rsidR="00000000" w:rsidRDefault="00000000">
      <w:pPr>
        <w:rPr>
          <w:rFonts w:hint="eastAsia"/>
        </w:rPr>
      </w:pPr>
      <w:r>
        <w:rPr>
          <w:rFonts w:hint="eastAsia"/>
        </w:rPr>
        <w:tab/>
        <w:t xml:space="preserve">53.  </w:t>
      </w:r>
      <w:r>
        <w:rPr>
          <w:rFonts w:hint="eastAsia"/>
        </w:rPr>
        <w:t>如上所述，自</w:t>
      </w:r>
      <w:r>
        <w:rPr>
          <w:rFonts w:hint="eastAsia"/>
        </w:rPr>
        <w:t>1997</w:t>
      </w:r>
      <w:r>
        <w:rPr>
          <w:rFonts w:hint="eastAsia"/>
        </w:rPr>
        <w:t>年以来，失业情况恶化。由于失业率不断增加，必须重新评估就业和失业政策及措施。根据现有的</w:t>
      </w:r>
      <w:r>
        <w:rPr>
          <w:rFonts w:hint="eastAsia"/>
        </w:rPr>
        <w:t>2000</w:t>
      </w:r>
      <w:r>
        <w:rPr>
          <w:rFonts w:hint="eastAsia"/>
        </w:rPr>
        <w:t>年数据资料，在</w:t>
      </w:r>
      <w:r>
        <w:rPr>
          <w:rFonts w:hint="eastAsia"/>
        </w:rPr>
        <w:t>2000</w:t>
      </w:r>
      <w:r>
        <w:rPr>
          <w:rFonts w:hint="eastAsia"/>
        </w:rPr>
        <w:t>年期间这一趋势似乎出现了扭转。</w:t>
      </w:r>
    </w:p>
    <w:p w:rsidR="00000000" w:rsidRDefault="00000000">
      <w:pPr>
        <w:rPr>
          <w:rFonts w:hint="eastAsia"/>
        </w:rPr>
      </w:pPr>
      <w:r>
        <w:rPr>
          <w:rFonts w:hint="eastAsia"/>
        </w:rPr>
        <w:tab/>
        <w:t xml:space="preserve">54.  </w:t>
      </w:r>
      <w:r>
        <w:rPr>
          <w:rFonts w:hint="eastAsia"/>
        </w:rPr>
        <w:t>以色列境内一些较小的企业以及产品面临着进口竞争的企业尤其易遭受上述经济活动减缓和全球化风险的影响。这类公司的雇员通常是老年工人和受教育水平较低的工人。几乎可以断言，其中有些企业没有按规定遵从应执行的劳工法律。数据表明，在过去三年期间，长期性的失业率急剧上升，从占劳工队伍的</w:t>
      </w:r>
      <w:r>
        <w:rPr>
          <w:rFonts w:hint="eastAsia"/>
        </w:rPr>
        <w:t>12%</w:t>
      </w:r>
      <w:r>
        <w:rPr>
          <w:rFonts w:hint="eastAsia"/>
        </w:rPr>
        <w:t>，增至</w:t>
      </w:r>
      <w:r>
        <w:rPr>
          <w:rFonts w:hint="eastAsia"/>
        </w:rPr>
        <w:t>16-17%</w:t>
      </w:r>
      <w:r>
        <w:rPr>
          <w:rFonts w:hint="eastAsia"/>
        </w:rPr>
        <w:t>。</w:t>
      </w:r>
    </w:p>
    <w:p w:rsidR="00000000" w:rsidRDefault="00000000">
      <w:pPr>
        <w:rPr>
          <w:rFonts w:hint="eastAsia"/>
        </w:rPr>
      </w:pPr>
      <w:r>
        <w:rPr>
          <w:rFonts w:hint="eastAsia"/>
        </w:rPr>
        <w:tab/>
        <w:t xml:space="preserve">55.  </w:t>
      </w:r>
      <w:r>
        <w:rPr>
          <w:rFonts w:hint="eastAsia"/>
        </w:rPr>
        <w:t>虽然</w:t>
      </w:r>
      <w:r>
        <w:rPr>
          <w:rFonts w:hint="eastAsia"/>
        </w:rPr>
        <w:t>1999</w:t>
      </w:r>
      <w:r>
        <w:rPr>
          <w:rFonts w:hint="eastAsia"/>
        </w:rPr>
        <w:t>年和</w:t>
      </w:r>
      <w:r>
        <w:rPr>
          <w:rFonts w:hint="eastAsia"/>
        </w:rPr>
        <w:t>2000</w:t>
      </w:r>
      <w:r>
        <w:rPr>
          <w:rFonts w:hint="eastAsia"/>
        </w:rPr>
        <w:t>年上半年期间的数据表明，以色列的就业情况可能出现持续性的改善，但是要解决</w:t>
      </w:r>
      <w:r>
        <w:rPr>
          <w:rFonts w:hint="eastAsia"/>
        </w:rPr>
        <w:t>1997</w:t>
      </w:r>
      <w:r>
        <w:rPr>
          <w:rFonts w:hint="eastAsia"/>
        </w:rPr>
        <w:t>、</w:t>
      </w:r>
      <w:r>
        <w:rPr>
          <w:rFonts w:hint="eastAsia"/>
        </w:rPr>
        <w:t>1998</w:t>
      </w:r>
      <w:r>
        <w:rPr>
          <w:rFonts w:hint="eastAsia"/>
        </w:rPr>
        <w:t>和几乎整个</w:t>
      </w:r>
      <w:r>
        <w:rPr>
          <w:rFonts w:hint="eastAsia"/>
        </w:rPr>
        <w:t>1999</w:t>
      </w:r>
      <w:r>
        <w:rPr>
          <w:rFonts w:hint="eastAsia"/>
        </w:rPr>
        <w:t>年期间大幅度增长的失业率，就必须制定和实施新的就业政策和措施。</w:t>
      </w:r>
    </w:p>
    <w:p w:rsidR="00000000" w:rsidRDefault="00000000">
      <w:pPr>
        <w:rPr>
          <w:rFonts w:hint="eastAsia"/>
        </w:rPr>
      </w:pPr>
      <w:r>
        <w:rPr>
          <w:rFonts w:hint="eastAsia"/>
        </w:rPr>
        <w:tab/>
        <w:t xml:space="preserve">56.  </w:t>
      </w:r>
      <w:r>
        <w:rPr>
          <w:rFonts w:hint="eastAsia"/>
        </w:rPr>
        <w:t>近几年来，人们越来越意识到政府必须采取干预行动，协助那些若得不到帮助，将无法重返工作岗位的人们。政府各部都投入了实施维持收入的方案和协助失业者的职业培训。</w:t>
      </w:r>
    </w:p>
    <w:p w:rsidR="00000000" w:rsidRDefault="00000000">
      <w:pPr>
        <w:rPr>
          <w:rFonts w:hint="eastAsia"/>
        </w:rPr>
      </w:pPr>
      <w:r>
        <w:rPr>
          <w:rFonts w:hint="eastAsia"/>
        </w:rPr>
        <w:tab/>
        <w:t xml:space="preserve">57.  </w:t>
      </w:r>
      <w:r>
        <w:rPr>
          <w:rFonts w:hint="eastAsia"/>
        </w:rPr>
        <w:t>新移民的失业仍然是一个问题。新移民失业率从</w:t>
      </w:r>
      <w:r>
        <w:rPr>
          <w:rFonts w:hint="eastAsia"/>
        </w:rPr>
        <w:t>1996</w:t>
      </w:r>
      <w:r>
        <w:rPr>
          <w:rFonts w:hint="eastAsia"/>
        </w:rPr>
        <w:t>年的</w:t>
      </w:r>
      <w:r>
        <w:rPr>
          <w:rFonts w:hint="eastAsia"/>
        </w:rPr>
        <w:t>9.3%</w:t>
      </w:r>
      <w:r>
        <w:t xml:space="preserve"> </w:t>
      </w:r>
      <w:r>
        <w:rPr>
          <w:rFonts w:hint="eastAsia"/>
        </w:rPr>
        <w:t>递增至</w:t>
      </w:r>
      <w:r>
        <w:rPr>
          <w:rFonts w:hint="eastAsia"/>
        </w:rPr>
        <w:t>1999</w:t>
      </w:r>
      <w:r>
        <w:rPr>
          <w:rFonts w:hint="eastAsia"/>
        </w:rPr>
        <w:t>年的</w:t>
      </w:r>
      <w:r>
        <w:rPr>
          <w:rFonts w:hint="eastAsia"/>
        </w:rPr>
        <w:t>11.4%</w:t>
      </w:r>
      <w:r>
        <w:rPr>
          <w:rFonts w:hint="eastAsia"/>
        </w:rPr>
        <w:t>。近几年来新移民的失业率大幅度地超过了整体经济中的平均失业率。从</w:t>
      </w:r>
      <w:r>
        <w:rPr>
          <w:rFonts w:hint="eastAsia"/>
        </w:rPr>
        <w:t>1997</w:t>
      </w:r>
      <w:r>
        <w:rPr>
          <w:rFonts w:hint="eastAsia"/>
        </w:rPr>
        <w:t>年至</w:t>
      </w:r>
      <w:r>
        <w:rPr>
          <w:rFonts w:hint="eastAsia"/>
        </w:rPr>
        <w:t>1999</w:t>
      </w:r>
      <w:r>
        <w:rPr>
          <w:rFonts w:hint="eastAsia"/>
        </w:rPr>
        <w:t>年，每年涌入的新移民平均为</w:t>
      </w:r>
      <w:r>
        <w:rPr>
          <w:rFonts w:hint="eastAsia"/>
        </w:rPr>
        <w:t>66,500</w:t>
      </w:r>
      <w:r>
        <w:rPr>
          <w:rFonts w:hint="eastAsia"/>
        </w:rPr>
        <w:t>人。劳工中新移民的比例从</w:t>
      </w:r>
      <w:r>
        <w:rPr>
          <w:rFonts w:hint="eastAsia"/>
        </w:rPr>
        <w:t>1996</w:t>
      </w:r>
      <w:r>
        <w:rPr>
          <w:rFonts w:hint="eastAsia"/>
        </w:rPr>
        <w:t>年的</w:t>
      </w:r>
      <w:r>
        <w:rPr>
          <w:rFonts w:hint="eastAsia"/>
        </w:rPr>
        <w:t>12%</w:t>
      </w:r>
      <w:r>
        <w:rPr>
          <w:rFonts w:hint="eastAsia"/>
        </w:rPr>
        <w:t>，增至</w:t>
      </w:r>
      <w:r>
        <w:rPr>
          <w:rFonts w:hint="eastAsia"/>
        </w:rPr>
        <w:t>1999</w:t>
      </w:r>
      <w:r>
        <w:rPr>
          <w:rFonts w:hint="eastAsia"/>
        </w:rPr>
        <w:t>年的</w:t>
      </w:r>
      <w:r>
        <w:rPr>
          <w:rFonts w:hint="eastAsia"/>
        </w:rPr>
        <w:t>17%</w:t>
      </w:r>
      <w:r>
        <w:rPr>
          <w:rFonts w:hint="eastAsia"/>
        </w:rPr>
        <w:t>。</w:t>
      </w:r>
    </w:p>
    <w:p w:rsidR="00000000" w:rsidRDefault="00000000">
      <w:pPr>
        <w:rPr>
          <w:rFonts w:hint="eastAsia"/>
        </w:rPr>
      </w:pPr>
      <w:r>
        <w:rPr>
          <w:rFonts w:hint="eastAsia"/>
        </w:rPr>
        <w:tab/>
        <w:t xml:space="preserve">58.  </w:t>
      </w:r>
      <w:r>
        <w:rPr>
          <w:rFonts w:hint="eastAsia"/>
        </w:rPr>
        <w:t>改善劳工中新移民以及其他群体中失业者就业机会的方案基本包括：</w:t>
      </w:r>
    </w:p>
    <w:p w:rsidR="00000000" w:rsidRDefault="00000000">
      <w:pPr>
        <w:pStyle w:val="a0"/>
        <w:tabs>
          <w:tab w:val="num" w:pos="1550"/>
        </w:tabs>
        <w:ind w:left="1550"/>
        <w:rPr>
          <w:rFonts w:hint="eastAsia"/>
        </w:rPr>
      </w:pPr>
      <w:r>
        <w:rPr>
          <w:rFonts w:hint="eastAsia"/>
        </w:rPr>
        <w:t>精简公共就业服务局的活动，鼓励雇主们通过就业服务局招工，提高求职者与空缺职位的适合程度；</w:t>
      </w:r>
    </w:p>
    <w:p w:rsidR="00000000" w:rsidRDefault="00000000">
      <w:pPr>
        <w:pStyle w:val="a0"/>
        <w:tabs>
          <w:tab w:val="num" w:pos="1550"/>
        </w:tabs>
        <w:ind w:left="1550"/>
        <w:rPr>
          <w:rFonts w:hint="eastAsia"/>
        </w:rPr>
      </w:pPr>
      <w:r>
        <w:rPr>
          <w:rFonts w:hint="eastAsia"/>
        </w:rPr>
        <w:t>公共部门的暂时就业方案；</w:t>
      </w:r>
    </w:p>
    <w:p w:rsidR="00000000" w:rsidRDefault="00000000">
      <w:pPr>
        <w:pStyle w:val="a0"/>
        <w:tabs>
          <w:tab w:val="num" w:pos="1550"/>
        </w:tabs>
        <w:ind w:left="1550"/>
        <w:rPr>
          <w:rFonts w:hint="eastAsia"/>
        </w:rPr>
      </w:pPr>
      <w:r>
        <w:rPr>
          <w:rFonts w:hint="eastAsia"/>
        </w:rPr>
        <w:t>职业培训、再培训和在职培训。</w:t>
      </w:r>
    </w:p>
    <w:p w:rsidR="00000000" w:rsidRDefault="00000000">
      <w:pPr>
        <w:rPr>
          <w:rFonts w:hint="eastAsia"/>
        </w:rPr>
      </w:pPr>
      <w:r>
        <w:rPr>
          <w:rFonts w:hint="eastAsia"/>
        </w:rPr>
        <w:tab/>
        <w:t xml:space="preserve">59.  </w:t>
      </w:r>
      <w:r>
        <w:rPr>
          <w:rFonts w:hint="eastAsia"/>
        </w:rPr>
        <w:t>关于贝多因居民的失业问题，按照国际公认的定义衡量，目前贝多因人的失业率超过</w:t>
      </w:r>
      <w:r>
        <w:rPr>
          <w:rFonts w:hint="eastAsia"/>
        </w:rPr>
        <w:t>20%</w:t>
      </w:r>
      <w:r>
        <w:rPr>
          <w:rFonts w:hint="eastAsia"/>
        </w:rPr>
        <w:t>，而整个人口的失业率是</w:t>
      </w:r>
      <w:r>
        <w:rPr>
          <w:rFonts w:hint="eastAsia"/>
        </w:rPr>
        <w:t>8.3%</w:t>
      </w:r>
      <w:r>
        <w:rPr>
          <w:rFonts w:hint="eastAsia"/>
        </w:rPr>
        <w:t>。近几年来，政府实施了一些项目以降低贝多因人的失业幅度，包括开展成人职业培训和补贴性就业，特别是开拓诸如国家公园和考古迹址之类与旅游有关领域方面的就业。</w:t>
      </w:r>
    </w:p>
    <w:p w:rsidR="00000000" w:rsidRDefault="00000000">
      <w:pPr>
        <w:rPr>
          <w:rFonts w:hint="eastAsia"/>
        </w:rPr>
      </w:pPr>
      <w:r>
        <w:rPr>
          <w:rFonts w:hint="eastAsia"/>
        </w:rPr>
        <w:tab/>
        <w:t xml:space="preserve">60.  </w:t>
      </w:r>
      <w:r>
        <w:rPr>
          <w:rFonts w:hint="eastAsia"/>
        </w:rPr>
        <w:t>关于妇女的失业率，以色列的四个当局目前正在积极地开展促进妇女就业机会的活动：总理办公厅的妇女地位署；议会的提高妇女地位委员会；公务员事务委员会内提高妇女地位和融合事务股；以及劳工和社会事务部的提高妇女地位股。</w:t>
      </w:r>
    </w:p>
    <w:p w:rsidR="00000000" w:rsidRDefault="00000000">
      <w:pPr>
        <w:rPr>
          <w:rFonts w:hint="eastAsia"/>
        </w:rPr>
      </w:pPr>
      <w:r>
        <w:rPr>
          <w:rFonts w:hint="eastAsia"/>
        </w:rPr>
        <w:tab/>
        <w:t xml:space="preserve">61.  </w:t>
      </w:r>
      <w:r>
        <w:rPr>
          <w:rFonts w:hint="eastAsia"/>
        </w:rPr>
        <w:t>关于在政府部门中提高妇女地位的问题，提高妇女地位和融合事务股于</w:t>
      </w:r>
      <w:r>
        <w:rPr>
          <w:rFonts w:hint="eastAsia"/>
        </w:rPr>
        <w:t>1999</w:t>
      </w:r>
      <w:r>
        <w:rPr>
          <w:rFonts w:hint="eastAsia"/>
        </w:rPr>
        <w:t>年向公务员事务专员提出建议，要求每个政府部门就提高妇女地位问题展开细致的调研，以确定在每个政府部门内任命妇女的具体目标，在公务员委员会开展的一切教育活动中列入涉及妇女地位的专题，并促进《国家服务法》的变革，致使每个政府部门的主管直接负责在他或她单位中实施此项法律。</w:t>
      </w:r>
    </w:p>
    <w:p w:rsidR="00000000" w:rsidRDefault="00000000">
      <w:pPr>
        <w:rPr>
          <w:rFonts w:hint="eastAsia"/>
        </w:rPr>
      </w:pPr>
      <w:r>
        <w:rPr>
          <w:rFonts w:hint="eastAsia"/>
        </w:rPr>
        <w:tab/>
        <w:t xml:space="preserve">62.  </w:t>
      </w:r>
      <w:r>
        <w:rPr>
          <w:rFonts w:hint="eastAsia"/>
        </w:rPr>
        <w:t>关于以色列境内妇女的就业情况，促进妇女地位署和议会妇女地位问题委员会于</w:t>
      </w:r>
      <w:r>
        <w:rPr>
          <w:rFonts w:hint="eastAsia"/>
        </w:rPr>
        <w:t>1999</w:t>
      </w:r>
      <w:r>
        <w:rPr>
          <w:rFonts w:hint="eastAsia"/>
        </w:rPr>
        <w:t>和</w:t>
      </w:r>
      <w:r>
        <w:rPr>
          <w:rFonts w:hint="eastAsia"/>
        </w:rPr>
        <w:t>2000</w:t>
      </w:r>
      <w:r>
        <w:rPr>
          <w:rFonts w:hint="eastAsia"/>
        </w:rPr>
        <w:t>年期间的重点领域如下：采取训练女兵以往仅传授给男性士兵的新军事技能的行动；采取在警察队伍中为女警察开设新职位的行动，以便增进其晋升和提高工资的前景；鼓励阿拉伯妇女加入警察队伍；并鼓励阿拉伯妇女为阿拉伯人口部分培训社会工作者，因为近来阿拉伯人口部分缺乏社会工作者。</w:t>
      </w:r>
    </w:p>
    <w:p w:rsidR="00000000" w:rsidRDefault="00000000">
      <w:pPr>
        <w:rPr>
          <w:rFonts w:hint="eastAsia"/>
        </w:rPr>
      </w:pPr>
      <w:r>
        <w:rPr>
          <w:rFonts w:hint="eastAsia"/>
        </w:rPr>
        <w:tab/>
        <w:t xml:space="preserve">63.  </w:t>
      </w:r>
      <w:r>
        <w:rPr>
          <w:rFonts w:hint="eastAsia"/>
        </w:rPr>
        <w:t>以色列的初步报告述及了公共工程方案。自</w:t>
      </w:r>
      <w:r>
        <w:rPr>
          <w:rFonts w:hint="eastAsia"/>
        </w:rPr>
        <w:t>1996</w:t>
      </w:r>
      <w:r>
        <w:rPr>
          <w:rFonts w:hint="eastAsia"/>
        </w:rPr>
        <w:t>年以来一直在至力于开展推行这些方案，以求寻找出解决失业的临时性办法。在此，应注意到政府有意扩大这些项目，尤其是在那些失去其技能和工作习惯的长期失业者中推行这些项目。劳工和社会事务部正在制定职业培训和（或）一般教育培训班与有关公共工程项目的就业相结合的方案，以提高这些长期失业者的技能。劳工和社会事务部的数据表明，</w:t>
      </w:r>
      <w:r>
        <w:rPr>
          <w:rFonts w:hint="eastAsia"/>
        </w:rPr>
        <w:t>1997</w:t>
      </w:r>
      <w:r>
        <w:rPr>
          <w:rFonts w:hint="eastAsia"/>
        </w:rPr>
        <w:t>年</w:t>
      </w:r>
      <w:r>
        <w:rPr>
          <w:rFonts w:hint="eastAsia"/>
        </w:rPr>
        <w:t>870</w:t>
      </w:r>
      <w:r>
        <w:rPr>
          <w:rFonts w:hint="eastAsia"/>
        </w:rPr>
        <w:t>名失业者每月平均工作约</w:t>
      </w:r>
      <w:r>
        <w:rPr>
          <w:rFonts w:hint="eastAsia"/>
        </w:rPr>
        <w:t>18</w:t>
      </w:r>
      <w:r>
        <w:rPr>
          <w:rFonts w:hint="eastAsia"/>
        </w:rPr>
        <w:t>天。这一数字从</w:t>
      </w:r>
      <w:r>
        <w:rPr>
          <w:rFonts w:hint="eastAsia"/>
        </w:rPr>
        <w:t>1998</w:t>
      </w:r>
      <w:r>
        <w:rPr>
          <w:rFonts w:hint="eastAsia"/>
        </w:rPr>
        <w:t>年</w:t>
      </w:r>
      <w:r>
        <w:rPr>
          <w:rFonts w:hint="eastAsia"/>
        </w:rPr>
        <w:t>1,280</w:t>
      </w:r>
      <w:r>
        <w:rPr>
          <w:rFonts w:hint="eastAsia"/>
        </w:rPr>
        <w:t>人每月工作</w:t>
      </w:r>
      <w:r>
        <w:rPr>
          <w:rFonts w:hint="eastAsia"/>
        </w:rPr>
        <w:t>17</w:t>
      </w:r>
      <w:r>
        <w:rPr>
          <w:rFonts w:hint="eastAsia"/>
        </w:rPr>
        <w:t>天恶化至</w:t>
      </w:r>
      <w:r>
        <w:rPr>
          <w:rFonts w:hint="eastAsia"/>
        </w:rPr>
        <w:t>1999</w:t>
      </w:r>
      <w:r>
        <w:rPr>
          <w:rFonts w:hint="eastAsia"/>
        </w:rPr>
        <w:t>年约</w:t>
      </w:r>
      <w:r>
        <w:rPr>
          <w:rFonts w:hint="eastAsia"/>
        </w:rPr>
        <w:t>1,700</w:t>
      </w:r>
      <w:r>
        <w:rPr>
          <w:rFonts w:hint="eastAsia"/>
        </w:rPr>
        <w:t>人每月工作</w:t>
      </w:r>
      <w:r>
        <w:rPr>
          <w:rFonts w:hint="eastAsia"/>
        </w:rPr>
        <w:t>17</w:t>
      </w:r>
      <w:r>
        <w:rPr>
          <w:rFonts w:hint="eastAsia"/>
        </w:rPr>
        <w:t>天。</w:t>
      </w:r>
    </w:p>
    <w:p w:rsidR="00000000" w:rsidRDefault="00000000">
      <w:pPr>
        <w:spacing w:after="320"/>
        <w:rPr>
          <w:rFonts w:hint="eastAsia"/>
        </w:rPr>
      </w:pPr>
      <w:r>
        <w:rPr>
          <w:rFonts w:hint="eastAsia"/>
        </w:rPr>
        <w:tab/>
        <w:t xml:space="preserve">64.  </w:t>
      </w:r>
      <w:r>
        <w:rPr>
          <w:rFonts w:hint="eastAsia"/>
        </w:rPr>
        <w:t>以色列的第二次定期报告将进一步详细阐述各类有关就业问题。</w:t>
      </w:r>
    </w:p>
    <w:p w:rsidR="00000000" w:rsidRDefault="00000000">
      <w:pPr>
        <w:pStyle w:val="Heading3"/>
        <w:rPr>
          <w:rFonts w:hint="eastAsia"/>
          <w:u w:val="none"/>
        </w:rPr>
      </w:pPr>
      <w:r>
        <w:rPr>
          <w:rFonts w:hint="eastAsia"/>
          <w:u w:val="none"/>
        </w:rPr>
        <w:t xml:space="preserve">H.  </w:t>
      </w:r>
      <w:r>
        <w:rPr>
          <w:rFonts w:hint="eastAsia"/>
        </w:rPr>
        <w:t>残疾人的就业（结论性意见第</w:t>
      </w:r>
      <w:r>
        <w:rPr>
          <w:rFonts w:hint="eastAsia"/>
        </w:rPr>
        <w:t>15</w:t>
      </w:r>
      <w:r>
        <w:rPr>
          <w:rFonts w:hint="eastAsia"/>
        </w:rPr>
        <w:t>段</w:t>
      </w:r>
      <w:r>
        <w:rPr>
          <w:rFonts w:hint="eastAsia"/>
          <w:u w:val="none"/>
        </w:rPr>
        <w:t>）</w:t>
      </w:r>
    </w:p>
    <w:p w:rsidR="00000000" w:rsidRDefault="00000000">
      <w:pPr>
        <w:rPr>
          <w:rFonts w:hint="eastAsia"/>
        </w:rPr>
      </w:pPr>
      <w:r>
        <w:rPr>
          <w:rFonts w:hint="eastAsia"/>
        </w:rPr>
        <w:tab/>
        <w:t xml:space="preserve">65.  </w:t>
      </w:r>
      <w:r>
        <w:rPr>
          <w:rFonts w:hint="eastAsia"/>
        </w:rPr>
        <w:t>关于残疾人的就业情况，令人遗憾的是，残疾人的失业率较高。根据劳工和社会事务部盲人事务局展开的一项普查，查明盲人失业率是</w:t>
      </w:r>
      <w:r>
        <w:rPr>
          <w:rFonts w:hint="eastAsia"/>
        </w:rPr>
        <w:t>72%</w:t>
      </w:r>
      <w:r>
        <w:rPr>
          <w:rFonts w:hint="eastAsia"/>
        </w:rPr>
        <w:t>（</w:t>
      </w:r>
      <w:r>
        <w:rPr>
          <w:rFonts w:hint="eastAsia"/>
        </w:rPr>
        <w:t>1997</w:t>
      </w:r>
      <w:r>
        <w:rPr>
          <w:rFonts w:hint="eastAsia"/>
        </w:rPr>
        <w:t>年</w:t>
      </w:r>
      <w:r>
        <w:rPr>
          <w:rFonts w:hint="eastAsia"/>
        </w:rPr>
        <w:t>3</w:t>
      </w:r>
      <w:r>
        <w:rPr>
          <w:rFonts w:hint="eastAsia"/>
        </w:rPr>
        <w:t>月）。劳工和社会事务部康复事务司估计，严重残疾者、患病者、精神疾病者和智力迟纯者的失业率是</w:t>
      </w:r>
      <w:r>
        <w:rPr>
          <w:rFonts w:hint="eastAsia"/>
        </w:rPr>
        <w:t>70-75%</w:t>
      </w:r>
      <w:r>
        <w:rPr>
          <w:rFonts w:hint="eastAsia"/>
        </w:rPr>
        <w:t>。在（</w:t>
      </w:r>
      <w:r>
        <w:rPr>
          <w:rFonts w:hint="eastAsia"/>
        </w:rPr>
        <w:t>1992</w:t>
      </w:r>
      <w:r>
        <w:rPr>
          <w:rFonts w:hint="eastAsia"/>
        </w:rPr>
        <w:t>年）一项有关各项需求的普查中，</w:t>
      </w:r>
      <w:r>
        <w:rPr>
          <w:rFonts w:hint="eastAsia"/>
        </w:rPr>
        <w:t>30-64</w:t>
      </w:r>
      <w:r>
        <w:rPr>
          <w:rFonts w:hint="eastAsia"/>
        </w:rPr>
        <w:t>岁年龄组聋哑人的失业幅度达</w:t>
      </w:r>
      <w:r>
        <w:rPr>
          <w:rFonts w:hint="eastAsia"/>
        </w:rPr>
        <w:t>18-22%</w:t>
      </w:r>
      <w:r>
        <w:rPr>
          <w:rFonts w:hint="eastAsia"/>
        </w:rPr>
        <w:t>。此外，这一领域的专家还指出了残疾人恢复就业政策中的一些专业性缺陷。他们具体地指出，由于隔离性的就业体制，未能向自由市场充分地推荐残疾人，无法利用此类就业者的资格条件和个人的就业潜力。</w:t>
      </w:r>
    </w:p>
    <w:p w:rsidR="00000000" w:rsidRDefault="00000000">
      <w:pPr>
        <w:rPr>
          <w:rFonts w:hint="eastAsia"/>
        </w:rPr>
      </w:pPr>
      <w:r>
        <w:rPr>
          <w:rFonts w:hint="eastAsia"/>
        </w:rPr>
        <w:tab/>
        <w:t xml:space="preserve">66.  </w:t>
      </w:r>
      <w:r>
        <w:rPr>
          <w:rFonts w:hint="eastAsia"/>
        </w:rPr>
        <w:t>同时，残疾人挣取的工资较低：第</w:t>
      </w:r>
      <w:r>
        <w:rPr>
          <w:rFonts w:hint="eastAsia"/>
        </w:rPr>
        <w:t>5747-1987</w:t>
      </w:r>
      <w:r>
        <w:rPr>
          <w:rFonts w:hint="eastAsia"/>
        </w:rPr>
        <w:t>号《最低工资法并不适用于受保护的企业和雇员，该法的第</w:t>
      </w:r>
      <w:r>
        <w:rPr>
          <w:rFonts w:hint="eastAsia"/>
        </w:rPr>
        <w:t>17</w:t>
      </w:r>
      <w:r>
        <w:t>（</w:t>
      </w:r>
      <w:r>
        <w:t>a</w:t>
      </w:r>
      <w:r>
        <w:t>）</w:t>
      </w:r>
      <w:r>
        <w:rPr>
          <w:rFonts w:hint="eastAsia"/>
        </w:rPr>
        <w:t>节授权劳工和社会事务部长在条例中规定，此项法律的条款将适用于生理、精神或智力残疾，并属于国家财政部预算拟保护企业聘用的雇员。劳工部长尚未颁布这样的条例。</w:t>
      </w:r>
      <w:r>
        <w:rPr>
          <w:rFonts w:hint="eastAsia"/>
        </w:rPr>
        <w:t>1997</w:t>
      </w:r>
      <w:r>
        <w:rPr>
          <w:rFonts w:hint="eastAsia"/>
        </w:rPr>
        <w:t>年，对《最初工资法》（第</w:t>
      </w:r>
      <w:r>
        <w:rPr>
          <w:rFonts w:hint="eastAsia"/>
        </w:rPr>
        <w:t>17</w:t>
      </w:r>
      <w:r>
        <w:t>（</w:t>
      </w:r>
      <w:r>
        <w:t>b</w:t>
      </w:r>
      <w:r>
        <w:t>）</w:t>
      </w:r>
      <w:r>
        <w:rPr>
          <w:rFonts w:hint="eastAsia"/>
        </w:rPr>
        <w:t>节）作出了修订，并授权劳工部长在条例中规定了对在自由市场中求职就业的残疾人实行降低的最低工资制（草案最近已经分发给政府各有关的部和公共组织征求意见）。</w:t>
      </w:r>
    </w:p>
    <w:p w:rsidR="00000000" w:rsidRDefault="00000000">
      <w:pPr>
        <w:rPr>
          <w:rFonts w:hint="eastAsia"/>
        </w:rPr>
      </w:pPr>
      <w:r>
        <w:rPr>
          <w:rFonts w:hint="eastAsia"/>
        </w:rPr>
        <w:tab/>
        <w:t>67.  1998</w:t>
      </w:r>
      <w:r>
        <w:rPr>
          <w:rFonts w:hint="eastAsia"/>
        </w:rPr>
        <w:t>年《残疾人平等权利法》规定，残疾人享有就业平等的权利。该法第</w:t>
      </w:r>
      <w:r>
        <w:rPr>
          <w:rFonts w:hint="eastAsia"/>
        </w:rPr>
        <w:t>8</w:t>
      </w:r>
      <w:r>
        <w:rPr>
          <w:rFonts w:hint="eastAsia"/>
        </w:rPr>
        <w:t>节禁止基于残疾原因实行就业歧视，包括有义务作出合理的调整。根据这项法律，劳工和社会事务部长以及财政部长承担了颁布各项条例的责任，以确定国家参与资助调整的程度。这项条例也尚未颁布。法律第</w:t>
      </w:r>
      <w:r>
        <w:rPr>
          <w:rFonts w:hint="eastAsia"/>
        </w:rPr>
        <w:t>9</w:t>
      </w:r>
      <w:r>
        <w:rPr>
          <w:rFonts w:hint="eastAsia"/>
        </w:rPr>
        <w:t>节规定，作为一项七年的过渡性条款，凡雇用超过</w:t>
      </w:r>
      <w:r>
        <w:rPr>
          <w:rFonts w:hint="eastAsia"/>
        </w:rPr>
        <w:t>25</w:t>
      </w:r>
      <w:r>
        <w:rPr>
          <w:rFonts w:hint="eastAsia"/>
        </w:rPr>
        <w:t>名雇工以上的人，有义务确保雇用公平程度比例的残疾人。此外，法律第</w:t>
      </w:r>
      <w:r>
        <w:rPr>
          <w:rFonts w:hint="eastAsia"/>
        </w:rPr>
        <w:t>28</w:t>
      </w:r>
      <w:r>
        <w:rPr>
          <w:rFonts w:hint="eastAsia"/>
        </w:rPr>
        <w:t>节所载的一项间接修订案，即第</w:t>
      </w:r>
      <w:r>
        <w:rPr>
          <w:rFonts w:hint="eastAsia"/>
        </w:rPr>
        <w:t>5719-1959</w:t>
      </w:r>
      <w:r>
        <w:rPr>
          <w:rFonts w:hint="eastAsia"/>
        </w:rPr>
        <w:t>号《国家服务部门（聘用）法》，阐明有义务尊重残疾人在国家服务部门中应占有公平程度比例的义务。法律第</w:t>
      </w:r>
      <w:r>
        <w:rPr>
          <w:rFonts w:hint="eastAsia"/>
        </w:rPr>
        <w:t>16</w:t>
      </w:r>
      <w:r>
        <w:rPr>
          <w:rFonts w:hint="eastAsia"/>
        </w:rPr>
        <w:t>节规定，劳工和社会事务部长应发起和制定促进残疾人恢复就业的方案，而且他每年应向议会的劳工、社会福利和健康事务委员会提交一份有关此问题的报告。直到目前为止，尚未向议会提交过一份此类报告。劳工和社会事务部长最近向议会的劳工、社会福利和健康事务委员会提交了把在工作地点专设残疾人停车位置列为首要事务的条例草案，并且为批准此项条例草案举行了一次会议。</w:t>
      </w:r>
    </w:p>
    <w:p w:rsidR="00000000" w:rsidRDefault="00000000">
      <w:pPr>
        <w:rPr>
          <w:rFonts w:hint="eastAsia"/>
        </w:rPr>
      </w:pPr>
      <w:r>
        <w:rPr>
          <w:rFonts w:hint="eastAsia"/>
        </w:rPr>
        <w:tab/>
        <w:t xml:space="preserve">68.  </w:t>
      </w:r>
      <w:r>
        <w:rPr>
          <w:rFonts w:hint="eastAsia"/>
        </w:rPr>
        <w:t>去年修订的第</w:t>
      </w:r>
      <w:r>
        <w:rPr>
          <w:rFonts w:hint="eastAsia"/>
        </w:rPr>
        <w:t>5723-1962</w:t>
      </w:r>
      <w:r>
        <w:rPr>
          <w:rFonts w:hint="eastAsia"/>
        </w:rPr>
        <w:t>号《律师协会（审查以色列国法律安排情况和具体事务的）规则》规定如下：</w:t>
      </w:r>
    </w:p>
    <w:p w:rsidR="00000000" w:rsidRDefault="00000000">
      <w:pPr>
        <w:ind w:left="1040"/>
        <w:rPr>
          <w:rFonts w:hint="eastAsia"/>
        </w:rPr>
      </w:pPr>
      <w:r>
        <w:rPr>
          <w:rFonts w:hint="eastAsia"/>
        </w:rPr>
        <w:tab/>
      </w:r>
      <w:r>
        <w:rPr>
          <w:rFonts w:hint="eastAsia"/>
        </w:rPr>
        <w:t>“（</w:t>
      </w:r>
      <w:r>
        <w:t>a</w:t>
      </w:r>
      <w:r>
        <w:t>）</w:t>
      </w:r>
      <w:r>
        <w:rPr>
          <w:rFonts w:hint="eastAsia"/>
        </w:rPr>
        <w:t xml:space="preserve"> </w:t>
      </w:r>
      <w:r>
        <w:rPr>
          <w:rFonts w:hint="eastAsia"/>
        </w:rPr>
        <w:t>关于根据规则第</w:t>
      </w:r>
      <w:r>
        <w:rPr>
          <w:rFonts w:hint="eastAsia"/>
        </w:rPr>
        <w:t>18B</w:t>
      </w:r>
      <w:r>
        <w:rPr>
          <w:rFonts w:hint="eastAsia"/>
        </w:rPr>
        <w:t>条开具的书面体检报告，体检委员会在第</w:t>
      </w:r>
      <w:r>
        <w:rPr>
          <w:rFonts w:hint="eastAsia"/>
        </w:rPr>
        <w:t>5758-1998</w:t>
      </w:r>
      <w:r>
        <w:rPr>
          <w:rFonts w:hint="eastAsia"/>
        </w:rPr>
        <w:t>号《残疾人平均权利法》的含义范围内，应受体检的残疾人提出的要求，按其残疾度确定对其作出适当程度的调整，从而应确保他或她能够按与其他接受体格检查者一样，按尽可能平等的条件接受体检。”</w:t>
      </w:r>
      <w:r>
        <w:rPr>
          <w:rFonts w:hint="eastAsia"/>
        </w:rPr>
        <w:t xml:space="preserve"> </w:t>
      </w:r>
    </w:p>
    <w:p w:rsidR="00000000" w:rsidRDefault="00000000">
      <w:pPr>
        <w:spacing w:after="320"/>
        <w:rPr>
          <w:rFonts w:hint="eastAsia"/>
        </w:rPr>
      </w:pPr>
      <w:r>
        <w:rPr>
          <w:rFonts w:hint="eastAsia"/>
        </w:rPr>
        <w:tab/>
        <w:t xml:space="preserve">69.  </w:t>
      </w:r>
      <w:r>
        <w:rPr>
          <w:rFonts w:hint="eastAsia"/>
        </w:rPr>
        <w:t>总之，以上所述的各项实例表明以色列正在致力于降低残疾人之中的失业率。</w:t>
      </w:r>
    </w:p>
    <w:p w:rsidR="00000000" w:rsidRDefault="00000000">
      <w:pPr>
        <w:pStyle w:val="Heading3"/>
        <w:rPr>
          <w:rFonts w:hint="eastAsia"/>
          <w:u w:val="none"/>
        </w:rPr>
      </w:pPr>
      <w:r>
        <w:rPr>
          <w:rFonts w:hint="eastAsia"/>
          <w:u w:val="none"/>
        </w:rPr>
        <w:t xml:space="preserve">I.  </w:t>
      </w:r>
      <w:r>
        <w:rPr>
          <w:rFonts w:hint="eastAsia"/>
        </w:rPr>
        <w:t>最低工资（结论性意见第</w:t>
      </w:r>
      <w:r>
        <w:rPr>
          <w:rFonts w:hint="eastAsia"/>
        </w:rPr>
        <w:t>16</w:t>
      </w:r>
      <w:r>
        <w:rPr>
          <w:rFonts w:hint="eastAsia"/>
        </w:rPr>
        <w:t>段</w:t>
      </w:r>
      <w:r>
        <w:rPr>
          <w:rFonts w:hint="eastAsia"/>
          <w:u w:val="none"/>
        </w:rPr>
        <w:t>）</w:t>
      </w:r>
    </w:p>
    <w:p w:rsidR="00000000" w:rsidRDefault="00000000">
      <w:pPr>
        <w:rPr>
          <w:rFonts w:hint="eastAsia"/>
        </w:rPr>
      </w:pPr>
      <w:r>
        <w:rPr>
          <w:rFonts w:hint="eastAsia"/>
        </w:rPr>
        <w:tab/>
        <w:t xml:space="preserve">70.  </w:t>
      </w:r>
      <w:r>
        <w:rPr>
          <w:rFonts w:hint="eastAsia"/>
        </w:rPr>
        <w:t>在所有应享有此项权利的工人中，实际上只有半数的人领取了法定最低工资额，对此，委员会表示关注。由于难以确定实际应领取最低限度工资的工人人数，对目前所知数据的可靠性存有疑问。根据劳工和社会事务部最近展开的一项研究，在所有工作人口中，未能领取（每小时）法定最低工资的工人百分比约为</w:t>
      </w:r>
      <w:r>
        <w:rPr>
          <w:rFonts w:hint="eastAsia"/>
        </w:rPr>
        <w:t>5.5%</w:t>
      </w:r>
      <w:r>
        <w:rPr>
          <w:rFonts w:hint="eastAsia"/>
        </w:rPr>
        <w:t>。</w:t>
      </w:r>
    </w:p>
    <w:p w:rsidR="00000000" w:rsidRDefault="00000000">
      <w:pPr>
        <w:rPr>
          <w:rFonts w:hint="eastAsia"/>
          <w:sz w:val="18"/>
        </w:rPr>
      </w:pPr>
      <w:r>
        <w:rPr>
          <w:rFonts w:hint="eastAsia"/>
        </w:rPr>
        <w:tab/>
        <w:t>71.  1997</w:t>
      </w:r>
      <w:r>
        <w:rPr>
          <w:rFonts w:hint="eastAsia"/>
        </w:rPr>
        <w:t>年修订和增强了</w:t>
      </w:r>
      <w:r>
        <w:rPr>
          <w:rFonts w:hint="eastAsia"/>
        </w:rPr>
        <w:t>1987</w:t>
      </w:r>
      <w:r>
        <w:rPr>
          <w:rFonts w:hint="eastAsia"/>
        </w:rPr>
        <w:t>年的《最低工资法》。这项法律由劳工和社会事务部的执行处实施。该部的监查员定期地对全国各工作地点进行实地监查。依照法律应对违法的雇主实行罚款，甚至对极个别的雇主提出起诉，并规定必须向工人们补足实际支付工资与法定工资之间的差额。</w:t>
      </w:r>
    </w:p>
    <w:p w:rsidR="00000000" w:rsidRDefault="00000000">
      <w:pPr>
        <w:spacing w:after="240"/>
        <w:rPr>
          <w:rFonts w:hint="eastAsia"/>
        </w:rPr>
      </w:pPr>
      <w:r>
        <w:rPr>
          <w:rFonts w:hint="eastAsia"/>
        </w:rPr>
        <w:tab/>
        <w:t xml:space="preserve">72.  </w:t>
      </w:r>
      <w:r>
        <w:rPr>
          <w:rFonts w:hint="eastAsia"/>
        </w:rPr>
        <w:t>这项法律的执行适用于所有工人：以色列成年人、青少年工人、巴勒斯坦工人、外籍工人和劳动承包商雇用的工人。委员会对三组工人群体尤感关注。</w:t>
      </w:r>
    </w:p>
    <w:p w:rsidR="00000000" w:rsidRDefault="00000000">
      <w:pPr>
        <w:pStyle w:val="Heading3"/>
        <w:rPr>
          <w:rFonts w:hint="eastAsia"/>
        </w:rPr>
      </w:pPr>
      <w:r>
        <w:rPr>
          <w:rFonts w:hint="eastAsia"/>
          <w:u w:val="none"/>
        </w:rPr>
        <w:t>《</w:t>
      </w:r>
      <w:r>
        <w:rPr>
          <w:rFonts w:hint="eastAsia"/>
        </w:rPr>
        <w:t>最低工资法》执行情况报告（</w:t>
      </w:r>
      <w:r>
        <w:rPr>
          <w:rFonts w:hint="eastAsia"/>
        </w:rPr>
        <w:t>1996</w:t>
      </w:r>
      <w:r>
        <w:rPr>
          <w:rFonts w:hint="eastAsia"/>
        </w:rPr>
        <w:t>年</w:t>
      </w:r>
      <w:r>
        <w:rPr>
          <w:rFonts w:hint="eastAsia"/>
          <w:u w:val="none"/>
        </w:rPr>
        <w:t>）</w:t>
      </w:r>
    </w:p>
    <w:p w:rsidR="00000000" w:rsidRDefault="00000000">
      <w:pPr>
        <w:pStyle w:val="Heading3"/>
        <w:rPr>
          <w:rFonts w:hint="eastAsia"/>
        </w:rPr>
      </w:pPr>
      <w:r>
        <w:rPr>
          <w:rFonts w:hint="eastAsia"/>
        </w:rPr>
        <w:t>已有调查结论</w:t>
      </w:r>
    </w:p>
    <w:tbl>
      <w:tblPr>
        <w:tblW w:w="482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716"/>
        <w:gridCol w:w="709"/>
        <w:gridCol w:w="711"/>
        <w:gridCol w:w="711"/>
        <w:gridCol w:w="723"/>
        <w:gridCol w:w="713"/>
        <w:gridCol w:w="716"/>
        <w:gridCol w:w="711"/>
        <w:gridCol w:w="713"/>
        <w:gridCol w:w="728"/>
        <w:gridCol w:w="716"/>
        <w:gridCol w:w="717"/>
      </w:tblGrid>
      <w:tr w:rsidR="00000000">
        <w:tblPrEx>
          <w:tblCellMar>
            <w:top w:w="0" w:type="dxa"/>
            <w:bottom w:w="0" w:type="dxa"/>
          </w:tblCellMar>
        </w:tblPrEx>
        <w:trPr>
          <w:cantSplit/>
        </w:trPr>
        <w:tc>
          <w:tcPr>
            <w:tcW w:w="355" w:type="pct"/>
            <w:vMerge w:val="restart"/>
          </w:tcPr>
          <w:p w:rsidR="00000000" w:rsidRDefault="00000000">
            <w:pPr>
              <w:spacing w:before="360"/>
              <w:jc w:val="center"/>
              <w:rPr>
                <w:rFonts w:hint="eastAsia"/>
                <w:sz w:val="20"/>
              </w:rPr>
            </w:pPr>
            <w:r>
              <w:rPr>
                <w:rFonts w:hint="eastAsia"/>
                <w:sz w:val="20"/>
              </w:rPr>
              <w:t>日</w:t>
            </w:r>
            <w:r>
              <w:rPr>
                <w:sz w:val="20"/>
              </w:rPr>
              <w:t xml:space="preserve"> </w:t>
            </w:r>
            <w:r>
              <w:rPr>
                <w:rFonts w:hint="eastAsia"/>
                <w:sz w:val="20"/>
              </w:rPr>
              <w:t>期</w:t>
            </w:r>
          </w:p>
        </w:tc>
        <w:tc>
          <w:tcPr>
            <w:tcW w:w="1932" w:type="pct"/>
            <w:gridSpan w:val="5"/>
          </w:tcPr>
          <w:p w:rsidR="00000000" w:rsidRDefault="00000000">
            <w:pPr>
              <w:spacing w:before="60"/>
              <w:jc w:val="center"/>
              <w:rPr>
                <w:rFonts w:hint="eastAsia"/>
                <w:sz w:val="20"/>
              </w:rPr>
            </w:pPr>
            <w:r>
              <w:rPr>
                <w:rFonts w:hint="eastAsia"/>
                <w:sz w:val="20"/>
              </w:rPr>
              <w:t>男</w:t>
            </w:r>
            <w:r>
              <w:rPr>
                <w:sz w:val="20"/>
              </w:rPr>
              <w:t xml:space="preserve"> </w:t>
            </w:r>
            <w:r>
              <w:rPr>
                <w:rFonts w:hint="eastAsia"/>
                <w:sz w:val="20"/>
              </w:rPr>
              <w:t>性</w:t>
            </w:r>
            <w:r>
              <w:rPr>
                <w:sz w:val="20"/>
              </w:rPr>
              <w:t xml:space="preserve"> </w:t>
            </w:r>
            <w:r>
              <w:rPr>
                <w:rFonts w:hint="eastAsia"/>
                <w:sz w:val="20"/>
              </w:rPr>
              <w:t>工</w:t>
            </w:r>
            <w:r>
              <w:rPr>
                <w:sz w:val="20"/>
              </w:rPr>
              <w:t xml:space="preserve"> </w:t>
            </w:r>
            <w:r>
              <w:rPr>
                <w:rFonts w:hint="eastAsia"/>
                <w:sz w:val="20"/>
              </w:rPr>
              <w:t>人</w:t>
            </w:r>
          </w:p>
        </w:tc>
        <w:tc>
          <w:tcPr>
            <w:tcW w:w="1938" w:type="pct"/>
            <w:gridSpan w:val="5"/>
          </w:tcPr>
          <w:p w:rsidR="00000000" w:rsidRDefault="00000000">
            <w:pPr>
              <w:spacing w:before="60"/>
              <w:jc w:val="center"/>
              <w:rPr>
                <w:rFonts w:hint="eastAsia"/>
                <w:sz w:val="20"/>
              </w:rPr>
            </w:pPr>
            <w:r>
              <w:rPr>
                <w:rFonts w:hint="eastAsia"/>
                <w:sz w:val="20"/>
              </w:rPr>
              <w:t>女</w:t>
            </w:r>
            <w:r>
              <w:rPr>
                <w:sz w:val="20"/>
              </w:rPr>
              <w:t xml:space="preserve"> </w:t>
            </w:r>
            <w:r>
              <w:rPr>
                <w:rFonts w:hint="eastAsia"/>
                <w:sz w:val="20"/>
              </w:rPr>
              <w:t>性</w:t>
            </w:r>
            <w:r>
              <w:rPr>
                <w:sz w:val="20"/>
              </w:rPr>
              <w:t xml:space="preserve"> </w:t>
            </w:r>
            <w:r>
              <w:rPr>
                <w:rFonts w:hint="eastAsia"/>
                <w:sz w:val="20"/>
              </w:rPr>
              <w:t>工</w:t>
            </w:r>
            <w:r>
              <w:rPr>
                <w:sz w:val="20"/>
              </w:rPr>
              <w:t xml:space="preserve"> </w:t>
            </w:r>
            <w:r>
              <w:rPr>
                <w:rFonts w:hint="eastAsia"/>
                <w:sz w:val="20"/>
              </w:rPr>
              <w:t>人</w:t>
            </w:r>
          </w:p>
        </w:tc>
        <w:tc>
          <w:tcPr>
            <w:tcW w:w="387" w:type="pct"/>
            <w:vMerge w:val="restart"/>
          </w:tcPr>
          <w:p w:rsidR="00000000" w:rsidRDefault="00000000">
            <w:pPr>
              <w:spacing w:before="360"/>
              <w:jc w:val="center"/>
              <w:rPr>
                <w:rFonts w:hint="eastAsia"/>
                <w:sz w:val="20"/>
              </w:rPr>
            </w:pPr>
            <w:r>
              <w:rPr>
                <w:rFonts w:hint="eastAsia"/>
                <w:sz w:val="20"/>
              </w:rPr>
              <w:t>总</w:t>
            </w:r>
            <w:r>
              <w:rPr>
                <w:sz w:val="20"/>
              </w:rPr>
              <w:t xml:space="preserve"> </w:t>
            </w:r>
            <w:r>
              <w:rPr>
                <w:rFonts w:hint="eastAsia"/>
                <w:sz w:val="20"/>
              </w:rPr>
              <w:t>数</w:t>
            </w:r>
          </w:p>
        </w:tc>
        <w:tc>
          <w:tcPr>
            <w:tcW w:w="388" w:type="pct"/>
            <w:vMerge w:val="restart"/>
          </w:tcPr>
          <w:p w:rsidR="00000000" w:rsidRDefault="00000000">
            <w:pPr>
              <w:spacing w:before="360" w:after="240"/>
              <w:ind w:left="-108" w:right="-125"/>
              <w:jc w:val="center"/>
              <w:rPr>
                <w:rFonts w:hint="eastAsia"/>
                <w:sz w:val="20"/>
              </w:rPr>
            </w:pPr>
            <w:r>
              <w:rPr>
                <w:rFonts w:hint="eastAsia"/>
                <w:sz w:val="20"/>
              </w:rPr>
              <w:t>雇</w:t>
            </w:r>
            <w:r>
              <w:rPr>
                <w:sz w:val="20"/>
              </w:rPr>
              <w:t xml:space="preserve"> </w:t>
            </w:r>
            <w:r>
              <w:rPr>
                <w:rFonts w:hint="eastAsia"/>
                <w:sz w:val="20"/>
              </w:rPr>
              <w:t>主</w:t>
            </w:r>
            <w:r>
              <w:rPr>
                <w:sz w:val="20"/>
              </w:rPr>
              <w:br/>
            </w:r>
            <w:r>
              <w:rPr>
                <w:rFonts w:hint="eastAsia"/>
                <w:sz w:val="20"/>
              </w:rPr>
              <w:t>总人数</w:t>
            </w:r>
            <w:r>
              <w:rPr>
                <w:sz w:val="20"/>
              </w:rPr>
              <w:br/>
              <w:t>(</w:t>
            </w:r>
            <w:r>
              <w:rPr>
                <w:rFonts w:hint="eastAsia"/>
                <w:sz w:val="20"/>
              </w:rPr>
              <w:t>案件</w:t>
            </w:r>
            <w:r>
              <w:rPr>
                <w:sz w:val="20"/>
              </w:rPr>
              <w:t>)</w:t>
            </w:r>
          </w:p>
        </w:tc>
      </w:tr>
      <w:tr w:rsidR="00000000">
        <w:tblPrEx>
          <w:tblCellMar>
            <w:top w:w="0" w:type="dxa"/>
            <w:bottom w:w="0" w:type="dxa"/>
          </w:tblCellMar>
        </w:tblPrEx>
        <w:trPr>
          <w:cantSplit/>
        </w:trPr>
        <w:tc>
          <w:tcPr>
            <w:tcW w:w="355" w:type="pct"/>
            <w:vMerge/>
          </w:tcPr>
          <w:p w:rsidR="00000000" w:rsidRDefault="00000000">
            <w:pPr>
              <w:spacing w:before="60"/>
              <w:jc w:val="center"/>
              <w:rPr>
                <w:sz w:val="20"/>
              </w:rPr>
            </w:pPr>
          </w:p>
        </w:tc>
        <w:tc>
          <w:tcPr>
            <w:tcW w:w="387" w:type="pct"/>
          </w:tcPr>
          <w:p w:rsidR="00000000" w:rsidRDefault="00000000">
            <w:pPr>
              <w:spacing w:before="240"/>
              <w:jc w:val="center"/>
              <w:rPr>
                <w:rFonts w:hint="eastAsia"/>
                <w:sz w:val="20"/>
              </w:rPr>
            </w:pPr>
            <w:r>
              <w:rPr>
                <w:rFonts w:hint="eastAsia"/>
                <w:sz w:val="20"/>
              </w:rPr>
              <w:t>外籍人</w:t>
            </w:r>
          </w:p>
        </w:tc>
        <w:tc>
          <w:tcPr>
            <w:tcW w:w="384" w:type="pct"/>
          </w:tcPr>
          <w:p w:rsidR="00000000" w:rsidRDefault="00000000">
            <w:pPr>
              <w:spacing w:before="240"/>
              <w:jc w:val="center"/>
              <w:rPr>
                <w:rFonts w:hint="eastAsia"/>
                <w:sz w:val="20"/>
              </w:rPr>
            </w:pPr>
            <w:r>
              <w:rPr>
                <w:rFonts w:hint="eastAsia"/>
                <w:sz w:val="20"/>
              </w:rPr>
              <w:t>犹太人</w:t>
            </w:r>
          </w:p>
        </w:tc>
        <w:tc>
          <w:tcPr>
            <w:tcW w:w="385" w:type="pct"/>
          </w:tcPr>
          <w:p w:rsidR="00000000" w:rsidRDefault="00000000">
            <w:pPr>
              <w:spacing w:before="240"/>
              <w:jc w:val="center"/>
              <w:rPr>
                <w:rFonts w:hint="eastAsia"/>
                <w:sz w:val="20"/>
              </w:rPr>
            </w:pPr>
            <w:r>
              <w:rPr>
                <w:rFonts w:hint="eastAsia"/>
                <w:sz w:val="20"/>
              </w:rPr>
              <w:t>阿拉伯人</w:t>
            </w:r>
          </w:p>
        </w:tc>
        <w:tc>
          <w:tcPr>
            <w:tcW w:w="385" w:type="pct"/>
          </w:tcPr>
          <w:p w:rsidR="00000000" w:rsidRDefault="00000000">
            <w:pPr>
              <w:spacing w:before="240"/>
              <w:jc w:val="center"/>
              <w:rPr>
                <w:rFonts w:hint="eastAsia"/>
                <w:sz w:val="20"/>
              </w:rPr>
            </w:pPr>
            <w:r>
              <w:rPr>
                <w:rFonts w:hint="eastAsia"/>
                <w:sz w:val="20"/>
              </w:rPr>
              <w:t>犹太青年人</w:t>
            </w:r>
          </w:p>
        </w:tc>
        <w:tc>
          <w:tcPr>
            <w:tcW w:w="391" w:type="pct"/>
          </w:tcPr>
          <w:p w:rsidR="00000000" w:rsidRDefault="00000000">
            <w:pPr>
              <w:spacing w:before="240"/>
              <w:jc w:val="center"/>
              <w:rPr>
                <w:rFonts w:hint="eastAsia"/>
                <w:sz w:val="20"/>
              </w:rPr>
            </w:pPr>
            <w:r>
              <w:rPr>
                <w:rFonts w:hint="eastAsia"/>
                <w:sz w:val="20"/>
              </w:rPr>
              <w:t>阿拉伯青年人</w:t>
            </w:r>
          </w:p>
        </w:tc>
        <w:tc>
          <w:tcPr>
            <w:tcW w:w="386" w:type="pct"/>
          </w:tcPr>
          <w:p w:rsidR="00000000" w:rsidRDefault="00000000">
            <w:pPr>
              <w:spacing w:before="240"/>
              <w:jc w:val="center"/>
              <w:rPr>
                <w:rFonts w:hint="eastAsia"/>
                <w:sz w:val="20"/>
              </w:rPr>
            </w:pPr>
            <w:r>
              <w:rPr>
                <w:rFonts w:hint="eastAsia"/>
                <w:sz w:val="20"/>
              </w:rPr>
              <w:t>外籍人</w:t>
            </w:r>
          </w:p>
        </w:tc>
        <w:tc>
          <w:tcPr>
            <w:tcW w:w="387" w:type="pct"/>
          </w:tcPr>
          <w:p w:rsidR="00000000" w:rsidRDefault="00000000">
            <w:pPr>
              <w:spacing w:before="240"/>
              <w:jc w:val="center"/>
              <w:rPr>
                <w:rFonts w:hint="eastAsia"/>
                <w:sz w:val="20"/>
              </w:rPr>
            </w:pPr>
            <w:r>
              <w:rPr>
                <w:rFonts w:hint="eastAsia"/>
                <w:sz w:val="20"/>
              </w:rPr>
              <w:t>犹太人</w:t>
            </w:r>
          </w:p>
        </w:tc>
        <w:tc>
          <w:tcPr>
            <w:tcW w:w="385" w:type="pct"/>
          </w:tcPr>
          <w:p w:rsidR="00000000" w:rsidRDefault="00000000">
            <w:pPr>
              <w:spacing w:before="240"/>
              <w:jc w:val="center"/>
              <w:rPr>
                <w:rFonts w:hint="eastAsia"/>
                <w:sz w:val="20"/>
              </w:rPr>
            </w:pPr>
            <w:r>
              <w:rPr>
                <w:rFonts w:hint="eastAsia"/>
                <w:sz w:val="20"/>
              </w:rPr>
              <w:t>阿拉伯人</w:t>
            </w:r>
          </w:p>
        </w:tc>
        <w:tc>
          <w:tcPr>
            <w:tcW w:w="386" w:type="pct"/>
          </w:tcPr>
          <w:p w:rsidR="00000000" w:rsidRDefault="00000000">
            <w:pPr>
              <w:spacing w:before="240"/>
              <w:jc w:val="center"/>
              <w:rPr>
                <w:rFonts w:hint="eastAsia"/>
                <w:sz w:val="20"/>
              </w:rPr>
            </w:pPr>
            <w:r>
              <w:rPr>
                <w:rFonts w:hint="eastAsia"/>
                <w:sz w:val="20"/>
              </w:rPr>
              <w:t>犹太青年人</w:t>
            </w:r>
          </w:p>
        </w:tc>
        <w:tc>
          <w:tcPr>
            <w:tcW w:w="394" w:type="pct"/>
          </w:tcPr>
          <w:p w:rsidR="00000000" w:rsidRDefault="00000000">
            <w:pPr>
              <w:spacing w:before="240"/>
              <w:jc w:val="center"/>
              <w:rPr>
                <w:rFonts w:hint="eastAsia"/>
                <w:sz w:val="20"/>
              </w:rPr>
            </w:pPr>
            <w:r>
              <w:rPr>
                <w:rFonts w:hint="eastAsia"/>
                <w:sz w:val="20"/>
              </w:rPr>
              <w:t>阿拉伯青年人</w:t>
            </w:r>
          </w:p>
        </w:tc>
        <w:tc>
          <w:tcPr>
            <w:tcW w:w="387" w:type="pct"/>
            <w:vMerge/>
          </w:tcPr>
          <w:p w:rsidR="00000000" w:rsidRDefault="00000000">
            <w:pPr>
              <w:spacing w:before="60"/>
              <w:jc w:val="center"/>
              <w:rPr>
                <w:sz w:val="20"/>
              </w:rPr>
            </w:pPr>
          </w:p>
        </w:tc>
        <w:tc>
          <w:tcPr>
            <w:tcW w:w="388" w:type="pct"/>
            <w:vMerge/>
          </w:tcPr>
          <w:p w:rsidR="00000000" w:rsidRDefault="00000000">
            <w:pPr>
              <w:spacing w:before="60"/>
              <w:jc w:val="center"/>
              <w:rPr>
                <w:sz w:val="20"/>
              </w:rPr>
            </w:pPr>
          </w:p>
        </w:tc>
      </w:tr>
      <w:tr w:rsidR="00000000">
        <w:tblPrEx>
          <w:tblCellMar>
            <w:top w:w="0" w:type="dxa"/>
            <w:bottom w:w="0" w:type="dxa"/>
          </w:tblCellMar>
        </w:tblPrEx>
        <w:tc>
          <w:tcPr>
            <w:tcW w:w="355" w:type="pct"/>
          </w:tcPr>
          <w:p w:rsidR="00000000" w:rsidRDefault="00000000">
            <w:pPr>
              <w:spacing w:before="60"/>
              <w:jc w:val="center"/>
              <w:rPr>
                <w:rFonts w:hint="eastAsia"/>
                <w:sz w:val="20"/>
              </w:rPr>
            </w:pPr>
            <w:r>
              <w:rPr>
                <w:rFonts w:hint="eastAsia"/>
                <w:sz w:val="20"/>
              </w:rPr>
              <w:t>1996</w:t>
            </w:r>
          </w:p>
        </w:tc>
        <w:tc>
          <w:tcPr>
            <w:tcW w:w="387" w:type="pct"/>
          </w:tcPr>
          <w:p w:rsidR="00000000" w:rsidRDefault="00000000">
            <w:pPr>
              <w:spacing w:before="60"/>
              <w:jc w:val="center"/>
              <w:rPr>
                <w:rFonts w:hint="eastAsia"/>
                <w:sz w:val="20"/>
              </w:rPr>
            </w:pPr>
            <w:r>
              <w:rPr>
                <w:rFonts w:hint="eastAsia"/>
                <w:sz w:val="20"/>
              </w:rPr>
              <w:t>1</w:t>
            </w:r>
            <w:r>
              <w:rPr>
                <w:sz w:val="20"/>
              </w:rPr>
              <w:t>,</w:t>
            </w:r>
            <w:r>
              <w:rPr>
                <w:rFonts w:hint="eastAsia"/>
                <w:sz w:val="20"/>
              </w:rPr>
              <w:t>096</w:t>
            </w:r>
          </w:p>
        </w:tc>
        <w:tc>
          <w:tcPr>
            <w:tcW w:w="384" w:type="pct"/>
          </w:tcPr>
          <w:p w:rsidR="00000000" w:rsidRDefault="00000000">
            <w:pPr>
              <w:spacing w:before="60"/>
              <w:jc w:val="center"/>
              <w:rPr>
                <w:rFonts w:hint="eastAsia"/>
                <w:sz w:val="20"/>
              </w:rPr>
            </w:pPr>
            <w:r>
              <w:rPr>
                <w:rFonts w:hint="eastAsia"/>
                <w:sz w:val="20"/>
              </w:rPr>
              <w:t>916</w:t>
            </w:r>
          </w:p>
        </w:tc>
        <w:tc>
          <w:tcPr>
            <w:tcW w:w="385" w:type="pct"/>
          </w:tcPr>
          <w:p w:rsidR="00000000" w:rsidRDefault="00000000">
            <w:pPr>
              <w:spacing w:before="60"/>
              <w:jc w:val="center"/>
              <w:rPr>
                <w:rFonts w:hint="eastAsia"/>
                <w:sz w:val="20"/>
              </w:rPr>
            </w:pPr>
            <w:r>
              <w:rPr>
                <w:rFonts w:hint="eastAsia"/>
                <w:sz w:val="20"/>
              </w:rPr>
              <w:t>781</w:t>
            </w:r>
          </w:p>
        </w:tc>
        <w:tc>
          <w:tcPr>
            <w:tcW w:w="385" w:type="pct"/>
          </w:tcPr>
          <w:p w:rsidR="00000000" w:rsidRDefault="00000000">
            <w:pPr>
              <w:spacing w:before="60"/>
              <w:jc w:val="center"/>
              <w:rPr>
                <w:rFonts w:hint="eastAsia"/>
                <w:sz w:val="20"/>
              </w:rPr>
            </w:pPr>
            <w:r>
              <w:rPr>
                <w:rFonts w:hint="eastAsia"/>
                <w:sz w:val="20"/>
              </w:rPr>
              <w:t>63</w:t>
            </w:r>
          </w:p>
        </w:tc>
        <w:tc>
          <w:tcPr>
            <w:tcW w:w="391" w:type="pct"/>
          </w:tcPr>
          <w:p w:rsidR="00000000" w:rsidRDefault="00000000">
            <w:pPr>
              <w:spacing w:before="60"/>
              <w:jc w:val="center"/>
              <w:rPr>
                <w:rFonts w:hint="eastAsia"/>
                <w:sz w:val="20"/>
              </w:rPr>
            </w:pPr>
            <w:r>
              <w:rPr>
                <w:rFonts w:hint="eastAsia"/>
                <w:sz w:val="20"/>
              </w:rPr>
              <w:t>37</w:t>
            </w:r>
          </w:p>
        </w:tc>
        <w:tc>
          <w:tcPr>
            <w:tcW w:w="386" w:type="pct"/>
          </w:tcPr>
          <w:p w:rsidR="00000000" w:rsidRDefault="00000000">
            <w:pPr>
              <w:spacing w:before="60"/>
              <w:jc w:val="center"/>
              <w:rPr>
                <w:rFonts w:hint="eastAsia"/>
                <w:sz w:val="20"/>
              </w:rPr>
            </w:pPr>
            <w:r>
              <w:rPr>
                <w:rFonts w:hint="eastAsia"/>
                <w:sz w:val="20"/>
              </w:rPr>
              <w:t>66</w:t>
            </w:r>
          </w:p>
        </w:tc>
        <w:tc>
          <w:tcPr>
            <w:tcW w:w="387" w:type="pct"/>
          </w:tcPr>
          <w:p w:rsidR="00000000" w:rsidRDefault="00000000">
            <w:pPr>
              <w:spacing w:before="60"/>
              <w:jc w:val="center"/>
              <w:rPr>
                <w:rFonts w:hint="eastAsia"/>
                <w:sz w:val="20"/>
              </w:rPr>
            </w:pPr>
            <w:r>
              <w:rPr>
                <w:rFonts w:hint="eastAsia"/>
                <w:sz w:val="20"/>
              </w:rPr>
              <w:t>1</w:t>
            </w:r>
            <w:r>
              <w:rPr>
                <w:sz w:val="20"/>
              </w:rPr>
              <w:t>,</w:t>
            </w:r>
            <w:r>
              <w:rPr>
                <w:rFonts w:hint="eastAsia"/>
                <w:sz w:val="20"/>
              </w:rPr>
              <w:t>654</w:t>
            </w:r>
          </w:p>
        </w:tc>
        <w:tc>
          <w:tcPr>
            <w:tcW w:w="385" w:type="pct"/>
          </w:tcPr>
          <w:p w:rsidR="00000000" w:rsidRDefault="00000000">
            <w:pPr>
              <w:spacing w:before="60"/>
              <w:jc w:val="center"/>
              <w:rPr>
                <w:rFonts w:hint="eastAsia"/>
                <w:sz w:val="20"/>
              </w:rPr>
            </w:pPr>
            <w:r>
              <w:rPr>
                <w:rFonts w:hint="eastAsia"/>
                <w:sz w:val="20"/>
              </w:rPr>
              <w:t>890</w:t>
            </w:r>
          </w:p>
        </w:tc>
        <w:tc>
          <w:tcPr>
            <w:tcW w:w="386" w:type="pct"/>
          </w:tcPr>
          <w:p w:rsidR="00000000" w:rsidRDefault="00000000">
            <w:pPr>
              <w:spacing w:before="60"/>
              <w:jc w:val="center"/>
              <w:rPr>
                <w:rFonts w:hint="eastAsia"/>
                <w:sz w:val="20"/>
              </w:rPr>
            </w:pPr>
            <w:r>
              <w:rPr>
                <w:rFonts w:hint="eastAsia"/>
                <w:sz w:val="20"/>
              </w:rPr>
              <w:t>39</w:t>
            </w:r>
          </w:p>
        </w:tc>
        <w:tc>
          <w:tcPr>
            <w:tcW w:w="394" w:type="pct"/>
          </w:tcPr>
          <w:p w:rsidR="00000000" w:rsidRDefault="00000000">
            <w:pPr>
              <w:spacing w:before="60"/>
              <w:jc w:val="center"/>
              <w:rPr>
                <w:rFonts w:hint="eastAsia"/>
                <w:sz w:val="20"/>
              </w:rPr>
            </w:pPr>
            <w:r>
              <w:rPr>
                <w:rFonts w:hint="eastAsia"/>
                <w:sz w:val="20"/>
              </w:rPr>
              <w:t>127</w:t>
            </w:r>
          </w:p>
        </w:tc>
        <w:tc>
          <w:tcPr>
            <w:tcW w:w="387" w:type="pct"/>
          </w:tcPr>
          <w:p w:rsidR="00000000" w:rsidRDefault="00000000">
            <w:pPr>
              <w:spacing w:before="60"/>
              <w:jc w:val="center"/>
              <w:rPr>
                <w:rFonts w:hint="eastAsia"/>
                <w:sz w:val="20"/>
              </w:rPr>
            </w:pPr>
            <w:r>
              <w:rPr>
                <w:rFonts w:hint="eastAsia"/>
                <w:sz w:val="20"/>
              </w:rPr>
              <w:t>5</w:t>
            </w:r>
            <w:r>
              <w:rPr>
                <w:sz w:val="20"/>
              </w:rPr>
              <w:t>,</w:t>
            </w:r>
            <w:r>
              <w:rPr>
                <w:rFonts w:hint="eastAsia"/>
                <w:sz w:val="20"/>
              </w:rPr>
              <w:t>669</w:t>
            </w:r>
          </w:p>
        </w:tc>
        <w:tc>
          <w:tcPr>
            <w:tcW w:w="388" w:type="pct"/>
          </w:tcPr>
          <w:p w:rsidR="00000000" w:rsidRDefault="00000000">
            <w:pPr>
              <w:spacing w:before="60"/>
              <w:jc w:val="center"/>
              <w:rPr>
                <w:rFonts w:hint="eastAsia"/>
                <w:sz w:val="20"/>
              </w:rPr>
            </w:pPr>
            <w:r>
              <w:rPr>
                <w:rFonts w:hint="eastAsia"/>
                <w:sz w:val="20"/>
              </w:rPr>
              <w:t>284</w:t>
            </w:r>
          </w:p>
        </w:tc>
      </w:tr>
      <w:tr w:rsidR="00000000">
        <w:tblPrEx>
          <w:tblCellMar>
            <w:top w:w="0" w:type="dxa"/>
            <w:bottom w:w="0" w:type="dxa"/>
          </w:tblCellMar>
        </w:tblPrEx>
        <w:tc>
          <w:tcPr>
            <w:tcW w:w="355" w:type="pct"/>
          </w:tcPr>
          <w:p w:rsidR="00000000" w:rsidRDefault="00000000">
            <w:pPr>
              <w:spacing w:before="60"/>
              <w:jc w:val="center"/>
              <w:rPr>
                <w:rFonts w:hint="eastAsia"/>
                <w:sz w:val="20"/>
              </w:rPr>
            </w:pPr>
            <w:r>
              <w:rPr>
                <w:rFonts w:hint="eastAsia"/>
                <w:sz w:val="20"/>
              </w:rPr>
              <w:t>暑期突击打零工</w:t>
            </w:r>
          </w:p>
        </w:tc>
        <w:tc>
          <w:tcPr>
            <w:tcW w:w="387" w:type="pct"/>
          </w:tcPr>
          <w:p w:rsidR="00000000" w:rsidRDefault="00000000">
            <w:pPr>
              <w:spacing w:before="60"/>
              <w:jc w:val="center"/>
              <w:rPr>
                <w:sz w:val="20"/>
              </w:rPr>
            </w:pPr>
          </w:p>
        </w:tc>
        <w:tc>
          <w:tcPr>
            <w:tcW w:w="384" w:type="pct"/>
          </w:tcPr>
          <w:p w:rsidR="00000000" w:rsidRDefault="00000000">
            <w:pPr>
              <w:spacing w:before="60"/>
              <w:jc w:val="center"/>
              <w:rPr>
                <w:sz w:val="20"/>
              </w:rPr>
            </w:pPr>
          </w:p>
        </w:tc>
        <w:tc>
          <w:tcPr>
            <w:tcW w:w="385" w:type="pct"/>
          </w:tcPr>
          <w:p w:rsidR="00000000" w:rsidRDefault="00000000">
            <w:pPr>
              <w:spacing w:before="60"/>
              <w:jc w:val="center"/>
              <w:rPr>
                <w:sz w:val="20"/>
              </w:rPr>
            </w:pPr>
          </w:p>
        </w:tc>
        <w:tc>
          <w:tcPr>
            <w:tcW w:w="385" w:type="pct"/>
          </w:tcPr>
          <w:p w:rsidR="00000000" w:rsidRDefault="00000000">
            <w:pPr>
              <w:spacing w:before="60"/>
              <w:jc w:val="center"/>
              <w:rPr>
                <w:rFonts w:hint="eastAsia"/>
                <w:sz w:val="20"/>
              </w:rPr>
            </w:pPr>
            <w:r>
              <w:rPr>
                <w:rFonts w:hint="eastAsia"/>
                <w:sz w:val="20"/>
              </w:rPr>
              <w:t>32</w:t>
            </w:r>
          </w:p>
        </w:tc>
        <w:tc>
          <w:tcPr>
            <w:tcW w:w="391" w:type="pct"/>
          </w:tcPr>
          <w:p w:rsidR="00000000" w:rsidRDefault="00000000">
            <w:pPr>
              <w:spacing w:before="60"/>
              <w:jc w:val="center"/>
              <w:rPr>
                <w:sz w:val="20"/>
              </w:rPr>
            </w:pPr>
          </w:p>
        </w:tc>
        <w:tc>
          <w:tcPr>
            <w:tcW w:w="386" w:type="pct"/>
          </w:tcPr>
          <w:p w:rsidR="00000000" w:rsidRDefault="00000000">
            <w:pPr>
              <w:spacing w:before="60"/>
              <w:jc w:val="center"/>
              <w:rPr>
                <w:sz w:val="20"/>
              </w:rPr>
            </w:pPr>
          </w:p>
        </w:tc>
        <w:tc>
          <w:tcPr>
            <w:tcW w:w="387" w:type="pct"/>
          </w:tcPr>
          <w:p w:rsidR="00000000" w:rsidRDefault="00000000">
            <w:pPr>
              <w:spacing w:before="60"/>
              <w:jc w:val="center"/>
              <w:rPr>
                <w:sz w:val="20"/>
              </w:rPr>
            </w:pPr>
          </w:p>
        </w:tc>
        <w:tc>
          <w:tcPr>
            <w:tcW w:w="385" w:type="pct"/>
          </w:tcPr>
          <w:p w:rsidR="00000000" w:rsidRDefault="00000000">
            <w:pPr>
              <w:spacing w:before="60"/>
              <w:jc w:val="center"/>
              <w:rPr>
                <w:sz w:val="20"/>
              </w:rPr>
            </w:pPr>
          </w:p>
        </w:tc>
        <w:tc>
          <w:tcPr>
            <w:tcW w:w="386" w:type="pct"/>
          </w:tcPr>
          <w:p w:rsidR="00000000" w:rsidRDefault="00000000">
            <w:pPr>
              <w:spacing w:before="60"/>
              <w:jc w:val="center"/>
              <w:rPr>
                <w:rFonts w:hint="eastAsia"/>
                <w:sz w:val="20"/>
              </w:rPr>
            </w:pPr>
            <w:r>
              <w:rPr>
                <w:rFonts w:hint="eastAsia"/>
                <w:sz w:val="20"/>
              </w:rPr>
              <w:t>37</w:t>
            </w:r>
          </w:p>
        </w:tc>
        <w:tc>
          <w:tcPr>
            <w:tcW w:w="394" w:type="pct"/>
          </w:tcPr>
          <w:p w:rsidR="00000000" w:rsidRDefault="00000000">
            <w:pPr>
              <w:spacing w:before="60"/>
              <w:jc w:val="center"/>
              <w:rPr>
                <w:rFonts w:hint="eastAsia"/>
                <w:sz w:val="20"/>
              </w:rPr>
            </w:pPr>
            <w:r>
              <w:rPr>
                <w:rFonts w:hint="eastAsia"/>
                <w:sz w:val="20"/>
              </w:rPr>
              <w:t>1</w:t>
            </w:r>
          </w:p>
        </w:tc>
        <w:tc>
          <w:tcPr>
            <w:tcW w:w="387" w:type="pct"/>
          </w:tcPr>
          <w:p w:rsidR="00000000" w:rsidRDefault="00000000">
            <w:pPr>
              <w:spacing w:before="60"/>
              <w:jc w:val="center"/>
              <w:rPr>
                <w:rFonts w:hint="eastAsia"/>
                <w:sz w:val="20"/>
              </w:rPr>
            </w:pPr>
            <w:r>
              <w:rPr>
                <w:sz w:val="20"/>
              </w:rPr>
              <w:t xml:space="preserve">  </w:t>
            </w:r>
            <w:r>
              <w:rPr>
                <w:rFonts w:hint="eastAsia"/>
                <w:sz w:val="20"/>
              </w:rPr>
              <w:t>70</w:t>
            </w:r>
          </w:p>
        </w:tc>
        <w:tc>
          <w:tcPr>
            <w:tcW w:w="388" w:type="pct"/>
          </w:tcPr>
          <w:p w:rsidR="00000000" w:rsidRDefault="00000000">
            <w:pPr>
              <w:spacing w:before="60"/>
              <w:jc w:val="center"/>
              <w:rPr>
                <w:rFonts w:hint="eastAsia"/>
                <w:sz w:val="20"/>
              </w:rPr>
            </w:pPr>
            <w:r>
              <w:rPr>
                <w:sz w:val="20"/>
              </w:rPr>
              <w:t xml:space="preserve"> </w:t>
            </w:r>
            <w:r>
              <w:rPr>
                <w:rFonts w:hint="eastAsia"/>
                <w:sz w:val="20"/>
              </w:rPr>
              <w:t>27</w:t>
            </w:r>
          </w:p>
        </w:tc>
      </w:tr>
      <w:tr w:rsidR="00000000">
        <w:tblPrEx>
          <w:tblCellMar>
            <w:top w:w="0" w:type="dxa"/>
            <w:bottom w:w="0" w:type="dxa"/>
          </w:tblCellMar>
        </w:tblPrEx>
        <w:tc>
          <w:tcPr>
            <w:tcW w:w="355" w:type="pct"/>
          </w:tcPr>
          <w:p w:rsidR="00000000" w:rsidRDefault="00000000">
            <w:pPr>
              <w:spacing w:before="60"/>
              <w:jc w:val="center"/>
              <w:rPr>
                <w:rFonts w:hint="eastAsia"/>
                <w:sz w:val="20"/>
              </w:rPr>
            </w:pPr>
            <w:r>
              <w:rPr>
                <w:rFonts w:hint="eastAsia"/>
                <w:sz w:val="20"/>
              </w:rPr>
              <w:t>总数</w:t>
            </w:r>
          </w:p>
        </w:tc>
        <w:tc>
          <w:tcPr>
            <w:tcW w:w="387" w:type="pct"/>
          </w:tcPr>
          <w:p w:rsidR="00000000" w:rsidRDefault="00000000">
            <w:pPr>
              <w:spacing w:before="60"/>
              <w:jc w:val="center"/>
              <w:rPr>
                <w:rFonts w:hint="eastAsia"/>
                <w:sz w:val="20"/>
              </w:rPr>
            </w:pPr>
            <w:r>
              <w:rPr>
                <w:rFonts w:hint="eastAsia"/>
                <w:sz w:val="20"/>
              </w:rPr>
              <w:t>1</w:t>
            </w:r>
            <w:r>
              <w:rPr>
                <w:sz w:val="20"/>
              </w:rPr>
              <w:t>,</w:t>
            </w:r>
            <w:r>
              <w:rPr>
                <w:rFonts w:hint="eastAsia"/>
                <w:sz w:val="20"/>
              </w:rPr>
              <w:t>096</w:t>
            </w:r>
          </w:p>
        </w:tc>
        <w:tc>
          <w:tcPr>
            <w:tcW w:w="384" w:type="pct"/>
          </w:tcPr>
          <w:p w:rsidR="00000000" w:rsidRDefault="00000000">
            <w:pPr>
              <w:spacing w:before="60"/>
              <w:jc w:val="center"/>
              <w:rPr>
                <w:rFonts w:hint="eastAsia"/>
                <w:sz w:val="20"/>
              </w:rPr>
            </w:pPr>
            <w:r>
              <w:rPr>
                <w:rFonts w:hint="eastAsia"/>
                <w:sz w:val="20"/>
              </w:rPr>
              <w:t>916</w:t>
            </w:r>
          </w:p>
        </w:tc>
        <w:tc>
          <w:tcPr>
            <w:tcW w:w="385" w:type="pct"/>
          </w:tcPr>
          <w:p w:rsidR="00000000" w:rsidRDefault="00000000">
            <w:pPr>
              <w:spacing w:before="60"/>
              <w:jc w:val="center"/>
              <w:rPr>
                <w:rFonts w:hint="eastAsia"/>
                <w:sz w:val="20"/>
              </w:rPr>
            </w:pPr>
            <w:r>
              <w:rPr>
                <w:rFonts w:hint="eastAsia"/>
                <w:sz w:val="20"/>
              </w:rPr>
              <w:t>781</w:t>
            </w:r>
          </w:p>
        </w:tc>
        <w:tc>
          <w:tcPr>
            <w:tcW w:w="385" w:type="pct"/>
          </w:tcPr>
          <w:p w:rsidR="00000000" w:rsidRDefault="00000000">
            <w:pPr>
              <w:spacing w:before="60"/>
              <w:jc w:val="center"/>
              <w:rPr>
                <w:rFonts w:hint="eastAsia"/>
                <w:sz w:val="20"/>
              </w:rPr>
            </w:pPr>
            <w:r>
              <w:rPr>
                <w:rFonts w:hint="eastAsia"/>
                <w:sz w:val="20"/>
              </w:rPr>
              <w:t>95</w:t>
            </w:r>
          </w:p>
        </w:tc>
        <w:tc>
          <w:tcPr>
            <w:tcW w:w="391" w:type="pct"/>
          </w:tcPr>
          <w:p w:rsidR="00000000" w:rsidRDefault="00000000">
            <w:pPr>
              <w:spacing w:before="60"/>
              <w:jc w:val="center"/>
              <w:rPr>
                <w:rFonts w:hint="eastAsia"/>
                <w:sz w:val="20"/>
              </w:rPr>
            </w:pPr>
            <w:r>
              <w:rPr>
                <w:rFonts w:hint="eastAsia"/>
                <w:sz w:val="20"/>
              </w:rPr>
              <w:t>37</w:t>
            </w:r>
          </w:p>
        </w:tc>
        <w:tc>
          <w:tcPr>
            <w:tcW w:w="386" w:type="pct"/>
          </w:tcPr>
          <w:p w:rsidR="00000000" w:rsidRDefault="00000000">
            <w:pPr>
              <w:spacing w:before="60"/>
              <w:jc w:val="center"/>
              <w:rPr>
                <w:rFonts w:hint="eastAsia"/>
                <w:sz w:val="20"/>
              </w:rPr>
            </w:pPr>
            <w:r>
              <w:rPr>
                <w:rFonts w:hint="eastAsia"/>
                <w:sz w:val="20"/>
              </w:rPr>
              <w:t>66</w:t>
            </w:r>
          </w:p>
        </w:tc>
        <w:tc>
          <w:tcPr>
            <w:tcW w:w="387" w:type="pct"/>
          </w:tcPr>
          <w:p w:rsidR="00000000" w:rsidRDefault="00000000">
            <w:pPr>
              <w:spacing w:before="60"/>
              <w:jc w:val="center"/>
              <w:rPr>
                <w:rFonts w:hint="eastAsia"/>
                <w:sz w:val="20"/>
              </w:rPr>
            </w:pPr>
            <w:r>
              <w:rPr>
                <w:rFonts w:hint="eastAsia"/>
                <w:sz w:val="20"/>
              </w:rPr>
              <w:t>1</w:t>
            </w:r>
            <w:r>
              <w:rPr>
                <w:sz w:val="20"/>
              </w:rPr>
              <w:t>,</w:t>
            </w:r>
            <w:r>
              <w:rPr>
                <w:rFonts w:hint="eastAsia"/>
                <w:sz w:val="20"/>
              </w:rPr>
              <w:t>654</w:t>
            </w:r>
          </w:p>
        </w:tc>
        <w:tc>
          <w:tcPr>
            <w:tcW w:w="385" w:type="pct"/>
          </w:tcPr>
          <w:p w:rsidR="00000000" w:rsidRDefault="00000000">
            <w:pPr>
              <w:spacing w:before="60"/>
              <w:jc w:val="center"/>
              <w:rPr>
                <w:rFonts w:hint="eastAsia"/>
                <w:sz w:val="20"/>
              </w:rPr>
            </w:pPr>
            <w:r>
              <w:rPr>
                <w:rFonts w:hint="eastAsia"/>
                <w:sz w:val="20"/>
              </w:rPr>
              <w:t>890</w:t>
            </w:r>
          </w:p>
        </w:tc>
        <w:tc>
          <w:tcPr>
            <w:tcW w:w="386" w:type="pct"/>
          </w:tcPr>
          <w:p w:rsidR="00000000" w:rsidRDefault="00000000">
            <w:pPr>
              <w:spacing w:before="60"/>
              <w:jc w:val="center"/>
              <w:rPr>
                <w:rFonts w:hint="eastAsia"/>
                <w:sz w:val="20"/>
              </w:rPr>
            </w:pPr>
            <w:r>
              <w:rPr>
                <w:rFonts w:hint="eastAsia"/>
                <w:sz w:val="20"/>
              </w:rPr>
              <w:t>76</w:t>
            </w:r>
          </w:p>
        </w:tc>
        <w:tc>
          <w:tcPr>
            <w:tcW w:w="394" w:type="pct"/>
          </w:tcPr>
          <w:p w:rsidR="00000000" w:rsidRDefault="00000000">
            <w:pPr>
              <w:spacing w:before="60"/>
              <w:jc w:val="center"/>
              <w:rPr>
                <w:rFonts w:hint="eastAsia"/>
                <w:sz w:val="20"/>
              </w:rPr>
            </w:pPr>
            <w:r>
              <w:rPr>
                <w:rFonts w:hint="eastAsia"/>
                <w:sz w:val="20"/>
              </w:rPr>
              <w:t>128</w:t>
            </w:r>
          </w:p>
        </w:tc>
        <w:tc>
          <w:tcPr>
            <w:tcW w:w="387" w:type="pct"/>
          </w:tcPr>
          <w:p w:rsidR="00000000" w:rsidRDefault="00000000">
            <w:pPr>
              <w:spacing w:before="60"/>
              <w:jc w:val="center"/>
              <w:rPr>
                <w:rFonts w:hint="eastAsia"/>
                <w:sz w:val="20"/>
              </w:rPr>
            </w:pPr>
            <w:r>
              <w:rPr>
                <w:rFonts w:hint="eastAsia"/>
                <w:sz w:val="20"/>
              </w:rPr>
              <w:t>5</w:t>
            </w:r>
            <w:r>
              <w:rPr>
                <w:sz w:val="20"/>
              </w:rPr>
              <w:t>,</w:t>
            </w:r>
            <w:r>
              <w:rPr>
                <w:rFonts w:hint="eastAsia"/>
                <w:sz w:val="20"/>
              </w:rPr>
              <w:t>739</w:t>
            </w:r>
          </w:p>
        </w:tc>
        <w:tc>
          <w:tcPr>
            <w:tcW w:w="388" w:type="pct"/>
          </w:tcPr>
          <w:p w:rsidR="00000000" w:rsidRDefault="00000000">
            <w:pPr>
              <w:spacing w:before="60"/>
              <w:jc w:val="center"/>
              <w:rPr>
                <w:rFonts w:hint="eastAsia"/>
                <w:sz w:val="20"/>
              </w:rPr>
            </w:pPr>
            <w:r>
              <w:rPr>
                <w:rFonts w:hint="eastAsia"/>
                <w:sz w:val="20"/>
              </w:rPr>
              <w:t>311</w:t>
            </w:r>
          </w:p>
        </w:tc>
      </w:tr>
    </w:tbl>
    <w:p w:rsidR="00000000" w:rsidRDefault="00000000">
      <w:pPr>
        <w:pStyle w:val="Heading3"/>
        <w:rPr>
          <w:rFonts w:hint="eastAsia"/>
        </w:rPr>
      </w:pPr>
      <w:r>
        <w:rPr>
          <w:rFonts w:hint="eastAsia"/>
        </w:rPr>
        <w:t>未有调查结论</w:t>
      </w:r>
    </w:p>
    <w:tbl>
      <w:tblPr>
        <w:tblW w:w="4890" w:type="pct"/>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717"/>
        <w:gridCol w:w="826"/>
        <w:gridCol w:w="717"/>
        <w:gridCol w:w="569"/>
        <w:gridCol w:w="663"/>
        <w:gridCol w:w="653"/>
        <w:gridCol w:w="826"/>
        <w:gridCol w:w="717"/>
        <w:gridCol w:w="618"/>
        <w:gridCol w:w="672"/>
        <w:gridCol w:w="826"/>
        <w:gridCol w:w="900"/>
      </w:tblGrid>
      <w:tr w:rsidR="00000000">
        <w:tblPrEx>
          <w:tblCellMar>
            <w:top w:w="0" w:type="dxa"/>
            <w:bottom w:w="0" w:type="dxa"/>
          </w:tblCellMar>
        </w:tblPrEx>
        <w:trPr>
          <w:cantSplit/>
        </w:trPr>
        <w:tc>
          <w:tcPr>
            <w:tcW w:w="351" w:type="pct"/>
            <w:vMerge w:val="restart"/>
          </w:tcPr>
          <w:p w:rsidR="00000000" w:rsidRDefault="00000000">
            <w:pPr>
              <w:spacing w:before="360"/>
              <w:jc w:val="center"/>
              <w:rPr>
                <w:rFonts w:hint="eastAsia"/>
                <w:sz w:val="20"/>
              </w:rPr>
            </w:pPr>
            <w:r>
              <w:rPr>
                <w:rFonts w:hint="eastAsia"/>
                <w:sz w:val="20"/>
              </w:rPr>
              <w:t>日</w:t>
            </w:r>
            <w:r>
              <w:rPr>
                <w:sz w:val="20"/>
              </w:rPr>
              <w:t xml:space="preserve"> </w:t>
            </w:r>
            <w:r>
              <w:rPr>
                <w:rFonts w:hint="eastAsia"/>
                <w:sz w:val="20"/>
              </w:rPr>
              <w:t>期</w:t>
            </w:r>
          </w:p>
        </w:tc>
        <w:tc>
          <w:tcPr>
            <w:tcW w:w="1865" w:type="pct"/>
            <w:gridSpan w:val="5"/>
          </w:tcPr>
          <w:p w:rsidR="00000000" w:rsidRDefault="00000000">
            <w:pPr>
              <w:spacing w:before="60"/>
              <w:jc w:val="center"/>
              <w:rPr>
                <w:rFonts w:hint="eastAsia"/>
                <w:sz w:val="20"/>
              </w:rPr>
            </w:pPr>
            <w:r>
              <w:rPr>
                <w:rFonts w:hint="eastAsia"/>
                <w:sz w:val="20"/>
              </w:rPr>
              <w:t>男性工人</w:t>
            </w:r>
          </w:p>
        </w:tc>
        <w:tc>
          <w:tcPr>
            <w:tcW w:w="1862" w:type="pct"/>
            <w:gridSpan w:val="5"/>
          </w:tcPr>
          <w:p w:rsidR="00000000" w:rsidRDefault="00000000">
            <w:pPr>
              <w:spacing w:before="60"/>
              <w:jc w:val="center"/>
              <w:rPr>
                <w:rFonts w:hint="eastAsia"/>
                <w:sz w:val="20"/>
              </w:rPr>
            </w:pPr>
            <w:r>
              <w:rPr>
                <w:rFonts w:hint="eastAsia"/>
                <w:sz w:val="20"/>
              </w:rPr>
              <w:t>女性工人</w:t>
            </w:r>
          </w:p>
        </w:tc>
        <w:tc>
          <w:tcPr>
            <w:tcW w:w="441" w:type="pct"/>
            <w:vMerge w:val="restart"/>
          </w:tcPr>
          <w:p w:rsidR="00000000" w:rsidRDefault="00000000">
            <w:pPr>
              <w:spacing w:before="360"/>
              <w:jc w:val="center"/>
              <w:rPr>
                <w:rFonts w:hint="eastAsia"/>
                <w:sz w:val="20"/>
              </w:rPr>
            </w:pPr>
            <w:r>
              <w:rPr>
                <w:rFonts w:hint="eastAsia"/>
                <w:sz w:val="20"/>
              </w:rPr>
              <w:t>总</w:t>
            </w:r>
            <w:r>
              <w:rPr>
                <w:sz w:val="20"/>
              </w:rPr>
              <w:t xml:space="preserve"> </w:t>
            </w:r>
            <w:r>
              <w:rPr>
                <w:rFonts w:hint="eastAsia"/>
                <w:sz w:val="20"/>
              </w:rPr>
              <w:t>数</w:t>
            </w:r>
          </w:p>
        </w:tc>
        <w:tc>
          <w:tcPr>
            <w:tcW w:w="481" w:type="pct"/>
            <w:vMerge w:val="restart"/>
          </w:tcPr>
          <w:p w:rsidR="00000000" w:rsidRDefault="00000000">
            <w:pPr>
              <w:spacing w:before="360"/>
              <w:jc w:val="center"/>
              <w:rPr>
                <w:sz w:val="20"/>
              </w:rPr>
            </w:pPr>
            <w:r>
              <w:rPr>
                <w:rFonts w:hint="eastAsia"/>
                <w:sz w:val="20"/>
              </w:rPr>
              <w:t>雇</w:t>
            </w:r>
            <w:r>
              <w:rPr>
                <w:rFonts w:hint="eastAsia"/>
                <w:sz w:val="20"/>
              </w:rPr>
              <w:t xml:space="preserve"> </w:t>
            </w:r>
            <w:r>
              <w:rPr>
                <w:rFonts w:hint="eastAsia"/>
                <w:sz w:val="20"/>
              </w:rPr>
              <w:t>主总人数</w:t>
            </w:r>
            <w:r>
              <w:rPr>
                <w:sz w:val="20"/>
              </w:rPr>
              <w:t>(</w:t>
            </w:r>
            <w:r>
              <w:rPr>
                <w:rFonts w:hint="eastAsia"/>
                <w:sz w:val="20"/>
              </w:rPr>
              <w:t>案件</w:t>
            </w:r>
            <w:r>
              <w:rPr>
                <w:sz w:val="20"/>
              </w:rPr>
              <w:t>)</w:t>
            </w:r>
          </w:p>
        </w:tc>
      </w:tr>
      <w:tr w:rsidR="00000000">
        <w:tblPrEx>
          <w:tblCellMar>
            <w:top w:w="0" w:type="dxa"/>
            <w:bottom w:w="0" w:type="dxa"/>
          </w:tblCellMar>
        </w:tblPrEx>
        <w:trPr>
          <w:cantSplit/>
        </w:trPr>
        <w:tc>
          <w:tcPr>
            <w:tcW w:w="351" w:type="pct"/>
            <w:vMerge/>
          </w:tcPr>
          <w:p w:rsidR="00000000" w:rsidRDefault="00000000">
            <w:pPr>
              <w:jc w:val="center"/>
              <w:rPr>
                <w:sz w:val="20"/>
              </w:rPr>
            </w:pPr>
          </w:p>
        </w:tc>
        <w:tc>
          <w:tcPr>
            <w:tcW w:w="383" w:type="pct"/>
          </w:tcPr>
          <w:p w:rsidR="00000000" w:rsidRDefault="00000000">
            <w:pPr>
              <w:spacing w:before="60"/>
              <w:jc w:val="center"/>
              <w:rPr>
                <w:rFonts w:hint="eastAsia"/>
                <w:sz w:val="20"/>
              </w:rPr>
            </w:pPr>
            <w:r>
              <w:rPr>
                <w:rFonts w:hint="eastAsia"/>
                <w:sz w:val="20"/>
              </w:rPr>
              <w:t>外籍人</w:t>
            </w:r>
          </w:p>
        </w:tc>
        <w:tc>
          <w:tcPr>
            <w:tcW w:w="441" w:type="pct"/>
          </w:tcPr>
          <w:p w:rsidR="00000000" w:rsidRDefault="00000000">
            <w:pPr>
              <w:spacing w:before="60"/>
              <w:jc w:val="center"/>
              <w:rPr>
                <w:rFonts w:hint="eastAsia"/>
                <w:sz w:val="20"/>
              </w:rPr>
            </w:pPr>
            <w:r>
              <w:rPr>
                <w:rFonts w:hint="eastAsia"/>
                <w:sz w:val="20"/>
              </w:rPr>
              <w:t>犹太人</w:t>
            </w:r>
          </w:p>
        </w:tc>
        <w:tc>
          <w:tcPr>
            <w:tcW w:w="383" w:type="pct"/>
          </w:tcPr>
          <w:p w:rsidR="00000000" w:rsidRDefault="00000000">
            <w:pPr>
              <w:spacing w:before="60"/>
              <w:jc w:val="center"/>
              <w:rPr>
                <w:rFonts w:hint="eastAsia"/>
                <w:sz w:val="20"/>
              </w:rPr>
            </w:pPr>
            <w:r>
              <w:rPr>
                <w:rFonts w:hint="eastAsia"/>
                <w:sz w:val="20"/>
              </w:rPr>
              <w:t>阿拉伯人</w:t>
            </w:r>
          </w:p>
        </w:tc>
        <w:tc>
          <w:tcPr>
            <w:tcW w:w="304" w:type="pct"/>
          </w:tcPr>
          <w:p w:rsidR="00000000" w:rsidRDefault="00000000">
            <w:pPr>
              <w:spacing w:before="60"/>
              <w:jc w:val="center"/>
              <w:rPr>
                <w:rFonts w:hint="eastAsia"/>
                <w:sz w:val="20"/>
              </w:rPr>
            </w:pPr>
            <w:r>
              <w:rPr>
                <w:rFonts w:hint="eastAsia"/>
                <w:sz w:val="20"/>
              </w:rPr>
              <w:t>犹太青年人</w:t>
            </w:r>
          </w:p>
        </w:tc>
        <w:tc>
          <w:tcPr>
            <w:tcW w:w="354" w:type="pct"/>
          </w:tcPr>
          <w:p w:rsidR="00000000" w:rsidRDefault="00000000">
            <w:pPr>
              <w:spacing w:before="60"/>
              <w:jc w:val="center"/>
              <w:rPr>
                <w:rFonts w:hint="eastAsia"/>
                <w:sz w:val="20"/>
              </w:rPr>
            </w:pPr>
            <w:r>
              <w:rPr>
                <w:rFonts w:hint="eastAsia"/>
                <w:sz w:val="20"/>
              </w:rPr>
              <w:t>阿拉伯青年人</w:t>
            </w:r>
          </w:p>
        </w:tc>
        <w:tc>
          <w:tcPr>
            <w:tcW w:w="349" w:type="pct"/>
          </w:tcPr>
          <w:p w:rsidR="00000000" w:rsidRDefault="00000000">
            <w:pPr>
              <w:spacing w:before="60"/>
              <w:jc w:val="center"/>
              <w:rPr>
                <w:rFonts w:hint="eastAsia"/>
                <w:sz w:val="20"/>
              </w:rPr>
            </w:pPr>
            <w:r>
              <w:rPr>
                <w:rFonts w:hint="eastAsia"/>
                <w:sz w:val="20"/>
              </w:rPr>
              <w:t>外籍人</w:t>
            </w:r>
          </w:p>
        </w:tc>
        <w:tc>
          <w:tcPr>
            <w:tcW w:w="441" w:type="pct"/>
          </w:tcPr>
          <w:p w:rsidR="00000000" w:rsidRDefault="00000000">
            <w:pPr>
              <w:spacing w:before="60"/>
              <w:jc w:val="center"/>
              <w:rPr>
                <w:rFonts w:hint="eastAsia"/>
                <w:sz w:val="20"/>
              </w:rPr>
            </w:pPr>
            <w:r>
              <w:rPr>
                <w:rFonts w:hint="eastAsia"/>
                <w:sz w:val="20"/>
              </w:rPr>
              <w:t>犹太人</w:t>
            </w:r>
          </w:p>
        </w:tc>
        <w:tc>
          <w:tcPr>
            <w:tcW w:w="383" w:type="pct"/>
          </w:tcPr>
          <w:p w:rsidR="00000000" w:rsidRDefault="00000000">
            <w:pPr>
              <w:spacing w:before="60"/>
              <w:jc w:val="center"/>
              <w:rPr>
                <w:rFonts w:hint="eastAsia"/>
                <w:sz w:val="20"/>
              </w:rPr>
            </w:pPr>
            <w:r>
              <w:rPr>
                <w:rFonts w:hint="eastAsia"/>
                <w:sz w:val="20"/>
              </w:rPr>
              <w:t>阿拉伯人</w:t>
            </w:r>
          </w:p>
        </w:tc>
        <w:tc>
          <w:tcPr>
            <w:tcW w:w="330" w:type="pct"/>
          </w:tcPr>
          <w:p w:rsidR="00000000" w:rsidRDefault="00000000">
            <w:pPr>
              <w:spacing w:before="60"/>
              <w:jc w:val="center"/>
              <w:rPr>
                <w:rFonts w:hint="eastAsia"/>
                <w:sz w:val="20"/>
              </w:rPr>
            </w:pPr>
            <w:r>
              <w:rPr>
                <w:rFonts w:hint="eastAsia"/>
                <w:sz w:val="20"/>
              </w:rPr>
              <w:t>犹太青年人</w:t>
            </w:r>
          </w:p>
        </w:tc>
        <w:tc>
          <w:tcPr>
            <w:tcW w:w="358" w:type="pct"/>
          </w:tcPr>
          <w:p w:rsidR="00000000" w:rsidRDefault="00000000">
            <w:pPr>
              <w:spacing w:before="60"/>
              <w:jc w:val="center"/>
              <w:rPr>
                <w:rFonts w:hint="eastAsia"/>
                <w:sz w:val="20"/>
              </w:rPr>
            </w:pPr>
            <w:r>
              <w:rPr>
                <w:rFonts w:hint="eastAsia"/>
                <w:sz w:val="20"/>
              </w:rPr>
              <w:t>阿拉伯青年人</w:t>
            </w:r>
          </w:p>
        </w:tc>
        <w:tc>
          <w:tcPr>
            <w:tcW w:w="441" w:type="pct"/>
            <w:vMerge/>
          </w:tcPr>
          <w:p w:rsidR="00000000" w:rsidRDefault="00000000">
            <w:pPr>
              <w:jc w:val="center"/>
              <w:rPr>
                <w:sz w:val="20"/>
              </w:rPr>
            </w:pPr>
          </w:p>
        </w:tc>
        <w:tc>
          <w:tcPr>
            <w:tcW w:w="481" w:type="pct"/>
            <w:vMerge/>
          </w:tcPr>
          <w:p w:rsidR="00000000" w:rsidRDefault="00000000">
            <w:pPr>
              <w:jc w:val="center"/>
              <w:rPr>
                <w:sz w:val="20"/>
              </w:rPr>
            </w:pPr>
          </w:p>
        </w:tc>
      </w:tr>
      <w:tr w:rsidR="00000000">
        <w:tblPrEx>
          <w:tblCellMar>
            <w:top w:w="0" w:type="dxa"/>
            <w:bottom w:w="0" w:type="dxa"/>
          </w:tblCellMar>
        </w:tblPrEx>
        <w:tc>
          <w:tcPr>
            <w:tcW w:w="351" w:type="pct"/>
          </w:tcPr>
          <w:p w:rsidR="00000000" w:rsidRDefault="00000000">
            <w:pPr>
              <w:spacing w:before="60"/>
              <w:jc w:val="center"/>
              <w:rPr>
                <w:rFonts w:hint="eastAsia"/>
                <w:sz w:val="20"/>
              </w:rPr>
            </w:pPr>
            <w:r>
              <w:rPr>
                <w:rFonts w:hint="eastAsia"/>
                <w:sz w:val="20"/>
              </w:rPr>
              <w:t>1996</w:t>
            </w:r>
          </w:p>
        </w:tc>
        <w:tc>
          <w:tcPr>
            <w:tcW w:w="383" w:type="pct"/>
          </w:tcPr>
          <w:p w:rsidR="00000000" w:rsidRDefault="00000000">
            <w:pPr>
              <w:spacing w:before="60"/>
              <w:jc w:val="center"/>
              <w:rPr>
                <w:rFonts w:hint="eastAsia"/>
                <w:sz w:val="20"/>
              </w:rPr>
            </w:pPr>
            <w:r>
              <w:rPr>
                <w:rFonts w:hint="eastAsia"/>
                <w:sz w:val="20"/>
              </w:rPr>
              <w:t>3</w:t>
            </w:r>
            <w:r>
              <w:rPr>
                <w:sz w:val="20"/>
              </w:rPr>
              <w:t>,</w:t>
            </w:r>
            <w:r>
              <w:rPr>
                <w:rFonts w:hint="eastAsia"/>
                <w:sz w:val="20"/>
              </w:rPr>
              <w:t>096</w:t>
            </w:r>
          </w:p>
        </w:tc>
        <w:tc>
          <w:tcPr>
            <w:tcW w:w="441" w:type="pct"/>
          </w:tcPr>
          <w:p w:rsidR="00000000" w:rsidRDefault="00000000">
            <w:pPr>
              <w:spacing w:before="60"/>
              <w:jc w:val="center"/>
              <w:rPr>
                <w:rFonts w:hint="eastAsia"/>
                <w:sz w:val="20"/>
              </w:rPr>
            </w:pPr>
            <w:r>
              <w:rPr>
                <w:rFonts w:hint="eastAsia"/>
                <w:sz w:val="20"/>
              </w:rPr>
              <w:t>13</w:t>
            </w:r>
            <w:r>
              <w:rPr>
                <w:sz w:val="20"/>
              </w:rPr>
              <w:t>,</w:t>
            </w:r>
            <w:r>
              <w:rPr>
                <w:rFonts w:hint="eastAsia"/>
                <w:sz w:val="20"/>
              </w:rPr>
              <w:t>775</w:t>
            </w:r>
          </w:p>
        </w:tc>
        <w:tc>
          <w:tcPr>
            <w:tcW w:w="383" w:type="pct"/>
          </w:tcPr>
          <w:p w:rsidR="00000000" w:rsidRDefault="00000000">
            <w:pPr>
              <w:spacing w:before="60"/>
              <w:jc w:val="center"/>
              <w:rPr>
                <w:rFonts w:hint="eastAsia"/>
                <w:sz w:val="20"/>
              </w:rPr>
            </w:pPr>
            <w:r>
              <w:rPr>
                <w:rFonts w:hint="eastAsia"/>
                <w:sz w:val="20"/>
              </w:rPr>
              <w:t>2713</w:t>
            </w:r>
          </w:p>
        </w:tc>
        <w:tc>
          <w:tcPr>
            <w:tcW w:w="304" w:type="pct"/>
          </w:tcPr>
          <w:p w:rsidR="00000000" w:rsidRDefault="00000000">
            <w:pPr>
              <w:spacing w:before="60"/>
              <w:jc w:val="center"/>
              <w:rPr>
                <w:rFonts w:hint="eastAsia"/>
                <w:sz w:val="20"/>
              </w:rPr>
            </w:pPr>
            <w:r>
              <w:rPr>
                <w:rFonts w:hint="eastAsia"/>
                <w:sz w:val="20"/>
              </w:rPr>
              <w:t>311</w:t>
            </w:r>
          </w:p>
        </w:tc>
        <w:tc>
          <w:tcPr>
            <w:tcW w:w="354" w:type="pct"/>
          </w:tcPr>
          <w:p w:rsidR="00000000" w:rsidRDefault="00000000">
            <w:pPr>
              <w:spacing w:before="60"/>
              <w:jc w:val="center"/>
              <w:rPr>
                <w:rFonts w:hint="eastAsia"/>
                <w:sz w:val="20"/>
              </w:rPr>
            </w:pPr>
            <w:r>
              <w:rPr>
                <w:rFonts w:hint="eastAsia"/>
                <w:sz w:val="20"/>
              </w:rPr>
              <w:t>103</w:t>
            </w:r>
          </w:p>
        </w:tc>
        <w:tc>
          <w:tcPr>
            <w:tcW w:w="349" w:type="pct"/>
          </w:tcPr>
          <w:p w:rsidR="00000000" w:rsidRDefault="00000000">
            <w:pPr>
              <w:spacing w:before="60"/>
              <w:jc w:val="center"/>
              <w:rPr>
                <w:rFonts w:hint="eastAsia"/>
                <w:sz w:val="20"/>
              </w:rPr>
            </w:pPr>
            <w:r>
              <w:rPr>
                <w:rFonts w:hint="eastAsia"/>
                <w:sz w:val="20"/>
              </w:rPr>
              <w:t>420</w:t>
            </w:r>
          </w:p>
          <w:p w:rsidR="00000000" w:rsidRDefault="00000000">
            <w:pPr>
              <w:spacing w:before="60"/>
              <w:jc w:val="center"/>
              <w:rPr>
                <w:rFonts w:hint="eastAsia"/>
                <w:sz w:val="20"/>
              </w:rPr>
            </w:pPr>
          </w:p>
        </w:tc>
        <w:tc>
          <w:tcPr>
            <w:tcW w:w="441" w:type="pct"/>
          </w:tcPr>
          <w:p w:rsidR="00000000" w:rsidRDefault="00000000">
            <w:pPr>
              <w:spacing w:before="60"/>
              <w:jc w:val="center"/>
              <w:rPr>
                <w:rFonts w:hint="eastAsia"/>
                <w:sz w:val="20"/>
              </w:rPr>
            </w:pPr>
            <w:r>
              <w:rPr>
                <w:rFonts w:hint="eastAsia"/>
                <w:sz w:val="20"/>
              </w:rPr>
              <w:t>18</w:t>
            </w:r>
            <w:r>
              <w:rPr>
                <w:sz w:val="20"/>
              </w:rPr>
              <w:t>,</w:t>
            </w:r>
            <w:r>
              <w:rPr>
                <w:rFonts w:hint="eastAsia"/>
                <w:sz w:val="20"/>
              </w:rPr>
              <w:t>874</w:t>
            </w:r>
          </w:p>
        </w:tc>
        <w:tc>
          <w:tcPr>
            <w:tcW w:w="383" w:type="pct"/>
          </w:tcPr>
          <w:p w:rsidR="00000000" w:rsidRDefault="00000000">
            <w:pPr>
              <w:spacing w:before="60"/>
              <w:jc w:val="center"/>
              <w:rPr>
                <w:rFonts w:hint="eastAsia"/>
                <w:sz w:val="20"/>
              </w:rPr>
            </w:pPr>
            <w:r>
              <w:rPr>
                <w:rFonts w:hint="eastAsia"/>
                <w:sz w:val="20"/>
              </w:rPr>
              <w:t>2</w:t>
            </w:r>
            <w:r>
              <w:rPr>
                <w:sz w:val="20"/>
              </w:rPr>
              <w:t>,</w:t>
            </w:r>
            <w:r>
              <w:rPr>
                <w:rFonts w:hint="eastAsia"/>
                <w:sz w:val="20"/>
              </w:rPr>
              <w:t>077</w:t>
            </w:r>
          </w:p>
        </w:tc>
        <w:tc>
          <w:tcPr>
            <w:tcW w:w="330" w:type="pct"/>
          </w:tcPr>
          <w:p w:rsidR="00000000" w:rsidRDefault="00000000">
            <w:pPr>
              <w:spacing w:before="60"/>
              <w:jc w:val="center"/>
              <w:rPr>
                <w:rFonts w:hint="eastAsia"/>
                <w:sz w:val="20"/>
              </w:rPr>
            </w:pPr>
            <w:r>
              <w:rPr>
                <w:rFonts w:hint="eastAsia"/>
                <w:sz w:val="20"/>
              </w:rPr>
              <w:t>405</w:t>
            </w:r>
          </w:p>
        </w:tc>
        <w:tc>
          <w:tcPr>
            <w:tcW w:w="358" w:type="pct"/>
          </w:tcPr>
          <w:p w:rsidR="00000000" w:rsidRDefault="00000000">
            <w:pPr>
              <w:spacing w:before="60"/>
              <w:jc w:val="center"/>
              <w:rPr>
                <w:rFonts w:hint="eastAsia"/>
                <w:sz w:val="20"/>
              </w:rPr>
            </w:pPr>
            <w:r>
              <w:rPr>
                <w:rFonts w:hint="eastAsia"/>
                <w:sz w:val="20"/>
              </w:rPr>
              <w:t>151</w:t>
            </w:r>
          </w:p>
        </w:tc>
        <w:tc>
          <w:tcPr>
            <w:tcW w:w="441" w:type="pct"/>
          </w:tcPr>
          <w:p w:rsidR="00000000" w:rsidRDefault="00000000">
            <w:pPr>
              <w:spacing w:before="60"/>
              <w:jc w:val="center"/>
              <w:rPr>
                <w:rFonts w:hint="eastAsia"/>
                <w:sz w:val="20"/>
              </w:rPr>
            </w:pPr>
            <w:r>
              <w:rPr>
                <w:rFonts w:hint="eastAsia"/>
                <w:sz w:val="20"/>
              </w:rPr>
              <w:t>41</w:t>
            </w:r>
            <w:r>
              <w:rPr>
                <w:sz w:val="20"/>
              </w:rPr>
              <w:t>,</w:t>
            </w:r>
            <w:r>
              <w:rPr>
                <w:rFonts w:hint="eastAsia"/>
                <w:sz w:val="20"/>
              </w:rPr>
              <w:t>925</w:t>
            </w:r>
          </w:p>
        </w:tc>
        <w:tc>
          <w:tcPr>
            <w:tcW w:w="481" w:type="pct"/>
          </w:tcPr>
          <w:p w:rsidR="00000000" w:rsidRDefault="00000000">
            <w:pPr>
              <w:spacing w:before="60"/>
              <w:jc w:val="center"/>
              <w:rPr>
                <w:rFonts w:hint="eastAsia"/>
                <w:sz w:val="20"/>
              </w:rPr>
            </w:pPr>
            <w:r>
              <w:rPr>
                <w:rFonts w:hint="eastAsia"/>
                <w:sz w:val="20"/>
              </w:rPr>
              <w:t>331</w:t>
            </w:r>
          </w:p>
        </w:tc>
      </w:tr>
      <w:tr w:rsidR="00000000">
        <w:tblPrEx>
          <w:tblCellMar>
            <w:top w:w="0" w:type="dxa"/>
            <w:bottom w:w="0" w:type="dxa"/>
          </w:tblCellMar>
        </w:tblPrEx>
        <w:tc>
          <w:tcPr>
            <w:tcW w:w="351" w:type="pct"/>
          </w:tcPr>
          <w:p w:rsidR="00000000" w:rsidRDefault="00000000">
            <w:pPr>
              <w:spacing w:before="60"/>
              <w:jc w:val="center"/>
              <w:rPr>
                <w:rFonts w:hint="eastAsia"/>
                <w:sz w:val="20"/>
              </w:rPr>
            </w:pPr>
            <w:r>
              <w:rPr>
                <w:rFonts w:hint="eastAsia"/>
                <w:sz w:val="20"/>
              </w:rPr>
              <w:t>暑期突击打零工</w:t>
            </w:r>
          </w:p>
        </w:tc>
        <w:tc>
          <w:tcPr>
            <w:tcW w:w="383" w:type="pct"/>
          </w:tcPr>
          <w:p w:rsidR="00000000" w:rsidRDefault="00000000">
            <w:pPr>
              <w:spacing w:before="60"/>
              <w:jc w:val="center"/>
              <w:rPr>
                <w:sz w:val="20"/>
              </w:rPr>
            </w:pPr>
          </w:p>
        </w:tc>
        <w:tc>
          <w:tcPr>
            <w:tcW w:w="441" w:type="pct"/>
          </w:tcPr>
          <w:p w:rsidR="00000000" w:rsidRDefault="00000000">
            <w:pPr>
              <w:spacing w:before="60"/>
              <w:jc w:val="right"/>
              <w:rPr>
                <w:rFonts w:hint="eastAsia"/>
                <w:sz w:val="20"/>
              </w:rPr>
            </w:pPr>
            <w:r>
              <w:rPr>
                <w:sz w:val="20"/>
              </w:rPr>
              <w:t xml:space="preserve">   </w:t>
            </w:r>
            <w:r>
              <w:rPr>
                <w:rFonts w:hint="eastAsia"/>
                <w:sz w:val="20"/>
              </w:rPr>
              <w:t>32</w:t>
            </w:r>
          </w:p>
        </w:tc>
        <w:tc>
          <w:tcPr>
            <w:tcW w:w="383" w:type="pct"/>
          </w:tcPr>
          <w:p w:rsidR="00000000" w:rsidRDefault="00000000">
            <w:pPr>
              <w:spacing w:before="60"/>
              <w:jc w:val="center"/>
              <w:rPr>
                <w:sz w:val="20"/>
              </w:rPr>
            </w:pPr>
          </w:p>
        </w:tc>
        <w:tc>
          <w:tcPr>
            <w:tcW w:w="304" w:type="pct"/>
          </w:tcPr>
          <w:p w:rsidR="00000000" w:rsidRDefault="00000000">
            <w:pPr>
              <w:spacing w:before="60"/>
              <w:jc w:val="center"/>
              <w:rPr>
                <w:rFonts w:hint="eastAsia"/>
                <w:sz w:val="20"/>
              </w:rPr>
            </w:pPr>
            <w:r>
              <w:rPr>
                <w:rFonts w:hint="eastAsia"/>
                <w:sz w:val="20"/>
              </w:rPr>
              <w:t>371</w:t>
            </w:r>
          </w:p>
        </w:tc>
        <w:tc>
          <w:tcPr>
            <w:tcW w:w="354" w:type="pct"/>
          </w:tcPr>
          <w:p w:rsidR="00000000" w:rsidRDefault="00000000">
            <w:pPr>
              <w:spacing w:before="60"/>
              <w:jc w:val="center"/>
              <w:rPr>
                <w:rFonts w:hint="eastAsia"/>
                <w:sz w:val="20"/>
              </w:rPr>
            </w:pPr>
            <w:r>
              <w:rPr>
                <w:sz w:val="20"/>
              </w:rPr>
              <w:t xml:space="preserve">  </w:t>
            </w:r>
            <w:r>
              <w:rPr>
                <w:rFonts w:hint="eastAsia"/>
                <w:sz w:val="20"/>
              </w:rPr>
              <w:t>1</w:t>
            </w:r>
          </w:p>
        </w:tc>
        <w:tc>
          <w:tcPr>
            <w:tcW w:w="349" w:type="pct"/>
          </w:tcPr>
          <w:p w:rsidR="00000000" w:rsidRDefault="00000000">
            <w:pPr>
              <w:spacing w:before="60"/>
              <w:jc w:val="center"/>
              <w:rPr>
                <w:rFonts w:hint="eastAsia"/>
                <w:sz w:val="20"/>
              </w:rPr>
            </w:pPr>
          </w:p>
        </w:tc>
        <w:tc>
          <w:tcPr>
            <w:tcW w:w="441" w:type="pct"/>
          </w:tcPr>
          <w:p w:rsidR="00000000" w:rsidRDefault="00000000">
            <w:pPr>
              <w:spacing w:before="60"/>
              <w:jc w:val="center"/>
              <w:rPr>
                <w:rFonts w:hint="eastAsia"/>
                <w:sz w:val="20"/>
              </w:rPr>
            </w:pPr>
            <w:r>
              <w:rPr>
                <w:sz w:val="20"/>
              </w:rPr>
              <w:t xml:space="preserve">   </w:t>
            </w:r>
            <w:r>
              <w:rPr>
                <w:rFonts w:hint="eastAsia"/>
                <w:sz w:val="20"/>
              </w:rPr>
              <w:t>25</w:t>
            </w:r>
          </w:p>
        </w:tc>
        <w:tc>
          <w:tcPr>
            <w:tcW w:w="383" w:type="pct"/>
          </w:tcPr>
          <w:p w:rsidR="00000000" w:rsidRDefault="00000000">
            <w:pPr>
              <w:spacing w:before="60"/>
              <w:jc w:val="center"/>
              <w:rPr>
                <w:sz w:val="20"/>
              </w:rPr>
            </w:pPr>
          </w:p>
        </w:tc>
        <w:tc>
          <w:tcPr>
            <w:tcW w:w="330" w:type="pct"/>
          </w:tcPr>
          <w:p w:rsidR="00000000" w:rsidRDefault="00000000">
            <w:pPr>
              <w:spacing w:before="60"/>
              <w:jc w:val="center"/>
              <w:rPr>
                <w:rFonts w:hint="eastAsia"/>
                <w:sz w:val="20"/>
              </w:rPr>
            </w:pPr>
            <w:r>
              <w:rPr>
                <w:rFonts w:hint="eastAsia"/>
                <w:sz w:val="20"/>
              </w:rPr>
              <w:t>350</w:t>
            </w:r>
          </w:p>
        </w:tc>
        <w:tc>
          <w:tcPr>
            <w:tcW w:w="358" w:type="pct"/>
          </w:tcPr>
          <w:p w:rsidR="00000000" w:rsidRDefault="00000000">
            <w:pPr>
              <w:spacing w:before="60"/>
              <w:jc w:val="center"/>
              <w:rPr>
                <w:rFonts w:hint="eastAsia"/>
                <w:sz w:val="20"/>
              </w:rPr>
            </w:pPr>
            <w:r>
              <w:rPr>
                <w:sz w:val="20"/>
              </w:rPr>
              <w:t xml:space="preserve"> </w:t>
            </w:r>
            <w:r>
              <w:rPr>
                <w:rFonts w:hint="eastAsia"/>
                <w:sz w:val="20"/>
              </w:rPr>
              <w:t>18</w:t>
            </w:r>
          </w:p>
        </w:tc>
        <w:tc>
          <w:tcPr>
            <w:tcW w:w="441" w:type="pct"/>
          </w:tcPr>
          <w:p w:rsidR="00000000" w:rsidRDefault="00000000">
            <w:pPr>
              <w:spacing w:before="60"/>
              <w:jc w:val="center"/>
              <w:rPr>
                <w:rFonts w:hint="eastAsia"/>
                <w:sz w:val="20"/>
              </w:rPr>
            </w:pPr>
            <w:r>
              <w:rPr>
                <w:sz w:val="20"/>
              </w:rPr>
              <w:t xml:space="preserve">  </w:t>
            </w:r>
            <w:r>
              <w:rPr>
                <w:rFonts w:hint="eastAsia"/>
                <w:sz w:val="20"/>
              </w:rPr>
              <w:t>797</w:t>
            </w:r>
          </w:p>
        </w:tc>
        <w:tc>
          <w:tcPr>
            <w:tcW w:w="481" w:type="pct"/>
          </w:tcPr>
          <w:p w:rsidR="00000000" w:rsidRDefault="00000000">
            <w:pPr>
              <w:spacing w:before="60"/>
              <w:jc w:val="center"/>
              <w:rPr>
                <w:rFonts w:hint="eastAsia"/>
                <w:sz w:val="20"/>
              </w:rPr>
            </w:pPr>
            <w:r>
              <w:rPr>
                <w:sz w:val="20"/>
              </w:rPr>
              <w:t xml:space="preserve"> </w:t>
            </w:r>
            <w:r>
              <w:rPr>
                <w:rFonts w:hint="eastAsia"/>
                <w:sz w:val="20"/>
              </w:rPr>
              <w:t>30</w:t>
            </w:r>
          </w:p>
        </w:tc>
      </w:tr>
      <w:tr w:rsidR="00000000">
        <w:tblPrEx>
          <w:tblCellMar>
            <w:top w:w="0" w:type="dxa"/>
            <w:bottom w:w="0" w:type="dxa"/>
          </w:tblCellMar>
        </w:tblPrEx>
        <w:tc>
          <w:tcPr>
            <w:tcW w:w="351" w:type="pct"/>
          </w:tcPr>
          <w:p w:rsidR="00000000" w:rsidRDefault="00000000">
            <w:pPr>
              <w:spacing w:before="60"/>
              <w:jc w:val="center"/>
              <w:rPr>
                <w:rFonts w:hint="eastAsia"/>
                <w:sz w:val="20"/>
              </w:rPr>
            </w:pPr>
            <w:r>
              <w:rPr>
                <w:rFonts w:hint="eastAsia"/>
                <w:sz w:val="20"/>
              </w:rPr>
              <w:t>总数</w:t>
            </w:r>
          </w:p>
        </w:tc>
        <w:tc>
          <w:tcPr>
            <w:tcW w:w="383" w:type="pct"/>
          </w:tcPr>
          <w:p w:rsidR="00000000" w:rsidRDefault="00000000">
            <w:pPr>
              <w:spacing w:before="60"/>
              <w:jc w:val="center"/>
              <w:rPr>
                <w:rFonts w:hint="eastAsia"/>
                <w:sz w:val="20"/>
              </w:rPr>
            </w:pPr>
            <w:r>
              <w:rPr>
                <w:rFonts w:hint="eastAsia"/>
                <w:sz w:val="20"/>
              </w:rPr>
              <w:t>3</w:t>
            </w:r>
            <w:r>
              <w:rPr>
                <w:sz w:val="20"/>
              </w:rPr>
              <w:t>,</w:t>
            </w:r>
            <w:r>
              <w:rPr>
                <w:rFonts w:hint="eastAsia"/>
                <w:sz w:val="20"/>
              </w:rPr>
              <w:t>096</w:t>
            </w:r>
          </w:p>
        </w:tc>
        <w:tc>
          <w:tcPr>
            <w:tcW w:w="441" w:type="pct"/>
          </w:tcPr>
          <w:p w:rsidR="00000000" w:rsidRDefault="00000000">
            <w:pPr>
              <w:spacing w:before="60"/>
              <w:jc w:val="center"/>
              <w:rPr>
                <w:rFonts w:hint="eastAsia"/>
                <w:sz w:val="20"/>
              </w:rPr>
            </w:pPr>
            <w:r>
              <w:rPr>
                <w:rFonts w:hint="eastAsia"/>
                <w:sz w:val="20"/>
              </w:rPr>
              <w:t>13</w:t>
            </w:r>
            <w:r>
              <w:rPr>
                <w:sz w:val="20"/>
              </w:rPr>
              <w:t>,</w:t>
            </w:r>
            <w:r>
              <w:rPr>
                <w:rFonts w:hint="eastAsia"/>
                <w:sz w:val="20"/>
              </w:rPr>
              <w:t>807</w:t>
            </w:r>
          </w:p>
        </w:tc>
        <w:tc>
          <w:tcPr>
            <w:tcW w:w="383" w:type="pct"/>
          </w:tcPr>
          <w:p w:rsidR="00000000" w:rsidRDefault="00000000">
            <w:pPr>
              <w:spacing w:before="60"/>
              <w:jc w:val="center"/>
              <w:rPr>
                <w:rFonts w:hint="eastAsia"/>
                <w:sz w:val="20"/>
              </w:rPr>
            </w:pPr>
            <w:r>
              <w:rPr>
                <w:rFonts w:hint="eastAsia"/>
                <w:sz w:val="20"/>
              </w:rPr>
              <w:t>2</w:t>
            </w:r>
            <w:r>
              <w:rPr>
                <w:sz w:val="20"/>
              </w:rPr>
              <w:t>,</w:t>
            </w:r>
            <w:r>
              <w:rPr>
                <w:rFonts w:hint="eastAsia"/>
                <w:sz w:val="20"/>
              </w:rPr>
              <w:t>713</w:t>
            </w:r>
          </w:p>
        </w:tc>
        <w:tc>
          <w:tcPr>
            <w:tcW w:w="304" w:type="pct"/>
          </w:tcPr>
          <w:p w:rsidR="00000000" w:rsidRDefault="00000000">
            <w:pPr>
              <w:spacing w:before="60"/>
              <w:jc w:val="center"/>
              <w:rPr>
                <w:rFonts w:hint="eastAsia"/>
                <w:sz w:val="20"/>
              </w:rPr>
            </w:pPr>
            <w:r>
              <w:rPr>
                <w:rFonts w:hint="eastAsia"/>
                <w:sz w:val="20"/>
              </w:rPr>
              <w:t>682</w:t>
            </w:r>
          </w:p>
        </w:tc>
        <w:tc>
          <w:tcPr>
            <w:tcW w:w="354" w:type="pct"/>
          </w:tcPr>
          <w:p w:rsidR="00000000" w:rsidRDefault="00000000">
            <w:pPr>
              <w:spacing w:before="60"/>
              <w:jc w:val="center"/>
              <w:rPr>
                <w:rFonts w:hint="eastAsia"/>
                <w:sz w:val="20"/>
              </w:rPr>
            </w:pPr>
            <w:r>
              <w:rPr>
                <w:rFonts w:hint="eastAsia"/>
                <w:sz w:val="20"/>
              </w:rPr>
              <w:t>104</w:t>
            </w:r>
          </w:p>
        </w:tc>
        <w:tc>
          <w:tcPr>
            <w:tcW w:w="349" w:type="pct"/>
          </w:tcPr>
          <w:p w:rsidR="00000000" w:rsidRDefault="00000000">
            <w:pPr>
              <w:spacing w:before="60"/>
              <w:jc w:val="center"/>
              <w:rPr>
                <w:rFonts w:hint="eastAsia"/>
                <w:sz w:val="20"/>
              </w:rPr>
            </w:pPr>
            <w:r>
              <w:rPr>
                <w:rFonts w:hint="eastAsia"/>
                <w:sz w:val="20"/>
              </w:rPr>
              <w:t>420</w:t>
            </w:r>
          </w:p>
        </w:tc>
        <w:tc>
          <w:tcPr>
            <w:tcW w:w="441" w:type="pct"/>
          </w:tcPr>
          <w:p w:rsidR="00000000" w:rsidRDefault="00000000">
            <w:pPr>
              <w:spacing w:before="60"/>
              <w:jc w:val="center"/>
              <w:rPr>
                <w:rFonts w:hint="eastAsia"/>
                <w:sz w:val="20"/>
              </w:rPr>
            </w:pPr>
            <w:r>
              <w:rPr>
                <w:rFonts w:hint="eastAsia"/>
                <w:sz w:val="20"/>
              </w:rPr>
              <w:t>18</w:t>
            </w:r>
            <w:r>
              <w:rPr>
                <w:sz w:val="20"/>
              </w:rPr>
              <w:t>,</w:t>
            </w:r>
            <w:r>
              <w:rPr>
                <w:rFonts w:hint="eastAsia"/>
                <w:sz w:val="20"/>
              </w:rPr>
              <w:t>899</w:t>
            </w:r>
          </w:p>
        </w:tc>
        <w:tc>
          <w:tcPr>
            <w:tcW w:w="383" w:type="pct"/>
          </w:tcPr>
          <w:p w:rsidR="00000000" w:rsidRDefault="00000000">
            <w:pPr>
              <w:spacing w:before="60"/>
              <w:jc w:val="center"/>
              <w:rPr>
                <w:rFonts w:hint="eastAsia"/>
                <w:sz w:val="20"/>
              </w:rPr>
            </w:pPr>
            <w:r>
              <w:rPr>
                <w:rFonts w:hint="eastAsia"/>
                <w:sz w:val="20"/>
              </w:rPr>
              <w:t>2</w:t>
            </w:r>
            <w:r>
              <w:rPr>
                <w:sz w:val="20"/>
              </w:rPr>
              <w:t>,</w:t>
            </w:r>
            <w:r>
              <w:rPr>
                <w:rFonts w:hint="eastAsia"/>
                <w:sz w:val="20"/>
              </w:rPr>
              <w:t>077</w:t>
            </w:r>
          </w:p>
        </w:tc>
        <w:tc>
          <w:tcPr>
            <w:tcW w:w="330" w:type="pct"/>
          </w:tcPr>
          <w:p w:rsidR="00000000" w:rsidRDefault="00000000">
            <w:pPr>
              <w:spacing w:before="60"/>
              <w:jc w:val="center"/>
              <w:rPr>
                <w:rFonts w:hint="eastAsia"/>
                <w:sz w:val="20"/>
              </w:rPr>
            </w:pPr>
            <w:r>
              <w:rPr>
                <w:rFonts w:hint="eastAsia"/>
                <w:sz w:val="20"/>
              </w:rPr>
              <w:t>755</w:t>
            </w:r>
          </w:p>
        </w:tc>
        <w:tc>
          <w:tcPr>
            <w:tcW w:w="358" w:type="pct"/>
          </w:tcPr>
          <w:p w:rsidR="00000000" w:rsidRDefault="00000000">
            <w:pPr>
              <w:spacing w:before="60"/>
              <w:jc w:val="center"/>
              <w:rPr>
                <w:rFonts w:hint="eastAsia"/>
                <w:sz w:val="20"/>
              </w:rPr>
            </w:pPr>
            <w:r>
              <w:rPr>
                <w:rFonts w:hint="eastAsia"/>
                <w:sz w:val="20"/>
              </w:rPr>
              <w:t>169</w:t>
            </w:r>
          </w:p>
        </w:tc>
        <w:tc>
          <w:tcPr>
            <w:tcW w:w="441" w:type="pct"/>
          </w:tcPr>
          <w:p w:rsidR="00000000" w:rsidRDefault="00000000">
            <w:pPr>
              <w:spacing w:before="60"/>
              <w:jc w:val="center"/>
              <w:rPr>
                <w:rFonts w:hint="eastAsia"/>
                <w:sz w:val="20"/>
              </w:rPr>
            </w:pPr>
            <w:r>
              <w:rPr>
                <w:rFonts w:hint="eastAsia"/>
                <w:sz w:val="20"/>
              </w:rPr>
              <w:t>42</w:t>
            </w:r>
            <w:r>
              <w:rPr>
                <w:sz w:val="20"/>
              </w:rPr>
              <w:t>,</w:t>
            </w:r>
            <w:r>
              <w:rPr>
                <w:rFonts w:hint="eastAsia"/>
                <w:sz w:val="20"/>
              </w:rPr>
              <w:t>722</w:t>
            </w:r>
          </w:p>
        </w:tc>
        <w:tc>
          <w:tcPr>
            <w:tcW w:w="481" w:type="pct"/>
          </w:tcPr>
          <w:p w:rsidR="00000000" w:rsidRDefault="00000000">
            <w:pPr>
              <w:spacing w:before="60"/>
              <w:jc w:val="center"/>
              <w:rPr>
                <w:rFonts w:hint="eastAsia"/>
                <w:sz w:val="20"/>
              </w:rPr>
            </w:pPr>
            <w:r>
              <w:rPr>
                <w:rFonts w:hint="eastAsia"/>
                <w:sz w:val="20"/>
              </w:rPr>
              <w:t>361</w:t>
            </w:r>
          </w:p>
        </w:tc>
      </w:tr>
    </w:tbl>
    <w:p w:rsidR="00000000" w:rsidRDefault="00000000">
      <w:pPr>
        <w:jc w:val="center"/>
        <w:rPr>
          <w:rFonts w:hint="eastAsia"/>
        </w:rPr>
      </w:pPr>
    </w:p>
    <w:p w:rsidR="00000000" w:rsidRDefault="00000000">
      <w:pPr>
        <w:pStyle w:val="Heading3"/>
        <w:rPr>
          <w:rFonts w:hint="eastAsia"/>
        </w:rPr>
      </w:pPr>
      <w:r>
        <w:rPr>
          <w:rFonts w:hint="eastAsia"/>
        </w:rPr>
        <w:t>违反最低工资规定的补发款额</w:t>
      </w:r>
    </w:p>
    <w:tbl>
      <w:tblPr>
        <w:tblW w:w="9360"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1800"/>
        <w:gridCol w:w="1920"/>
        <w:gridCol w:w="1920"/>
        <w:gridCol w:w="1800"/>
      </w:tblGrid>
      <w:tr w:rsidR="00000000">
        <w:tblPrEx>
          <w:tblCellMar>
            <w:top w:w="0" w:type="dxa"/>
            <w:bottom w:w="0" w:type="dxa"/>
          </w:tblCellMar>
        </w:tblPrEx>
        <w:tc>
          <w:tcPr>
            <w:tcW w:w="1920" w:type="dxa"/>
          </w:tcPr>
          <w:p w:rsidR="00000000" w:rsidRDefault="00000000">
            <w:pPr>
              <w:spacing w:before="80"/>
              <w:jc w:val="center"/>
              <w:rPr>
                <w:rFonts w:hint="eastAsia"/>
                <w:sz w:val="20"/>
              </w:rPr>
            </w:pPr>
            <w:r>
              <w:rPr>
                <w:rFonts w:hint="eastAsia"/>
                <w:sz w:val="20"/>
              </w:rPr>
              <w:t>人口阶层</w:t>
            </w:r>
          </w:p>
        </w:tc>
        <w:tc>
          <w:tcPr>
            <w:tcW w:w="1800" w:type="dxa"/>
          </w:tcPr>
          <w:p w:rsidR="00000000" w:rsidRDefault="00000000">
            <w:pPr>
              <w:spacing w:before="80"/>
              <w:jc w:val="center"/>
              <w:rPr>
                <w:rFonts w:hint="eastAsia"/>
                <w:sz w:val="20"/>
              </w:rPr>
            </w:pPr>
            <w:r>
              <w:rPr>
                <w:rFonts w:hint="eastAsia"/>
                <w:sz w:val="20"/>
              </w:rPr>
              <w:t>女性工人</w:t>
            </w:r>
          </w:p>
        </w:tc>
        <w:tc>
          <w:tcPr>
            <w:tcW w:w="1920" w:type="dxa"/>
          </w:tcPr>
          <w:p w:rsidR="00000000" w:rsidRDefault="00000000">
            <w:pPr>
              <w:spacing w:before="80"/>
              <w:jc w:val="center"/>
              <w:rPr>
                <w:rFonts w:hint="eastAsia"/>
                <w:sz w:val="20"/>
              </w:rPr>
            </w:pPr>
            <w:r>
              <w:rPr>
                <w:rFonts w:hint="eastAsia"/>
                <w:sz w:val="20"/>
              </w:rPr>
              <w:t>新锡克尔总额</w:t>
            </w:r>
          </w:p>
        </w:tc>
        <w:tc>
          <w:tcPr>
            <w:tcW w:w="1920" w:type="dxa"/>
          </w:tcPr>
          <w:p w:rsidR="00000000" w:rsidRDefault="00000000">
            <w:pPr>
              <w:spacing w:before="80"/>
              <w:jc w:val="center"/>
              <w:rPr>
                <w:rFonts w:hint="eastAsia"/>
                <w:sz w:val="20"/>
              </w:rPr>
            </w:pPr>
            <w:r>
              <w:rPr>
                <w:rFonts w:hint="eastAsia"/>
                <w:sz w:val="20"/>
              </w:rPr>
              <w:t>男性工人</w:t>
            </w:r>
          </w:p>
        </w:tc>
        <w:tc>
          <w:tcPr>
            <w:tcW w:w="1800" w:type="dxa"/>
          </w:tcPr>
          <w:p w:rsidR="00000000" w:rsidRDefault="00000000">
            <w:pPr>
              <w:spacing w:before="80"/>
              <w:jc w:val="center"/>
              <w:rPr>
                <w:rFonts w:hint="eastAsia"/>
                <w:sz w:val="20"/>
              </w:rPr>
            </w:pPr>
            <w:r>
              <w:rPr>
                <w:rFonts w:hint="eastAsia"/>
                <w:sz w:val="20"/>
              </w:rPr>
              <w:t>新锡克尔总额</w:t>
            </w:r>
          </w:p>
        </w:tc>
      </w:tr>
      <w:tr w:rsidR="00000000">
        <w:tblPrEx>
          <w:tblCellMar>
            <w:top w:w="0" w:type="dxa"/>
            <w:bottom w:w="0" w:type="dxa"/>
          </w:tblCellMar>
        </w:tblPrEx>
        <w:tc>
          <w:tcPr>
            <w:tcW w:w="1920" w:type="dxa"/>
          </w:tcPr>
          <w:p w:rsidR="00000000" w:rsidRDefault="00000000">
            <w:pPr>
              <w:spacing w:before="80"/>
              <w:ind w:left="482"/>
              <w:rPr>
                <w:rFonts w:hint="eastAsia"/>
                <w:sz w:val="20"/>
              </w:rPr>
            </w:pPr>
            <w:r>
              <w:rPr>
                <w:rFonts w:hint="eastAsia"/>
                <w:sz w:val="20"/>
              </w:rPr>
              <w:t>犹太人</w:t>
            </w:r>
          </w:p>
        </w:tc>
        <w:tc>
          <w:tcPr>
            <w:tcW w:w="1800" w:type="dxa"/>
          </w:tcPr>
          <w:p w:rsidR="00000000" w:rsidRDefault="00000000">
            <w:pPr>
              <w:spacing w:before="80"/>
              <w:ind w:left="-238" w:right="502"/>
              <w:jc w:val="right"/>
              <w:rPr>
                <w:rFonts w:hint="eastAsia"/>
                <w:sz w:val="20"/>
              </w:rPr>
            </w:pPr>
            <w:r>
              <w:rPr>
                <w:rFonts w:hint="eastAsia"/>
                <w:sz w:val="20"/>
              </w:rPr>
              <w:t>789</w:t>
            </w:r>
          </w:p>
        </w:tc>
        <w:tc>
          <w:tcPr>
            <w:tcW w:w="1920" w:type="dxa"/>
          </w:tcPr>
          <w:p w:rsidR="00000000" w:rsidRDefault="00000000">
            <w:pPr>
              <w:spacing w:before="80"/>
              <w:ind w:right="502"/>
              <w:jc w:val="right"/>
              <w:rPr>
                <w:rFonts w:hint="eastAsia"/>
                <w:sz w:val="20"/>
              </w:rPr>
            </w:pPr>
            <w:r>
              <w:rPr>
                <w:rFonts w:hint="eastAsia"/>
                <w:sz w:val="20"/>
              </w:rPr>
              <w:t>159,337</w:t>
            </w:r>
          </w:p>
        </w:tc>
        <w:tc>
          <w:tcPr>
            <w:tcW w:w="1920" w:type="dxa"/>
          </w:tcPr>
          <w:p w:rsidR="00000000" w:rsidRDefault="00000000">
            <w:pPr>
              <w:spacing w:before="80"/>
              <w:ind w:right="622"/>
              <w:jc w:val="right"/>
              <w:rPr>
                <w:rFonts w:hint="eastAsia"/>
                <w:sz w:val="20"/>
              </w:rPr>
            </w:pPr>
            <w:r>
              <w:rPr>
                <w:rFonts w:hint="eastAsia"/>
                <w:sz w:val="20"/>
              </w:rPr>
              <w:t>520</w:t>
            </w:r>
          </w:p>
        </w:tc>
        <w:tc>
          <w:tcPr>
            <w:tcW w:w="1800" w:type="dxa"/>
          </w:tcPr>
          <w:p w:rsidR="00000000" w:rsidRDefault="00000000">
            <w:pPr>
              <w:spacing w:before="80"/>
              <w:ind w:right="502"/>
              <w:jc w:val="right"/>
              <w:rPr>
                <w:rFonts w:hint="eastAsia"/>
                <w:sz w:val="20"/>
              </w:rPr>
            </w:pPr>
            <w:r>
              <w:rPr>
                <w:rFonts w:hint="eastAsia"/>
                <w:sz w:val="20"/>
              </w:rPr>
              <w:t>114,158</w:t>
            </w:r>
          </w:p>
        </w:tc>
      </w:tr>
      <w:tr w:rsidR="00000000">
        <w:tblPrEx>
          <w:tblCellMar>
            <w:top w:w="0" w:type="dxa"/>
            <w:bottom w:w="0" w:type="dxa"/>
          </w:tblCellMar>
        </w:tblPrEx>
        <w:tc>
          <w:tcPr>
            <w:tcW w:w="1920" w:type="dxa"/>
          </w:tcPr>
          <w:p w:rsidR="00000000" w:rsidRDefault="00000000">
            <w:pPr>
              <w:spacing w:before="80"/>
              <w:ind w:left="482"/>
              <w:rPr>
                <w:rFonts w:hint="eastAsia"/>
                <w:sz w:val="20"/>
              </w:rPr>
            </w:pPr>
            <w:r>
              <w:rPr>
                <w:rFonts w:hint="eastAsia"/>
                <w:sz w:val="20"/>
              </w:rPr>
              <w:t>阿拉伯人</w:t>
            </w:r>
          </w:p>
        </w:tc>
        <w:tc>
          <w:tcPr>
            <w:tcW w:w="1800" w:type="dxa"/>
          </w:tcPr>
          <w:p w:rsidR="00000000" w:rsidRDefault="00000000">
            <w:pPr>
              <w:spacing w:before="80"/>
              <w:ind w:right="502"/>
              <w:jc w:val="right"/>
              <w:rPr>
                <w:rFonts w:hint="eastAsia"/>
                <w:sz w:val="20"/>
              </w:rPr>
            </w:pPr>
            <w:r>
              <w:rPr>
                <w:rFonts w:hint="eastAsia"/>
                <w:sz w:val="20"/>
              </w:rPr>
              <w:t>1</w:t>
            </w:r>
            <w:r>
              <w:rPr>
                <w:sz w:val="20"/>
              </w:rPr>
              <w:t>,</w:t>
            </w:r>
            <w:r>
              <w:rPr>
                <w:rFonts w:hint="eastAsia"/>
                <w:sz w:val="20"/>
              </w:rPr>
              <w:t>005</w:t>
            </w:r>
          </w:p>
        </w:tc>
        <w:tc>
          <w:tcPr>
            <w:tcW w:w="1920" w:type="dxa"/>
          </w:tcPr>
          <w:p w:rsidR="00000000" w:rsidRDefault="00000000">
            <w:pPr>
              <w:spacing w:before="80"/>
              <w:ind w:right="502"/>
              <w:jc w:val="right"/>
              <w:rPr>
                <w:rFonts w:hint="eastAsia"/>
                <w:sz w:val="20"/>
              </w:rPr>
            </w:pPr>
            <w:r>
              <w:rPr>
                <w:rFonts w:hint="eastAsia"/>
                <w:sz w:val="20"/>
              </w:rPr>
              <w:t>170,321</w:t>
            </w:r>
          </w:p>
        </w:tc>
        <w:tc>
          <w:tcPr>
            <w:tcW w:w="1920" w:type="dxa"/>
          </w:tcPr>
          <w:p w:rsidR="00000000" w:rsidRDefault="00000000">
            <w:pPr>
              <w:spacing w:before="80"/>
              <w:ind w:right="622"/>
              <w:jc w:val="right"/>
              <w:rPr>
                <w:rFonts w:hint="eastAsia"/>
                <w:sz w:val="20"/>
              </w:rPr>
            </w:pPr>
            <w:r>
              <w:rPr>
                <w:rFonts w:hint="eastAsia"/>
                <w:sz w:val="20"/>
              </w:rPr>
              <w:t>318</w:t>
            </w:r>
          </w:p>
        </w:tc>
        <w:tc>
          <w:tcPr>
            <w:tcW w:w="1800" w:type="dxa"/>
          </w:tcPr>
          <w:p w:rsidR="00000000" w:rsidRDefault="00000000">
            <w:pPr>
              <w:spacing w:before="80"/>
              <w:ind w:right="502"/>
              <w:jc w:val="right"/>
              <w:rPr>
                <w:rFonts w:hint="eastAsia"/>
                <w:sz w:val="20"/>
              </w:rPr>
            </w:pPr>
            <w:r>
              <w:rPr>
                <w:rFonts w:hint="eastAsia"/>
                <w:sz w:val="20"/>
              </w:rPr>
              <w:t>87,188</w:t>
            </w:r>
          </w:p>
        </w:tc>
      </w:tr>
      <w:tr w:rsidR="00000000">
        <w:tblPrEx>
          <w:tblCellMar>
            <w:top w:w="0" w:type="dxa"/>
            <w:bottom w:w="0" w:type="dxa"/>
          </w:tblCellMar>
        </w:tblPrEx>
        <w:tc>
          <w:tcPr>
            <w:tcW w:w="1920" w:type="dxa"/>
          </w:tcPr>
          <w:p w:rsidR="00000000" w:rsidRDefault="00000000">
            <w:pPr>
              <w:spacing w:before="80"/>
              <w:ind w:left="482"/>
              <w:rPr>
                <w:rFonts w:hint="eastAsia"/>
                <w:sz w:val="20"/>
              </w:rPr>
            </w:pPr>
            <w:r>
              <w:rPr>
                <w:rFonts w:hint="eastAsia"/>
                <w:sz w:val="20"/>
              </w:rPr>
              <w:t>犹太青年</w:t>
            </w:r>
          </w:p>
        </w:tc>
        <w:tc>
          <w:tcPr>
            <w:tcW w:w="1800" w:type="dxa"/>
          </w:tcPr>
          <w:p w:rsidR="00000000" w:rsidRDefault="00000000">
            <w:pPr>
              <w:spacing w:before="80"/>
              <w:ind w:right="502"/>
              <w:jc w:val="right"/>
              <w:rPr>
                <w:rFonts w:hint="eastAsia"/>
                <w:sz w:val="20"/>
              </w:rPr>
            </w:pPr>
            <w:r>
              <w:rPr>
                <w:rFonts w:hint="eastAsia"/>
                <w:sz w:val="20"/>
              </w:rPr>
              <w:t>36</w:t>
            </w:r>
          </w:p>
        </w:tc>
        <w:tc>
          <w:tcPr>
            <w:tcW w:w="1920" w:type="dxa"/>
          </w:tcPr>
          <w:p w:rsidR="00000000" w:rsidRDefault="00000000">
            <w:pPr>
              <w:spacing w:before="80"/>
              <w:ind w:right="502"/>
              <w:jc w:val="right"/>
              <w:rPr>
                <w:rFonts w:hint="eastAsia"/>
                <w:sz w:val="20"/>
              </w:rPr>
            </w:pPr>
            <w:r>
              <w:rPr>
                <w:sz w:val="20"/>
              </w:rPr>
              <w:t xml:space="preserve">  </w:t>
            </w:r>
            <w:r>
              <w:rPr>
                <w:rFonts w:hint="eastAsia"/>
                <w:sz w:val="20"/>
              </w:rPr>
              <w:t>3,951</w:t>
            </w:r>
          </w:p>
        </w:tc>
        <w:tc>
          <w:tcPr>
            <w:tcW w:w="1920" w:type="dxa"/>
          </w:tcPr>
          <w:p w:rsidR="00000000" w:rsidRDefault="00000000">
            <w:pPr>
              <w:spacing w:before="80"/>
              <w:ind w:right="622"/>
              <w:jc w:val="right"/>
              <w:rPr>
                <w:rFonts w:hint="eastAsia"/>
                <w:sz w:val="20"/>
              </w:rPr>
            </w:pPr>
            <w:r>
              <w:rPr>
                <w:sz w:val="20"/>
              </w:rPr>
              <w:t xml:space="preserve"> </w:t>
            </w:r>
            <w:r>
              <w:rPr>
                <w:rFonts w:hint="eastAsia"/>
                <w:sz w:val="20"/>
              </w:rPr>
              <w:t>58</w:t>
            </w:r>
          </w:p>
        </w:tc>
        <w:tc>
          <w:tcPr>
            <w:tcW w:w="1800" w:type="dxa"/>
          </w:tcPr>
          <w:p w:rsidR="00000000" w:rsidRDefault="00000000">
            <w:pPr>
              <w:spacing w:before="80"/>
              <w:ind w:right="502"/>
              <w:jc w:val="right"/>
              <w:rPr>
                <w:rFonts w:hint="eastAsia"/>
                <w:sz w:val="20"/>
              </w:rPr>
            </w:pPr>
            <w:r>
              <w:rPr>
                <w:rFonts w:hint="eastAsia"/>
                <w:sz w:val="20"/>
              </w:rPr>
              <w:t>6,981</w:t>
            </w:r>
          </w:p>
        </w:tc>
      </w:tr>
      <w:tr w:rsidR="00000000">
        <w:tblPrEx>
          <w:tblCellMar>
            <w:top w:w="0" w:type="dxa"/>
            <w:bottom w:w="0" w:type="dxa"/>
          </w:tblCellMar>
        </w:tblPrEx>
        <w:tc>
          <w:tcPr>
            <w:tcW w:w="1920" w:type="dxa"/>
          </w:tcPr>
          <w:p w:rsidR="00000000" w:rsidRDefault="00000000">
            <w:pPr>
              <w:spacing w:before="80"/>
              <w:ind w:left="482"/>
              <w:rPr>
                <w:rFonts w:hint="eastAsia"/>
                <w:sz w:val="20"/>
              </w:rPr>
            </w:pPr>
            <w:r>
              <w:rPr>
                <w:rFonts w:hint="eastAsia"/>
                <w:sz w:val="20"/>
              </w:rPr>
              <w:t>阿拉伯青年</w:t>
            </w:r>
          </w:p>
        </w:tc>
        <w:tc>
          <w:tcPr>
            <w:tcW w:w="1800" w:type="dxa"/>
          </w:tcPr>
          <w:p w:rsidR="00000000" w:rsidRDefault="00000000">
            <w:pPr>
              <w:spacing w:before="80"/>
              <w:ind w:right="502"/>
              <w:jc w:val="right"/>
              <w:rPr>
                <w:rFonts w:hint="eastAsia"/>
                <w:sz w:val="20"/>
              </w:rPr>
            </w:pPr>
            <w:r>
              <w:rPr>
                <w:rFonts w:hint="eastAsia"/>
                <w:sz w:val="20"/>
              </w:rPr>
              <w:t>85</w:t>
            </w:r>
          </w:p>
        </w:tc>
        <w:tc>
          <w:tcPr>
            <w:tcW w:w="1920" w:type="dxa"/>
          </w:tcPr>
          <w:p w:rsidR="00000000" w:rsidRDefault="00000000">
            <w:pPr>
              <w:spacing w:before="80"/>
              <w:ind w:right="502"/>
              <w:jc w:val="right"/>
              <w:rPr>
                <w:rFonts w:hint="eastAsia"/>
                <w:sz w:val="20"/>
              </w:rPr>
            </w:pPr>
            <w:r>
              <w:rPr>
                <w:rFonts w:hint="eastAsia"/>
                <w:sz w:val="20"/>
              </w:rPr>
              <w:t>23,586</w:t>
            </w:r>
          </w:p>
        </w:tc>
        <w:tc>
          <w:tcPr>
            <w:tcW w:w="1920" w:type="dxa"/>
          </w:tcPr>
          <w:p w:rsidR="00000000" w:rsidRDefault="00000000">
            <w:pPr>
              <w:spacing w:before="80"/>
              <w:ind w:right="622"/>
              <w:jc w:val="right"/>
              <w:rPr>
                <w:rFonts w:hint="eastAsia"/>
                <w:sz w:val="20"/>
              </w:rPr>
            </w:pPr>
            <w:r>
              <w:rPr>
                <w:sz w:val="20"/>
              </w:rPr>
              <w:t xml:space="preserve"> </w:t>
            </w:r>
            <w:r>
              <w:rPr>
                <w:rFonts w:hint="eastAsia"/>
                <w:sz w:val="20"/>
              </w:rPr>
              <w:t>61</w:t>
            </w:r>
          </w:p>
        </w:tc>
        <w:tc>
          <w:tcPr>
            <w:tcW w:w="1800" w:type="dxa"/>
          </w:tcPr>
          <w:p w:rsidR="00000000" w:rsidRDefault="00000000">
            <w:pPr>
              <w:spacing w:before="80"/>
              <w:ind w:right="502"/>
              <w:jc w:val="right"/>
              <w:rPr>
                <w:rFonts w:hint="eastAsia"/>
                <w:sz w:val="20"/>
              </w:rPr>
            </w:pPr>
            <w:r>
              <w:rPr>
                <w:rFonts w:hint="eastAsia"/>
                <w:sz w:val="20"/>
              </w:rPr>
              <w:t>7,354</w:t>
            </w:r>
          </w:p>
        </w:tc>
      </w:tr>
      <w:tr w:rsidR="00000000">
        <w:tblPrEx>
          <w:tblCellMar>
            <w:top w:w="0" w:type="dxa"/>
            <w:bottom w:w="0" w:type="dxa"/>
          </w:tblCellMar>
        </w:tblPrEx>
        <w:tc>
          <w:tcPr>
            <w:tcW w:w="1920" w:type="dxa"/>
          </w:tcPr>
          <w:p w:rsidR="00000000" w:rsidRDefault="00000000">
            <w:pPr>
              <w:spacing w:before="80"/>
              <w:ind w:left="482"/>
              <w:rPr>
                <w:rFonts w:hint="eastAsia"/>
                <w:sz w:val="20"/>
              </w:rPr>
            </w:pPr>
            <w:r>
              <w:rPr>
                <w:rFonts w:hint="eastAsia"/>
                <w:sz w:val="20"/>
              </w:rPr>
              <w:t>外籍人</w:t>
            </w:r>
          </w:p>
        </w:tc>
        <w:tc>
          <w:tcPr>
            <w:tcW w:w="1800" w:type="dxa"/>
          </w:tcPr>
          <w:p w:rsidR="00000000" w:rsidRDefault="00000000">
            <w:pPr>
              <w:spacing w:before="80"/>
              <w:ind w:right="502"/>
              <w:jc w:val="right"/>
              <w:rPr>
                <w:rFonts w:hint="eastAsia"/>
                <w:sz w:val="20"/>
              </w:rPr>
            </w:pPr>
          </w:p>
        </w:tc>
        <w:tc>
          <w:tcPr>
            <w:tcW w:w="1920" w:type="dxa"/>
          </w:tcPr>
          <w:p w:rsidR="00000000" w:rsidRDefault="00000000">
            <w:pPr>
              <w:spacing w:before="80"/>
              <w:ind w:right="502"/>
              <w:jc w:val="right"/>
              <w:rPr>
                <w:rFonts w:hint="eastAsia"/>
                <w:sz w:val="20"/>
              </w:rPr>
            </w:pPr>
          </w:p>
        </w:tc>
        <w:tc>
          <w:tcPr>
            <w:tcW w:w="1920" w:type="dxa"/>
          </w:tcPr>
          <w:p w:rsidR="00000000" w:rsidRDefault="00000000">
            <w:pPr>
              <w:spacing w:before="80"/>
              <w:ind w:right="622"/>
              <w:jc w:val="right"/>
              <w:rPr>
                <w:rFonts w:hint="eastAsia"/>
                <w:sz w:val="20"/>
              </w:rPr>
            </w:pPr>
            <w:r>
              <w:rPr>
                <w:sz w:val="20"/>
              </w:rPr>
              <w:t xml:space="preserve"> </w:t>
            </w:r>
            <w:r>
              <w:rPr>
                <w:rFonts w:hint="eastAsia"/>
                <w:sz w:val="20"/>
              </w:rPr>
              <w:t>371</w:t>
            </w:r>
          </w:p>
        </w:tc>
        <w:tc>
          <w:tcPr>
            <w:tcW w:w="1800" w:type="dxa"/>
          </w:tcPr>
          <w:p w:rsidR="00000000" w:rsidRDefault="00000000">
            <w:pPr>
              <w:spacing w:before="80"/>
              <w:ind w:right="502"/>
              <w:jc w:val="right"/>
              <w:rPr>
                <w:rFonts w:hint="eastAsia"/>
                <w:sz w:val="20"/>
              </w:rPr>
            </w:pPr>
            <w:r>
              <w:rPr>
                <w:rFonts w:hint="eastAsia"/>
                <w:sz w:val="20"/>
              </w:rPr>
              <w:t>881,710</w:t>
            </w:r>
          </w:p>
        </w:tc>
      </w:tr>
      <w:tr w:rsidR="00000000">
        <w:tblPrEx>
          <w:tblCellMar>
            <w:top w:w="0" w:type="dxa"/>
            <w:bottom w:w="0" w:type="dxa"/>
          </w:tblCellMar>
        </w:tblPrEx>
        <w:tc>
          <w:tcPr>
            <w:tcW w:w="1920" w:type="dxa"/>
          </w:tcPr>
          <w:p w:rsidR="00000000" w:rsidRDefault="00000000">
            <w:pPr>
              <w:spacing w:before="80"/>
              <w:ind w:left="482"/>
              <w:rPr>
                <w:rFonts w:hint="eastAsia"/>
                <w:sz w:val="20"/>
              </w:rPr>
            </w:pPr>
            <w:r>
              <w:rPr>
                <w:rFonts w:hint="eastAsia"/>
                <w:sz w:val="20"/>
              </w:rPr>
              <w:t>总人数</w:t>
            </w:r>
          </w:p>
        </w:tc>
        <w:tc>
          <w:tcPr>
            <w:tcW w:w="1800" w:type="dxa"/>
          </w:tcPr>
          <w:p w:rsidR="00000000" w:rsidRDefault="00000000">
            <w:pPr>
              <w:spacing w:before="80"/>
              <w:ind w:right="502"/>
              <w:jc w:val="right"/>
              <w:rPr>
                <w:rFonts w:hint="eastAsia"/>
                <w:sz w:val="20"/>
              </w:rPr>
            </w:pPr>
            <w:r>
              <w:rPr>
                <w:rFonts w:hint="eastAsia"/>
                <w:sz w:val="20"/>
              </w:rPr>
              <w:t>1</w:t>
            </w:r>
            <w:r>
              <w:rPr>
                <w:sz w:val="20"/>
              </w:rPr>
              <w:t>,</w:t>
            </w:r>
            <w:r>
              <w:rPr>
                <w:rFonts w:hint="eastAsia"/>
                <w:sz w:val="20"/>
              </w:rPr>
              <w:t>915</w:t>
            </w:r>
          </w:p>
        </w:tc>
        <w:tc>
          <w:tcPr>
            <w:tcW w:w="1920" w:type="dxa"/>
          </w:tcPr>
          <w:p w:rsidR="00000000" w:rsidRDefault="00000000">
            <w:pPr>
              <w:spacing w:before="80"/>
              <w:ind w:right="502"/>
              <w:jc w:val="right"/>
              <w:rPr>
                <w:rFonts w:hint="eastAsia"/>
                <w:sz w:val="20"/>
              </w:rPr>
            </w:pPr>
            <w:r>
              <w:rPr>
                <w:rFonts w:hint="eastAsia"/>
                <w:sz w:val="20"/>
              </w:rPr>
              <w:t>357,196</w:t>
            </w:r>
          </w:p>
        </w:tc>
        <w:tc>
          <w:tcPr>
            <w:tcW w:w="1920" w:type="dxa"/>
          </w:tcPr>
          <w:p w:rsidR="00000000" w:rsidRDefault="00000000">
            <w:pPr>
              <w:spacing w:before="80"/>
              <w:ind w:right="622"/>
              <w:jc w:val="right"/>
              <w:rPr>
                <w:rFonts w:hint="eastAsia"/>
                <w:sz w:val="20"/>
              </w:rPr>
            </w:pPr>
            <w:r>
              <w:rPr>
                <w:rFonts w:hint="eastAsia"/>
                <w:sz w:val="20"/>
              </w:rPr>
              <w:t>1,328</w:t>
            </w:r>
          </w:p>
        </w:tc>
        <w:tc>
          <w:tcPr>
            <w:tcW w:w="1800" w:type="dxa"/>
          </w:tcPr>
          <w:p w:rsidR="00000000" w:rsidRDefault="00000000">
            <w:pPr>
              <w:spacing w:before="80"/>
              <w:ind w:right="502"/>
              <w:jc w:val="right"/>
              <w:rPr>
                <w:rFonts w:hint="eastAsia"/>
                <w:sz w:val="20"/>
              </w:rPr>
            </w:pPr>
            <w:r>
              <w:rPr>
                <w:rFonts w:hint="eastAsia"/>
                <w:sz w:val="20"/>
              </w:rPr>
              <w:t>1,100,224</w:t>
            </w:r>
          </w:p>
        </w:tc>
      </w:tr>
      <w:tr w:rsidR="00000000">
        <w:tblPrEx>
          <w:tblCellMar>
            <w:top w:w="0" w:type="dxa"/>
            <w:bottom w:w="0" w:type="dxa"/>
          </w:tblCellMar>
        </w:tblPrEx>
        <w:trPr>
          <w:cantSplit/>
        </w:trPr>
        <w:tc>
          <w:tcPr>
            <w:tcW w:w="1920" w:type="dxa"/>
          </w:tcPr>
          <w:p w:rsidR="00000000" w:rsidRDefault="00000000">
            <w:pPr>
              <w:spacing w:before="80"/>
              <w:ind w:left="482"/>
              <w:rPr>
                <w:rFonts w:hint="eastAsia"/>
                <w:sz w:val="20"/>
              </w:rPr>
            </w:pPr>
            <w:r>
              <w:rPr>
                <w:rFonts w:hint="eastAsia"/>
                <w:sz w:val="20"/>
              </w:rPr>
              <w:t>合计总人数</w:t>
            </w:r>
          </w:p>
        </w:tc>
        <w:tc>
          <w:tcPr>
            <w:tcW w:w="7440" w:type="dxa"/>
            <w:gridSpan w:val="4"/>
          </w:tcPr>
          <w:p w:rsidR="00000000" w:rsidRDefault="00000000">
            <w:pPr>
              <w:spacing w:before="80"/>
              <w:rPr>
                <w:rFonts w:hint="eastAsia"/>
                <w:sz w:val="20"/>
              </w:rPr>
            </w:pPr>
            <w:r>
              <w:rPr>
                <w:rFonts w:hint="eastAsia"/>
                <w:sz w:val="20"/>
              </w:rPr>
              <w:t>3,243</w:t>
            </w:r>
            <w:r>
              <w:rPr>
                <w:rFonts w:hint="eastAsia"/>
                <w:sz w:val="20"/>
              </w:rPr>
              <w:t>工人得到了</w:t>
            </w:r>
            <w:r>
              <w:rPr>
                <w:rFonts w:hint="eastAsia"/>
                <w:sz w:val="20"/>
              </w:rPr>
              <w:t>1,457,421</w:t>
            </w:r>
            <w:r>
              <w:rPr>
                <w:rFonts w:hint="eastAsia"/>
                <w:sz w:val="20"/>
              </w:rPr>
              <w:t>新锡克尔补发款</w:t>
            </w:r>
          </w:p>
        </w:tc>
      </w:tr>
    </w:tbl>
    <w:p w:rsidR="00000000" w:rsidRDefault="00000000">
      <w:pPr>
        <w:spacing w:before="240"/>
        <w:ind w:left="120"/>
        <w:rPr>
          <w:rFonts w:eastAsia="KaiTi_GB2312"/>
          <w:snapToGrid/>
          <w:spacing w:val="0"/>
        </w:rPr>
      </w:pPr>
      <w:r>
        <w:rPr>
          <w:rFonts w:eastAsia="KaiTi_GB2312" w:hint="eastAsia"/>
          <w:snapToGrid/>
          <w:spacing w:val="0"/>
          <w:u w:val="single"/>
        </w:rPr>
        <w:t>资料来源</w:t>
      </w:r>
      <w:r>
        <w:rPr>
          <w:rFonts w:eastAsia="KaiTi_GB2312" w:hint="eastAsia"/>
          <w:snapToGrid/>
          <w:spacing w:val="0"/>
        </w:rPr>
        <w:t>：劳工和社会事务部。</w:t>
      </w:r>
    </w:p>
    <w:p w:rsidR="00000000" w:rsidRDefault="00000000">
      <w:pPr>
        <w:spacing w:before="80"/>
        <w:rPr>
          <w:rFonts w:eastAsia="KaiTi_GB2312"/>
          <w:snapToGrid/>
          <w:spacing w:val="0"/>
        </w:rPr>
      </w:pPr>
    </w:p>
    <w:p w:rsidR="00000000" w:rsidRDefault="00000000">
      <w:pPr>
        <w:pStyle w:val="Heading3"/>
        <w:rPr>
          <w:rFonts w:hint="eastAsia"/>
        </w:rPr>
      </w:pPr>
      <w:r>
        <w:rPr>
          <w:rFonts w:hint="eastAsia"/>
        </w:rPr>
        <w:t>最低工资执行情况报告（</w:t>
      </w:r>
      <w:r>
        <w:rPr>
          <w:rFonts w:hint="eastAsia"/>
        </w:rPr>
        <w:t>1997</w:t>
      </w:r>
      <w:r>
        <w:rPr>
          <w:rFonts w:hint="eastAsia"/>
        </w:rPr>
        <w:t>年</w:t>
      </w:r>
      <w:r>
        <w:rPr>
          <w:rFonts w:hint="eastAsia"/>
          <w:u w:val="none"/>
        </w:rPr>
        <w:t>）</w:t>
      </w:r>
    </w:p>
    <w:p w:rsidR="00000000" w:rsidRDefault="00000000">
      <w:pPr>
        <w:pStyle w:val="Heading3"/>
        <w:rPr>
          <w:rFonts w:hint="eastAsia"/>
        </w:rPr>
      </w:pPr>
      <w:r>
        <w:rPr>
          <w:rFonts w:hint="eastAsia"/>
        </w:rPr>
        <w:t>已有调查结论</w:t>
      </w:r>
    </w:p>
    <w:tbl>
      <w:tblPr>
        <w:tblW w:w="4890"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80"/>
        <w:gridCol w:w="722"/>
        <w:gridCol w:w="841"/>
        <w:gridCol w:w="601"/>
        <w:gridCol w:w="603"/>
        <w:gridCol w:w="597"/>
        <w:gridCol w:w="841"/>
        <w:gridCol w:w="721"/>
        <w:gridCol w:w="597"/>
        <w:gridCol w:w="721"/>
        <w:gridCol w:w="841"/>
        <w:gridCol w:w="839"/>
      </w:tblGrid>
      <w:tr w:rsidR="00000000">
        <w:tblPrEx>
          <w:tblCellMar>
            <w:top w:w="0" w:type="dxa"/>
            <w:bottom w:w="0" w:type="dxa"/>
          </w:tblCellMar>
        </w:tblPrEx>
        <w:trPr>
          <w:cantSplit/>
        </w:trPr>
        <w:tc>
          <w:tcPr>
            <w:tcW w:w="351" w:type="pct"/>
            <w:vMerge w:val="restart"/>
          </w:tcPr>
          <w:p w:rsidR="00000000" w:rsidRDefault="00000000">
            <w:pPr>
              <w:spacing w:before="360"/>
              <w:jc w:val="center"/>
              <w:rPr>
                <w:rFonts w:hint="eastAsia"/>
                <w:sz w:val="20"/>
              </w:rPr>
            </w:pPr>
            <w:r>
              <w:rPr>
                <w:rFonts w:hint="eastAsia"/>
                <w:sz w:val="20"/>
              </w:rPr>
              <w:t>日</w:t>
            </w:r>
            <w:r>
              <w:rPr>
                <w:sz w:val="20"/>
              </w:rPr>
              <w:t xml:space="preserve"> </w:t>
            </w:r>
            <w:r>
              <w:rPr>
                <w:rFonts w:hint="eastAsia"/>
                <w:sz w:val="20"/>
              </w:rPr>
              <w:t>期</w:t>
            </w:r>
          </w:p>
        </w:tc>
        <w:tc>
          <w:tcPr>
            <w:tcW w:w="1894" w:type="pct"/>
            <w:gridSpan w:val="5"/>
          </w:tcPr>
          <w:p w:rsidR="00000000" w:rsidRDefault="00000000">
            <w:pPr>
              <w:spacing w:before="60"/>
              <w:jc w:val="center"/>
              <w:rPr>
                <w:rFonts w:hint="eastAsia"/>
                <w:sz w:val="20"/>
              </w:rPr>
            </w:pPr>
            <w:r>
              <w:rPr>
                <w:rFonts w:hint="eastAsia"/>
                <w:sz w:val="20"/>
              </w:rPr>
              <w:t>男</w:t>
            </w:r>
            <w:r>
              <w:rPr>
                <w:sz w:val="20"/>
              </w:rPr>
              <w:t xml:space="preserve"> </w:t>
            </w:r>
            <w:r>
              <w:rPr>
                <w:rFonts w:hint="eastAsia"/>
                <w:sz w:val="20"/>
              </w:rPr>
              <w:t>性</w:t>
            </w:r>
            <w:r>
              <w:rPr>
                <w:sz w:val="20"/>
              </w:rPr>
              <w:t xml:space="preserve"> </w:t>
            </w:r>
            <w:r>
              <w:rPr>
                <w:rFonts w:hint="eastAsia"/>
                <w:sz w:val="20"/>
              </w:rPr>
              <w:t>工</w:t>
            </w:r>
            <w:r>
              <w:rPr>
                <w:sz w:val="20"/>
              </w:rPr>
              <w:t xml:space="preserve"> </w:t>
            </w:r>
            <w:r>
              <w:rPr>
                <w:rFonts w:hint="eastAsia"/>
                <w:sz w:val="20"/>
              </w:rPr>
              <w:t>人</w:t>
            </w:r>
          </w:p>
        </w:tc>
        <w:tc>
          <w:tcPr>
            <w:tcW w:w="1857" w:type="pct"/>
            <w:gridSpan w:val="5"/>
          </w:tcPr>
          <w:p w:rsidR="00000000" w:rsidRDefault="00000000">
            <w:pPr>
              <w:spacing w:before="60"/>
              <w:jc w:val="center"/>
              <w:rPr>
                <w:rFonts w:hint="eastAsia"/>
                <w:sz w:val="20"/>
              </w:rPr>
            </w:pPr>
            <w:r>
              <w:rPr>
                <w:rFonts w:hint="eastAsia"/>
                <w:sz w:val="20"/>
              </w:rPr>
              <w:t>女</w:t>
            </w:r>
            <w:r>
              <w:rPr>
                <w:sz w:val="20"/>
              </w:rPr>
              <w:t xml:space="preserve"> </w:t>
            </w:r>
            <w:r>
              <w:rPr>
                <w:rFonts w:hint="eastAsia"/>
                <w:sz w:val="20"/>
              </w:rPr>
              <w:t>性</w:t>
            </w:r>
            <w:r>
              <w:rPr>
                <w:sz w:val="20"/>
              </w:rPr>
              <w:t xml:space="preserve"> </w:t>
            </w:r>
            <w:r>
              <w:rPr>
                <w:rFonts w:hint="eastAsia"/>
                <w:sz w:val="20"/>
              </w:rPr>
              <w:t>工</w:t>
            </w:r>
            <w:r>
              <w:rPr>
                <w:sz w:val="20"/>
              </w:rPr>
              <w:t xml:space="preserve"> </w:t>
            </w:r>
            <w:r>
              <w:rPr>
                <w:rFonts w:hint="eastAsia"/>
                <w:sz w:val="20"/>
              </w:rPr>
              <w:t>人</w:t>
            </w:r>
          </w:p>
        </w:tc>
        <w:tc>
          <w:tcPr>
            <w:tcW w:w="449" w:type="pct"/>
            <w:vMerge w:val="restart"/>
          </w:tcPr>
          <w:p w:rsidR="00000000" w:rsidRDefault="00000000">
            <w:pPr>
              <w:spacing w:before="360"/>
              <w:jc w:val="center"/>
              <w:rPr>
                <w:rFonts w:hint="eastAsia"/>
                <w:sz w:val="20"/>
              </w:rPr>
            </w:pPr>
            <w:r>
              <w:rPr>
                <w:rFonts w:hint="eastAsia"/>
                <w:sz w:val="20"/>
              </w:rPr>
              <w:t>总</w:t>
            </w:r>
            <w:r>
              <w:rPr>
                <w:sz w:val="20"/>
              </w:rPr>
              <w:t xml:space="preserve"> </w:t>
            </w:r>
            <w:r>
              <w:rPr>
                <w:rFonts w:hint="eastAsia"/>
                <w:sz w:val="20"/>
              </w:rPr>
              <w:t>数</w:t>
            </w:r>
          </w:p>
        </w:tc>
        <w:tc>
          <w:tcPr>
            <w:tcW w:w="448" w:type="pct"/>
            <w:vMerge w:val="restart"/>
          </w:tcPr>
          <w:p w:rsidR="00000000" w:rsidRDefault="00000000">
            <w:pPr>
              <w:spacing w:before="360"/>
              <w:ind w:left="-109" w:right="-108"/>
              <w:jc w:val="center"/>
              <w:rPr>
                <w:rFonts w:hint="eastAsia"/>
                <w:sz w:val="20"/>
              </w:rPr>
            </w:pPr>
            <w:r>
              <w:rPr>
                <w:rFonts w:hint="eastAsia"/>
                <w:sz w:val="20"/>
              </w:rPr>
              <w:t>雇</w:t>
            </w:r>
            <w:r>
              <w:rPr>
                <w:rFonts w:hint="eastAsia"/>
                <w:sz w:val="20"/>
              </w:rPr>
              <w:t xml:space="preserve"> </w:t>
            </w:r>
            <w:r>
              <w:rPr>
                <w:rFonts w:hint="eastAsia"/>
                <w:sz w:val="20"/>
              </w:rPr>
              <w:t>主</w:t>
            </w:r>
            <w:r>
              <w:rPr>
                <w:rFonts w:hint="eastAsia"/>
                <w:sz w:val="20"/>
              </w:rPr>
              <w:t xml:space="preserve"> </w:t>
            </w:r>
            <w:r>
              <w:rPr>
                <w:rFonts w:hint="eastAsia"/>
                <w:sz w:val="20"/>
              </w:rPr>
              <w:t>总人数</w:t>
            </w:r>
            <w:r>
              <w:rPr>
                <w:sz w:val="20"/>
              </w:rPr>
              <w:t>(</w:t>
            </w:r>
            <w:r>
              <w:rPr>
                <w:rFonts w:hint="eastAsia"/>
                <w:sz w:val="20"/>
              </w:rPr>
              <w:t>案件</w:t>
            </w:r>
            <w:r>
              <w:rPr>
                <w:sz w:val="20"/>
              </w:rPr>
              <w:t>)</w:t>
            </w:r>
          </w:p>
        </w:tc>
      </w:tr>
      <w:tr w:rsidR="00000000">
        <w:tblPrEx>
          <w:tblCellMar>
            <w:top w:w="0" w:type="dxa"/>
            <w:bottom w:w="0" w:type="dxa"/>
          </w:tblCellMar>
        </w:tblPrEx>
        <w:trPr>
          <w:cantSplit/>
        </w:trPr>
        <w:tc>
          <w:tcPr>
            <w:tcW w:w="351" w:type="pct"/>
            <w:vMerge/>
          </w:tcPr>
          <w:p w:rsidR="00000000" w:rsidRDefault="00000000">
            <w:pPr>
              <w:spacing w:before="60"/>
              <w:jc w:val="center"/>
              <w:rPr>
                <w:sz w:val="20"/>
              </w:rPr>
            </w:pPr>
          </w:p>
        </w:tc>
        <w:tc>
          <w:tcPr>
            <w:tcW w:w="417" w:type="pct"/>
          </w:tcPr>
          <w:p w:rsidR="00000000" w:rsidRDefault="00000000">
            <w:pPr>
              <w:spacing w:before="60"/>
              <w:jc w:val="center"/>
              <w:rPr>
                <w:rFonts w:hint="eastAsia"/>
                <w:sz w:val="20"/>
              </w:rPr>
            </w:pPr>
            <w:r>
              <w:rPr>
                <w:rFonts w:hint="eastAsia"/>
                <w:sz w:val="20"/>
              </w:rPr>
              <w:t>外籍人</w:t>
            </w:r>
          </w:p>
        </w:tc>
        <w:tc>
          <w:tcPr>
            <w:tcW w:w="386" w:type="pct"/>
          </w:tcPr>
          <w:p w:rsidR="00000000" w:rsidRDefault="00000000">
            <w:pPr>
              <w:spacing w:before="60"/>
              <w:jc w:val="center"/>
              <w:rPr>
                <w:rFonts w:hint="eastAsia"/>
                <w:sz w:val="20"/>
              </w:rPr>
            </w:pPr>
            <w:r>
              <w:rPr>
                <w:rFonts w:hint="eastAsia"/>
                <w:sz w:val="20"/>
              </w:rPr>
              <w:t>犹太人</w:t>
            </w:r>
          </w:p>
        </w:tc>
        <w:tc>
          <w:tcPr>
            <w:tcW w:w="449" w:type="pct"/>
          </w:tcPr>
          <w:p w:rsidR="00000000" w:rsidRDefault="00000000">
            <w:pPr>
              <w:spacing w:before="60"/>
              <w:jc w:val="center"/>
              <w:rPr>
                <w:rFonts w:hint="eastAsia"/>
                <w:sz w:val="20"/>
              </w:rPr>
            </w:pPr>
            <w:r>
              <w:rPr>
                <w:rFonts w:hint="eastAsia"/>
                <w:sz w:val="20"/>
              </w:rPr>
              <w:t>阿拉伯人</w:t>
            </w:r>
          </w:p>
        </w:tc>
        <w:tc>
          <w:tcPr>
            <w:tcW w:w="321" w:type="pct"/>
          </w:tcPr>
          <w:p w:rsidR="00000000" w:rsidRDefault="00000000">
            <w:pPr>
              <w:spacing w:before="60"/>
              <w:jc w:val="center"/>
              <w:rPr>
                <w:rFonts w:hint="eastAsia"/>
                <w:sz w:val="20"/>
              </w:rPr>
            </w:pPr>
            <w:r>
              <w:rPr>
                <w:rFonts w:hint="eastAsia"/>
                <w:sz w:val="20"/>
              </w:rPr>
              <w:t>犹太青年</w:t>
            </w:r>
          </w:p>
        </w:tc>
        <w:tc>
          <w:tcPr>
            <w:tcW w:w="322" w:type="pct"/>
          </w:tcPr>
          <w:p w:rsidR="00000000" w:rsidRDefault="00000000">
            <w:pPr>
              <w:spacing w:before="60"/>
              <w:jc w:val="center"/>
              <w:rPr>
                <w:rFonts w:hint="eastAsia"/>
                <w:sz w:val="20"/>
              </w:rPr>
            </w:pPr>
            <w:r>
              <w:rPr>
                <w:rFonts w:hint="eastAsia"/>
                <w:sz w:val="20"/>
              </w:rPr>
              <w:t>阿拉伯青年</w:t>
            </w:r>
          </w:p>
        </w:tc>
        <w:tc>
          <w:tcPr>
            <w:tcW w:w="319" w:type="pct"/>
          </w:tcPr>
          <w:p w:rsidR="00000000" w:rsidRDefault="00000000">
            <w:pPr>
              <w:spacing w:before="60"/>
              <w:jc w:val="center"/>
              <w:rPr>
                <w:rFonts w:hint="eastAsia"/>
                <w:sz w:val="20"/>
              </w:rPr>
            </w:pPr>
            <w:r>
              <w:rPr>
                <w:rFonts w:hint="eastAsia"/>
                <w:sz w:val="20"/>
              </w:rPr>
              <w:t>外籍人</w:t>
            </w:r>
          </w:p>
        </w:tc>
        <w:tc>
          <w:tcPr>
            <w:tcW w:w="449" w:type="pct"/>
          </w:tcPr>
          <w:p w:rsidR="00000000" w:rsidRDefault="00000000">
            <w:pPr>
              <w:spacing w:before="60"/>
              <w:jc w:val="center"/>
              <w:rPr>
                <w:rFonts w:hint="eastAsia"/>
                <w:sz w:val="20"/>
              </w:rPr>
            </w:pPr>
            <w:r>
              <w:rPr>
                <w:rFonts w:hint="eastAsia"/>
                <w:sz w:val="20"/>
              </w:rPr>
              <w:t>犹太人</w:t>
            </w:r>
          </w:p>
        </w:tc>
        <w:tc>
          <w:tcPr>
            <w:tcW w:w="385" w:type="pct"/>
          </w:tcPr>
          <w:p w:rsidR="00000000" w:rsidRDefault="00000000">
            <w:pPr>
              <w:spacing w:before="60"/>
              <w:jc w:val="center"/>
              <w:rPr>
                <w:rFonts w:hint="eastAsia"/>
                <w:sz w:val="20"/>
              </w:rPr>
            </w:pPr>
            <w:r>
              <w:rPr>
                <w:rFonts w:hint="eastAsia"/>
                <w:sz w:val="20"/>
              </w:rPr>
              <w:t>阿拉伯人</w:t>
            </w:r>
          </w:p>
        </w:tc>
        <w:tc>
          <w:tcPr>
            <w:tcW w:w="319" w:type="pct"/>
          </w:tcPr>
          <w:p w:rsidR="00000000" w:rsidRDefault="00000000">
            <w:pPr>
              <w:spacing w:before="60"/>
              <w:jc w:val="center"/>
              <w:rPr>
                <w:rFonts w:hint="eastAsia"/>
                <w:sz w:val="20"/>
              </w:rPr>
            </w:pPr>
            <w:r>
              <w:rPr>
                <w:rFonts w:hint="eastAsia"/>
                <w:sz w:val="20"/>
              </w:rPr>
              <w:t>犹太青年</w:t>
            </w:r>
          </w:p>
        </w:tc>
        <w:tc>
          <w:tcPr>
            <w:tcW w:w="385" w:type="pct"/>
          </w:tcPr>
          <w:p w:rsidR="00000000" w:rsidRDefault="00000000">
            <w:pPr>
              <w:spacing w:before="60"/>
              <w:jc w:val="center"/>
              <w:rPr>
                <w:rFonts w:hint="eastAsia"/>
                <w:sz w:val="20"/>
              </w:rPr>
            </w:pPr>
            <w:r>
              <w:rPr>
                <w:rFonts w:hint="eastAsia"/>
                <w:sz w:val="20"/>
              </w:rPr>
              <w:t>阿拉伯青年</w:t>
            </w:r>
          </w:p>
        </w:tc>
        <w:tc>
          <w:tcPr>
            <w:tcW w:w="449" w:type="pct"/>
            <w:vMerge/>
          </w:tcPr>
          <w:p w:rsidR="00000000" w:rsidRDefault="00000000">
            <w:pPr>
              <w:spacing w:before="60"/>
              <w:jc w:val="center"/>
              <w:rPr>
                <w:sz w:val="20"/>
              </w:rPr>
            </w:pPr>
          </w:p>
        </w:tc>
        <w:tc>
          <w:tcPr>
            <w:tcW w:w="448" w:type="pct"/>
            <w:vMerge/>
          </w:tcPr>
          <w:p w:rsidR="00000000" w:rsidRDefault="00000000">
            <w:pPr>
              <w:spacing w:before="60"/>
              <w:jc w:val="center"/>
              <w:rPr>
                <w:sz w:val="20"/>
              </w:rPr>
            </w:pPr>
          </w:p>
        </w:tc>
      </w:tr>
      <w:tr w:rsidR="00000000">
        <w:tblPrEx>
          <w:tblCellMar>
            <w:top w:w="0" w:type="dxa"/>
            <w:bottom w:w="0" w:type="dxa"/>
          </w:tblCellMar>
        </w:tblPrEx>
        <w:tc>
          <w:tcPr>
            <w:tcW w:w="351" w:type="pct"/>
          </w:tcPr>
          <w:p w:rsidR="00000000" w:rsidRDefault="00000000">
            <w:pPr>
              <w:spacing w:before="60"/>
              <w:jc w:val="center"/>
              <w:rPr>
                <w:rFonts w:hint="eastAsia"/>
                <w:sz w:val="20"/>
              </w:rPr>
            </w:pPr>
            <w:r>
              <w:rPr>
                <w:rFonts w:hint="eastAsia"/>
                <w:sz w:val="20"/>
              </w:rPr>
              <w:t>1997</w:t>
            </w:r>
          </w:p>
        </w:tc>
        <w:tc>
          <w:tcPr>
            <w:tcW w:w="417" w:type="pct"/>
          </w:tcPr>
          <w:p w:rsidR="00000000" w:rsidRDefault="00000000">
            <w:pPr>
              <w:spacing w:before="60"/>
              <w:jc w:val="center"/>
              <w:rPr>
                <w:rFonts w:hint="eastAsia"/>
                <w:sz w:val="20"/>
              </w:rPr>
            </w:pPr>
            <w:r>
              <w:rPr>
                <w:rFonts w:hint="eastAsia"/>
                <w:sz w:val="20"/>
              </w:rPr>
              <w:t>1</w:t>
            </w:r>
            <w:r>
              <w:rPr>
                <w:sz w:val="20"/>
              </w:rPr>
              <w:t>,</w:t>
            </w:r>
            <w:r>
              <w:rPr>
                <w:rFonts w:hint="eastAsia"/>
                <w:sz w:val="20"/>
              </w:rPr>
              <w:t>609</w:t>
            </w:r>
          </w:p>
        </w:tc>
        <w:tc>
          <w:tcPr>
            <w:tcW w:w="386" w:type="pct"/>
          </w:tcPr>
          <w:p w:rsidR="00000000" w:rsidRDefault="00000000">
            <w:pPr>
              <w:spacing w:before="60"/>
              <w:jc w:val="center"/>
              <w:rPr>
                <w:rFonts w:hint="eastAsia"/>
                <w:sz w:val="20"/>
              </w:rPr>
            </w:pPr>
            <w:r>
              <w:rPr>
                <w:rFonts w:hint="eastAsia"/>
                <w:sz w:val="20"/>
              </w:rPr>
              <w:t>631</w:t>
            </w:r>
          </w:p>
        </w:tc>
        <w:tc>
          <w:tcPr>
            <w:tcW w:w="449" w:type="pct"/>
          </w:tcPr>
          <w:p w:rsidR="00000000" w:rsidRDefault="00000000">
            <w:pPr>
              <w:spacing w:before="60"/>
              <w:jc w:val="center"/>
              <w:rPr>
                <w:rFonts w:hint="eastAsia"/>
                <w:sz w:val="20"/>
              </w:rPr>
            </w:pPr>
            <w:r>
              <w:rPr>
                <w:rFonts w:hint="eastAsia"/>
                <w:sz w:val="20"/>
              </w:rPr>
              <w:t>45</w:t>
            </w:r>
          </w:p>
        </w:tc>
        <w:tc>
          <w:tcPr>
            <w:tcW w:w="321" w:type="pct"/>
          </w:tcPr>
          <w:p w:rsidR="00000000" w:rsidRDefault="00000000">
            <w:pPr>
              <w:spacing w:before="60"/>
              <w:jc w:val="center"/>
              <w:rPr>
                <w:rFonts w:hint="eastAsia"/>
                <w:sz w:val="20"/>
              </w:rPr>
            </w:pPr>
            <w:r>
              <w:rPr>
                <w:rFonts w:hint="eastAsia"/>
                <w:sz w:val="20"/>
              </w:rPr>
              <w:t>32</w:t>
            </w:r>
          </w:p>
        </w:tc>
        <w:tc>
          <w:tcPr>
            <w:tcW w:w="322" w:type="pct"/>
          </w:tcPr>
          <w:p w:rsidR="00000000" w:rsidRDefault="00000000">
            <w:pPr>
              <w:spacing w:before="60"/>
              <w:jc w:val="center"/>
              <w:rPr>
                <w:rFonts w:hint="eastAsia"/>
                <w:sz w:val="20"/>
              </w:rPr>
            </w:pPr>
            <w:r>
              <w:rPr>
                <w:rFonts w:hint="eastAsia"/>
                <w:sz w:val="20"/>
              </w:rPr>
              <w:t>9</w:t>
            </w:r>
          </w:p>
        </w:tc>
        <w:tc>
          <w:tcPr>
            <w:tcW w:w="319" w:type="pct"/>
          </w:tcPr>
          <w:p w:rsidR="00000000" w:rsidRDefault="00000000">
            <w:pPr>
              <w:spacing w:before="60"/>
              <w:jc w:val="center"/>
              <w:rPr>
                <w:rFonts w:hint="eastAsia"/>
                <w:sz w:val="20"/>
              </w:rPr>
            </w:pPr>
            <w:r>
              <w:rPr>
                <w:rFonts w:hint="eastAsia"/>
                <w:sz w:val="20"/>
              </w:rPr>
              <w:t>160</w:t>
            </w:r>
          </w:p>
        </w:tc>
        <w:tc>
          <w:tcPr>
            <w:tcW w:w="449" w:type="pct"/>
          </w:tcPr>
          <w:p w:rsidR="00000000" w:rsidRDefault="00000000">
            <w:pPr>
              <w:spacing w:before="60"/>
              <w:jc w:val="center"/>
              <w:rPr>
                <w:rFonts w:hint="eastAsia"/>
                <w:sz w:val="20"/>
              </w:rPr>
            </w:pPr>
            <w:r>
              <w:rPr>
                <w:rFonts w:hint="eastAsia"/>
                <w:sz w:val="20"/>
              </w:rPr>
              <w:t>698</w:t>
            </w:r>
          </w:p>
        </w:tc>
        <w:tc>
          <w:tcPr>
            <w:tcW w:w="385" w:type="pct"/>
          </w:tcPr>
          <w:p w:rsidR="00000000" w:rsidRDefault="00000000">
            <w:pPr>
              <w:spacing w:before="60"/>
              <w:jc w:val="center"/>
              <w:rPr>
                <w:rFonts w:hint="eastAsia"/>
                <w:sz w:val="20"/>
              </w:rPr>
            </w:pPr>
            <w:r>
              <w:rPr>
                <w:rFonts w:hint="eastAsia"/>
                <w:sz w:val="20"/>
              </w:rPr>
              <w:t>178</w:t>
            </w:r>
          </w:p>
        </w:tc>
        <w:tc>
          <w:tcPr>
            <w:tcW w:w="319" w:type="pct"/>
          </w:tcPr>
          <w:p w:rsidR="00000000" w:rsidRDefault="00000000">
            <w:pPr>
              <w:spacing w:before="60"/>
              <w:jc w:val="center"/>
              <w:rPr>
                <w:rFonts w:hint="eastAsia"/>
                <w:sz w:val="20"/>
              </w:rPr>
            </w:pPr>
            <w:r>
              <w:rPr>
                <w:rFonts w:hint="eastAsia"/>
                <w:sz w:val="20"/>
              </w:rPr>
              <w:t>27</w:t>
            </w:r>
          </w:p>
        </w:tc>
        <w:tc>
          <w:tcPr>
            <w:tcW w:w="385" w:type="pct"/>
          </w:tcPr>
          <w:p w:rsidR="00000000" w:rsidRDefault="00000000">
            <w:pPr>
              <w:spacing w:before="60"/>
              <w:jc w:val="center"/>
              <w:rPr>
                <w:rFonts w:hint="eastAsia"/>
                <w:sz w:val="20"/>
              </w:rPr>
            </w:pPr>
            <w:r>
              <w:rPr>
                <w:rFonts w:hint="eastAsia"/>
                <w:sz w:val="20"/>
              </w:rPr>
              <w:t>8</w:t>
            </w:r>
          </w:p>
        </w:tc>
        <w:tc>
          <w:tcPr>
            <w:tcW w:w="449" w:type="pct"/>
          </w:tcPr>
          <w:p w:rsidR="00000000" w:rsidRDefault="00000000">
            <w:pPr>
              <w:spacing w:before="60"/>
              <w:jc w:val="center"/>
              <w:rPr>
                <w:rFonts w:hint="eastAsia"/>
                <w:sz w:val="20"/>
              </w:rPr>
            </w:pPr>
            <w:r>
              <w:rPr>
                <w:rFonts w:hint="eastAsia"/>
                <w:sz w:val="20"/>
              </w:rPr>
              <w:t>3</w:t>
            </w:r>
            <w:r>
              <w:rPr>
                <w:sz w:val="20"/>
              </w:rPr>
              <w:t>,</w:t>
            </w:r>
            <w:r>
              <w:rPr>
                <w:rFonts w:hint="eastAsia"/>
                <w:sz w:val="20"/>
              </w:rPr>
              <w:t>397</w:t>
            </w:r>
          </w:p>
        </w:tc>
        <w:tc>
          <w:tcPr>
            <w:tcW w:w="448" w:type="pct"/>
          </w:tcPr>
          <w:p w:rsidR="00000000" w:rsidRDefault="00000000">
            <w:pPr>
              <w:spacing w:before="60"/>
              <w:jc w:val="center"/>
              <w:rPr>
                <w:rFonts w:hint="eastAsia"/>
                <w:sz w:val="20"/>
              </w:rPr>
            </w:pPr>
            <w:r>
              <w:rPr>
                <w:rFonts w:hint="eastAsia"/>
                <w:sz w:val="20"/>
              </w:rPr>
              <w:t>358</w:t>
            </w:r>
          </w:p>
        </w:tc>
      </w:tr>
    </w:tbl>
    <w:p w:rsidR="00000000" w:rsidRDefault="00000000">
      <w:pPr>
        <w:pStyle w:val="Heading3"/>
        <w:spacing w:before="240" w:after="240"/>
        <w:rPr>
          <w:rFonts w:hint="eastAsia"/>
        </w:rPr>
      </w:pPr>
      <w:r>
        <w:rPr>
          <w:rFonts w:hint="eastAsia"/>
        </w:rPr>
        <w:t>未有调查结论</w:t>
      </w:r>
    </w:p>
    <w:tbl>
      <w:tblPr>
        <w:tblW w:w="4890"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0"/>
        <w:gridCol w:w="784"/>
        <w:gridCol w:w="719"/>
        <w:gridCol w:w="837"/>
        <w:gridCol w:w="597"/>
        <w:gridCol w:w="601"/>
        <w:gridCol w:w="601"/>
        <w:gridCol w:w="841"/>
        <w:gridCol w:w="719"/>
        <w:gridCol w:w="601"/>
        <w:gridCol w:w="721"/>
        <w:gridCol w:w="835"/>
        <w:gridCol w:w="844"/>
      </w:tblGrid>
      <w:tr w:rsidR="00000000">
        <w:tblPrEx>
          <w:tblCellMar>
            <w:top w:w="0" w:type="dxa"/>
            <w:bottom w:w="0" w:type="dxa"/>
          </w:tblCellMar>
        </w:tblPrEx>
        <w:trPr>
          <w:cantSplit/>
        </w:trPr>
        <w:tc>
          <w:tcPr>
            <w:tcW w:w="353" w:type="pct"/>
            <w:vMerge w:val="restart"/>
          </w:tcPr>
          <w:p w:rsidR="00000000" w:rsidRDefault="00000000">
            <w:pPr>
              <w:spacing w:before="360"/>
              <w:jc w:val="center"/>
              <w:rPr>
                <w:rFonts w:hint="eastAsia"/>
                <w:sz w:val="20"/>
              </w:rPr>
            </w:pPr>
            <w:r>
              <w:rPr>
                <w:rFonts w:hint="eastAsia"/>
                <w:sz w:val="20"/>
              </w:rPr>
              <w:t>日</w:t>
            </w:r>
            <w:r>
              <w:rPr>
                <w:sz w:val="20"/>
              </w:rPr>
              <w:t xml:space="preserve"> </w:t>
            </w:r>
            <w:r>
              <w:rPr>
                <w:rFonts w:hint="eastAsia"/>
                <w:sz w:val="20"/>
              </w:rPr>
              <w:t>期</w:t>
            </w:r>
          </w:p>
        </w:tc>
        <w:tc>
          <w:tcPr>
            <w:tcW w:w="1890" w:type="pct"/>
            <w:gridSpan w:val="5"/>
          </w:tcPr>
          <w:p w:rsidR="00000000" w:rsidRDefault="00000000">
            <w:pPr>
              <w:spacing w:before="60"/>
              <w:jc w:val="center"/>
              <w:rPr>
                <w:rFonts w:hint="eastAsia"/>
                <w:sz w:val="20"/>
              </w:rPr>
            </w:pPr>
            <w:r>
              <w:rPr>
                <w:rFonts w:hint="eastAsia"/>
                <w:sz w:val="20"/>
              </w:rPr>
              <w:t>男</w:t>
            </w:r>
            <w:r>
              <w:rPr>
                <w:sz w:val="20"/>
              </w:rPr>
              <w:t xml:space="preserve"> </w:t>
            </w:r>
            <w:r>
              <w:rPr>
                <w:rFonts w:hint="eastAsia"/>
                <w:sz w:val="20"/>
              </w:rPr>
              <w:t>性</w:t>
            </w:r>
            <w:r>
              <w:rPr>
                <w:sz w:val="20"/>
              </w:rPr>
              <w:t xml:space="preserve"> </w:t>
            </w:r>
            <w:r>
              <w:rPr>
                <w:rFonts w:hint="eastAsia"/>
                <w:sz w:val="20"/>
              </w:rPr>
              <w:t>工</w:t>
            </w:r>
            <w:r>
              <w:rPr>
                <w:sz w:val="20"/>
              </w:rPr>
              <w:t xml:space="preserve"> </w:t>
            </w:r>
            <w:r>
              <w:rPr>
                <w:rFonts w:hint="eastAsia"/>
                <w:sz w:val="20"/>
              </w:rPr>
              <w:t>人</w:t>
            </w:r>
          </w:p>
        </w:tc>
        <w:tc>
          <w:tcPr>
            <w:tcW w:w="1860" w:type="pct"/>
            <w:gridSpan w:val="5"/>
          </w:tcPr>
          <w:p w:rsidR="00000000" w:rsidRDefault="00000000">
            <w:pPr>
              <w:spacing w:before="60"/>
              <w:jc w:val="center"/>
              <w:rPr>
                <w:rFonts w:hint="eastAsia"/>
                <w:sz w:val="20"/>
              </w:rPr>
            </w:pPr>
            <w:r>
              <w:rPr>
                <w:rFonts w:hint="eastAsia"/>
                <w:sz w:val="20"/>
              </w:rPr>
              <w:t>女</w:t>
            </w:r>
            <w:r>
              <w:rPr>
                <w:sz w:val="20"/>
              </w:rPr>
              <w:t xml:space="preserve"> </w:t>
            </w:r>
            <w:r>
              <w:rPr>
                <w:rFonts w:hint="eastAsia"/>
                <w:sz w:val="20"/>
              </w:rPr>
              <w:t>性</w:t>
            </w:r>
            <w:r>
              <w:rPr>
                <w:sz w:val="20"/>
              </w:rPr>
              <w:t xml:space="preserve"> </w:t>
            </w:r>
            <w:r>
              <w:rPr>
                <w:rFonts w:hint="eastAsia"/>
                <w:sz w:val="20"/>
              </w:rPr>
              <w:t>工</w:t>
            </w:r>
            <w:r>
              <w:rPr>
                <w:sz w:val="20"/>
              </w:rPr>
              <w:t xml:space="preserve"> </w:t>
            </w:r>
            <w:r>
              <w:rPr>
                <w:rFonts w:hint="eastAsia"/>
                <w:sz w:val="20"/>
              </w:rPr>
              <w:t>人</w:t>
            </w:r>
          </w:p>
        </w:tc>
        <w:tc>
          <w:tcPr>
            <w:tcW w:w="446" w:type="pct"/>
            <w:vMerge w:val="restart"/>
          </w:tcPr>
          <w:p w:rsidR="00000000" w:rsidRDefault="00000000">
            <w:pPr>
              <w:spacing w:before="360"/>
              <w:jc w:val="center"/>
              <w:rPr>
                <w:rFonts w:hint="eastAsia"/>
                <w:sz w:val="20"/>
              </w:rPr>
            </w:pPr>
            <w:r>
              <w:rPr>
                <w:rFonts w:hint="eastAsia"/>
                <w:sz w:val="20"/>
              </w:rPr>
              <w:t>总</w:t>
            </w:r>
            <w:r>
              <w:rPr>
                <w:sz w:val="20"/>
              </w:rPr>
              <w:t xml:space="preserve">  </w:t>
            </w:r>
            <w:r>
              <w:rPr>
                <w:rFonts w:hint="eastAsia"/>
                <w:sz w:val="20"/>
              </w:rPr>
              <w:t>数</w:t>
            </w:r>
          </w:p>
        </w:tc>
        <w:tc>
          <w:tcPr>
            <w:tcW w:w="451" w:type="pct"/>
            <w:vMerge w:val="restart"/>
          </w:tcPr>
          <w:p w:rsidR="00000000" w:rsidRDefault="00000000">
            <w:pPr>
              <w:spacing w:before="360"/>
              <w:ind w:left="-104" w:right="-108"/>
              <w:jc w:val="center"/>
              <w:rPr>
                <w:rFonts w:hint="eastAsia"/>
                <w:sz w:val="20"/>
              </w:rPr>
            </w:pPr>
            <w:r>
              <w:rPr>
                <w:rFonts w:hint="eastAsia"/>
                <w:sz w:val="20"/>
              </w:rPr>
              <w:t>雇</w:t>
            </w:r>
            <w:r>
              <w:rPr>
                <w:rFonts w:hint="eastAsia"/>
                <w:sz w:val="20"/>
              </w:rPr>
              <w:t xml:space="preserve"> </w:t>
            </w:r>
            <w:r>
              <w:rPr>
                <w:rFonts w:hint="eastAsia"/>
                <w:sz w:val="20"/>
              </w:rPr>
              <w:t>主</w:t>
            </w:r>
            <w:r>
              <w:rPr>
                <w:rFonts w:hint="eastAsia"/>
                <w:sz w:val="20"/>
              </w:rPr>
              <w:t xml:space="preserve"> </w:t>
            </w:r>
            <w:r>
              <w:rPr>
                <w:rFonts w:hint="eastAsia"/>
                <w:sz w:val="20"/>
              </w:rPr>
              <w:t>总人数</w:t>
            </w:r>
            <w:r>
              <w:rPr>
                <w:sz w:val="20"/>
              </w:rPr>
              <w:t>(</w:t>
            </w:r>
            <w:r>
              <w:rPr>
                <w:rFonts w:hint="eastAsia"/>
                <w:sz w:val="20"/>
              </w:rPr>
              <w:t>案件</w:t>
            </w:r>
            <w:r>
              <w:rPr>
                <w:sz w:val="20"/>
              </w:rPr>
              <w:t>)</w:t>
            </w:r>
          </w:p>
        </w:tc>
      </w:tr>
      <w:tr w:rsidR="00000000">
        <w:tblPrEx>
          <w:tblCellMar>
            <w:top w:w="0" w:type="dxa"/>
            <w:bottom w:w="0" w:type="dxa"/>
          </w:tblCellMar>
        </w:tblPrEx>
        <w:trPr>
          <w:cantSplit/>
        </w:trPr>
        <w:tc>
          <w:tcPr>
            <w:tcW w:w="353" w:type="pct"/>
            <w:vMerge/>
          </w:tcPr>
          <w:p w:rsidR="00000000" w:rsidRDefault="00000000">
            <w:pPr>
              <w:spacing w:before="60"/>
              <w:jc w:val="center"/>
              <w:rPr>
                <w:sz w:val="20"/>
              </w:rPr>
            </w:pPr>
          </w:p>
        </w:tc>
        <w:tc>
          <w:tcPr>
            <w:tcW w:w="419" w:type="pct"/>
          </w:tcPr>
          <w:p w:rsidR="00000000" w:rsidRDefault="00000000">
            <w:pPr>
              <w:spacing w:before="60"/>
              <w:jc w:val="center"/>
              <w:rPr>
                <w:rFonts w:hint="eastAsia"/>
                <w:sz w:val="20"/>
              </w:rPr>
            </w:pPr>
            <w:r>
              <w:rPr>
                <w:rFonts w:hint="eastAsia"/>
                <w:sz w:val="20"/>
              </w:rPr>
              <w:t>外籍人</w:t>
            </w:r>
          </w:p>
        </w:tc>
        <w:tc>
          <w:tcPr>
            <w:tcW w:w="384" w:type="pct"/>
          </w:tcPr>
          <w:p w:rsidR="00000000" w:rsidRDefault="00000000">
            <w:pPr>
              <w:spacing w:before="60"/>
              <w:jc w:val="center"/>
              <w:rPr>
                <w:rFonts w:hint="eastAsia"/>
                <w:sz w:val="20"/>
              </w:rPr>
            </w:pPr>
            <w:r>
              <w:rPr>
                <w:rFonts w:hint="eastAsia"/>
                <w:sz w:val="20"/>
              </w:rPr>
              <w:t>犹太人</w:t>
            </w:r>
          </w:p>
        </w:tc>
        <w:tc>
          <w:tcPr>
            <w:tcW w:w="447" w:type="pct"/>
          </w:tcPr>
          <w:p w:rsidR="00000000" w:rsidRDefault="00000000">
            <w:pPr>
              <w:spacing w:before="60"/>
              <w:jc w:val="center"/>
              <w:rPr>
                <w:rFonts w:hint="eastAsia"/>
                <w:sz w:val="20"/>
              </w:rPr>
            </w:pPr>
            <w:r>
              <w:rPr>
                <w:rFonts w:hint="eastAsia"/>
                <w:sz w:val="20"/>
              </w:rPr>
              <w:t>阿拉伯人</w:t>
            </w:r>
          </w:p>
        </w:tc>
        <w:tc>
          <w:tcPr>
            <w:tcW w:w="319" w:type="pct"/>
          </w:tcPr>
          <w:p w:rsidR="00000000" w:rsidRDefault="00000000">
            <w:pPr>
              <w:spacing w:before="60"/>
              <w:jc w:val="center"/>
              <w:rPr>
                <w:rFonts w:hint="eastAsia"/>
                <w:sz w:val="20"/>
              </w:rPr>
            </w:pPr>
            <w:r>
              <w:rPr>
                <w:rFonts w:hint="eastAsia"/>
                <w:sz w:val="20"/>
              </w:rPr>
              <w:t>犹太青年</w:t>
            </w:r>
          </w:p>
        </w:tc>
        <w:tc>
          <w:tcPr>
            <w:tcW w:w="321" w:type="pct"/>
          </w:tcPr>
          <w:p w:rsidR="00000000" w:rsidRDefault="00000000">
            <w:pPr>
              <w:spacing w:before="60"/>
              <w:jc w:val="center"/>
              <w:rPr>
                <w:rFonts w:hint="eastAsia"/>
                <w:sz w:val="20"/>
              </w:rPr>
            </w:pPr>
            <w:r>
              <w:rPr>
                <w:rFonts w:hint="eastAsia"/>
                <w:sz w:val="20"/>
              </w:rPr>
              <w:t>阿拉伯青年</w:t>
            </w:r>
          </w:p>
        </w:tc>
        <w:tc>
          <w:tcPr>
            <w:tcW w:w="321" w:type="pct"/>
          </w:tcPr>
          <w:p w:rsidR="00000000" w:rsidRDefault="00000000">
            <w:pPr>
              <w:spacing w:before="60"/>
              <w:jc w:val="center"/>
              <w:rPr>
                <w:rFonts w:hint="eastAsia"/>
                <w:sz w:val="20"/>
              </w:rPr>
            </w:pPr>
            <w:r>
              <w:rPr>
                <w:rFonts w:hint="eastAsia"/>
                <w:sz w:val="20"/>
              </w:rPr>
              <w:t>外籍人</w:t>
            </w:r>
          </w:p>
        </w:tc>
        <w:tc>
          <w:tcPr>
            <w:tcW w:w="449" w:type="pct"/>
          </w:tcPr>
          <w:p w:rsidR="00000000" w:rsidRDefault="00000000">
            <w:pPr>
              <w:spacing w:before="60"/>
              <w:jc w:val="center"/>
              <w:rPr>
                <w:rFonts w:hint="eastAsia"/>
                <w:sz w:val="20"/>
              </w:rPr>
            </w:pPr>
            <w:r>
              <w:rPr>
                <w:rFonts w:hint="eastAsia"/>
                <w:sz w:val="20"/>
              </w:rPr>
              <w:t>犹太人</w:t>
            </w:r>
          </w:p>
        </w:tc>
        <w:tc>
          <w:tcPr>
            <w:tcW w:w="384" w:type="pct"/>
          </w:tcPr>
          <w:p w:rsidR="00000000" w:rsidRDefault="00000000">
            <w:pPr>
              <w:spacing w:before="60"/>
              <w:jc w:val="center"/>
              <w:rPr>
                <w:rFonts w:hint="eastAsia"/>
                <w:sz w:val="20"/>
              </w:rPr>
            </w:pPr>
            <w:r>
              <w:rPr>
                <w:rFonts w:hint="eastAsia"/>
                <w:sz w:val="20"/>
              </w:rPr>
              <w:t>阿拉伯人</w:t>
            </w:r>
          </w:p>
        </w:tc>
        <w:tc>
          <w:tcPr>
            <w:tcW w:w="321" w:type="pct"/>
          </w:tcPr>
          <w:p w:rsidR="00000000" w:rsidRDefault="00000000">
            <w:pPr>
              <w:spacing w:before="60"/>
              <w:jc w:val="center"/>
              <w:rPr>
                <w:rFonts w:hint="eastAsia"/>
                <w:sz w:val="20"/>
              </w:rPr>
            </w:pPr>
            <w:r>
              <w:rPr>
                <w:rFonts w:hint="eastAsia"/>
                <w:sz w:val="20"/>
              </w:rPr>
              <w:t>犹太青年</w:t>
            </w:r>
          </w:p>
        </w:tc>
        <w:tc>
          <w:tcPr>
            <w:tcW w:w="385" w:type="pct"/>
          </w:tcPr>
          <w:p w:rsidR="00000000" w:rsidRDefault="00000000">
            <w:pPr>
              <w:spacing w:before="60"/>
              <w:jc w:val="center"/>
              <w:rPr>
                <w:rFonts w:hint="eastAsia"/>
                <w:sz w:val="20"/>
              </w:rPr>
            </w:pPr>
            <w:r>
              <w:rPr>
                <w:rFonts w:hint="eastAsia"/>
                <w:sz w:val="20"/>
              </w:rPr>
              <w:t>阿拉伯青年</w:t>
            </w:r>
          </w:p>
        </w:tc>
        <w:tc>
          <w:tcPr>
            <w:tcW w:w="446" w:type="pct"/>
            <w:vMerge/>
          </w:tcPr>
          <w:p w:rsidR="00000000" w:rsidRDefault="00000000">
            <w:pPr>
              <w:spacing w:before="60"/>
              <w:jc w:val="center"/>
              <w:rPr>
                <w:sz w:val="20"/>
              </w:rPr>
            </w:pPr>
          </w:p>
        </w:tc>
        <w:tc>
          <w:tcPr>
            <w:tcW w:w="451" w:type="pct"/>
            <w:vMerge/>
          </w:tcPr>
          <w:p w:rsidR="00000000" w:rsidRDefault="00000000">
            <w:pPr>
              <w:spacing w:before="60"/>
              <w:jc w:val="center"/>
              <w:rPr>
                <w:sz w:val="20"/>
              </w:rPr>
            </w:pPr>
          </w:p>
        </w:tc>
      </w:tr>
      <w:tr w:rsidR="00000000">
        <w:tblPrEx>
          <w:tblCellMar>
            <w:top w:w="0" w:type="dxa"/>
            <w:bottom w:w="0" w:type="dxa"/>
          </w:tblCellMar>
        </w:tblPrEx>
        <w:tc>
          <w:tcPr>
            <w:tcW w:w="353" w:type="pct"/>
          </w:tcPr>
          <w:p w:rsidR="00000000" w:rsidRDefault="00000000">
            <w:pPr>
              <w:spacing w:before="60"/>
              <w:jc w:val="center"/>
              <w:rPr>
                <w:rFonts w:hint="eastAsia"/>
                <w:sz w:val="20"/>
              </w:rPr>
            </w:pPr>
            <w:r>
              <w:rPr>
                <w:rFonts w:hint="eastAsia"/>
                <w:sz w:val="20"/>
              </w:rPr>
              <w:t>1997</w:t>
            </w:r>
          </w:p>
        </w:tc>
        <w:tc>
          <w:tcPr>
            <w:tcW w:w="419" w:type="pct"/>
          </w:tcPr>
          <w:p w:rsidR="00000000" w:rsidRDefault="00000000">
            <w:pPr>
              <w:spacing w:before="60"/>
              <w:jc w:val="center"/>
              <w:rPr>
                <w:rFonts w:hint="eastAsia"/>
                <w:sz w:val="20"/>
              </w:rPr>
            </w:pPr>
            <w:r>
              <w:rPr>
                <w:rFonts w:hint="eastAsia"/>
                <w:sz w:val="20"/>
              </w:rPr>
              <w:t>856</w:t>
            </w:r>
          </w:p>
        </w:tc>
        <w:tc>
          <w:tcPr>
            <w:tcW w:w="384" w:type="pct"/>
          </w:tcPr>
          <w:p w:rsidR="00000000" w:rsidRDefault="00000000">
            <w:pPr>
              <w:spacing w:before="60"/>
              <w:jc w:val="center"/>
              <w:rPr>
                <w:rFonts w:hint="eastAsia"/>
                <w:sz w:val="20"/>
              </w:rPr>
            </w:pPr>
            <w:r>
              <w:rPr>
                <w:rFonts w:hint="eastAsia"/>
                <w:sz w:val="20"/>
              </w:rPr>
              <w:t>1</w:t>
            </w:r>
            <w:r>
              <w:rPr>
                <w:sz w:val="20"/>
              </w:rPr>
              <w:t>,</w:t>
            </w:r>
            <w:r>
              <w:rPr>
                <w:rFonts w:hint="eastAsia"/>
                <w:sz w:val="20"/>
              </w:rPr>
              <w:t>430</w:t>
            </w:r>
          </w:p>
        </w:tc>
        <w:tc>
          <w:tcPr>
            <w:tcW w:w="447" w:type="pct"/>
          </w:tcPr>
          <w:p w:rsidR="00000000" w:rsidRDefault="00000000">
            <w:pPr>
              <w:spacing w:before="60"/>
              <w:jc w:val="center"/>
              <w:rPr>
                <w:rFonts w:hint="eastAsia"/>
                <w:sz w:val="20"/>
              </w:rPr>
            </w:pPr>
            <w:r>
              <w:rPr>
                <w:rFonts w:hint="eastAsia"/>
                <w:sz w:val="20"/>
              </w:rPr>
              <w:t>2</w:t>
            </w:r>
            <w:r>
              <w:rPr>
                <w:sz w:val="20"/>
              </w:rPr>
              <w:t>,</w:t>
            </w:r>
            <w:r>
              <w:rPr>
                <w:rFonts w:hint="eastAsia"/>
                <w:sz w:val="20"/>
              </w:rPr>
              <w:t>389</w:t>
            </w:r>
          </w:p>
        </w:tc>
        <w:tc>
          <w:tcPr>
            <w:tcW w:w="319" w:type="pct"/>
          </w:tcPr>
          <w:p w:rsidR="00000000" w:rsidRDefault="00000000">
            <w:pPr>
              <w:spacing w:before="60"/>
              <w:jc w:val="center"/>
              <w:rPr>
                <w:rFonts w:hint="eastAsia"/>
                <w:sz w:val="20"/>
              </w:rPr>
            </w:pPr>
            <w:r>
              <w:rPr>
                <w:rFonts w:hint="eastAsia"/>
                <w:sz w:val="20"/>
              </w:rPr>
              <w:t>614</w:t>
            </w:r>
          </w:p>
        </w:tc>
        <w:tc>
          <w:tcPr>
            <w:tcW w:w="321" w:type="pct"/>
          </w:tcPr>
          <w:p w:rsidR="00000000" w:rsidRDefault="00000000">
            <w:pPr>
              <w:spacing w:before="60"/>
              <w:jc w:val="center"/>
              <w:rPr>
                <w:rFonts w:hint="eastAsia"/>
                <w:sz w:val="20"/>
              </w:rPr>
            </w:pPr>
            <w:r>
              <w:rPr>
                <w:rFonts w:hint="eastAsia"/>
                <w:sz w:val="20"/>
              </w:rPr>
              <w:t>131</w:t>
            </w:r>
          </w:p>
        </w:tc>
        <w:tc>
          <w:tcPr>
            <w:tcW w:w="321" w:type="pct"/>
          </w:tcPr>
          <w:p w:rsidR="00000000" w:rsidRDefault="00000000">
            <w:pPr>
              <w:spacing w:before="60"/>
              <w:jc w:val="center"/>
              <w:rPr>
                <w:rFonts w:hint="eastAsia"/>
                <w:sz w:val="20"/>
              </w:rPr>
            </w:pPr>
            <w:r>
              <w:rPr>
                <w:rFonts w:hint="eastAsia"/>
                <w:sz w:val="20"/>
              </w:rPr>
              <w:t>143</w:t>
            </w:r>
          </w:p>
        </w:tc>
        <w:tc>
          <w:tcPr>
            <w:tcW w:w="449" w:type="pct"/>
          </w:tcPr>
          <w:p w:rsidR="00000000" w:rsidRDefault="00000000">
            <w:pPr>
              <w:spacing w:before="60"/>
              <w:jc w:val="center"/>
              <w:rPr>
                <w:rFonts w:hint="eastAsia"/>
                <w:sz w:val="20"/>
              </w:rPr>
            </w:pPr>
            <w:r>
              <w:rPr>
                <w:rFonts w:hint="eastAsia"/>
                <w:sz w:val="20"/>
              </w:rPr>
              <w:t>16</w:t>
            </w:r>
            <w:r>
              <w:rPr>
                <w:sz w:val="20"/>
              </w:rPr>
              <w:t>,</w:t>
            </w:r>
            <w:r>
              <w:rPr>
                <w:rFonts w:hint="eastAsia"/>
                <w:sz w:val="20"/>
              </w:rPr>
              <w:t>966</w:t>
            </w:r>
          </w:p>
        </w:tc>
        <w:tc>
          <w:tcPr>
            <w:tcW w:w="384" w:type="pct"/>
          </w:tcPr>
          <w:p w:rsidR="00000000" w:rsidRDefault="00000000">
            <w:pPr>
              <w:spacing w:before="60"/>
              <w:jc w:val="center"/>
              <w:rPr>
                <w:rFonts w:hint="eastAsia"/>
                <w:sz w:val="20"/>
              </w:rPr>
            </w:pPr>
            <w:r>
              <w:rPr>
                <w:rFonts w:hint="eastAsia"/>
                <w:sz w:val="20"/>
              </w:rPr>
              <w:t>1</w:t>
            </w:r>
            <w:r>
              <w:rPr>
                <w:sz w:val="20"/>
              </w:rPr>
              <w:t>,</w:t>
            </w:r>
            <w:r>
              <w:rPr>
                <w:rFonts w:hint="eastAsia"/>
                <w:sz w:val="20"/>
              </w:rPr>
              <w:t>159</w:t>
            </w:r>
          </w:p>
        </w:tc>
        <w:tc>
          <w:tcPr>
            <w:tcW w:w="321" w:type="pct"/>
          </w:tcPr>
          <w:p w:rsidR="00000000" w:rsidRDefault="00000000">
            <w:pPr>
              <w:spacing w:before="60"/>
              <w:jc w:val="center"/>
              <w:rPr>
                <w:rFonts w:hint="eastAsia"/>
                <w:sz w:val="20"/>
              </w:rPr>
            </w:pPr>
            <w:r>
              <w:rPr>
                <w:rFonts w:hint="eastAsia"/>
                <w:sz w:val="20"/>
              </w:rPr>
              <w:t>386</w:t>
            </w:r>
          </w:p>
        </w:tc>
        <w:tc>
          <w:tcPr>
            <w:tcW w:w="385" w:type="pct"/>
          </w:tcPr>
          <w:p w:rsidR="00000000" w:rsidRDefault="00000000">
            <w:pPr>
              <w:spacing w:before="60"/>
              <w:jc w:val="center"/>
              <w:rPr>
                <w:rFonts w:hint="eastAsia"/>
                <w:sz w:val="20"/>
              </w:rPr>
            </w:pPr>
            <w:r>
              <w:rPr>
                <w:rFonts w:hint="eastAsia"/>
                <w:sz w:val="20"/>
              </w:rPr>
              <w:t>84</w:t>
            </w:r>
          </w:p>
        </w:tc>
        <w:tc>
          <w:tcPr>
            <w:tcW w:w="446" w:type="pct"/>
          </w:tcPr>
          <w:p w:rsidR="00000000" w:rsidRDefault="00000000">
            <w:pPr>
              <w:spacing w:before="60"/>
              <w:jc w:val="center"/>
              <w:rPr>
                <w:rFonts w:hint="eastAsia"/>
                <w:sz w:val="20"/>
              </w:rPr>
            </w:pPr>
            <w:r>
              <w:rPr>
                <w:rFonts w:hint="eastAsia"/>
                <w:sz w:val="20"/>
              </w:rPr>
              <w:t>42</w:t>
            </w:r>
            <w:r>
              <w:rPr>
                <w:sz w:val="20"/>
              </w:rPr>
              <w:t>,</w:t>
            </w:r>
            <w:r>
              <w:rPr>
                <w:rFonts w:hint="eastAsia"/>
                <w:sz w:val="20"/>
              </w:rPr>
              <w:t>208</w:t>
            </w:r>
          </w:p>
        </w:tc>
        <w:tc>
          <w:tcPr>
            <w:tcW w:w="451" w:type="pct"/>
          </w:tcPr>
          <w:p w:rsidR="00000000" w:rsidRDefault="00000000">
            <w:pPr>
              <w:spacing w:before="60"/>
              <w:jc w:val="center"/>
              <w:rPr>
                <w:rFonts w:hint="eastAsia"/>
                <w:sz w:val="20"/>
              </w:rPr>
            </w:pPr>
            <w:r>
              <w:rPr>
                <w:rFonts w:hint="eastAsia"/>
                <w:sz w:val="20"/>
              </w:rPr>
              <w:t>346</w:t>
            </w:r>
          </w:p>
        </w:tc>
      </w:tr>
    </w:tbl>
    <w:p w:rsidR="00000000" w:rsidRDefault="00000000">
      <w:pPr>
        <w:pStyle w:val="Heading3"/>
        <w:spacing w:before="240" w:after="240"/>
        <w:rPr>
          <w:rFonts w:hint="eastAsia"/>
        </w:rPr>
      </w:pPr>
      <w:r>
        <w:rPr>
          <w:rFonts w:hint="eastAsia"/>
        </w:rPr>
        <w:t>违反最低工资规定的补发款额</w:t>
      </w:r>
    </w:p>
    <w:tbl>
      <w:tblPr>
        <w:tblW w:w="936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800"/>
        <w:gridCol w:w="1920"/>
        <w:gridCol w:w="1800"/>
        <w:gridCol w:w="2040"/>
      </w:tblGrid>
      <w:tr w:rsidR="00000000">
        <w:tblPrEx>
          <w:tblCellMar>
            <w:top w:w="0" w:type="dxa"/>
            <w:bottom w:w="0" w:type="dxa"/>
          </w:tblCellMar>
        </w:tblPrEx>
        <w:tc>
          <w:tcPr>
            <w:tcW w:w="1800" w:type="dxa"/>
          </w:tcPr>
          <w:p w:rsidR="00000000" w:rsidRDefault="00000000">
            <w:pPr>
              <w:spacing w:before="80"/>
              <w:jc w:val="center"/>
              <w:rPr>
                <w:rFonts w:hint="eastAsia"/>
                <w:sz w:val="20"/>
              </w:rPr>
            </w:pPr>
            <w:r>
              <w:rPr>
                <w:rFonts w:hint="eastAsia"/>
                <w:sz w:val="20"/>
              </w:rPr>
              <w:t>人口阶层</w:t>
            </w:r>
          </w:p>
        </w:tc>
        <w:tc>
          <w:tcPr>
            <w:tcW w:w="1800" w:type="dxa"/>
          </w:tcPr>
          <w:p w:rsidR="00000000" w:rsidRDefault="00000000">
            <w:pPr>
              <w:spacing w:before="80"/>
              <w:jc w:val="center"/>
              <w:rPr>
                <w:rFonts w:hint="eastAsia"/>
                <w:sz w:val="20"/>
              </w:rPr>
            </w:pPr>
            <w:r>
              <w:rPr>
                <w:rFonts w:hint="eastAsia"/>
                <w:sz w:val="20"/>
              </w:rPr>
              <w:t>女性工人</w:t>
            </w:r>
          </w:p>
        </w:tc>
        <w:tc>
          <w:tcPr>
            <w:tcW w:w="1920" w:type="dxa"/>
          </w:tcPr>
          <w:p w:rsidR="00000000" w:rsidRDefault="00000000">
            <w:pPr>
              <w:spacing w:before="80"/>
              <w:jc w:val="center"/>
              <w:rPr>
                <w:rFonts w:hint="eastAsia"/>
                <w:sz w:val="20"/>
              </w:rPr>
            </w:pPr>
            <w:r>
              <w:rPr>
                <w:rFonts w:hint="eastAsia"/>
                <w:sz w:val="20"/>
              </w:rPr>
              <w:t>新锡克尔总额</w:t>
            </w:r>
          </w:p>
        </w:tc>
        <w:tc>
          <w:tcPr>
            <w:tcW w:w="1800" w:type="dxa"/>
          </w:tcPr>
          <w:p w:rsidR="00000000" w:rsidRDefault="00000000">
            <w:pPr>
              <w:spacing w:before="80"/>
              <w:jc w:val="center"/>
              <w:rPr>
                <w:rFonts w:hint="eastAsia"/>
                <w:sz w:val="20"/>
              </w:rPr>
            </w:pPr>
            <w:r>
              <w:rPr>
                <w:rFonts w:hint="eastAsia"/>
                <w:sz w:val="20"/>
              </w:rPr>
              <w:t>男性工人</w:t>
            </w:r>
          </w:p>
        </w:tc>
        <w:tc>
          <w:tcPr>
            <w:tcW w:w="2040" w:type="dxa"/>
          </w:tcPr>
          <w:p w:rsidR="00000000" w:rsidRDefault="00000000">
            <w:pPr>
              <w:spacing w:before="80"/>
              <w:jc w:val="center"/>
              <w:rPr>
                <w:rFonts w:hint="eastAsia"/>
                <w:sz w:val="20"/>
              </w:rPr>
            </w:pPr>
            <w:r>
              <w:rPr>
                <w:rFonts w:hint="eastAsia"/>
                <w:sz w:val="20"/>
              </w:rPr>
              <w:t>新锡克尔总额</w:t>
            </w:r>
          </w:p>
        </w:tc>
      </w:tr>
      <w:tr w:rsidR="00000000">
        <w:tblPrEx>
          <w:tblCellMar>
            <w:top w:w="0" w:type="dxa"/>
            <w:bottom w:w="0" w:type="dxa"/>
          </w:tblCellMar>
        </w:tblPrEx>
        <w:tc>
          <w:tcPr>
            <w:tcW w:w="1800" w:type="dxa"/>
          </w:tcPr>
          <w:p w:rsidR="00000000" w:rsidRDefault="00000000">
            <w:pPr>
              <w:spacing w:before="80"/>
              <w:ind w:left="252"/>
              <w:rPr>
                <w:rFonts w:hint="eastAsia"/>
                <w:sz w:val="20"/>
              </w:rPr>
            </w:pPr>
            <w:r>
              <w:rPr>
                <w:rFonts w:hint="eastAsia"/>
                <w:sz w:val="20"/>
              </w:rPr>
              <w:t>犹太人</w:t>
            </w:r>
          </w:p>
        </w:tc>
        <w:tc>
          <w:tcPr>
            <w:tcW w:w="1800" w:type="dxa"/>
          </w:tcPr>
          <w:p w:rsidR="00000000" w:rsidRDefault="00000000">
            <w:pPr>
              <w:spacing w:before="80"/>
              <w:ind w:right="612"/>
              <w:jc w:val="right"/>
              <w:rPr>
                <w:rFonts w:hint="eastAsia"/>
                <w:sz w:val="20"/>
              </w:rPr>
            </w:pPr>
            <w:r>
              <w:rPr>
                <w:rFonts w:hint="eastAsia"/>
                <w:sz w:val="20"/>
              </w:rPr>
              <w:t>589</w:t>
            </w:r>
          </w:p>
        </w:tc>
        <w:tc>
          <w:tcPr>
            <w:tcW w:w="1920" w:type="dxa"/>
          </w:tcPr>
          <w:p w:rsidR="00000000" w:rsidRDefault="00000000">
            <w:pPr>
              <w:spacing w:before="80"/>
              <w:ind w:right="492"/>
              <w:jc w:val="right"/>
              <w:rPr>
                <w:rFonts w:hint="eastAsia"/>
                <w:sz w:val="20"/>
              </w:rPr>
            </w:pPr>
            <w:r>
              <w:rPr>
                <w:rFonts w:hint="eastAsia"/>
                <w:sz w:val="20"/>
              </w:rPr>
              <w:t>124,190</w:t>
            </w:r>
          </w:p>
        </w:tc>
        <w:tc>
          <w:tcPr>
            <w:tcW w:w="1800" w:type="dxa"/>
          </w:tcPr>
          <w:p w:rsidR="00000000" w:rsidRDefault="00000000">
            <w:pPr>
              <w:spacing w:before="80"/>
              <w:ind w:right="612"/>
              <w:jc w:val="right"/>
              <w:rPr>
                <w:rFonts w:hint="eastAsia"/>
                <w:sz w:val="20"/>
              </w:rPr>
            </w:pPr>
            <w:r>
              <w:rPr>
                <w:rFonts w:hint="eastAsia"/>
                <w:sz w:val="20"/>
              </w:rPr>
              <w:t>604</w:t>
            </w:r>
          </w:p>
        </w:tc>
        <w:tc>
          <w:tcPr>
            <w:tcW w:w="2040" w:type="dxa"/>
          </w:tcPr>
          <w:p w:rsidR="00000000" w:rsidRDefault="00000000">
            <w:pPr>
              <w:spacing w:before="80"/>
              <w:ind w:right="492"/>
              <w:jc w:val="right"/>
              <w:rPr>
                <w:rFonts w:hint="eastAsia"/>
                <w:sz w:val="20"/>
              </w:rPr>
            </w:pPr>
            <w:r>
              <w:rPr>
                <w:rFonts w:hint="eastAsia"/>
                <w:sz w:val="20"/>
              </w:rPr>
              <w:t>93,625</w:t>
            </w:r>
          </w:p>
        </w:tc>
      </w:tr>
      <w:tr w:rsidR="00000000">
        <w:tblPrEx>
          <w:tblCellMar>
            <w:top w:w="0" w:type="dxa"/>
            <w:bottom w:w="0" w:type="dxa"/>
          </w:tblCellMar>
        </w:tblPrEx>
        <w:tc>
          <w:tcPr>
            <w:tcW w:w="1800" w:type="dxa"/>
          </w:tcPr>
          <w:p w:rsidR="00000000" w:rsidRDefault="00000000">
            <w:pPr>
              <w:spacing w:before="80"/>
              <w:ind w:left="252"/>
              <w:rPr>
                <w:rFonts w:hint="eastAsia"/>
                <w:sz w:val="20"/>
              </w:rPr>
            </w:pPr>
            <w:r>
              <w:rPr>
                <w:rFonts w:hint="eastAsia"/>
                <w:sz w:val="20"/>
              </w:rPr>
              <w:t>阿拉伯人</w:t>
            </w:r>
          </w:p>
        </w:tc>
        <w:tc>
          <w:tcPr>
            <w:tcW w:w="1800" w:type="dxa"/>
          </w:tcPr>
          <w:p w:rsidR="00000000" w:rsidRDefault="00000000">
            <w:pPr>
              <w:spacing w:before="80"/>
              <w:ind w:right="612"/>
              <w:jc w:val="right"/>
              <w:rPr>
                <w:rFonts w:hint="eastAsia"/>
                <w:sz w:val="20"/>
              </w:rPr>
            </w:pPr>
            <w:r>
              <w:rPr>
                <w:rFonts w:hint="eastAsia"/>
                <w:sz w:val="20"/>
              </w:rPr>
              <w:t>136</w:t>
            </w:r>
          </w:p>
        </w:tc>
        <w:tc>
          <w:tcPr>
            <w:tcW w:w="1920" w:type="dxa"/>
          </w:tcPr>
          <w:p w:rsidR="00000000" w:rsidRDefault="00000000">
            <w:pPr>
              <w:spacing w:before="80"/>
              <w:ind w:right="492"/>
              <w:jc w:val="right"/>
              <w:rPr>
                <w:rFonts w:hint="eastAsia"/>
                <w:sz w:val="20"/>
              </w:rPr>
            </w:pPr>
            <w:r>
              <w:rPr>
                <w:rFonts w:hint="eastAsia"/>
                <w:sz w:val="20"/>
              </w:rPr>
              <w:t>33,877</w:t>
            </w:r>
          </w:p>
        </w:tc>
        <w:tc>
          <w:tcPr>
            <w:tcW w:w="1800" w:type="dxa"/>
          </w:tcPr>
          <w:p w:rsidR="00000000" w:rsidRDefault="00000000">
            <w:pPr>
              <w:spacing w:before="80"/>
              <w:ind w:right="612"/>
              <w:jc w:val="right"/>
              <w:rPr>
                <w:rFonts w:hint="eastAsia"/>
                <w:sz w:val="20"/>
              </w:rPr>
            </w:pPr>
            <w:r>
              <w:rPr>
                <w:rFonts w:hint="eastAsia"/>
                <w:sz w:val="20"/>
              </w:rPr>
              <w:t>63</w:t>
            </w:r>
          </w:p>
        </w:tc>
        <w:tc>
          <w:tcPr>
            <w:tcW w:w="2040" w:type="dxa"/>
          </w:tcPr>
          <w:p w:rsidR="00000000" w:rsidRDefault="00000000">
            <w:pPr>
              <w:spacing w:before="80"/>
              <w:ind w:right="492"/>
              <w:jc w:val="right"/>
              <w:rPr>
                <w:rFonts w:hint="eastAsia"/>
                <w:sz w:val="20"/>
              </w:rPr>
            </w:pPr>
            <w:r>
              <w:rPr>
                <w:rFonts w:hint="eastAsia"/>
                <w:sz w:val="20"/>
              </w:rPr>
              <w:t>17,016</w:t>
            </w:r>
          </w:p>
        </w:tc>
      </w:tr>
      <w:tr w:rsidR="00000000">
        <w:tblPrEx>
          <w:tblCellMar>
            <w:top w:w="0" w:type="dxa"/>
            <w:bottom w:w="0" w:type="dxa"/>
          </w:tblCellMar>
        </w:tblPrEx>
        <w:tc>
          <w:tcPr>
            <w:tcW w:w="1800" w:type="dxa"/>
          </w:tcPr>
          <w:p w:rsidR="00000000" w:rsidRDefault="00000000">
            <w:pPr>
              <w:spacing w:before="80"/>
              <w:ind w:left="252"/>
              <w:rPr>
                <w:rFonts w:hint="eastAsia"/>
                <w:sz w:val="20"/>
              </w:rPr>
            </w:pPr>
            <w:r>
              <w:rPr>
                <w:rFonts w:hint="eastAsia"/>
                <w:sz w:val="20"/>
              </w:rPr>
              <w:t>犹太青年</w:t>
            </w:r>
          </w:p>
        </w:tc>
        <w:tc>
          <w:tcPr>
            <w:tcW w:w="1800" w:type="dxa"/>
          </w:tcPr>
          <w:p w:rsidR="00000000" w:rsidRDefault="00000000">
            <w:pPr>
              <w:spacing w:before="80"/>
              <w:ind w:right="612"/>
              <w:jc w:val="right"/>
              <w:rPr>
                <w:rFonts w:hint="eastAsia"/>
                <w:sz w:val="20"/>
              </w:rPr>
            </w:pPr>
            <w:r>
              <w:rPr>
                <w:rFonts w:hint="eastAsia"/>
                <w:sz w:val="20"/>
              </w:rPr>
              <w:t>34</w:t>
            </w:r>
          </w:p>
        </w:tc>
        <w:tc>
          <w:tcPr>
            <w:tcW w:w="1920" w:type="dxa"/>
          </w:tcPr>
          <w:p w:rsidR="00000000" w:rsidRDefault="00000000">
            <w:pPr>
              <w:spacing w:before="80"/>
              <w:ind w:right="492"/>
              <w:jc w:val="right"/>
              <w:rPr>
                <w:rFonts w:hint="eastAsia"/>
                <w:sz w:val="20"/>
              </w:rPr>
            </w:pPr>
            <w:r>
              <w:rPr>
                <w:rFonts w:hint="eastAsia"/>
                <w:sz w:val="20"/>
              </w:rPr>
              <w:t>9</w:t>
            </w:r>
            <w:r>
              <w:rPr>
                <w:sz w:val="20"/>
              </w:rPr>
              <w:t>,</w:t>
            </w:r>
            <w:r>
              <w:rPr>
                <w:rFonts w:hint="eastAsia"/>
                <w:sz w:val="20"/>
              </w:rPr>
              <w:t>928</w:t>
            </w:r>
          </w:p>
        </w:tc>
        <w:tc>
          <w:tcPr>
            <w:tcW w:w="1800" w:type="dxa"/>
          </w:tcPr>
          <w:p w:rsidR="00000000" w:rsidRDefault="00000000">
            <w:pPr>
              <w:spacing w:before="80"/>
              <w:ind w:right="612"/>
              <w:jc w:val="right"/>
              <w:rPr>
                <w:rFonts w:hint="eastAsia"/>
                <w:sz w:val="20"/>
              </w:rPr>
            </w:pPr>
            <w:r>
              <w:rPr>
                <w:rFonts w:hint="eastAsia"/>
                <w:sz w:val="20"/>
              </w:rPr>
              <w:t>23</w:t>
            </w:r>
          </w:p>
        </w:tc>
        <w:tc>
          <w:tcPr>
            <w:tcW w:w="2040" w:type="dxa"/>
          </w:tcPr>
          <w:p w:rsidR="00000000" w:rsidRDefault="00000000">
            <w:pPr>
              <w:spacing w:before="80"/>
              <w:ind w:right="492"/>
              <w:jc w:val="right"/>
              <w:rPr>
                <w:rFonts w:hint="eastAsia"/>
                <w:sz w:val="20"/>
              </w:rPr>
            </w:pPr>
            <w:r>
              <w:rPr>
                <w:rFonts w:hint="eastAsia"/>
                <w:sz w:val="20"/>
              </w:rPr>
              <w:t>5,779</w:t>
            </w:r>
          </w:p>
        </w:tc>
      </w:tr>
      <w:tr w:rsidR="00000000">
        <w:tblPrEx>
          <w:tblCellMar>
            <w:top w:w="0" w:type="dxa"/>
            <w:bottom w:w="0" w:type="dxa"/>
          </w:tblCellMar>
        </w:tblPrEx>
        <w:tc>
          <w:tcPr>
            <w:tcW w:w="1800" w:type="dxa"/>
          </w:tcPr>
          <w:p w:rsidR="00000000" w:rsidRDefault="00000000">
            <w:pPr>
              <w:spacing w:before="80"/>
              <w:ind w:left="252"/>
              <w:rPr>
                <w:rFonts w:hint="eastAsia"/>
                <w:sz w:val="20"/>
              </w:rPr>
            </w:pPr>
            <w:r>
              <w:rPr>
                <w:rFonts w:hint="eastAsia"/>
                <w:sz w:val="20"/>
              </w:rPr>
              <w:t>阿拉伯青年</w:t>
            </w:r>
          </w:p>
        </w:tc>
        <w:tc>
          <w:tcPr>
            <w:tcW w:w="1800" w:type="dxa"/>
          </w:tcPr>
          <w:p w:rsidR="00000000" w:rsidRDefault="00000000">
            <w:pPr>
              <w:spacing w:before="80"/>
              <w:ind w:right="612"/>
              <w:jc w:val="right"/>
              <w:rPr>
                <w:rFonts w:hint="eastAsia"/>
                <w:sz w:val="20"/>
              </w:rPr>
            </w:pPr>
            <w:r>
              <w:rPr>
                <w:rFonts w:hint="eastAsia"/>
                <w:sz w:val="20"/>
              </w:rPr>
              <w:t>3</w:t>
            </w:r>
          </w:p>
        </w:tc>
        <w:tc>
          <w:tcPr>
            <w:tcW w:w="1920" w:type="dxa"/>
          </w:tcPr>
          <w:p w:rsidR="00000000" w:rsidRDefault="00000000">
            <w:pPr>
              <w:spacing w:before="80"/>
              <w:ind w:right="492"/>
              <w:jc w:val="right"/>
              <w:rPr>
                <w:rFonts w:hint="eastAsia"/>
                <w:sz w:val="20"/>
              </w:rPr>
            </w:pPr>
            <w:r>
              <w:rPr>
                <w:rFonts w:hint="eastAsia"/>
                <w:sz w:val="20"/>
              </w:rPr>
              <w:t>946</w:t>
            </w:r>
          </w:p>
        </w:tc>
        <w:tc>
          <w:tcPr>
            <w:tcW w:w="1800" w:type="dxa"/>
          </w:tcPr>
          <w:p w:rsidR="00000000" w:rsidRDefault="00000000">
            <w:pPr>
              <w:spacing w:before="80"/>
              <w:ind w:right="612"/>
              <w:jc w:val="right"/>
              <w:rPr>
                <w:rFonts w:hint="eastAsia"/>
                <w:sz w:val="20"/>
              </w:rPr>
            </w:pPr>
            <w:r>
              <w:rPr>
                <w:rFonts w:hint="eastAsia"/>
                <w:sz w:val="20"/>
              </w:rPr>
              <w:t>1</w:t>
            </w:r>
          </w:p>
        </w:tc>
        <w:tc>
          <w:tcPr>
            <w:tcW w:w="2040" w:type="dxa"/>
          </w:tcPr>
          <w:p w:rsidR="00000000" w:rsidRDefault="00000000">
            <w:pPr>
              <w:spacing w:before="80"/>
              <w:ind w:right="492"/>
              <w:jc w:val="right"/>
              <w:rPr>
                <w:rFonts w:hint="eastAsia"/>
                <w:sz w:val="20"/>
              </w:rPr>
            </w:pPr>
            <w:r>
              <w:rPr>
                <w:rFonts w:hint="eastAsia"/>
                <w:sz w:val="20"/>
              </w:rPr>
              <w:t>218</w:t>
            </w:r>
          </w:p>
        </w:tc>
      </w:tr>
      <w:tr w:rsidR="00000000">
        <w:tblPrEx>
          <w:tblCellMar>
            <w:top w:w="0" w:type="dxa"/>
            <w:bottom w:w="0" w:type="dxa"/>
          </w:tblCellMar>
        </w:tblPrEx>
        <w:tc>
          <w:tcPr>
            <w:tcW w:w="1800" w:type="dxa"/>
          </w:tcPr>
          <w:p w:rsidR="00000000" w:rsidRDefault="00000000">
            <w:pPr>
              <w:spacing w:before="80"/>
              <w:ind w:left="252"/>
              <w:rPr>
                <w:rFonts w:hint="eastAsia"/>
                <w:sz w:val="20"/>
              </w:rPr>
            </w:pPr>
            <w:r>
              <w:rPr>
                <w:rFonts w:hint="eastAsia"/>
                <w:sz w:val="20"/>
              </w:rPr>
              <w:t>外籍人</w:t>
            </w:r>
          </w:p>
        </w:tc>
        <w:tc>
          <w:tcPr>
            <w:tcW w:w="1800" w:type="dxa"/>
          </w:tcPr>
          <w:p w:rsidR="00000000" w:rsidRDefault="00000000">
            <w:pPr>
              <w:spacing w:before="80"/>
              <w:ind w:right="612"/>
              <w:jc w:val="right"/>
              <w:rPr>
                <w:rFonts w:hint="eastAsia"/>
                <w:sz w:val="20"/>
              </w:rPr>
            </w:pPr>
            <w:r>
              <w:rPr>
                <w:rFonts w:hint="eastAsia"/>
                <w:sz w:val="20"/>
              </w:rPr>
              <w:t>－</w:t>
            </w:r>
          </w:p>
        </w:tc>
        <w:tc>
          <w:tcPr>
            <w:tcW w:w="1920" w:type="dxa"/>
          </w:tcPr>
          <w:p w:rsidR="00000000" w:rsidRDefault="00000000">
            <w:pPr>
              <w:spacing w:before="80"/>
              <w:ind w:right="492"/>
              <w:jc w:val="right"/>
              <w:rPr>
                <w:rFonts w:hint="eastAsia"/>
                <w:sz w:val="20"/>
              </w:rPr>
            </w:pPr>
            <w:r>
              <w:rPr>
                <w:rFonts w:hint="eastAsia"/>
                <w:sz w:val="20"/>
              </w:rPr>
              <w:t>－</w:t>
            </w:r>
          </w:p>
        </w:tc>
        <w:tc>
          <w:tcPr>
            <w:tcW w:w="1800" w:type="dxa"/>
          </w:tcPr>
          <w:p w:rsidR="00000000" w:rsidRDefault="00000000">
            <w:pPr>
              <w:spacing w:before="80"/>
              <w:ind w:right="612"/>
              <w:jc w:val="right"/>
              <w:rPr>
                <w:rFonts w:hint="eastAsia"/>
                <w:sz w:val="20"/>
              </w:rPr>
            </w:pPr>
            <w:r>
              <w:rPr>
                <w:rFonts w:hint="eastAsia"/>
                <w:sz w:val="20"/>
              </w:rPr>
              <w:t>1,195</w:t>
            </w:r>
          </w:p>
        </w:tc>
        <w:tc>
          <w:tcPr>
            <w:tcW w:w="2040" w:type="dxa"/>
          </w:tcPr>
          <w:p w:rsidR="00000000" w:rsidRDefault="00000000">
            <w:pPr>
              <w:spacing w:before="80"/>
              <w:ind w:right="492"/>
              <w:jc w:val="right"/>
              <w:rPr>
                <w:rFonts w:hint="eastAsia"/>
                <w:sz w:val="20"/>
              </w:rPr>
            </w:pPr>
            <w:r>
              <w:rPr>
                <w:rFonts w:hint="eastAsia"/>
                <w:sz w:val="20"/>
              </w:rPr>
              <w:t>3,063,471</w:t>
            </w:r>
          </w:p>
        </w:tc>
      </w:tr>
      <w:tr w:rsidR="00000000">
        <w:tblPrEx>
          <w:tblCellMar>
            <w:top w:w="0" w:type="dxa"/>
            <w:bottom w:w="0" w:type="dxa"/>
          </w:tblCellMar>
        </w:tblPrEx>
        <w:tc>
          <w:tcPr>
            <w:tcW w:w="1800" w:type="dxa"/>
          </w:tcPr>
          <w:p w:rsidR="00000000" w:rsidRDefault="00000000">
            <w:pPr>
              <w:spacing w:before="80"/>
              <w:ind w:left="252"/>
              <w:rPr>
                <w:rFonts w:hint="eastAsia"/>
                <w:sz w:val="20"/>
              </w:rPr>
            </w:pPr>
            <w:r>
              <w:rPr>
                <w:rFonts w:hint="eastAsia"/>
                <w:sz w:val="20"/>
              </w:rPr>
              <w:t>总人数</w:t>
            </w:r>
          </w:p>
        </w:tc>
        <w:tc>
          <w:tcPr>
            <w:tcW w:w="1800" w:type="dxa"/>
          </w:tcPr>
          <w:p w:rsidR="00000000" w:rsidRDefault="00000000">
            <w:pPr>
              <w:spacing w:before="80"/>
              <w:ind w:right="612"/>
              <w:jc w:val="right"/>
              <w:rPr>
                <w:rFonts w:hint="eastAsia"/>
                <w:sz w:val="20"/>
              </w:rPr>
            </w:pPr>
            <w:r>
              <w:rPr>
                <w:rFonts w:hint="eastAsia"/>
                <w:sz w:val="20"/>
              </w:rPr>
              <w:t>762</w:t>
            </w:r>
          </w:p>
        </w:tc>
        <w:tc>
          <w:tcPr>
            <w:tcW w:w="1920" w:type="dxa"/>
          </w:tcPr>
          <w:p w:rsidR="00000000" w:rsidRDefault="00000000">
            <w:pPr>
              <w:spacing w:before="80"/>
              <w:ind w:right="492"/>
              <w:jc w:val="right"/>
              <w:rPr>
                <w:rFonts w:hint="eastAsia"/>
                <w:sz w:val="20"/>
              </w:rPr>
            </w:pPr>
            <w:r>
              <w:rPr>
                <w:rFonts w:hint="eastAsia"/>
                <w:sz w:val="20"/>
              </w:rPr>
              <w:t>168</w:t>
            </w:r>
            <w:r>
              <w:rPr>
                <w:sz w:val="20"/>
              </w:rPr>
              <w:t>,</w:t>
            </w:r>
            <w:r>
              <w:rPr>
                <w:rFonts w:hint="eastAsia"/>
                <w:sz w:val="20"/>
              </w:rPr>
              <w:t>943</w:t>
            </w:r>
          </w:p>
        </w:tc>
        <w:tc>
          <w:tcPr>
            <w:tcW w:w="1800" w:type="dxa"/>
          </w:tcPr>
          <w:p w:rsidR="00000000" w:rsidRDefault="00000000">
            <w:pPr>
              <w:spacing w:before="80"/>
              <w:ind w:right="612"/>
              <w:jc w:val="right"/>
              <w:rPr>
                <w:rFonts w:hint="eastAsia"/>
                <w:sz w:val="20"/>
              </w:rPr>
            </w:pPr>
            <w:r>
              <w:rPr>
                <w:rFonts w:hint="eastAsia"/>
                <w:sz w:val="20"/>
              </w:rPr>
              <w:t>1,886</w:t>
            </w:r>
          </w:p>
        </w:tc>
        <w:tc>
          <w:tcPr>
            <w:tcW w:w="2040" w:type="dxa"/>
          </w:tcPr>
          <w:p w:rsidR="00000000" w:rsidRDefault="00000000">
            <w:pPr>
              <w:spacing w:before="80"/>
              <w:ind w:right="492"/>
              <w:jc w:val="right"/>
              <w:rPr>
                <w:rFonts w:hint="eastAsia"/>
                <w:sz w:val="20"/>
              </w:rPr>
            </w:pPr>
            <w:r>
              <w:rPr>
                <w:rFonts w:hint="eastAsia"/>
                <w:sz w:val="20"/>
              </w:rPr>
              <w:t>3,180,110</w:t>
            </w:r>
          </w:p>
        </w:tc>
      </w:tr>
      <w:tr w:rsidR="00000000">
        <w:tblPrEx>
          <w:tblCellMar>
            <w:top w:w="0" w:type="dxa"/>
            <w:bottom w:w="0" w:type="dxa"/>
          </w:tblCellMar>
        </w:tblPrEx>
        <w:trPr>
          <w:cantSplit/>
        </w:trPr>
        <w:tc>
          <w:tcPr>
            <w:tcW w:w="1800" w:type="dxa"/>
          </w:tcPr>
          <w:p w:rsidR="00000000" w:rsidRDefault="00000000">
            <w:pPr>
              <w:spacing w:before="80"/>
              <w:jc w:val="center"/>
              <w:rPr>
                <w:rFonts w:hint="eastAsia"/>
                <w:sz w:val="20"/>
              </w:rPr>
            </w:pPr>
            <w:r>
              <w:rPr>
                <w:rFonts w:hint="eastAsia"/>
                <w:sz w:val="20"/>
              </w:rPr>
              <w:t>合计总人数</w:t>
            </w:r>
          </w:p>
        </w:tc>
        <w:tc>
          <w:tcPr>
            <w:tcW w:w="7560" w:type="dxa"/>
            <w:gridSpan w:val="4"/>
          </w:tcPr>
          <w:p w:rsidR="00000000" w:rsidRDefault="00000000">
            <w:pPr>
              <w:spacing w:before="80"/>
              <w:rPr>
                <w:rFonts w:hint="eastAsia"/>
                <w:sz w:val="20"/>
              </w:rPr>
            </w:pPr>
            <w:r>
              <w:rPr>
                <w:rFonts w:hint="eastAsia"/>
                <w:sz w:val="20"/>
              </w:rPr>
              <w:t>2, 648</w:t>
            </w:r>
            <w:r>
              <w:rPr>
                <w:rFonts w:hint="eastAsia"/>
                <w:sz w:val="20"/>
              </w:rPr>
              <w:t>工人得到了</w:t>
            </w:r>
            <w:r>
              <w:rPr>
                <w:rFonts w:hint="eastAsia"/>
                <w:sz w:val="20"/>
              </w:rPr>
              <w:t>3,349,053</w:t>
            </w:r>
            <w:r>
              <w:rPr>
                <w:rFonts w:hint="eastAsia"/>
                <w:sz w:val="20"/>
              </w:rPr>
              <w:t>新锡克尔补偿款</w:t>
            </w:r>
          </w:p>
        </w:tc>
      </w:tr>
    </w:tbl>
    <w:p w:rsidR="00000000" w:rsidRDefault="00000000">
      <w:pPr>
        <w:spacing w:before="80"/>
        <w:ind w:left="24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：劳工和社会事务部。</w:t>
      </w:r>
    </w:p>
    <w:p w:rsidR="00000000" w:rsidRDefault="00000000">
      <w:pPr>
        <w:spacing w:after="240"/>
        <w:rPr>
          <w:rFonts w:hint="eastAsia"/>
        </w:rPr>
      </w:pPr>
      <w:r>
        <w:rPr>
          <w:rFonts w:hint="eastAsia"/>
        </w:rPr>
        <w:t>73</w:t>
      </w:r>
      <w:r>
        <w:rPr>
          <w:rFonts w:hint="eastAsia"/>
        </w:rPr>
        <w:t>．近几年的执行活动显然有所增强：</w:t>
      </w:r>
    </w:p>
    <w:p w:rsidR="00000000" w:rsidRDefault="00000000">
      <w:pPr>
        <w:pStyle w:val="Heading3"/>
        <w:rPr>
          <w:rFonts w:hint="eastAsia"/>
        </w:rPr>
      </w:pPr>
      <w:r>
        <w:rPr>
          <w:rFonts w:hint="eastAsia"/>
        </w:rPr>
        <w:t>1998</w:t>
      </w:r>
      <w:r>
        <w:rPr>
          <w:rFonts w:hint="eastAsia"/>
        </w:rPr>
        <w:t>至</w:t>
      </w:r>
      <w:r>
        <w:rPr>
          <w:rFonts w:hint="eastAsia"/>
        </w:rPr>
        <w:t>1999</w:t>
      </w:r>
      <w:r>
        <w:rPr>
          <w:rFonts w:hint="eastAsia"/>
        </w:rPr>
        <w:t>年期间的监查、违法和补偿情况</w:t>
      </w:r>
    </w:p>
    <w:tbl>
      <w:tblPr>
        <w:tblW w:w="4765" w:type="pct"/>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3"/>
        <w:gridCol w:w="3191"/>
        <w:gridCol w:w="2977"/>
      </w:tblGrid>
      <w:tr w:rsidR="00000000">
        <w:tblPrEx>
          <w:tblCellMar>
            <w:top w:w="0" w:type="dxa"/>
            <w:bottom w:w="0" w:type="dxa"/>
          </w:tblCellMar>
        </w:tblPrEx>
        <w:tc>
          <w:tcPr>
            <w:tcW w:w="1618" w:type="pct"/>
          </w:tcPr>
          <w:p w:rsidR="00000000" w:rsidRDefault="00000000">
            <w:pPr>
              <w:ind w:left="-958"/>
              <w:rPr>
                <w:rFonts w:eastAsia="SimHei" w:hint="eastAsia"/>
              </w:rPr>
            </w:pPr>
          </w:p>
        </w:tc>
        <w:tc>
          <w:tcPr>
            <w:tcW w:w="1749" w:type="pct"/>
          </w:tcPr>
          <w:p w:rsidR="00000000" w:rsidRDefault="00000000">
            <w:pPr>
              <w:jc w:val="center"/>
              <w:rPr>
                <w:rFonts w:eastAsia="SimHei" w:hint="eastAsia"/>
              </w:rPr>
            </w:pPr>
            <w:r>
              <w:rPr>
                <w:rFonts w:eastAsia="SimHei" w:hint="eastAsia"/>
              </w:rPr>
              <w:t>1998</w:t>
            </w:r>
            <w:r>
              <w:rPr>
                <w:rFonts w:eastAsia="SimHei" w:hint="eastAsia"/>
              </w:rPr>
              <w:t>年</w:t>
            </w:r>
          </w:p>
        </w:tc>
        <w:tc>
          <w:tcPr>
            <w:tcW w:w="1632" w:type="pct"/>
          </w:tcPr>
          <w:p w:rsidR="00000000" w:rsidRDefault="00000000">
            <w:pPr>
              <w:jc w:val="center"/>
              <w:rPr>
                <w:rFonts w:eastAsia="SimHei" w:hint="eastAsia"/>
              </w:rPr>
            </w:pPr>
            <w:r>
              <w:rPr>
                <w:rFonts w:eastAsia="SimHei" w:hint="eastAsia"/>
              </w:rPr>
              <w:t>1999</w:t>
            </w:r>
            <w:r>
              <w:rPr>
                <w:rFonts w:eastAsia="SimHei" w:hint="eastAsia"/>
              </w:rPr>
              <w:t>年</w:t>
            </w:r>
          </w:p>
        </w:tc>
      </w:tr>
      <w:tr w:rsidR="00000000">
        <w:tblPrEx>
          <w:tblCellMar>
            <w:top w:w="0" w:type="dxa"/>
            <w:bottom w:w="0" w:type="dxa"/>
          </w:tblCellMar>
        </w:tblPrEx>
        <w:tc>
          <w:tcPr>
            <w:tcW w:w="1618" w:type="pct"/>
          </w:tcPr>
          <w:p w:rsidR="00000000" w:rsidRDefault="00000000">
            <w:pPr>
              <w:spacing w:before="60"/>
              <w:rPr>
                <w:rFonts w:hint="eastAsia"/>
                <w:snapToGrid/>
                <w:sz w:val="22"/>
              </w:rPr>
            </w:pPr>
            <w:r>
              <w:rPr>
                <w:rFonts w:hint="eastAsia"/>
                <w:snapToGrid/>
                <w:sz w:val="22"/>
              </w:rPr>
              <w:t>经监查的工作地点</w:t>
            </w:r>
          </w:p>
        </w:tc>
        <w:tc>
          <w:tcPr>
            <w:tcW w:w="1749" w:type="pct"/>
          </w:tcPr>
          <w:p w:rsidR="00000000" w:rsidRDefault="00000000">
            <w:pPr>
              <w:spacing w:before="60"/>
              <w:ind w:right="1246"/>
              <w:jc w:val="right"/>
              <w:rPr>
                <w:rFonts w:hint="eastAsia"/>
              </w:rPr>
            </w:pPr>
            <w:r>
              <w:rPr>
                <w:rFonts w:hint="eastAsia"/>
              </w:rPr>
              <w:t>2,560</w:t>
            </w:r>
          </w:p>
        </w:tc>
        <w:tc>
          <w:tcPr>
            <w:tcW w:w="1632" w:type="pct"/>
          </w:tcPr>
          <w:p w:rsidR="00000000" w:rsidRDefault="00000000">
            <w:pPr>
              <w:spacing w:before="60"/>
              <w:ind w:left="218" w:right="1103" w:firstLine="240"/>
              <w:jc w:val="right"/>
              <w:rPr>
                <w:rFonts w:hint="eastAsia"/>
              </w:rPr>
            </w:pPr>
            <w:r>
              <w:rPr>
                <w:rFonts w:hint="eastAsia"/>
              </w:rPr>
              <w:t>6,500</w:t>
            </w:r>
          </w:p>
        </w:tc>
      </w:tr>
      <w:tr w:rsidR="00000000">
        <w:tblPrEx>
          <w:tblCellMar>
            <w:top w:w="0" w:type="dxa"/>
            <w:bottom w:w="0" w:type="dxa"/>
          </w:tblCellMar>
        </w:tblPrEx>
        <w:tc>
          <w:tcPr>
            <w:tcW w:w="1618" w:type="pct"/>
          </w:tcPr>
          <w:p w:rsidR="00000000" w:rsidRDefault="00000000">
            <w:pPr>
              <w:spacing w:before="60"/>
              <w:rPr>
                <w:rFonts w:hint="eastAsia"/>
                <w:sz w:val="20"/>
              </w:rPr>
            </w:pPr>
            <w:r>
              <w:rPr>
                <w:rFonts w:hint="eastAsia"/>
                <w:sz w:val="20"/>
              </w:rPr>
              <w:t>所监查工作地点的工人数量</w:t>
            </w:r>
          </w:p>
        </w:tc>
        <w:tc>
          <w:tcPr>
            <w:tcW w:w="1749" w:type="pct"/>
          </w:tcPr>
          <w:p w:rsidR="00000000" w:rsidRDefault="00000000">
            <w:pPr>
              <w:spacing w:before="60"/>
              <w:ind w:right="1246"/>
              <w:jc w:val="right"/>
              <w:rPr>
                <w:rFonts w:hint="eastAsia"/>
              </w:rPr>
            </w:pPr>
            <w:r>
              <w:rPr>
                <w:rFonts w:hint="eastAsia"/>
              </w:rPr>
              <w:t>17,780</w:t>
            </w:r>
          </w:p>
        </w:tc>
        <w:tc>
          <w:tcPr>
            <w:tcW w:w="1632" w:type="pct"/>
          </w:tcPr>
          <w:p w:rsidR="00000000" w:rsidRDefault="00000000">
            <w:pPr>
              <w:spacing w:before="60"/>
              <w:ind w:left="218" w:right="1103" w:firstLine="240"/>
              <w:jc w:val="right"/>
              <w:rPr>
                <w:rFonts w:hint="eastAsia"/>
              </w:rPr>
            </w:pPr>
            <w:r>
              <w:rPr>
                <w:rFonts w:hint="eastAsia"/>
              </w:rPr>
              <w:t>36,000</w:t>
            </w:r>
          </w:p>
        </w:tc>
      </w:tr>
      <w:tr w:rsidR="00000000">
        <w:tblPrEx>
          <w:tblCellMar>
            <w:top w:w="0" w:type="dxa"/>
            <w:bottom w:w="0" w:type="dxa"/>
          </w:tblCellMar>
        </w:tblPrEx>
        <w:tc>
          <w:tcPr>
            <w:tcW w:w="1618" w:type="pct"/>
          </w:tcPr>
          <w:p w:rsidR="00000000" w:rsidRDefault="00000000">
            <w:pPr>
              <w:spacing w:before="60"/>
              <w:ind w:left="242"/>
              <w:rPr>
                <w:rFonts w:hint="eastAsia"/>
                <w:sz w:val="20"/>
              </w:rPr>
            </w:pPr>
            <w:r>
              <w:rPr>
                <w:rFonts w:hint="eastAsia"/>
                <w:sz w:val="20"/>
              </w:rPr>
              <w:t>男性</w:t>
            </w:r>
          </w:p>
        </w:tc>
        <w:tc>
          <w:tcPr>
            <w:tcW w:w="1749" w:type="pct"/>
          </w:tcPr>
          <w:p w:rsidR="00000000" w:rsidRDefault="00000000">
            <w:pPr>
              <w:spacing w:before="60"/>
              <w:ind w:right="1246"/>
              <w:jc w:val="right"/>
              <w:rPr>
                <w:rFonts w:hint="eastAsia"/>
              </w:rPr>
            </w:pPr>
            <w:r>
              <w:rPr>
                <w:rFonts w:hint="eastAsia"/>
              </w:rPr>
              <w:t>11,316</w:t>
            </w:r>
          </w:p>
        </w:tc>
        <w:tc>
          <w:tcPr>
            <w:tcW w:w="1632" w:type="pct"/>
          </w:tcPr>
          <w:p w:rsidR="00000000" w:rsidRDefault="00000000">
            <w:pPr>
              <w:spacing w:before="60"/>
              <w:ind w:left="218" w:right="1103" w:firstLine="240"/>
              <w:jc w:val="right"/>
              <w:rPr>
                <w:rFonts w:hint="eastAsia"/>
              </w:rPr>
            </w:pPr>
            <w:r>
              <w:rPr>
                <w:rFonts w:hint="eastAsia"/>
              </w:rPr>
              <w:t>27,000</w:t>
            </w:r>
          </w:p>
        </w:tc>
      </w:tr>
      <w:tr w:rsidR="00000000">
        <w:tblPrEx>
          <w:tblCellMar>
            <w:top w:w="0" w:type="dxa"/>
            <w:bottom w:w="0" w:type="dxa"/>
          </w:tblCellMar>
        </w:tblPrEx>
        <w:tc>
          <w:tcPr>
            <w:tcW w:w="1618" w:type="pct"/>
          </w:tcPr>
          <w:p w:rsidR="00000000" w:rsidRDefault="00000000">
            <w:pPr>
              <w:spacing w:before="60"/>
              <w:ind w:left="242"/>
              <w:rPr>
                <w:rFonts w:hint="eastAsia"/>
                <w:sz w:val="20"/>
              </w:rPr>
            </w:pPr>
            <w:r>
              <w:rPr>
                <w:rFonts w:hint="eastAsia"/>
                <w:sz w:val="20"/>
              </w:rPr>
              <w:t>女性</w:t>
            </w:r>
          </w:p>
        </w:tc>
        <w:tc>
          <w:tcPr>
            <w:tcW w:w="1749" w:type="pct"/>
          </w:tcPr>
          <w:p w:rsidR="00000000" w:rsidRDefault="00000000">
            <w:pPr>
              <w:spacing w:before="60"/>
              <w:ind w:right="1246"/>
              <w:jc w:val="right"/>
              <w:rPr>
                <w:rFonts w:hint="eastAsia"/>
              </w:rPr>
            </w:pPr>
            <w:r>
              <w:rPr>
                <w:rFonts w:hint="eastAsia"/>
              </w:rPr>
              <w:t>6,464</w:t>
            </w:r>
          </w:p>
        </w:tc>
        <w:tc>
          <w:tcPr>
            <w:tcW w:w="1632" w:type="pct"/>
          </w:tcPr>
          <w:p w:rsidR="00000000" w:rsidRDefault="00000000">
            <w:pPr>
              <w:spacing w:before="60"/>
              <w:ind w:left="218" w:right="1103" w:firstLine="240"/>
              <w:jc w:val="right"/>
              <w:rPr>
                <w:rFonts w:hint="eastAsia"/>
              </w:rPr>
            </w:pPr>
            <w:r>
              <w:rPr>
                <w:rFonts w:hint="eastAsia"/>
              </w:rPr>
              <w:t>9,000</w:t>
            </w:r>
          </w:p>
        </w:tc>
      </w:tr>
      <w:tr w:rsidR="00000000">
        <w:tblPrEx>
          <w:tblCellMar>
            <w:top w:w="0" w:type="dxa"/>
            <w:bottom w:w="0" w:type="dxa"/>
          </w:tblCellMar>
        </w:tblPrEx>
        <w:tc>
          <w:tcPr>
            <w:tcW w:w="1618" w:type="pct"/>
          </w:tcPr>
          <w:p w:rsidR="00000000" w:rsidRDefault="00000000">
            <w:pPr>
              <w:spacing w:before="60"/>
              <w:rPr>
                <w:rFonts w:hint="eastAsia"/>
                <w:snapToGrid/>
                <w:sz w:val="20"/>
              </w:rPr>
            </w:pPr>
            <w:r>
              <w:rPr>
                <w:rFonts w:hint="eastAsia"/>
                <w:snapToGrid/>
                <w:sz w:val="22"/>
              </w:rPr>
              <w:t>违法行为的数量</w:t>
            </w:r>
            <w:r>
              <w:rPr>
                <w:rFonts w:hint="eastAsia"/>
                <w:snapToGrid/>
                <w:sz w:val="22"/>
              </w:rPr>
              <w:t xml:space="preserve"> </w:t>
            </w:r>
          </w:p>
        </w:tc>
        <w:tc>
          <w:tcPr>
            <w:tcW w:w="1749" w:type="pct"/>
          </w:tcPr>
          <w:p w:rsidR="00000000" w:rsidRDefault="00000000">
            <w:pPr>
              <w:spacing w:before="60"/>
              <w:ind w:right="1246"/>
              <w:jc w:val="right"/>
              <w:rPr>
                <w:rFonts w:hint="eastAsia"/>
              </w:rPr>
            </w:pPr>
            <w:r>
              <w:rPr>
                <w:rFonts w:hint="eastAsia"/>
              </w:rPr>
              <w:t>3,884</w:t>
            </w:r>
          </w:p>
        </w:tc>
        <w:tc>
          <w:tcPr>
            <w:tcW w:w="1632" w:type="pct"/>
          </w:tcPr>
          <w:p w:rsidR="00000000" w:rsidRDefault="00000000">
            <w:pPr>
              <w:spacing w:before="60"/>
              <w:ind w:left="218" w:right="1103" w:firstLine="240"/>
              <w:jc w:val="right"/>
              <w:rPr>
                <w:rFonts w:hint="eastAsia"/>
              </w:rPr>
            </w:pPr>
            <w:r>
              <w:rPr>
                <w:rFonts w:hint="eastAsia"/>
              </w:rPr>
              <w:t>1,981</w:t>
            </w:r>
          </w:p>
        </w:tc>
      </w:tr>
      <w:tr w:rsidR="00000000">
        <w:tblPrEx>
          <w:tblCellMar>
            <w:top w:w="0" w:type="dxa"/>
            <w:bottom w:w="0" w:type="dxa"/>
          </w:tblCellMar>
        </w:tblPrEx>
        <w:tc>
          <w:tcPr>
            <w:tcW w:w="1618" w:type="pct"/>
          </w:tcPr>
          <w:p w:rsidR="00000000" w:rsidRDefault="00000000">
            <w:pPr>
              <w:spacing w:before="60"/>
              <w:ind w:left="242"/>
              <w:rPr>
                <w:rFonts w:hint="eastAsia"/>
                <w:sz w:val="20"/>
              </w:rPr>
            </w:pPr>
            <w:r>
              <w:rPr>
                <w:rFonts w:hint="eastAsia"/>
                <w:sz w:val="20"/>
              </w:rPr>
              <w:t>男性</w:t>
            </w:r>
          </w:p>
        </w:tc>
        <w:tc>
          <w:tcPr>
            <w:tcW w:w="1749" w:type="pct"/>
          </w:tcPr>
          <w:p w:rsidR="00000000" w:rsidRDefault="00000000">
            <w:pPr>
              <w:spacing w:before="60"/>
              <w:ind w:right="1246"/>
              <w:jc w:val="right"/>
              <w:rPr>
                <w:rFonts w:hint="eastAsia"/>
              </w:rPr>
            </w:pPr>
            <w:r>
              <w:rPr>
                <w:rFonts w:hint="eastAsia"/>
              </w:rPr>
              <w:t>3,159</w:t>
            </w:r>
          </w:p>
        </w:tc>
        <w:tc>
          <w:tcPr>
            <w:tcW w:w="1632" w:type="pct"/>
          </w:tcPr>
          <w:p w:rsidR="00000000" w:rsidRDefault="00000000">
            <w:pPr>
              <w:spacing w:before="60"/>
              <w:ind w:left="218" w:right="1103" w:firstLine="240"/>
              <w:jc w:val="right"/>
              <w:rPr>
                <w:rFonts w:hint="eastAsia"/>
              </w:rPr>
            </w:pPr>
            <w:r>
              <w:rPr>
                <w:rFonts w:hint="eastAsia"/>
              </w:rPr>
              <w:t>1,720</w:t>
            </w:r>
          </w:p>
        </w:tc>
      </w:tr>
      <w:tr w:rsidR="00000000">
        <w:tblPrEx>
          <w:tblCellMar>
            <w:top w:w="0" w:type="dxa"/>
            <w:bottom w:w="0" w:type="dxa"/>
          </w:tblCellMar>
        </w:tblPrEx>
        <w:tc>
          <w:tcPr>
            <w:tcW w:w="1618" w:type="pct"/>
          </w:tcPr>
          <w:p w:rsidR="00000000" w:rsidRDefault="00000000">
            <w:pPr>
              <w:spacing w:before="60"/>
              <w:ind w:left="242"/>
              <w:rPr>
                <w:rFonts w:hint="eastAsia"/>
                <w:sz w:val="20"/>
              </w:rPr>
            </w:pPr>
            <w:r>
              <w:rPr>
                <w:rFonts w:hint="eastAsia"/>
                <w:sz w:val="20"/>
              </w:rPr>
              <w:t>女性</w:t>
            </w:r>
          </w:p>
        </w:tc>
        <w:tc>
          <w:tcPr>
            <w:tcW w:w="1749" w:type="pct"/>
          </w:tcPr>
          <w:p w:rsidR="00000000" w:rsidRDefault="00000000">
            <w:pPr>
              <w:spacing w:before="60"/>
              <w:ind w:right="1246"/>
              <w:jc w:val="right"/>
              <w:rPr>
                <w:rFonts w:hint="eastAsia"/>
              </w:rPr>
            </w:pPr>
            <w:r>
              <w:rPr>
                <w:rFonts w:hint="eastAsia"/>
              </w:rPr>
              <w:t>725</w:t>
            </w:r>
          </w:p>
        </w:tc>
        <w:tc>
          <w:tcPr>
            <w:tcW w:w="1632" w:type="pct"/>
          </w:tcPr>
          <w:p w:rsidR="00000000" w:rsidRDefault="00000000">
            <w:pPr>
              <w:spacing w:before="60"/>
              <w:ind w:left="218" w:right="1103" w:firstLine="240"/>
              <w:jc w:val="right"/>
              <w:rPr>
                <w:rFonts w:hint="eastAsia"/>
              </w:rPr>
            </w:pPr>
            <w:r>
              <w:rPr>
                <w:rFonts w:hint="eastAsia"/>
              </w:rPr>
              <w:t>261</w:t>
            </w:r>
          </w:p>
        </w:tc>
      </w:tr>
      <w:tr w:rsidR="00000000">
        <w:tblPrEx>
          <w:tblCellMar>
            <w:top w:w="0" w:type="dxa"/>
            <w:bottom w:w="0" w:type="dxa"/>
          </w:tblCellMar>
        </w:tblPrEx>
        <w:tc>
          <w:tcPr>
            <w:tcW w:w="1618" w:type="pct"/>
          </w:tcPr>
          <w:p w:rsidR="00000000" w:rsidRDefault="00000000">
            <w:pPr>
              <w:spacing w:before="60"/>
              <w:rPr>
                <w:rFonts w:hint="eastAsia"/>
                <w:snapToGrid/>
                <w:sz w:val="22"/>
              </w:rPr>
            </w:pPr>
            <w:r>
              <w:rPr>
                <w:rFonts w:hint="eastAsia"/>
                <w:snapToGrid/>
                <w:sz w:val="22"/>
              </w:rPr>
              <w:t>雇主补偿（补发）款额</w:t>
            </w:r>
          </w:p>
        </w:tc>
        <w:tc>
          <w:tcPr>
            <w:tcW w:w="1749" w:type="pct"/>
          </w:tcPr>
          <w:p w:rsidR="00000000" w:rsidRDefault="00000000">
            <w:pPr>
              <w:spacing w:before="60"/>
              <w:jc w:val="center"/>
              <w:rPr>
                <w:rFonts w:hint="eastAsia"/>
              </w:rPr>
            </w:pPr>
            <w:r>
              <w:rPr>
                <w:rFonts w:hint="eastAsia"/>
              </w:rPr>
              <w:t>620</w:t>
            </w:r>
            <w:r>
              <w:rPr>
                <w:rFonts w:hint="eastAsia"/>
              </w:rPr>
              <w:t>万新锡克尔</w:t>
            </w:r>
          </w:p>
        </w:tc>
        <w:tc>
          <w:tcPr>
            <w:tcW w:w="1632" w:type="pct"/>
          </w:tcPr>
          <w:p w:rsidR="00000000" w:rsidRDefault="00000000">
            <w:pPr>
              <w:spacing w:before="60"/>
              <w:jc w:val="center"/>
              <w:rPr>
                <w:rFonts w:hint="eastAsia"/>
              </w:rPr>
            </w:pPr>
            <w:r>
              <w:rPr>
                <w:rFonts w:hint="eastAsia"/>
              </w:rPr>
              <w:t>470</w:t>
            </w:r>
            <w:r>
              <w:rPr>
                <w:rFonts w:hint="eastAsia"/>
              </w:rPr>
              <w:t>万新锡克尔</w:t>
            </w:r>
          </w:p>
        </w:tc>
      </w:tr>
      <w:tr w:rsidR="00000000">
        <w:tblPrEx>
          <w:tblCellMar>
            <w:top w:w="0" w:type="dxa"/>
            <w:bottom w:w="0" w:type="dxa"/>
          </w:tblCellMar>
        </w:tblPrEx>
        <w:tc>
          <w:tcPr>
            <w:tcW w:w="1618" w:type="pct"/>
          </w:tcPr>
          <w:p w:rsidR="00000000" w:rsidRDefault="00000000">
            <w:pPr>
              <w:spacing w:before="60"/>
              <w:ind w:left="242"/>
              <w:rPr>
                <w:rFonts w:hint="eastAsia"/>
                <w:sz w:val="20"/>
              </w:rPr>
            </w:pPr>
            <w:r>
              <w:rPr>
                <w:rFonts w:hint="eastAsia"/>
                <w:sz w:val="20"/>
              </w:rPr>
              <w:t>男性</w:t>
            </w:r>
          </w:p>
        </w:tc>
        <w:tc>
          <w:tcPr>
            <w:tcW w:w="1749" w:type="pct"/>
          </w:tcPr>
          <w:p w:rsidR="00000000" w:rsidRDefault="00000000">
            <w:pPr>
              <w:spacing w:before="60"/>
              <w:jc w:val="center"/>
              <w:rPr>
                <w:rFonts w:hint="eastAsia"/>
              </w:rPr>
            </w:pPr>
            <w:r>
              <w:rPr>
                <w:rFonts w:hint="eastAsia"/>
              </w:rPr>
              <w:t>570</w:t>
            </w:r>
            <w:r>
              <w:rPr>
                <w:rFonts w:hint="eastAsia"/>
              </w:rPr>
              <w:t>万新锡克尔</w:t>
            </w:r>
          </w:p>
        </w:tc>
        <w:tc>
          <w:tcPr>
            <w:tcW w:w="1632" w:type="pct"/>
          </w:tcPr>
          <w:p w:rsidR="00000000" w:rsidRDefault="00000000">
            <w:pPr>
              <w:spacing w:before="60"/>
              <w:jc w:val="center"/>
              <w:rPr>
                <w:rFonts w:hint="eastAsia"/>
              </w:rPr>
            </w:pPr>
            <w:r>
              <w:rPr>
                <w:rFonts w:hint="eastAsia"/>
              </w:rPr>
              <w:t>450</w:t>
            </w:r>
            <w:r>
              <w:rPr>
                <w:rFonts w:hint="eastAsia"/>
              </w:rPr>
              <w:t>万新锡克尔</w:t>
            </w:r>
          </w:p>
        </w:tc>
      </w:tr>
      <w:tr w:rsidR="00000000">
        <w:tblPrEx>
          <w:tblCellMar>
            <w:top w:w="0" w:type="dxa"/>
            <w:bottom w:w="0" w:type="dxa"/>
          </w:tblCellMar>
        </w:tblPrEx>
        <w:tc>
          <w:tcPr>
            <w:tcW w:w="1618" w:type="pct"/>
          </w:tcPr>
          <w:p w:rsidR="00000000" w:rsidRDefault="00000000">
            <w:pPr>
              <w:spacing w:before="60"/>
              <w:ind w:left="242"/>
              <w:rPr>
                <w:rFonts w:hint="eastAsia"/>
                <w:sz w:val="20"/>
              </w:rPr>
            </w:pPr>
            <w:r>
              <w:rPr>
                <w:rFonts w:hint="eastAsia"/>
                <w:sz w:val="20"/>
              </w:rPr>
              <w:t>女性</w:t>
            </w:r>
          </w:p>
        </w:tc>
        <w:tc>
          <w:tcPr>
            <w:tcW w:w="1749" w:type="pct"/>
          </w:tcPr>
          <w:p w:rsidR="00000000" w:rsidRDefault="00000000">
            <w:pPr>
              <w:spacing w:before="60"/>
              <w:jc w:val="center"/>
              <w:rPr>
                <w:rFonts w:hint="eastAsia"/>
              </w:rPr>
            </w:pPr>
            <w:r>
              <w:rPr>
                <w:rFonts w:hint="eastAsia"/>
              </w:rPr>
              <w:t>50</w:t>
            </w:r>
            <w:r>
              <w:rPr>
                <w:rFonts w:hint="eastAsia"/>
              </w:rPr>
              <w:t>万新锡克尔</w:t>
            </w:r>
          </w:p>
        </w:tc>
        <w:tc>
          <w:tcPr>
            <w:tcW w:w="1632" w:type="pct"/>
          </w:tcPr>
          <w:p w:rsidR="00000000" w:rsidRDefault="00000000">
            <w:pPr>
              <w:spacing w:before="60"/>
              <w:jc w:val="center"/>
              <w:rPr>
                <w:rFonts w:hint="eastAsia"/>
              </w:rPr>
            </w:pPr>
            <w:r>
              <w:rPr>
                <w:rFonts w:hint="eastAsia"/>
              </w:rPr>
              <w:t>20</w:t>
            </w:r>
            <w:r>
              <w:rPr>
                <w:rFonts w:hint="eastAsia"/>
              </w:rPr>
              <w:t>万新锡克尔</w:t>
            </w:r>
          </w:p>
        </w:tc>
      </w:tr>
    </w:tbl>
    <w:p w:rsidR="00000000" w:rsidRDefault="00000000">
      <w:pPr>
        <w:spacing w:before="240"/>
        <w:ind w:left="12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：劳工和社会事务部。</w:t>
      </w:r>
    </w:p>
    <w:p w:rsidR="00000000" w:rsidRDefault="00000000">
      <w:pPr>
        <w:rPr>
          <w:rFonts w:hint="eastAsia"/>
        </w:rPr>
      </w:pPr>
    </w:p>
    <w:p w:rsidR="00000000" w:rsidRDefault="00000000">
      <w:pPr>
        <w:rPr>
          <w:rFonts w:hint="eastAsia"/>
        </w:rPr>
      </w:pPr>
      <w:r>
        <w:rPr>
          <w:rFonts w:hint="eastAsia"/>
        </w:rPr>
        <w:tab/>
        <w:t>74.  2000</w:t>
      </w:r>
      <w:r>
        <w:rPr>
          <w:rFonts w:hint="eastAsia"/>
        </w:rPr>
        <w:t>年修订了（以色列初步报告介绍的）执行最低工资制的政策。从此之后将下大力对违法此法律的雇主采取司法行动，尤其针对一些严重违法案件，寻求雇主对工人作出赔偿。然而，这项政策的成功取决于</w:t>
      </w:r>
      <w:r>
        <w:rPr>
          <w:rFonts w:hint="eastAsia"/>
        </w:rPr>
        <w:t>2001</w:t>
      </w:r>
      <w:r>
        <w:rPr>
          <w:rFonts w:hint="eastAsia"/>
        </w:rPr>
        <w:t>年预算是否能为劳工部拨出足够的款项。</w:t>
      </w:r>
    </w:p>
    <w:p w:rsidR="00000000" w:rsidRDefault="00000000">
      <w:pPr>
        <w:spacing w:after="320"/>
        <w:rPr>
          <w:rFonts w:hint="eastAsia"/>
        </w:rPr>
      </w:pPr>
      <w:r>
        <w:rPr>
          <w:rFonts w:hint="eastAsia"/>
        </w:rPr>
        <w:tab/>
        <w:t xml:space="preserve">75.  </w:t>
      </w:r>
      <w:r>
        <w:rPr>
          <w:rFonts w:hint="eastAsia"/>
        </w:rPr>
        <w:t>估计外籍工人中较高百分比的人未得到（每小时工作）法定的最低工资。正由于这一原因，有相当大部分的执法工作旨在解决劳工市场中这一部分人的问题。</w:t>
      </w:r>
    </w:p>
    <w:p w:rsidR="00000000" w:rsidRDefault="00000000">
      <w:pPr>
        <w:pStyle w:val="Heading3"/>
        <w:rPr>
          <w:rFonts w:hint="eastAsia"/>
          <w:u w:val="none"/>
        </w:rPr>
      </w:pPr>
      <w:r>
        <w:rPr>
          <w:rFonts w:hint="eastAsia"/>
          <w:u w:val="none"/>
        </w:rPr>
        <w:t xml:space="preserve">J.  </w:t>
      </w:r>
      <w:r>
        <w:rPr>
          <w:rFonts w:hint="eastAsia"/>
        </w:rPr>
        <w:t>“劳动承包商”（结论性意见第</w:t>
      </w:r>
      <w:r>
        <w:rPr>
          <w:rFonts w:hint="eastAsia"/>
        </w:rPr>
        <w:t>16</w:t>
      </w:r>
      <w:r>
        <w:rPr>
          <w:rFonts w:hint="eastAsia"/>
        </w:rPr>
        <w:t>段的最后部分</w:t>
      </w:r>
      <w:r>
        <w:rPr>
          <w:rFonts w:hint="eastAsia"/>
          <w:u w:val="none"/>
        </w:rPr>
        <w:t>）</w:t>
      </w:r>
    </w:p>
    <w:p w:rsidR="00000000" w:rsidRDefault="00000000">
      <w:pPr>
        <w:rPr>
          <w:rFonts w:hint="eastAsia"/>
        </w:rPr>
      </w:pPr>
      <w:r>
        <w:rPr>
          <w:rFonts w:hint="eastAsia"/>
        </w:rPr>
        <w:tab/>
        <w:t xml:space="preserve">76.  </w:t>
      </w:r>
      <w:r>
        <w:rPr>
          <w:rFonts w:hint="eastAsia"/>
        </w:rPr>
        <w:t>“劳动承包商”的情况，是令委员会尤感关注的问题。最近议会就此问题展开了讨论。针对这些关注问题，劳工和社会事务部长于</w:t>
      </w:r>
      <w:r>
        <w:rPr>
          <w:rFonts w:hint="eastAsia"/>
        </w:rPr>
        <w:t>1999</w:t>
      </w:r>
      <w:r>
        <w:rPr>
          <w:rFonts w:hint="eastAsia"/>
        </w:rPr>
        <w:t>年提出了一项议案，旨在对大幅度地改革现行法律。当政府仍在讨论这一提案时，一位议员以个人名义在议会中成功地通过了一项个人议案。因此，</w:t>
      </w:r>
      <w:r>
        <w:rPr>
          <w:rFonts w:hint="eastAsia"/>
        </w:rPr>
        <w:t>2000</w:t>
      </w:r>
      <w:r>
        <w:rPr>
          <w:rFonts w:hint="eastAsia"/>
        </w:rPr>
        <w:t>年对此法律作出了大幅度的修定。</w:t>
      </w:r>
    </w:p>
    <w:p w:rsidR="00000000" w:rsidRDefault="00000000">
      <w:pPr>
        <w:rPr>
          <w:rFonts w:hint="eastAsia"/>
        </w:rPr>
      </w:pPr>
      <w:r>
        <w:rPr>
          <w:rFonts w:hint="eastAsia"/>
        </w:rPr>
        <w:tab/>
        <w:t xml:space="preserve">77.  </w:t>
      </w:r>
      <w:r>
        <w:rPr>
          <w:rFonts w:hint="eastAsia"/>
        </w:rPr>
        <w:t>这项修正案规定凡通过承包商雇用工人者以九个月为限期，此外，若经劳工和社会事务部长特批之后可延长六个月。修定案还规定，契约工若在同一个使用企业的岗位上工作超过了上述限期，将自动地被视为使用企业的雇员。因此，可从该雇工在使用企业上班的第一天算起，享有与使用者企业工作地点雇员同样的职业和工龄待遇。</w:t>
      </w:r>
    </w:p>
    <w:p w:rsidR="00000000" w:rsidRDefault="00000000">
      <w:pPr>
        <w:rPr>
          <w:rFonts w:hint="eastAsia"/>
        </w:rPr>
      </w:pPr>
      <w:r>
        <w:rPr>
          <w:rFonts w:hint="eastAsia"/>
        </w:rPr>
        <w:tab/>
        <w:t xml:space="preserve">78.  </w:t>
      </w:r>
      <w:r>
        <w:rPr>
          <w:rFonts w:hint="eastAsia"/>
        </w:rPr>
        <w:t>这项修定案拟于</w:t>
      </w:r>
      <w:r>
        <w:rPr>
          <w:rFonts w:hint="eastAsia"/>
        </w:rPr>
        <w:t>2001</w:t>
      </w:r>
      <w:r>
        <w:rPr>
          <w:rFonts w:hint="eastAsia"/>
        </w:rPr>
        <w:t>年</w:t>
      </w:r>
      <w:r>
        <w:rPr>
          <w:rFonts w:hint="eastAsia"/>
        </w:rPr>
        <w:t>1</w:t>
      </w:r>
      <w:r>
        <w:rPr>
          <w:rFonts w:hint="eastAsia"/>
        </w:rPr>
        <w:t>月</w:t>
      </w:r>
      <w:r>
        <w:rPr>
          <w:rFonts w:hint="eastAsia"/>
        </w:rPr>
        <w:t>1</w:t>
      </w:r>
      <w:r>
        <w:rPr>
          <w:rFonts w:hint="eastAsia"/>
        </w:rPr>
        <w:t>日生效。修定案构成了一项重大的改革，涉及到以色列境内</w:t>
      </w:r>
      <w:r>
        <w:rPr>
          <w:rFonts w:hint="eastAsia"/>
        </w:rPr>
        <w:t>6%</w:t>
      </w:r>
      <w:r>
        <w:rPr>
          <w:rFonts w:hint="eastAsia"/>
        </w:rPr>
        <w:t>的薪酬工人。因此，需要有一段过渡期后再生效。然而，目前看来，至少对公共部门来说，即使这段过渡期也不够长。由于这项修定案，必须重新考虑公共部门中几千名契约工人的就业形式。因此，政府要求议会将此项修定案推迟至</w:t>
      </w:r>
      <w:r>
        <w:rPr>
          <w:rFonts w:hint="eastAsia"/>
        </w:rPr>
        <w:t>2002</w:t>
      </w:r>
      <w:r>
        <w:rPr>
          <w:rFonts w:hint="eastAsia"/>
        </w:rPr>
        <w:t>年</w:t>
      </w:r>
      <w:r>
        <w:rPr>
          <w:rFonts w:hint="eastAsia"/>
        </w:rPr>
        <w:t>1</w:t>
      </w:r>
      <w:r>
        <w:rPr>
          <w:rFonts w:hint="eastAsia"/>
        </w:rPr>
        <w:t>月生效，以便能完成其重组工作。此项要求还有待议会在伴随通过政府年度预算的立法草案范围内作出确定。</w:t>
      </w:r>
    </w:p>
    <w:p w:rsidR="00000000" w:rsidRDefault="00000000">
      <w:pPr>
        <w:rPr>
          <w:rFonts w:hint="eastAsia"/>
        </w:rPr>
      </w:pPr>
      <w:r>
        <w:rPr>
          <w:rFonts w:hint="eastAsia"/>
        </w:rPr>
        <w:tab/>
        <w:t xml:space="preserve">79.  </w:t>
      </w:r>
      <w:r>
        <w:rPr>
          <w:rFonts w:hint="eastAsia"/>
        </w:rPr>
        <w:t>此外，当上诉和调查查明出现违法行为，包括违反某一机构作为雇员应有的法律义务时，劳工和社会事务部长运用了执法权力，对许多雇用机构进行了整顿。此类管理活动达到下列一项或多项结果：</w:t>
      </w:r>
    </w:p>
    <w:p w:rsidR="00000000" w:rsidRDefault="00000000">
      <w:pPr>
        <w:numPr>
          <w:ilvl w:val="0"/>
          <w:numId w:val="28"/>
        </w:numPr>
        <w:rPr>
          <w:rFonts w:hint="eastAsia"/>
        </w:rPr>
      </w:pPr>
      <w:r>
        <w:rPr>
          <w:rFonts w:hint="eastAsia"/>
        </w:rPr>
        <w:t>雇用机构赔补了应支付给其雇员的款额；</w:t>
      </w:r>
    </w:p>
    <w:p w:rsidR="00000000" w:rsidRDefault="00000000">
      <w:pPr>
        <w:numPr>
          <w:ilvl w:val="0"/>
          <w:numId w:val="28"/>
        </w:numPr>
        <w:rPr>
          <w:rFonts w:hint="eastAsia"/>
        </w:rPr>
      </w:pPr>
      <w:r>
        <w:rPr>
          <w:rFonts w:hint="eastAsia"/>
        </w:rPr>
        <w:t>在为履行某些条件的情况下，限制某一雇用机构的活动范围；</w:t>
      </w:r>
    </w:p>
    <w:p w:rsidR="00000000" w:rsidRDefault="00000000">
      <w:pPr>
        <w:numPr>
          <w:ilvl w:val="0"/>
          <w:numId w:val="28"/>
        </w:numPr>
        <w:rPr>
          <w:rFonts w:hint="eastAsia"/>
        </w:rPr>
      </w:pPr>
      <w:r>
        <w:rPr>
          <w:rFonts w:hint="eastAsia"/>
        </w:rPr>
        <w:t>指派一位会计师对某一雇用机构遵从财务条件的税务情况进行核查；</w:t>
      </w:r>
    </w:p>
    <w:p w:rsidR="00000000" w:rsidRDefault="00000000">
      <w:pPr>
        <w:numPr>
          <w:ilvl w:val="0"/>
          <w:numId w:val="28"/>
        </w:numPr>
        <w:rPr>
          <w:rFonts w:hint="eastAsia"/>
        </w:rPr>
      </w:pPr>
      <w:r>
        <w:rPr>
          <w:rFonts w:hint="eastAsia"/>
        </w:rPr>
        <w:t>提出刑事起诉，主要为了落实禁止无执照机构经营的规定；</w:t>
      </w:r>
    </w:p>
    <w:p w:rsidR="00000000" w:rsidRDefault="00000000">
      <w:pPr>
        <w:numPr>
          <w:ilvl w:val="0"/>
          <w:numId w:val="28"/>
        </w:numPr>
        <w:rPr>
          <w:rFonts w:hint="eastAsia"/>
        </w:rPr>
      </w:pPr>
      <w:r>
        <w:rPr>
          <w:rFonts w:hint="eastAsia"/>
        </w:rPr>
        <w:t>吊销许可证。</w:t>
      </w:r>
    </w:p>
    <w:p w:rsidR="00000000" w:rsidRDefault="00000000">
      <w:pPr>
        <w:spacing w:after="320"/>
        <w:rPr>
          <w:rFonts w:hint="eastAsia"/>
        </w:rPr>
      </w:pPr>
      <w:r>
        <w:rPr>
          <w:rFonts w:hint="eastAsia"/>
        </w:rPr>
        <w:tab/>
        <w:t xml:space="preserve">80.  </w:t>
      </w:r>
      <w:r>
        <w:rPr>
          <w:rFonts w:hint="eastAsia"/>
        </w:rPr>
        <w:t>最后应当指出，目前以色列批准了</w:t>
      </w:r>
      <w:r>
        <w:rPr>
          <w:rFonts w:hint="eastAsia"/>
        </w:rPr>
        <w:t>300</w:t>
      </w:r>
      <w:r>
        <w:rPr>
          <w:rFonts w:hint="eastAsia"/>
        </w:rPr>
        <w:t>个雇用机构。在此值得指出的是，在</w:t>
      </w:r>
      <w:r>
        <w:rPr>
          <w:rFonts w:hint="eastAsia"/>
        </w:rPr>
        <w:t>1996</w:t>
      </w:r>
      <w:r>
        <w:rPr>
          <w:rFonts w:hint="eastAsia"/>
        </w:rPr>
        <w:t>年法律生效之前开业经营的</w:t>
      </w:r>
      <w:r>
        <w:rPr>
          <w:rFonts w:hint="eastAsia"/>
        </w:rPr>
        <w:t>100</w:t>
      </w:r>
      <w:r>
        <w:rPr>
          <w:rFonts w:hint="eastAsia"/>
        </w:rPr>
        <w:t>多个劳务机构在该法律实施之后，已经停业。</w:t>
      </w:r>
    </w:p>
    <w:p w:rsidR="00000000" w:rsidRDefault="00000000">
      <w:pPr>
        <w:pStyle w:val="Heading3"/>
        <w:rPr>
          <w:rFonts w:hint="eastAsia"/>
        </w:rPr>
      </w:pPr>
      <w:r>
        <w:rPr>
          <w:rFonts w:hint="eastAsia"/>
          <w:u w:val="none"/>
        </w:rPr>
        <w:t xml:space="preserve">K.  </w:t>
      </w:r>
      <w:r>
        <w:rPr>
          <w:rFonts w:hint="eastAsia"/>
        </w:rPr>
        <w:t>关闭边界（结论性意见第</w:t>
      </w:r>
      <w:r>
        <w:rPr>
          <w:rFonts w:hint="eastAsia"/>
        </w:rPr>
        <w:t>17</w:t>
      </w:r>
      <w:r>
        <w:rPr>
          <w:rFonts w:hint="eastAsia"/>
        </w:rPr>
        <w:t>至</w:t>
      </w:r>
      <w:r>
        <w:rPr>
          <w:rFonts w:hint="eastAsia"/>
        </w:rPr>
        <w:t>19</w:t>
      </w:r>
      <w:r>
        <w:rPr>
          <w:rFonts w:hint="eastAsia"/>
        </w:rPr>
        <w:t>段</w:t>
      </w:r>
      <w:r>
        <w:rPr>
          <w:rFonts w:hint="eastAsia"/>
          <w:u w:val="none"/>
        </w:rPr>
        <w:t>）</w:t>
      </w:r>
    </w:p>
    <w:p w:rsidR="00000000" w:rsidRDefault="00000000">
      <w:pPr>
        <w:rPr>
          <w:rFonts w:hint="eastAsia"/>
        </w:rPr>
      </w:pPr>
      <w:r>
        <w:rPr>
          <w:rFonts w:hint="eastAsia"/>
        </w:rPr>
        <w:tab/>
        <w:t xml:space="preserve">81.  </w:t>
      </w:r>
      <w:r>
        <w:rPr>
          <w:rFonts w:hint="eastAsia"/>
        </w:rPr>
        <w:t>从</w:t>
      </w:r>
      <w:r>
        <w:rPr>
          <w:rFonts w:hint="eastAsia"/>
        </w:rPr>
        <w:t>1998</w:t>
      </w:r>
      <w:r>
        <w:rPr>
          <w:rFonts w:hint="eastAsia"/>
        </w:rPr>
        <w:t>年至</w:t>
      </w:r>
      <w:r>
        <w:rPr>
          <w:rFonts w:hint="eastAsia"/>
        </w:rPr>
        <w:t>2001</w:t>
      </w:r>
      <w:r>
        <w:rPr>
          <w:rFonts w:hint="eastAsia"/>
        </w:rPr>
        <w:t>年</w:t>
      </w:r>
      <w:r>
        <w:rPr>
          <w:rFonts w:hint="eastAsia"/>
        </w:rPr>
        <w:t>9</w:t>
      </w:r>
      <w:r>
        <w:rPr>
          <w:rFonts w:hint="eastAsia"/>
        </w:rPr>
        <w:t>月（要求提供增补资料的最后有关日期），每年只实施了五次关闭边界的行动。其中大部分关闭是在以色列的非工作日执行的。截至</w:t>
      </w:r>
      <w:r>
        <w:rPr>
          <w:rFonts w:hint="eastAsia"/>
        </w:rPr>
        <w:t>2000</w:t>
      </w:r>
      <w:r>
        <w:rPr>
          <w:rFonts w:hint="eastAsia"/>
        </w:rPr>
        <w:t>年</w:t>
      </w:r>
      <w:r>
        <w:rPr>
          <w:rFonts w:hint="eastAsia"/>
        </w:rPr>
        <w:t>9</w:t>
      </w:r>
      <w:r>
        <w:rPr>
          <w:rFonts w:hint="eastAsia"/>
        </w:rPr>
        <w:t>月，只关闭了两天。这些关闭都是与巴勒斯坦当局协调的。在</w:t>
      </w:r>
      <w:r>
        <w:rPr>
          <w:rFonts w:hint="eastAsia"/>
        </w:rPr>
        <w:t>2000</w:t>
      </w:r>
      <w:r>
        <w:rPr>
          <w:rFonts w:hint="eastAsia"/>
        </w:rPr>
        <w:t>年</w:t>
      </w:r>
      <w:r>
        <w:rPr>
          <w:rFonts w:hint="eastAsia"/>
        </w:rPr>
        <w:t>9</w:t>
      </w:r>
      <w:r>
        <w:rPr>
          <w:rFonts w:hint="eastAsia"/>
        </w:rPr>
        <w:t>月之前，也就是西岸和加沙地带目前的暴力发生之前，关闭并未对巴勒斯坦人口的日常生活产生影响。</w:t>
      </w:r>
    </w:p>
    <w:p w:rsidR="00000000" w:rsidRDefault="00000000">
      <w:pPr>
        <w:spacing w:after="320"/>
        <w:rPr>
          <w:rFonts w:hint="eastAsia"/>
        </w:rPr>
      </w:pPr>
      <w:r>
        <w:rPr>
          <w:rFonts w:hint="eastAsia"/>
        </w:rPr>
        <w:tab/>
        <w:t xml:space="preserve">82.  </w:t>
      </w:r>
      <w:r>
        <w:rPr>
          <w:rFonts w:hint="eastAsia"/>
        </w:rPr>
        <w:t>在</w:t>
      </w:r>
      <w:r>
        <w:rPr>
          <w:rFonts w:hint="eastAsia"/>
        </w:rPr>
        <w:t>2000</w:t>
      </w:r>
      <w:r>
        <w:rPr>
          <w:rFonts w:hint="eastAsia"/>
        </w:rPr>
        <w:t>年</w:t>
      </w:r>
      <w:r>
        <w:rPr>
          <w:rFonts w:hint="eastAsia"/>
        </w:rPr>
        <w:t>9</w:t>
      </w:r>
      <w:r>
        <w:rPr>
          <w:rFonts w:hint="eastAsia"/>
        </w:rPr>
        <w:t>月之前，只要符合标准有工作的人都可以得到进入以色列工作的许可证。其中包括</w:t>
      </w:r>
      <w:r>
        <w:rPr>
          <w:rFonts w:hint="eastAsia"/>
        </w:rPr>
        <w:t>21</w:t>
      </w:r>
      <w:r>
        <w:rPr>
          <w:rFonts w:hint="eastAsia"/>
        </w:rPr>
        <w:t>岁以上、已婚、有子女而且原先未参与过犯罪活动。</w:t>
      </w:r>
    </w:p>
    <w:p w:rsidR="00000000" w:rsidRDefault="00000000">
      <w:pPr>
        <w:pStyle w:val="Heading3"/>
        <w:rPr>
          <w:rFonts w:hint="eastAsia"/>
          <w:u w:val="none"/>
        </w:rPr>
      </w:pPr>
      <w:r>
        <w:rPr>
          <w:rFonts w:hint="eastAsia"/>
          <w:u w:val="none"/>
        </w:rPr>
        <w:t xml:space="preserve">L.  </w:t>
      </w:r>
      <w:r>
        <w:rPr>
          <w:rFonts w:hint="eastAsia"/>
        </w:rPr>
        <w:t>长期居住权（结论性意见第</w:t>
      </w:r>
      <w:r>
        <w:rPr>
          <w:rFonts w:hint="eastAsia"/>
        </w:rPr>
        <w:t>20</w:t>
      </w:r>
      <w:r>
        <w:rPr>
          <w:rFonts w:hint="eastAsia"/>
        </w:rPr>
        <w:t>段</w:t>
      </w:r>
      <w:r>
        <w:rPr>
          <w:rFonts w:hint="eastAsia"/>
          <w:u w:val="none"/>
        </w:rPr>
        <w:t>）</w:t>
      </w:r>
    </w:p>
    <w:p w:rsidR="00000000" w:rsidRDefault="00000000">
      <w:pPr>
        <w:rPr>
          <w:rFonts w:hint="eastAsia"/>
        </w:rPr>
      </w:pPr>
      <w:r>
        <w:rPr>
          <w:rFonts w:hint="eastAsia"/>
        </w:rPr>
        <w:tab/>
        <w:t xml:space="preserve">83.  </w:t>
      </w:r>
      <w:r>
        <w:rPr>
          <w:rFonts w:hint="eastAsia"/>
        </w:rPr>
        <w:t>自委员会作出评论以来，在这个问题上已经产生了重大的变化。从</w:t>
      </w:r>
      <w:r>
        <w:rPr>
          <w:rFonts w:hint="eastAsia"/>
        </w:rPr>
        <w:t>1993</w:t>
      </w:r>
      <w:r>
        <w:rPr>
          <w:rFonts w:hint="eastAsia"/>
        </w:rPr>
        <w:t>年</w:t>
      </w:r>
      <w:r>
        <w:rPr>
          <w:rFonts w:hint="eastAsia"/>
        </w:rPr>
        <w:t>10</w:t>
      </w:r>
      <w:r>
        <w:rPr>
          <w:rFonts w:hint="eastAsia"/>
        </w:rPr>
        <w:t>月</w:t>
      </w:r>
      <w:r>
        <w:rPr>
          <w:rFonts w:hint="eastAsia"/>
        </w:rPr>
        <w:t>31</w:t>
      </w:r>
      <w:r>
        <w:rPr>
          <w:rFonts w:hint="eastAsia"/>
        </w:rPr>
        <w:t>日由“保护个人中心诉内务部”（</w:t>
      </w:r>
      <w:r>
        <w:rPr>
          <w:rFonts w:hint="eastAsia"/>
        </w:rPr>
        <w:t>HCJ 2227/98</w:t>
      </w:r>
      <w:r>
        <w:rPr>
          <w:rFonts w:hint="eastAsia"/>
        </w:rPr>
        <w:t>）案向以色列最高法院提出申诉以来，丧失居住权的有关标准已有了改变。上述案件仍有待法院作出裁决，原有的标准规定，任何居民凡将生活中心迁移至以色列境外达七年或超过七年者，将丧失其居住权。根据新的政策，这项规则不适用于在以上所述期间，同以色列保持“适当联系”的人。此外，凡自</w:t>
      </w:r>
      <w:r>
        <w:rPr>
          <w:rFonts w:hint="eastAsia"/>
        </w:rPr>
        <w:t>1995</w:t>
      </w:r>
      <w:r>
        <w:rPr>
          <w:rFonts w:hint="eastAsia"/>
        </w:rPr>
        <w:t>年丧失其长期居住地位的人目前可以重新获得居住权：凡在离开以色列国之后回访以色列并且在境内生活了两年的人，自他们抵达即日起，即被视为获得了新长期居住许可。此外，对于内务部未通知其丧失长期居住权地位的人，也可视为拥有长期居住许可证，只要在其出境卡仍然有效期间回访以色列即可。这些新的标准更为宽容。这些标准的颁布是为了减少这项法令的回溯问题，并增加这一进程的透明度（委员会曾对上述两个问题均感到关注）。</w:t>
      </w:r>
    </w:p>
    <w:p w:rsidR="00000000" w:rsidRDefault="00000000">
      <w:pPr>
        <w:rPr>
          <w:rFonts w:hint="eastAsia"/>
        </w:rPr>
      </w:pPr>
      <w:r>
        <w:rPr>
          <w:rFonts w:hint="eastAsia"/>
        </w:rPr>
        <w:tab/>
        <w:t xml:space="preserve">84.  </w:t>
      </w:r>
      <w:r>
        <w:rPr>
          <w:rFonts w:hint="eastAsia"/>
        </w:rPr>
        <w:t>委员会还对外籍人配偶家庭团圆的手续表示了关注。这是一个缓慢的程序，从申请提出之日起大约要经过五年时间。在这段等待期间，配偶可以获得探亲签证和临时的居住许可证，从而在以色列境内工作和生活。</w:t>
      </w:r>
    </w:p>
    <w:p w:rsidR="00000000" w:rsidRDefault="00000000">
      <w:pPr>
        <w:rPr>
          <w:rFonts w:hint="eastAsia"/>
        </w:rPr>
      </w:pPr>
      <w:r>
        <w:rPr>
          <w:rFonts w:hint="eastAsia"/>
        </w:rPr>
        <w:tab/>
        <w:t xml:space="preserve">85.  </w:t>
      </w:r>
      <w:r>
        <w:rPr>
          <w:rFonts w:hint="eastAsia"/>
        </w:rPr>
        <w:t>这段试行居住期内有三项检验标准：</w:t>
      </w:r>
      <w:r>
        <w:t>(a)</w:t>
      </w:r>
      <w:r>
        <w:rPr>
          <w:rFonts w:hint="eastAsia"/>
        </w:rPr>
        <w:t xml:space="preserve"> </w:t>
      </w:r>
      <w:r>
        <w:rPr>
          <w:rFonts w:hint="eastAsia"/>
        </w:rPr>
        <w:t>配偶是否是真正的夫妻关系；</w:t>
      </w:r>
      <w:r>
        <w:t>(b)</w:t>
      </w:r>
      <w:r>
        <w:rPr>
          <w:rFonts w:hint="eastAsia"/>
        </w:rPr>
        <w:t xml:space="preserve"> </w:t>
      </w:r>
      <w:r>
        <w:rPr>
          <w:rFonts w:hint="eastAsia"/>
        </w:rPr>
        <w:t>配偶是否不致危害以色列的安全或公共治安；和</w:t>
      </w:r>
      <w:r>
        <w:t>(c)</w:t>
      </w:r>
      <w:r>
        <w:rPr>
          <w:rFonts w:hint="eastAsia"/>
        </w:rPr>
        <w:t xml:space="preserve"> </w:t>
      </w:r>
      <w:r>
        <w:rPr>
          <w:rFonts w:hint="eastAsia"/>
        </w:rPr>
        <w:t>配偶的生活中心是否真正在以色列境内。当这一检验期结束时，配偶即可获得长期居住证。</w:t>
      </w:r>
    </w:p>
    <w:p w:rsidR="00000000" w:rsidRDefault="00000000">
      <w:pPr>
        <w:rPr>
          <w:rFonts w:hint="eastAsia"/>
        </w:rPr>
      </w:pPr>
      <w:r>
        <w:rPr>
          <w:rFonts w:hint="eastAsia"/>
        </w:rPr>
        <w:tab/>
        <w:t xml:space="preserve">86.  </w:t>
      </w:r>
      <w:r>
        <w:rPr>
          <w:rFonts w:hint="eastAsia"/>
        </w:rPr>
        <w:t>自</w:t>
      </w:r>
      <w:r>
        <w:rPr>
          <w:rFonts w:hint="eastAsia"/>
        </w:rPr>
        <w:t>1990</w:t>
      </w:r>
      <w:r>
        <w:rPr>
          <w:rFonts w:hint="eastAsia"/>
        </w:rPr>
        <w:t>年以来，耶路撒冷东居住区收到了约</w:t>
      </w:r>
      <w:r>
        <w:rPr>
          <w:rFonts w:hint="eastAsia"/>
        </w:rPr>
        <w:t>10,000</w:t>
      </w:r>
      <w:r>
        <w:rPr>
          <w:rFonts w:hint="eastAsia"/>
        </w:rPr>
        <w:t>份家庭团圆的申请，其中大部分是在</w:t>
      </w:r>
      <w:r>
        <w:rPr>
          <w:rFonts w:hint="eastAsia"/>
        </w:rPr>
        <w:t>1994</w:t>
      </w:r>
      <w:r>
        <w:rPr>
          <w:rFonts w:hint="eastAsia"/>
        </w:rPr>
        <w:t>年和</w:t>
      </w:r>
      <w:r>
        <w:rPr>
          <w:rFonts w:hint="eastAsia"/>
        </w:rPr>
        <w:t>1995</w:t>
      </w:r>
      <w:r>
        <w:rPr>
          <w:rFonts w:hint="eastAsia"/>
        </w:rPr>
        <w:t>年期间收到的。由于缺乏人手，再加上申请人数多，完成这项程序所需的时间也延长了。</w:t>
      </w:r>
      <w:r>
        <w:rPr>
          <w:rFonts w:hint="eastAsia"/>
        </w:rPr>
        <w:t>1999</w:t>
      </w:r>
      <w:r>
        <w:rPr>
          <w:rFonts w:hint="eastAsia"/>
        </w:rPr>
        <w:t>年，内务部增加了办理这些申请的工作人员，为此目的设立了一个特别工作队。从那时起，需要完成这一程序的时间缩短了，而且整个程序更为有效。时至今日，截至</w:t>
      </w:r>
      <w:r>
        <w:rPr>
          <w:rFonts w:hint="eastAsia"/>
        </w:rPr>
        <w:t>2000</w:t>
      </w:r>
      <w:r>
        <w:rPr>
          <w:rFonts w:hint="eastAsia"/>
        </w:rPr>
        <w:t>年的申请都已处置完毕。</w:t>
      </w:r>
      <w:r>
        <w:rPr>
          <w:rFonts w:hint="eastAsia"/>
        </w:rPr>
        <w:t>2001</w:t>
      </w:r>
      <w:r>
        <w:rPr>
          <w:rFonts w:hint="eastAsia"/>
        </w:rPr>
        <w:t>年期间，将有可能对每一份申请立即作出回复。然而，最后的答复可能仍需要几个月时间，因为这是一个复杂的程序。</w:t>
      </w:r>
    </w:p>
    <w:p w:rsidR="00000000" w:rsidRDefault="00000000">
      <w:pPr>
        <w:rPr>
          <w:rFonts w:hint="eastAsia"/>
        </w:rPr>
      </w:pPr>
      <w:r>
        <w:rPr>
          <w:rFonts w:hint="eastAsia"/>
        </w:rPr>
        <w:tab/>
        <w:t xml:space="preserve">87.  </w:t>
      </w:r>
      <w:r>
        <w:rPr>
          <w:rFonts w:hint="eastAsia"/>
        </w:rPr>
        <w:t>在</w:t>
      </w:r>
      <w:r>
        <w:rPr>
          <w:rFonts w:hint="eastAsia"/>
        </w:rPr>
        <w:t>10,000</w:t>
      </w:r>
      <w:r>
        <w:rPr>
          <w:rFonts w:hint="eastAsia"/>
        </w:rPr>
        <w:t>份申请中，有</w:t>
      </w:r>
      <w:r>
        <w:rPr>
          <w:rFonts w:hint="eastAsia"/>
        </w:rPr>
        <w:t>6,000</w:t>
      </w:r>
      <w:r>
        <w:rPr>
          <w:rFonts w:hint="eastAsia"/>
        </w:rPr>
        <w:t>份正处于不同的处理阶段。大部分申请人得到了探亲和居住许可，并在以色列境内与他们的配偶共同生活。</w:t>
      </w:r>
      <w:r>
        <w:rPr>
          <w:rFonts w:hint="eastAsia"/>
        </w:rPr>
        <w:t>700</w:t>
      </w:r>
      <w:r>
        <w:rPr>
          <w:rFonts w:hint="eastAsia"/>
        </w:rPr>
        <w:t>名申请人已经办完了手续，得到了长期居住权的许可，目前已是长期居民。其他申请人收到了驳回的答复。驳回申请是因不符合各类标准：婚姻的真实性、配偶的生活中心应在以色列境内，或存在着刑事或安全问题。</w:t>
      </w:r>
    </w:p>
    <w:p w:rsidR="00000000" w:rsidRDefault="00000000">
      <w:pPr>
        <w:spacing w:after="240"/>
        <w:rPr>
          <w:rFonts w:hint="eastAsia"/>
        </w:rPr>
      </w:pPr>
      <w:r>
        <w:rPr>
          <w:rFonts w:hint="eastAsia"/>
        </w:rPr>
        <w:tab/>
        <w:t xml:space="preserve">88.  </w:t>
      </w:r>
      <w:r>
        <w:rPr>
          <w:rFonts w:hint="eastAsia"/>
        </w:rPr>
        <w:t>以色列最高法院在对</w:t>
      </w:r>
      <w:r>
        <w:rPr>
          <w:rFonts w:hint="eastAsia"/>
        </w:rPr>
        <w:t>HCJ 3648/97</w:t>
      </w:r>
      <w:r>
        <w:rPr>
          <w:rFonts w:hint="eastAsia"/>
        </w:rPr>
        <w:t>号，“</w:t>
      </w:r>
      <w:r>
        <w:t>Stamka</w:t>
      </w:r>
      <w:r>
        <w:rPr>
          <w:rFonts w:hint="eastAsia"/>
        </w:rPr>
        <w:t>诉内务部案”的裁决书中阐明，在通过婚姻获得以色列国籍的问题上，犹太人和非犹太人以色列公民的配偶必须享有同等的地位。由于内务部支持一项变革政策，推行了平等待遇，致使犹太人公民不再享有自动批准其外国籍配偶以色列国籍的优待。最高法院认定，《回归法》第</w:t>
      </w:r>
      <w:r>
        <w:rPr>
          <w:rFonts w:hint="eastAsia"/>
        </w:rPr>
        <w:t>4</w:t>
      </w:r>
      <w:r>
        <w:t xml:space="preserve">(a) </w:t>
      </w:r>
      <w:r>
        <w:rPr>
          <w:rFonts w:hint="eastAsia"/>
        </w:rPr>
        <w:t>节仅适用于犹太人新移民的配偶，但不适用于那些以色列犹太人公民，不管其属何种族血统。</w:t>
      </w:r>
    </w:p>
    <w:p w:rsidR="00000000" w:rsidRDefault="00000000">
      <w:pPr>
        <w:pStyle w:val="Heading3"/>
        <w:rPr>
          <w:rFonts w:hint="eastAsia"/>
        </w:rPr>
      </w:pPr>
      <w:r>
        <w:rPr>
          <w:rFonts w:hint="eastAsia"/>
          <w:u w:val="none"/>
        </w:rPr>
        <w:t>M.</w:t>
      </w:r>
      <w:r>
        <w:rPr>
          <w:rFonts w:hint="eastAsia"/>
          <w:u w:val="none"/>
        </w:rPr>
        <w:tab/>
      </w:r>
      <w:r>
        <w:rPr>
          <w:rFonts w:hint="eastAsia"/>
        </w:rPr>
        <w:t>土地利用和住房</w:t>
      </w:r>
    </w:p>
    <w:p w:rsidR="00000000" w:rsidRDefault="00000000">
      <w:pPr>
        <w:pStyle w:val="Heading3"/>
        <w:rPr>
          <w:rFonts w:hint="eastAsia"/>
          <w:u w:val="none"/>
        </w:rPr>
      </w:pPr>
      <w:r>
        <w:rPr>
          <w:rFonts w:hint="eastAsia"/>
          <w:u w:val="none"/>
        </w:rPr>
        <w:t>1.</w:t>
      </w:r>
      <w:r>
        <w:rPr>
          <w:rFonts w:hint="eastAsia"/>
          <w:u w:val="none"/>
        </w:rPr>
        <w:tab/>
      </w:r>
      <w:r>
        <w:rPr>
          <w:rFonts w:hint="eastAsia"/>
        </w:rPr>
        <w:t>耶路撒冷东区（结论性意见第</w:t>
      </w:r>
      <w:r>
        <w:rPr>
          <w:rFonts w:hint="eastAsia"/>
        </w:rPr>
        <w:t>21-22</w:t>
      </w:r>
      <w:r>
        <w:rPr>
          <w:rFonts w:hint="eastAsia"/>
        </w:rPr>
        <w:t>段</w:t>
      </w:r>
      <w:r>
        <w:rPr>
          <w:rFonts w:hint="eastAsia"/>
          <w:u w:val="none"/>
        </w:rPr>
        <w:t>）</w:t>
      </w:r>
    </w:p>
    <w:p w:rsidR="00000000" w:rsidRDefault="00000000">
      <w:pPr>
        <w:spacing w:after="240"/>
        <w:rPr>
          <w:rFonts w:hint="eastAsia"/>
        </w:rPr>
      </w:pPr>
      <w:r>
        <w:rPr>
          <w:rFonts w:hint="eastAsia"/>
        </w:rPr>
        <w:tab/>
        <w:t xml:space="preserve">89.  </w:t>
      </w:r>
      <w:r>
        <w:rPr>
          <w:rFonts w:hint="eastAsia"/>
        </w:rPr>
        <w:t>参见上述增补资料一部分</w:t>
      </w:r>
      <w:r>
        <w:rPr>
          <w:rFonts w:hint="eastAsia"/>
        </w:rPr>
        <w:t>B</w:t>
      </w:r>
      <w:r>
        <w:rPr>
          <w:rFonts w:hint="eastAsia"/>
        </w:rPr>
        <w:t>节。</w:t>
      </w:r>
    </w:p>
    <w:p w:rsidR="00000000" w:rsidRDefault="00000000">
      <w:pPr>
        <w:pStyle w:val="Heading3"/>
        <w:rPr>
          <w:rFonts w:hint="eastAsia"/>
          <w:u w:val="none"/>
        </w:rPr>
      </w:pPr>
      <w:r>
        <w:rPr>
          <w:rFonts w:hint="eastAsia"/>
          <w:u w:val="none"/>
        </w:rPr>
        <w:t>2.</w:t>
      </w:r>
      <w:r>
        <w:rPr>
          <w:rFonts w:hint="eastAsia"/>
          <w:u w:val="none"/>
        </w:rPr>
        <w:tab/>
      </w:r>
      <w:r>
        <w:rPr>
          <w:rFonts w:hint="eastAsia"/>
        </w:rPr>
        <w:t>犹太人和阿拉伯人居民混合的城市中的阿拉伯人</w:t>
      </w:r>
      <w:r>
        <w:br/>
      </w:r>
      <w:r>
        <w:rPr>
          <w:rFonts w:hint="eastAsia"/>
        </w:rPr>
        <w:t>住宅区（结论性意见第</w:t>
      </w:r>
      <w:r>
        <w:rPr>
          <w:rFonts w:hint="eastAsia"/>
        </w:rPr>
        <w:t>23</w:t>
      </w:r>
      <w:r>
        <w:rPr>
          <w:rFonts w:hint="eastAsia"/>
        </w:rPr>
        <w:t>段</w:t>
      </w:r>
      <w:r>
        <w:rPr>
          <w:rFonts w:hint="eastAsia"/>
          <w:u w:val="none"/>
        </w:rPr>
        <w:t>）</w:t>
      </w:r>
    </w:p>
    <w:p w:rsidR="00000000" w:rsidRDefault="00000000">
      <w:pPr>
        <w:spacing w:after="240"/>
        <w:rPr>
          <w:rFonts w:hint="eastAsia"/>
        </w:rPr>
      </w:pPr>
      <w:r>
        <w:rPr>
          <w:rFonts w:hint="eastAsia"/>
        </w:rPr>
        <w:tab/>
        <w:t xml:space="preserve">90.  </w:t>
      </w:r>
      <w:r>
        <w:rPr>
          <w:rFonts w:hint="eastAsia"/>
        </w:rPr>
        <w:t>犹太人和阿拉伯人居民混合的城市内情况，诸如</w:t>
      </w:r>
      <w:r>
        <w:t>Jaffa</w:t>
      </w:r>
      <w:r>
        <w:rPr>
          <w:rFonts w:hint="eastAsia"/>
        </w:rPr>
        <w:t>和</w:t>
      </w:r>
      <w:r>
        <w:t>Lod</w:t>
      </w:r>
      <w:r>
        <w:rPr>
          <w:rFonts w:hint="eastAsia"/>
        </w:rPr>
        <w:t>城内的情况令委员会感到关注。如上所述，政府已为解决这种情况作出了两项决定。在</w:t>
      </w:r>
      <w:r>
        <w:rPr>
          <w:rFonts w:hint="eastAsia"/>
        </w:rPr>
        <w:t>2000</w:t>
      </w:r>
      <w:r>
        <w:rPr>
          <w:rFonts w:hint="eastAsia"/>
        </w:rPr>
        <w:t>年</w:t>
      </w:r>
      <w:r>
        <w:rPr>
          <w:rFonts w:hint="eastAsia"/>
        </w:rPr>
        <w:t>1</w:t>
      </w:r>
      <w:r>
        <w:rPr>
          <w:rFonts w:hint="eastAsia"/>
        </w:rPr>
        <w:t>月</w:t>
      </w:r>
      <w:r>
        <w:rPr>
          <w:rFonts w:hint="eastAsia"/>
        </w:rPr>
        <w:t>30</w:t>
      </w:r>
      <w:r>
        <w:rPr>
          <w:rFonts w:hint="eastAsia"/>
        </w:rPr>
        <w:t>日的一项决定中，政府决定推行一项</w:t>
      </w:r>
      <w:r>
        <w:rPr>
          <w:rFonts w:hint="eastAsia"/>
        </w:rPr>
        <w:t>2000</w:t>
      </w:r>
      <w:r>
        <w:rPr>
          <w:rFonts w:hint="eastAsia"/>
        </w:rPr>
        <w:t>年的方案。这项方案将为</w:t>
      </w:r>
      <w:r>
        <w:rPr>
          <w:rFonts w:hint="eastAsia"/>
        </w:rPr>
        <w:t>11</w:t>
      </w:r>
      <w:r>
        <w:rPr>
          <w:rFonts w:hint="eastAsia"/>
        </w:rPr>
        <w:t>个失业率高和长期面临社会经济困难状况的地方当局提供援助。方案的重点是公用设施、公共体制和基础设施。在上述这些受惠地方当局中，有三个是犹太人和阿拉伯人口混合的市政当局：</w:t>
      </w:r>
      <w:r>
        <w:t>Lod</w:t>
      </w:r>
      <w:r>
        <w:rPr>
          <w:rFonts w:hint="eastAsia"/>
        </w:rPr>
        <w:t>、</w:t>
      </w:r>
      <w:r>
        <w:t>Ramla</w:t>
      </w:r>
      <w:r>
        <w:rPr>
          <w:rFonts w:hint="eastAsia"/>
        </w:rPr>
        <w:t>和</w:t>
      </w:r>
      <w:r>
        <w:t>Acre</w:t>
      </w:r>
      <w:r>
        <w:rPr>
          <w:rFonts w:hint="eastAsia"/>
        </w:rPr>
        <w:t>。以色列的第二次定期报告将进一步地详细阐述此问题。</w:t>
      </w:r>
    </w:p>
    <w:p w:rsidR="00000000" w:rsidRDefault="00000000">
      <w:pPr>
        <w:pStyle w:val="Heading3"/>
        <w:rPr>
          <w:rFonts w:hint="eastAsia"/>
        </w:rPr>
      </w:pPr>
      <w:r>
        <w:rPr>
          <w:rFonts w:hint="eastAsia"/>
          <w:u w:val="none"/>
        </w:rPr>
        <w:t>3.</w:t>
      </w:r>
      <w:r>
        <w:rPr>
          <w:rFonts w:hint="eastAsia"/>
          <w:u w:val="none"/>
        </w:rPr>
        <w:tab/>
      </w:r>
      <w:r>
        <w:rPr>
          <w:rFonts w:hint="eastAsia"/>
        </w:rPr>
        <w:t>西岸和加沙地带的以色列定居点（结论性意见第</w:t>
      </w:r>
      <w:r>
        <w:rPr>
          <w:rFonts w:hint="eastAsia"/>
        </w:rPr>
        <w:t>24</w:t>
      </w:r>
      <w:r>
        <w:rPr>
          <w:rFonts w:hint="eastAsia"/>
        </w:rPr>
        <w:t>段</w:t>
      </w:r>
      <w:r>
        <w:rPr>
          <w:rFonts w:hint="eastAsia"/>
          <w:u w:val="none"/>
        </w:rPr>
        <w:t>）</w:t>
      </w:r>
    </w:p>
    <w:p w:rsidR="00000000" w:rsidRDefault="00000000">
      <w:pPr>
        <w:spacing w:after="240"/>
      </w:pPr>
      <w:r>
        <w:rPr>
          <w:rFonts w:hint="eastAsia"/>
        </w:rPr>
        <w:tab/>
        <w:t xml:space="preserve">91.  </w:t>
      </w:r>
      <w:r>
        <w:rPr>
          <w:rFonts w:hint="eastAsia"/>
        </w:rPr>
        <w:t>请参照增补资料第一部分</w:t>
      </w:r>
      <w:r>
        <w:rPr>
          <w:rFonts w:hint="eastAsia"/>
        </w:rPr>
        <w:t>A</w:t>
      </w:r>
      <w:r>
        <w:rPr>
          <w:rFonts w:hint="eastAsia"/>
        </w:rPr>
        <w:t>节阐明的以色列对《公约》适用问题的立场。</w:t>
      </w:r>
    </w:p>
    <w:p w:rsidR="00000000" w:rsidRDefault="00000000">
      <w:pPr>
        <w:pStyle w:val="Heading3"/>
        <w:rPr>
          <w:rFonts w:hint="eastAsia"/>
        </w:rPr>
      </w:pPr>
      <w:r>
        <w:rPr>
          <w:rFonts w:hint="eastAsia"/>
          <w:u w:val="none"/>
        </w:rPr>
        <w:t>4.</w:t>
      </w:r>
      <w:r>
        <w:rPr>
          <w:rFonts w:hint="eastAsia"/>
          <w:u w:val="none"/>
        </w:rPr>
        <w:tab/>
      </w:r>
      <w:r>
        <w:rPr>
          <w:rFonts w:hint="eastAsia"/>
        </w:rPr>
        <w:t>未经承认的贝多因人村庄</w:t>
      </w:r>
      <w:r>
        <w:rPr>
          <w:rFonts w:hint="eastAsia"/>
          <w:spacing w:val="-40"/>
          <w:sz w:val="22"/>
        </w:rPr>
        <w:t>——</w:t>
      </w:r>
      <w:r>
        <w:rPr>
          <w:spacing w:val="-40"/>
          <w:sz w:val="22"/>
        </w:rPr>
        <w:t xml:space="preserve"> </w:t>
      </w:r>
      <w:r>
        <w:rPr>
          <w:sz w:val="22"/>
        </w:rPr>
        <w:t xml:space="preserve"> </w:t>
      </w:r>
      <w:r>
        <w:rPr>
          <w:rFonts w:hint="eastAsia"/>
        </w:rPr>
        <w:t>基本公用设施的提供</w:t>
      </w:r>
      <w:r>
        <w:br/>
      </w:r>
      <w:r>
        <w:rPr>
          <w:rFonts w:hint="eastAsia"/>
        </w:rPr>
        <w:t>和地位问题（结论性意见第</w:t>
      </w:r>
      <w:r>
        <w:rPr>
          <w:rFonts w:hint="eastAsia"/>
        </w:rPr>
        <w:t>26</w:t>
      </w:r>
      <w:r>
        <w:rPr>
          <w:rFonts w:hint="eastAsia"/>
        </w:rPr>
        <w:t>和</w:t>
      </w:r>
      <w:r>
        <w:rPr>
          <w:rFonts w:hint="eastAsia"/>
        </w:rPr>
        <w:t>28</w:t>
      </w:r>
      <w:r>
        <w:rPr>
          <w:rFonts w:hint="eastAsia"/>
        </w:rPr>
        <w:t>段）</w:t>
      </w:r>
    </w:p>
    <w:p w:rsidR="00000000" w:rsidRDefault="00000000">
      <w:pPr>
        <w:pStyle w:val="Heading4"/>
        <w:rPr>
          <w:rFonts w:hint="eastAsia"/>
        </w:rPr>
      </w:pPr>
      <w:r>
        <w:rPr>
          <w:rFonts w:hint="eastAsia"/>
        </w:rPr>
        <w:t>基本公用设施的提供</w:t>
      </w:r>
    </w:p>
    <w:p w:rsidR="00000000" w:rsidRDefault="00000000">
      <w:pPr>
        <w:rPr>
          <w:rFonts w:hint="eastAsia"/>
        </w:rPr>
      </w:pPr>
      <w:r>
        <w:rPr>
          <w:rFonts w:hint="eastAsia"/>
        </w:rPr>
        <w:tab/>
        <w:t xml:space="preserve">92.  </w:t>
      </w:r>
      <w:r>
        <w:rPr>
          <w:rFonts w:hint="eastAsia"/>
        </w:rPr>
        <w:t>最近提出的</w:t>
      </w:r>
      <w:r>
        <w:rPr>
          <w:rFonts w:hint="eastAsia"/>
        </w:rPr>
        <w:t>2001-2004</w:t>
      </w:r>
      <w:r>
        <w:rPr>
          <w:rFonts w:hint="eastAsia"/>
        </w:rPr>
        <w:t>年概算要求按照四年计划拨出</w:t>
      </w:r>
      <w:r>
        <w:rPr>
          <w:rFonts w:hint="eastAsia"/>
        </w:rPr>
        <w:t>1,195,050,000</w:t>
      </w:r>
      <w:r>
        <w:rPr>
          <w:rFonts w:hint="eastAsia"/>
        </w:rPr>
        <w:t>新锡克尔，用于完成现有贝多因人城镇的发展和基础设施。这是一笔巨额款项，拟用于完成现有贝多因人定居点内的基础设施，用于铺设尚未完工的供水和排污基础设施，并建造诸如学校、诊所等之类的公用设施。</w:t>
      </w:r>
    </w:p>
    <w:p w:rsidR="00000000" w:rsidRDefault="00000000">
      <w:pPr>
        <w:rPr>
          <w:rFonts w:hint="eastAsia"/>
        </w:rPr>
      </w:pPr>
      <w:r>
        <w:rPr>
          <w:rFonts w:hint="eastAsia"/>
        </w:rPr>
        <w:tab/>
        <w:t xml:space="preserve">93.  </w:t>
      </w:r>
      <w:r>
        <w:rPr>
          <w:rFonts w:hint="eastAsia"/>
        </w:rPr>
        <w:t>与以色列初次报告期间相比，以色列</w:t>
      </w:r>
      <w:r>
        <w:rPr>
          <w:rFonts w:hint="eastAsia"/>
        </w:rPr>
        <w:t>2000</w:t>
      </w:r>
      <w:r>
        <w:rPr>
          <w:rFonts w:hint="eastAsia"/>
        </w:rPr>
        <w:t>年预算中为贝多因人口部分拨出的总款额增加了三倍。</w:t>
      </w:r>
    </w:p>
    <w:p w:rsidR="00000000" w:rsidRDefault="00000000">
      <w:pPr>
        <w:rPr>
          <w:rFonts w:hint="eastAsia"/>
        </w:rPr>
      </w:pPr>
      <w:r>
        <w:rPr>
          <w:rFonts w:hint="eastAsia"/>
        </w:rPr>
        <w:tab/>
        <w:t xml:space="preserve">94.  </w:t>
      </w:r>
      <w:r>
        <w:rPr>
          <w:rFonts w:hint="eastAsia"/>
        </w:rPr>
        <w:t>通过“供水连网调拨委员会”为居住在非法建造村庄内的贝多因人社区调拨了水源。在过去三年期间，与总水管连接的总数从</w:t>
      </w:r>
      <w:r>
        <w:rPr>
          <w:rFonts w:hint="eastAsia"/>
        </w:rPr>
        <w:t>60</w:t>
      </w:r>
      <w:r>
        <w:rPr>
          <w:rFonts w:hint="eastAsia"/>
        </w:rPr>
        <w:t>条连接管道增长至</w:t>
      </w:r>
      <w:r>
        <w:rPr>
          <w:rFonts w:hint="eastAsia"/>
        </w:rPr>
        <w:t>260</w:t>
      </w:r>
      <w:r>
        <w:rPr>
          <w:rFonts w:hint="eastAsia"/>
        </w:rPr>
        <w:t>条。除了</w:t>
      </w:r>
      <w:r>
        <w:rPr>
          <w:rFonts w:hint="eastAsia"/>
        </w:rPr>
        <w:t>50,000</w:t>
      </w:r>
      <w:r>
        <w:rPr>
          <w:rFonts w:hint="eastAsia"/>
        </w:rPr>
        <w:t>贝多因人口外，所有未经承认的村庄都连接上了供水服务。居住在经确认的定居点外的</w:t>
      </w:r>
      <w:r>
        <w:rPr>
          <w:rFonts w:hint="eastAsia"/>
        </w:rPr>
        <w:t>50%</w:t>
      </w:r>
      <w:r>
        <w:rPr>
          <w:rFonts w:hint="eastAsia"/>
        </w:rPr>
        <w:t>贝多因居民被允许从全国水源输送系统的各指定点连接管道以便将饮用水引入他们的家庭。</w:t>
      </w:r>
    </w:p>
    <w:p w:rsidR="00000000" w:rsidRDefault="00000000">
      <w:pPr>
        <w:rPr>
          <w:rFonts w:hint="eastAsia"/>
        </w:rPr>
      </w:pPr>
      <w:r>
        <w:rPr>
          <w:rFonts w:hint="eastAsia"/>
        </w:rPr>
        <w:tab/>
        <w:t xml:space="preserve">95.  </w:t>
      </w:r>
      <w:r>
        <w:rPr>
          <w:rFonts w:hint="eastAsia"/>
        </w:rPr>
        <w:t>铺设排污系统属于地方市政当局的管辖。少数人的地方市政当局获得了用于此目的的丰厚贷款，数额超过为犹太人地方市政当局提供的款额。</w:t>
      </w:r>
    </w:p>
    <w:p w:rsidR="00000000" w:rsidRDefault="00000000">
      <w:pPr>
        <w:rPr>
          <w:rFonts w:hint="eastAsia"/>
        </w:rPr>
      </w:pPr>
      <w:r>
        <w:rPr>
          <w:rFonts w:hint="eastAsia"/>
        </w:rPr>
        <w:tab/>
        <w:t xml:space="preserve">96.  </w:t>
      </w:r>
      <w:r>
        <w:rPr>
          <w:rFonts w:hint="eastAsia"/>
        </w:rPr>
        <w:t>以色列政府力求为居住在</w:t>
      </w:r>
      <w:r>
        <w:t>Negev</w:t>
      </w:r>
      <w:r>
        <w:rPr>
          <w:rFonts w:hint="eastAsia"/>
        </w:rPr>
        <w:t>的贝多因人建立六个新的“服务中心”。一旦这些中心竣工将设有从教育设施、宗教中心和保健中心，直至商店和工业设施等各类服务提供商的设备。政府计划将这些中心建立在现有城镇的外围，作为向新的贝多因人城镇提供服务的基础。</w:t>
      </w:r>
    </w:p>
    <w:p w:rsidR="00000000" w:rsidRDefault="00000000">
      <w:pPr>
        <w:rPr>
          <w:rFonts w:hint="eastAsia"/>
        </w:rPr>
      </w:pPr>
      <w:r>
        <w:rPr>
          <w:rFonts w:hint="eastAsia"/>
        </w:rPr>
        <w:tab/>
        <w:t xml:space="preserve">97.  </w:t>
      </w:r>
      <w:r>
        <w:rPr>
          <w:rFonts w:hint="eastAsia"/>
        </w:rPr>
        <w:t>自以色列的初次报告以来，在</w:t>
      </w:r>
      <w:r>
        <w:t>Hura</w:t>
      </w:r>
      <w:r>
        <w:rPr>
          <w:rFonts w:hint="eastAsia"/>
        </w:rPr>
        <w:t>、</w:t>
      </w:r>
      <w:r>
        <w:t>Segev Shalon</w:t>
      </w:r>
      <w:r>
        <w:rPr>
          <w:rFonts w:hint="eastAsia"/>
        </w:rPr>
        <w:t>和</w:t>
      </w:r>
      <w:r>
        <w:t>Aroer</w:t>
      </w:r>
      <w:r>
        <w:rPr>
          <w:rFonts w:hint="eastAsia"/>
        </w:rPr>
        <w:t>已经建造了新的工业和贸易中心。</w:t>
      </w:r>
    </w:p>
    <w:p w:rsidR="00000000" w:rsidRDefault="00000000">
      <w:pPr>
        <w:rPr>
          <w:rFonts w:hint="eastAsia"/>
        </w:rPr>
      </w:pPr>
      <w:r>
        <w:rPr>
          <w:rFonts w:hint="eastAsia"/>
        </w:rPr>
        <w:tab/>
        <w:t xml:space="preserve">98.  </w:t>
      </w:r>
      <w:r>
        <w:rPr>
          <w:rFonts w:hint="eastAsia"/>
        </w:rPr>
        <w:t>电力。截至</w:t>
      </w:r>
      <w:r>
        <w:rPr>
          <w:rFonts w:hint="eastAsia"/>
        </w:rPr>
        <w:t>1996</w:t>
      </w:r>
      <w:r>
        <w:rPr>
          <w:rFonts w:hint="eastAsia"/>
        </w:rPr>
        <w:t>年，由于《规划和建筑法》第</w:t>
      </w:r>
      <w:r>
        <w:rPr>
          <w:rFonts w:hint="eastAsia"/>
        </w:rPr>
        <w:t>157A</w:t>
      </w:r>
      <w:r>
        <w:rPr>
          <w:rFonts w:hint="eastAsia"/>
        </w:rPr>
        <w:t>节禁止非法建造的建筑物（例如未获得建造许可证的建筑物或者背离许可证规定条件的建筑物）与供电网连接的规定，大部分未经承认的村庄未联网通电。在法律中确立这一节是为了有效地制裁建造者们不遵从规划条例的行为。不但禁止与供电供水网连接，而且还不准许与全国人口的电话网衔接。然而，议会决定减轻该节对贝多因人未经承认村庄制裁的影响，通过了一项特别法（</w:t>
      </w:r>
      <w:r>
        <w:rPr>
          <w:rFonts w:hint="eastAsia"/>
        </w:rPr>
        <w:t>1996</w:t>
      </w:r>
      <w:r>
        <w:rPr>
          <w:rFonts w:hint="eastAsia"/>
        </w:rPr>
        <w:t>年《供电（特别条款）法》，允许大多数贝多因人村庄内的非法建筑物与电力网连接，但这些必须是法院未下令拆除，并且在第</w:t>
      </w:r>
      <w:r>
        <w:rPr>
          <w:rFonts w:hint="eastAsia"/>
        </w:rPr>
        <w:t>157A</w:t>
      </w:r>
      <w:r>
        <w:rPr>
          <w:rFonts w:hint="eastAsia"/>
        </w:rPr>
        <w:t>节于（</w:t>
      </w:r>
      <w:r>
        <w:rPr>
          <w:rFonts w:hint="eastAsia"/>
        </w:rPr>
        <w:t>1987</w:t>
      </w:r>
      <w:r>
        <w:rPr>
          <w:rFonts w:hint="eastAsia"/>
        </w:rPr>
        <w:t>年）生效前已建造的建筑物。这项特别法应为约</w:t>
      </w:r>
      <w:r>
        <w:rPr>
          <w:rFonts w:hint="eastAsia"/>
        </w:rPr>
        <w:t>10,000</w:t>
      </w:r>
      <w:r>
        <w:rPr>
          <w:rFonts w:hint="eastAsia"/>
        </w:rPr>
        <w:t>座非法建筑与电力网的连接提供了方便。时至今日，大部分未经承认的村庄中有</w:t>
      </w:r>
      <w:r>
        <w:rPr>
          <w:rFonts w:hint="eastAsia"/>
        </w:rPr>
        <w:t>4,000</w:t>
      </w:r>
      <w:r>
        <w:rPr>
          <w:rFonts w:hint="eastAsia"/>
        </w:rPr>
        <w:t>座违章建筑得到了联网供电的批准。</w:t>
      </w:r>
    </w:p>
    <w:p w:rsidR="00000000" w:rsidRDefault="00000000">
      <w:pPr>
        <w:rPr>
          <w:rFonts w:hint="eastAsia"/>
        </w:rPr>
      </w:pPr>
      <w:r>
        <w:rPr>
          <w:rFonts w:hint="eastAsia"/>
        </w:rPr>
        <w:tab/>
        <w:t xml:space="preserve">99.  </w:t>
      </w:r>
      <w:r>
        <w:rPr>
          <w:rFonts w:hint="eastAsia"/>
        </w:rPr>
        <w:t>保健。自以色列提交初次报告以来，又增设了五个卫生基金诊疗所，使诊疗所的总数达到</w:t>
      </w:r>
      <w:r>
        <w:rPr>
          <w:rFonts w:hint="eastAsia"/>
        </w:rPr>
        <w:t>7</w:t>
      </w:r>
      <w:r>
        <w:rPr>
          <w:rFonts w:hint="eastAsia"/>
        </w:rPr>
        <w:t>个，以解决居住在贝多因城镇之外的那些贝多因人的需要。此外，最近还在贝多因人的城镇内建造了五座新的妇孺保健所。</w:t>
      </w:r>
    </w:p>
    <w:p w:rsidR="00000000" w:rsidRDefault="00000000">
      <w:pPr>
        <w:rPr>
          <w:rFonts w:hint="eastAsia"/>
        </w:rPr>
      </w:pPr>
      <w:r>
        <w:rPr>
          <w:rFonts w:hint="eastAsia"/>
        </w:rPr>
        <w:tab/>
        <w:t xml:space="preserve">100.  </w:t>
      </w:r>
      <w:r>
        <w:t>Negev</w:t>
      </w:r>
      <w:r>
        <w:rPr>
          <w:rFonts w:hint="eastAsia"/>
        </w:rPr>
        <w:t>的贝多因人婴儿死亡率是</w:t>
      </w:r>
      <w:r>
        <w:rPr>
          <w:rFonts w:hint="eastAsia"/>
        </w:rPr>
        <w:t>13/1,000</w:t>
      </w:r>
      <w:r>
        <w:rPr>
          <w:rFonts w:hint="eastAsia"/>
        </w:rPr>
        <w:t>人。其中，</w:t>
      </w:r>
      <w:r>
        <w:rPr>
          <w:rFonts w:hint="eastAsia"/>
        </w:rPr>
        <w:t>5.8</w:t>
      </w:r>
      <w:r>
        <w:rPr>
          <w:rFonts w:hint="eastAsia"/>
        </w:rPr>
        <w:t>／</w:t>
      </w:r>
      <w:r>
        <w:rPr>
          <w:rFonts w:hint="eastAsia"/>
        </w:rPr>
        <w:t xml:space="preserve">1000 </w:t>
      </w:r>
      <w:r>
        <w:rPr>
          <w:rFonts w:hint="eastAsia"/>
        </w:rPr>
        <w:t>的死因是由于先天性畸形和遗传疾病所致，比全国平均死亡率高一倍之多。这是因为贝多因人口中第一代堂表兄妹之间的婚姻率（超过</w:t>
      </w:r>
      <w:r>
        <w:rPr>
          <w:rFonts w:hint="eastAsia"/>
        </w:rPr>
        <w:t>45%</w:t>
      </w:r>
      <w:r>
        <w:rPr>
          <w:rFonts w:hint="eastAsia"/>
        </w:rPr>
        <w:t>）和第二代堂表兄妹之间的婚姻率（超过</w:t>
      </w:r>
      <w:r>
        <w:rPr>
          <w:rFonts w:hint="eastAsia"/>
        </w:rPr>
        <w:t>10%</w:t>
      </w:r>
      <w:r>
        <w:rPr>
          <w:rFonts w:hint="eastAsia"/>
        </w:rPr>
        <w:t>）较高所致。在过去六年期间，卫生部通过多阶段、跨学科的方案，资助了一个旨在减少婴儿死亡率的方案。这是在适当并敏感地意识到应符合贝多因人口文化的情况下制订的方案。</w:t>
      </w:r>
    </w:p>
    <w:p w:rsidR="00000000" w:rsidRDefault="00000000">
      <w:pPr>
        <w:rPr>
          <w:rFonts w:hint="eastAsia"/>
        </w:rPr>
      </w:pPr>
      <w:r>
        <w:rPr>
          <w:rFonts w:hint="eastAsia"/>
        </w:rPr>
        <w:tab/>
        <w:t xml:space="preserve">101.  </w:t>
      </w:r>
      <w:r>
        <w:rPr>
          <w:rFonts w:hint="eastAsia"/>
        </w:rPr>
        <w:t>教育。关于教育，在此应着重指出，未经承认村庄中的小学生与以色列境内所有其他小学生一样可享有同等水平的教育。然而，不可能在每一座——不论是否得到承认的——村庄开设小学和初中。因此，以色列境内</w:t>
      </w:r>
      <w:r>
        <w:rPr>
          <w:rFonts w:hint="eastAsia"/>
        </w:rPr>
        <w:t>11%</w:t>
      </w:r>
      <w:r>
        <w:rPr>
          <w:rFonts w:hint="eastAsia"/>
        </w:rPr>
        <w:t>的（犹太人和非犹太人）小学生在一些为乡村地区开设的区域小学中就读。因此，即使在得到承认的村庄中也没有在本村内开设学校的情况并非不寻常的情况。</w:t>
      </w:r>
    </w:p>
    <w:p w:rsidR="00000000" w:rsidRDefault="00000000">
      <w:pPr>
        <w:rPr>
          <w:rFonts w:hint="eastAsia"/>
        </w:rPr>
      </w:pPr>
      <w:r>
        <w:rPr>
          <w:rFonts w:hint="eastAsia"/>
        </w:rPr>
        <w:tab/>
        <w:t xml:space="preserve">102.  </w:t>
      </w:r>
      <w:r>
        <w:rPr>
          <w:rFonts w:hint="eastAsia"/>
        </w:rPr>
        <w:t>一些居住在乡镇地位未得到确认的村庄内的非犹太人口部分的小学生前往经承认的村庄中学就读。然而，在如何让未经承认村庄中的小学生入学就读方面存在着一些后勤方面的困难，因为学校是为一些经批准的区域规划筹建的，主要是为了解决一些经承认的定居点的需要。然而，尽管如此，国家还是为居住在未经承认村庄中的大部分小学生提供了入学就读的运输服务。</w:t>
      </w:r>
    </w:p>
    <w:p w:rsidR="00000000" w:rsidRDefault="00000000">
      <w:pPr>
        <w:rPr>
          <w:rFonts w:hint="eastAsia"/>
        </w:rPr>
      </w:pPr>
      <w:r>
        <w:rPr>
          <w:rFonts w:hint="eastAsia"/>
        </w:rPr>
        <w:tab/>
        <w:t xml:space="preserve">103.  </w:t>
      </w:r>
      <w:r>
        <w:rPr>
          <w:rFonts w:hint="eastAsia"/>
        </w:rPr>
        <w:t>此外教育当局考虑到了未经承认村庄内小学生的特殊情况。教育系统拨出（主要贴补教学课时的）额外资源</w:t>
      </w:r>
      <w:r>
        <w:rPr>
          <w:rFonts w:hint="eastAsia"/>
        </w:rPr>
        <w:t xml:space="preserve">, </w:t>
      </w:r>
      <w:r>
        <w:rPr>
          <w:rFonts w:hint="eastAsia"/>
        </w:rPr>
        <w:t>以资助一些学校，因为这些学校招收了由于环境原因，上学就读条件颇为不便的的小学生。为确定这些学校获得额外资源的资格，采用了一些特殊的指数。对非犹太人口部分适用的各指数中一项特殊标准是，是否招收了未来自经承认村庄的小学生。换言之，来自未居住在经承认村庄内各家庭的小学生比例数越高，为这些学校拨出的资金也就越多。为此，招收来自未经承认村庄小学生的学校可获得额外的授课时间，以便这些学校解决此类人口的特殊问题（主要是为贫困家庭提供补习条件）。</w:t>
      </w:r>
    </w:p>
    <w:p w:rsidR="00000000" w:rsidRDefault="00000000">
      <w:pPr>
        <w:rPr>
          <w:rFonts w:hint="eastAsia"/>
        </w:rPr>
      </w:pPr>
      <w:r>
        <w:rPr>
          <w:rFonts w:hint="eastAsia"/>
        </w:rPr>
        <w:tab/>
        <w:t xml:space="preserve">104.  </w:t>
      </w:r>
      <w:r>
        <w:rPr>
          <w:rFonts w:hint="eastAsia"/>
        </w:rPr>
        <w:t>所有贝多因人小学生在</w:t>
      </w:r>
      <w:r>
        <w:rPr>
          <w:rFonts w:hint="eastAsia"/>
        </w:rPr>
        <w:t>53</w:t>
      </w:r>
      <w:r>
        <w:rPr>
          <w:rFonts w:hint="eastAsia"/>
        </w:rPr>
        <w:t>所小学和</w:t>
      </w:r>
      <w:r>
        <w:rPr>
          <w:rFonts w:hint="eastAsia"/>
        </w:rPr>
        <w:t>10</w:t>
      </w:r>
      <w:r>
        <w:rPr>
          <w:rFonts w:hint="eastAsia"/>
        </w:rPr>
        <w:t>所中学中就读。在未经承认的定居点内有</w:t>
      </w:r>
      <w:r>
        <w:rPr>
          <w:rFonts w:hint="eastAsia"/>
        </w:rPr>
        <w:t>15</w:t>
      </w:r>
      <w:r>
        <w:rPr>
          <w:rFonts w:hint="eastAsia"/>
        </w:rPr>
        <w:t>座小学和</w:t>
      </w:r>
      <w:r>
        <w:rPr>
          <w:rFonts w:hint="eastAsia"/>
        </w:rPr>
        <w:t>80</w:t>
      </w:r>
      <w:r>
        <w:rPr>
          <w:rFonts w:hint="eastAsia"/>
        </w:rPr>
        <w:t>个招收</w:t>
      </w:r>
      <w:r>
        <w:rPr>
          <w:rFonts w:hint="eastAsia"/>
        </w:rPr>
        <w:t>3</w:t>
      </w:r>
      <w:r>
        <w:rPr>
          <w:rFonts w:hint="eastAsia"/>
        </w:rPr>
        <w:t>岁以上儿童的幼儿园。</w:t>
      </w:r>
    </w:p>
    <w:p w:rsidR="00000000" w:rsidRDefault="00000000">
      <w:pPr>
        <w:rPr>
          <w:rFonts w:hint="eastAsia"/>
        </w:rPr>
      </w:pPr>
      <w:r>
        <w:rPr>
          <w:rFonts w:hint="eastAsia"/>
        </w:rPr>
        <w:tab/>
        <w:t xml:space="preserve">105.  </w:t>
      </w:r>
      <w:r>
        <w:rPr>
          <w:rFonts w:hint="eastAsia"/>
        </w:rPr>
        <w:t>贝多因人口部分的教育体制面临着许多困难，其中有一部分是由于众多非规划性定居点内贝多因人的特殊生活方式及其文化所致：</w:t>
      </w:r>
    </w:p>
    <w:p w:rsidR="00000000" w:rsidRDefault="00000000">
      <w:pPr>
        <w:pStyle w:val="a6"/>
        <w:rPr>
          <w:rFonts w:hint="eastAsia"/>
        </w:rPr>
      </w:pPr>
      <w:r>
        <w:t>(a)</w:t>
      </w:r>
      <w:r>
        <w:tab/>
      </w:r>
      <w:r>
        <w:rPr>
          <w:rFonts w:hint="eastAsia"/>
        </w:rPr>
        <w:t>青少年女孩的辍学是因为她们结婚了或因文化传统所致。</w:t>
      </w:r>
    </w:p>
    <w:p w:rsidR="00000000" w:rsidRDefault="00000000">
      <w:pPr>
        <w:pStyle w:val="a6"/>
        <w:rPr>
          <w:rFonts w:hint="eastAsia"/>
        </w:rPr>
      </w:pPr>
      <w:r>
        <w:t>(b)</w:t>
      </w:r>
      <w:r>
        <w:tab/>
      </w:r>
      <w:r>
        <w:rPr>
          <w:rFonts w:hint="eastAsia"/>
        </w:rPr>
        <w:t>男孩较早地离开教育系统是为了参加工作。</w:t>
      </w:r>
    </w:p>
    <w:p w:rsidR="00000000" w:rsidRDefault="00000000">
      <w:pPr>
        <w:pStyle w:val="a6"/>
        <w:rPr>
          <w:rFonts w:hint="eastAsia"/>
        </w:rPr>
      </w:pPr>
      <w:r>
        <w:t>(c)</w:t>
      </w:r>
      <w:r>
        <w:tab/>
      </w:r>
      <w:r>
        <w:rPr>
          <w:rFonts w:hint="eastAsia"/>
        </w:rPr>
        <w:t>一夫多妻制（丈夫可娶</w:t>
      </w:r>
      <w:r>
        <w:rPr>
          <w:rFonts w:hint="eastAsia"/>
        </w:rPr>
        <w:t>4</w:t>
      </w:r>
      <w:r>
        <w:rPr>
          <w:rFonts w:hint="eastAsia"/>
        </w:rPr>
        <w:t>至</w:t>
      </w:r>
      <w:r>
        <w:rPr>
          <w:rFonts w:hint="eastAsia"/>
        </w:rPr>
        <w:t>5</w:t>
      </w:r>
      <w:r>
        <w:rPr>
          <w:rFonts w:hint="eastAsia"/>
        </w:rPr>
        <w:t>个妻子）使得出生率增加了</w:t>
      </w:r>
      <w:r>
        <w:rPr>
          <w:rFonts w:hint="eastAsia"/>
        </w:rPr>
        <w:t>5%</w:t>
      </w:r>
      <w:r>
        <w:rPr>
          <w:rFonts w:hint="eastAsia"/>
        </w:rPr>
        <w:t>（年均），造成了不可挽救的儿童心理损害，以及失业、忽视和家庭的摧毁、受教育程度低，等等；</w:t>
      </w:r>
    </w:p>
    <w:p w:rsidR="00000000" w:rsidRDefault="00000000">
      <w:pPr>
        <w:pStyle w:val="a6"/>
        <w:rPr>
          <w:rFonts w:hint="eastAsia"/>
        </w:rPr>
      </w:pPr>
      <w:r>
        <w:t>(d)</w:t>
      </w:r>
      <w:r>
        <w:tab/>
      </w:r>
      <w:r>
        <w:rPr>
          <w:rFonts w:hint="eastAsia"/>
        </w:rPr>
        <w:t>许多贝多因人小学生只想在</w:t>
      </w:r>
      <w:r>
        <w:rPr>
          <w:rFonts w:hint="eastAsia"/>
        </w:rPr>
        <w:t>12</w:t>
      </w:r>
      <w:r>
        <w:rPr>
          <w:rFonts w:hint="eastAsia"/>
        </w:rPr>
        <w:t>岁时获得一份毕业证书，而不要取得准入大学的资格。</w:t>
      </w:r>
    </w:p>
    <w:p w:rsidR="00000000" w:rsidRDefault="00000000">
      <w:pPr>
        <w:rPr>
          <w:rFonts w:hint="eastAsia"/>
        </w:rPr>
      </w:pPr>
      <w:r>
        <w:rPr>
          <w:rFonts w:hint="eastAsia"/>
        </w:rPr>
        <w:tab/>
        <w:t xml:space="preserve">106.  </w:t>
      </w:r>
      <w:r>
        <w:rPr>
          <w:rFonts w:hint="eastAsia"/>
        </w:rPr>
        <w:t>然而，近几年来，贝多因人教育制度的情况出现了显著的改善：</w:t>
      </w:r>
    </w:p>
    <w:p w:rsidR="00000000" w:rsidRDefault="00000000">
      <w:pPr>
        <w:pStyle w:val="a6"/>
        <w:rPr>
          <w:rFonts w:hint="eastAsia"/>
        </w:rPr>
      </w:pPr>
      <w:r>
        <w:t>(a)</w:t>
      </w:r>
      <w:r>
        <w:tab/>
      </w:r>
      <w:r>
        <w:rPr>
          <w:rFonts w:hint="eastAsia"/>
        </w:rPr>
        <w:t>小学生人数，特别是女生人数持续地增长。这就意味着，学校制度中的辍学率现象正在不断地减少；</w:t>
      </w:r>
    </w:p>
    <w:p w:rsidR="00000000" w:rsidRDefault="00000000">
      <w:pPr>
        <w:pStyle w:val="a6"/>
      </w:pPr>
      <w:r>
        <w:t>(b)</w:t>
      </w:r>
      <w:r>
        <w:tab/>
      </w:r>
      <w:r>
        <w:rPr>
          <w:rFonts w:hint="eastAsia"/>
        </w:rPr>
        <w:t>过去两年来，由于推行了一项教法深造方案，教学成果得到了改善；</w:t>
      </w:r>
    </w:p>
    <w:p w:rsidR="00000000" w:rsidRDefault="00000000">
      <w:pPr>
        <w:pStyle w:val="a6"/>
      </w:pPr>
      <w:r>
        <w:t>(c)</w:t>
      </w:r>
      <w:r>
        <w:tab/>
      </w:r>
      <w:r>
        <w:rPr>
          <w:rFonts w:hint="eastAsia"/>
        </w:rPr>
        <w:t>为每座学校的校长指派了一名退休的犹太人校长，以提供教育和管理领域的指导；</w:t>
      </w:r>
    </w:p>
    <w:p w:rsidR="00000000" w:rsidRDefault="00000000">
      <w:pPr>
        <w:pStyle w:val="a6"/>
        <w:rPr>
          <w:rFonts w:hint="eastAsia"/>
        </w:rPr>
      </w:pPr>
      <w:r>
        <w:t>(d)</w:t>
      </w:r>
      <w:r>
        <w:tab/>
      </w:r>
      <w:r>
        <w:rPr>
          <w:rFonts w:hint="eastAsia"/>
        </w:rPr>
        <w:t>为减少辍学率的情况建立起了一个计算机中心。对有可能辍学的小学生运用了计算机化的情况追踪，并且作出相当大的努力使这些小学生重新返校就读；</w:t>
      </w:r>
    </w:p>
    <w:p w:rsidR="00000000" w:rsidRDefault="00000000">
      <w:pPr>
        <w:pStyle w:val="a6"/>
        <w:rPr>
          <w:rFonts w:hint="eastAsia"/>
        </w:rPr>
      </w:pPr>
      <w:r>
        <w:t>(e)</w:t>
      </w:r>
      <w:r>
        <w:tab/>
        <w:t>Ben-Gurion</w:t>
      </w:r>
      <w:r>
        <w:rPr>
          <w:rFonts w:hint="eastAsia"/>
        </w:rPr>
        <w:t>大学和</w:t>
      </w:r>
      <w:r>
        <w:t>Kaye</w:t>
      </w:r>
      <w:r>
        <w:rPr>
          <w:rFonts w:hint="eastAsia"/>
        </w:rPr>
        <w:t>学院增强了中等教育体制的师资力量，以增加获得准入大学资格的学生。过去三年来，获得准入大学资格的学生持续增加，从</w:t>
      </w:r>
      <w:r>
        <w:rPr>
          <w:rFonts w:hint="eastAsia"/>
        </w:rPr>
        <w:t>10%</w:t>
      </w:r>
      <w:r>
        <w:rPr>
          <w:rFonts w:hint="eastAsia"/>
        </w:rPr>
        <w:t>提高至</w:t>
      </w:r>
      <w:r>
        <w:rPr>
          <w:rFonts w:hint="eastAsia"/>
        </w:rPr>
        <w:t>32%</w:t>
      </w:r>
      <w:r>
        <w:rPr>
          <w:rFonts w:hint="eastAsia"/>
        </w:rPr>
        <w:t>；</w:t>
      </w:r>
    </w:p>
    <w:p w:rsidR="00000000" w:rsidRDefault="00000000">
      <w:pPr>
        <w:pStyle w:val="a6"/>
        <w:spacing w:after="240"/>
        <w:rPr>
          <w:rFonts w:hint="eastAsia"/>
        </w:rPr>
      </w:pPr>
      <w:r>
        <w:t>(f)</w:t>
      </w:r>
      <w:r>
        <w:tab/>
      </w:r>
      <w:r>
        <w:rPr>
          <w:rFonts w:hint="eastAsia"/>
        </w:rPr>
        <w:t>教育体制中的贝多因人教师人数不断增加。他们在贝多因人教育部门系统全体教员中占</w:t>
      </w:r>
      <w:r>
        <w:rPr>
          <w:rFonts w:hint="eastAsia"/>
        </w:rPr>
        <w:t>60%</w:t>
      </w:r>
      <w:r>
        <w:rPr>
          <w:rFonts w:hint="eastAsia"/>
        </w:rPr>
        <w:t>，四年前贝多因人教员的数量仅占</w:t>
      </w:r>
      <w:r>
        <w:rPr>
          <w:rFonts w:hint="eastAsia"/>
        </w:rPr>
        <w:t>40%</w:t>
      </w:r>
      <w:r>
        <w:rPr>
          <w:rFonts w:hint="eastAsia"/>
        </w:rPr>
        <w:t>。</w:t>
      </w:r>
    </w:p>
    <w:p w:rsidR="00000000" w:rsidRDefault="00000000">
      <w:pPr>
        <w:pStyle w:val="Heading3"/>
        <w:rPr>
          <w:rFonts w:hint="eastAsia"/>
        </w:rPr>
      </w:pPr>
      <w:r>
        <w:rPr>
          <w:rFonts w:hint="eastAsia"/>
        </w:rPr>
        <w:t>贝多因人教育部门按年度分列的比较统计数字</w:t>
      </w:r>
    </w:p>
    <w:p w:rsidR="00000000" w:rsidRDefault="00000000">
      <w:pPr>
        <w:pStyle w:val="Heading3"/>
        <w:rPr>
          <w:rFonts w:hint="eastAsia"/>
        </w:rPr>
      </w:pPr>
      <w:r>
        <w:rPr>
          <w:rFonts w:hint="eastAsia"/>
        </w:rPr>
        <w:t>学生人数</w:t>
      </w:r>
    </w:p>
    <w:tbl>
      <w:tblPr>
        <w:tblW w:w="4765"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7"/>
        <w:gridCol w:w="4564"/>
      </w:tblGrid>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年</w:t>
            </w:r>
          </w:p>
        </w:tc>
        <w:tc>
          <w:tcPr>
            <w:tcW w:w="2502" w:type="pct"/>
          </w:tcPr>
          <w:p w:rsidR="00000000" w:rsidRDefault="00000000">
            <w:pPr>
              <w:tabs>
                <w:tab w:val="left" w:pos="2520"/>
              </w:tabs>
              <w:jc w:val="center"/>
              <w:rPr>
                <w:rFonts w:hint="eastAsia"/>
              </w:rPr>
            </w:pPr>
            <w:r>
              <w:rPr>
                <w:rFonts w:hint="eastAsia"/>
              </w:rPr>
              <w:t>学生人数</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1998</w:t>
            </w:r>
          </w:p>
        </w:tc>
        <w:tc>
          <w:tcPr>
            <w:tcW w:w="2502" w:type="pct"/>
          </w:tcPr>
          <w:p w:rsidR="00000000" w:rsidRDefault="00000000">
            <w:pPr>
              <w:tabs>
                <w:tab w:val="left" w:pos="2520"/>
              </w:tabs>
              <w:jc w:val="center"/>
              <w:rPr>
                <w:rFonts w:hint="eastAsia"/>
              </w:rPr>
            </w:pPr>
            <w:r>
              <w:rPr>
                <w:rFonts w:hint="eastAsia"/>
              </w:rPr>
              <w:t>40,006</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1999</w:t>
            </w:r>
          </w:p>
        </w:tc>
        <w:tc>
          <w:tcPr>
            <w:tcW w:w="2502" w:type="pct"/>
          </w:tcPr>
          <w:p w:rsidR="00000000" w:rsidRDefault="00000000">
            <w:pPr>
              <w:tabs>
                <w:tab w:val="left" w:pos="2520"/>
              </w:tabs>
              <w:jc w:val="center"/>
              <w:rPr>
                <w:rFonts w:hint="eastAsia"/>
              </w:rPr>
            </w:pPr>
            <w:r>
              <w:rPr>
                <w:rFonts w:hint="eastAsia"/>
              </w:rPr>
              <w:t>43,741</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2000</w:t>
            </w:r>
          </w:p>
        </w:tc>
        <w:tc>
          <w:tcPr>
            <w:tcW w:w="2502" w:type="pct"/>
          </w:tcPr>
          <w:p w:rsidR="00000000" w:rsidRDefault="00000000">
            <w:pPr>
              <w:tabs>
                <w:tab w:val="left" w:pos="2520"/>
              </w:tabs>
              <w:jc w:val="center"/>
              <w:rPr>
                <w:rFonts w:hint="eastAsia"/>
              </w:rPr>
            </w:pPr>
            <w:r>
              <w:rPr>
                <w:rFonts w:hint="eastAsia"/>
              </w:rPr>
              <w:t>47,253</w:t>
            </w:r>
          </w:p>
        </w:tc>
      </w:tr>
    </w:tbl>
    <w:p w:rsidR="00000000" w:rsidRDefault="00000000">
      <w:pPr>
        <w:jc w:val="center"/>
        <w:rPr>
          <w:rFonts w:eastAsia="SimHei" w:hint="eastAsia"/>
          <w:b/>
          <w:bCs/>
        </w:rPr>
      </w:pPr>
    </w:p>
    <w:p w:rsidR="00000000" w:rsidRDefault="00000000">
      <w:pPr>
        <w:pStyle w:val="Heading3"/>
        <w:rPr>
          <w:rFonts w:hint="eastAsia"/>
        </w:rPr>
      </w:pPr>
      <w:r>
        <w:rPr>
          <w:rFonts w:hint="eastAsia"/>
        </w:rPr>
        <w:t>教师人数</w:t>
      </w:r>
    </w:p>
    <w:tbl>
      <w:tblPr>
        <w:tblW w:w="4765"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7"/>
        <w:gridCol w:w="4564"/>
      </w:tblGrid>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年</w:t>
            </w:r>
          </w:p>
        </w:tc>
        <w:tc>
          <w:tcPr>
            <w:tcW w:w="2502" w:type="pct"/>
          </w:tcPr>
          <w:p w:rsidR="00000000" w:rsidRDefault="00000000">
            <w:pPr>
              <w:tabs>
                <w:tab w:val="left" w:pos="2520"/>
              </w:tabs>
              <w:jc w:val="center"/>
              <w:rPr>
                <w:rFonts w:hint="eastAsia"/>
              </w:rPr>
            </w:pPr>
            <w:r>
              <w:rPr>
                <w:rFonts w:hint="eastAsia"/>
              </w:rPr>
              <w:t>学生人数</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1998</w:t>
            </w:r>
          </w:p>
        </w:tc>
        <w:tc>
          <w:tcPr>
            <w:tcW w:w="2502" w:type="pct"/>
          </w:tcPr>
          <w:p w:rsidR="00000000" w:rsidRDefault="00000000">
            <w:pPr>
              <w:tabs>
                <w:tab w:val="left" w:pos="2520"/>
              </w:tabs>
              <w:jc w:val="center"/>
              <w:rPr>
                <w:rFonts w:hint="eastAsia"/>
              </w:rPr>
            </w:pPr>
            <w:r>
              <w:rPr>
                <w:rFonts w:hint="eastAsia"/>
              </w:rPr>
              <w:t>1,721</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1999</w:t>
            </w:r>
          </w:p>
        </w:tc>
        <w:tc>
          <w:tcPr>
            <w:tcW w:w="2502" w:type="pct"/>
          </w:tcPr>
          <w:p w:rsidR="00000000" w:rsidRDefault="00000000">
            <w:pPr>
              <w:tabs>
                <w:tab w:val="left" w:pos="2520"/>
              </w:tabs>
              <w:jc w:val="center"/>
              <w:rPr>
                <w:rFonts w:hint="eastAsia"/>
              </w:rPr>
            </w:pPr>
            <w:r>
              <w:rPr>
                <w:rFonts w:hint="eastAsia"/>
              </w:rPr>
              <w:t>1,881</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2000</w:t>
            </w:r>
          </w:p>
        </w:tc>
        <w:tc>
          <w:tcPr>
            <w:tcW w:w="2502" w:type="pct"/>
          </w:tcPr>
          <w:p w:rsidR="00000000" w:rsidRDefault="00000000">
            <w:pPr>
              <w:tabs>
                <w:tab w:val="left" w:pos="2520"/>
              </w:tabs>
              <w:jc w:val="center"/>
              <w:rPr>
                <w:rFonts w:hint="eastAsia"/>
              </w:rPr>
            </w:pPr>
            <w:r>
              <w:rPr>
                <w:rFonts w:hint="eastAsia"/>
              </w:rPr>
              <w:t>2,150</w:t>
            </w:r>
          </w:p>
        </w:tc>
      </w:tr>
    </w:tbl>
    <w:p w:rsidR="00000000" w:rsidRDefault="00000000">
      <w:pPr>
        <w:jc w:val="center"/>
        <w:rPr>
          <w:rFonts w:eastAsia="SimHei" w:hint="eastAsia"/>
          <w:b/>
          <w:bCs/>
        </w:rPr>
      </w:pPr>
    </w:p>
    <w:p w:rsidR="00000000" w:rsidRDefault="00000000">
      <w:pPr>
        <w:pStyle w:val="Heading3"/>
        <w:rPr>
          <w:rFonts w:hint="eastAsia"/>
        </w:rPr>
      </w:pPr>
      <w:r>
        <w:rPr>
          <w:rFonts w:hint="eastAsia"/>
        </w:rPr>
        <w:t>准入大学资格</w:t>
      </w:r>
    </w:p>
    <w:tbl>
      <w:tblPr>
        <w:tblW w:w="4765"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7"/>
        <w:gridCol w:w="4564"/>
      </w:tblGrid>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年</w:t>
            </w:r>
          </w:p>
        </w:tc>
        <w:tc>
          <w:tcPr>
            <w:tcW w:w="2502" w:type="pct"/>
          </w:tcPr>
          <w:p w:rsidR="00000000" w:rsidRDefault="00000000">
            <w:pPr>
              <w:tabs>
                <w:tab w:val="left" w:pos="2520"/>
              </w:tabs>
              <w:jc w:val="center"/>
              <w:rPr>
                <w:rFonts w:hint="eastAsia"/>
              </w:rPr>
            </w:pPr>
            <w:r>
              <w:rPr>
                <w:rFonts w:hint="eastAsia"/>
              </w:rPr>
              <w:t>获得准入大学资格的学生百分比</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1998</w:t>
            </w:r>
          </w:p>
        </w:tc>
        <w:tc>
          <w:tcPr>
            <w:tcW w:w="2502" w:type="pct"/>
          </w:tcPr>
          <w:p w:rsidR="00000000" w:rsidRDefault="00000000">
            <w:pPr>
              <w:tabs>
                <w:tab w:val="left" w:pos="2520"/>
              </w:tabs>
              <w:jc w:val="center"/>
              <w:rPr>
                <w:rFonts w:hint="eastAsia"/>
              </w:rPr>
            </w:pPr>
            <w:r>
              <w:rPr>
                <w:rFonts w:hint="eastAsia"/>
              </w:rPr>
              <w:t>15</w:t>
            </w:r>
            <w:r>
              <w:rPr>
                <w:rFonts w:hint="eastAsia"/>
              </w:rPr>
              <w:t>％</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1999</w:t>
            </w:r>
          </w:p>
        </w:tc>
        <w:tc>
          <w:tcPr>
            <w:tcW w:w="2502" w:type="pct"/>
          </w:tcPr>
          <w:p w:rsidR="00000000" w:rsidRDefault="00000000">
            <w:pPr>
              <w:tabs>
                <w:tab w:val="left" w:pos="2520"/>
              </w:tabs>
              <w:jc w:val="center"/>
              <w:rPr>
                <w:rFonts w:hint="eastAsia"/>
              </w:rPr>
            </w:pPr>
            <w:r>
              <w:rPr>
                <w:rFonts w:hint="eastAsia"/>
              </w:rPr>
              <w:t>29</w:t>
            </w:r>
            <w:r>
              <w:rPr>
                <w:rFonts w:hint="eastAsia"/>
              </w:rPr>
              <w:t>％</w:t>
            </w:r>
          </w:p>
        </w:tc>
      </w:tr>
      <w:tr w:rsidR="00000000">
        <w:tblPrEx>
          <w:tblCellMar>
            <w:top w:w="0" w:type="dxa"/>
            <w:bottom w:w="0" w:type="dxa"/>
          </w:tblCellMar>
        </w:tblPrEx>
        <w:tc>
          <w:tcPr>
            <w:tcW w:w="2498" w:type="pct"/>
          </w:tcPr>
          <w:p w:rsidR="00000000" w:rsidRDefault="00000000">
            <w:pPr>
              <w:tabs>
                <w:tab w:val="left" w:pos="2520"/>
              </w:tabs>
              <w:jc w:val="center"/>
              <w:rPr>
                <w:rFonts w:hint="eastAsia"/>
              </w:rPr>
            </w:pPr>
            <w:r>
              <w:rPr>
                <w:rFonts w:hint="eastAsia"/>
              </w:rPr>
              <w:t>2000</w:t>
            </w:r>
          </w:p>
        </w:tc>
        <w:tc>
          <w:tcPr>
            <w:tcW w:w="2502" w:type="pct"/>
          </w:tcPr>
          <w:p w:rsidR="00000000" w:rsidRDefault="00000000">
            <w:pPr>
              <w:tabs>
                <w:tab w:val="left" w:pos="2520"/>
              </w:tabs>
              <w:jc w:val="center"/>
              <w:rPr>
                <w:rFonts w:hint="eastAsia"/>
              </w:rPr>
            </w:pPr>
            <w:r>
              <w:rPr>
                <w:rFonts w:hint="eastAsia"/>
              </w:rPr>
              <w:t>30</w:t>
            </w:r>
            <w:r>
              <w:rPr>
                <w:rFonts w:hint="eastAsia"/>
              </w:rPr>
              <w:t>％</w:t>
            </w:r>
          </w:p>
        </w:tc>
      </w:tr>
    </w:tbl>
    <w:p w:rsidR="00000000" w:rsidRDefault="00000000">
      <w:pPr>
        <w:rPr>
          <w:rFonts w:hint="eastAsia"/>
        </w:rPr>
      </w:pPr>
    </w:p>
    <w:p w:rsidR="00000000" w:rsidRDefault="00000000">
      <w:pPr>
        <w:spacing w:after="240"/>
        <w:rPr>
          <w:rFonts w:hint="eastAsia"/>
        </w:rPr>
      </w:pPr>
      <w:r>
        <w:rPr>
          <w:rFonts w:hint="eastAsia"/>
        </w:rPr>
        <w:tab/>
        <w:t xml:space="preserve">107.  </w:t>
      </w:r>
      <w:r>
        <w:rPr>
          <w:rFonts w:hint="eastAsia"/>
        </w:rPr>
        <w:t>种植权。政府没有发现任何剥夺土地所有者种植果树和蔬菜权利的政策。也许对土地非法占有者规定了这方面的限制。</w:t>
      </w:r>
    </w:p>
    <w:p w:rsidR="00000000" w:rsidRDefault="00000000">
      <w:pPr>
        <w:pStyle w:val="Heading4"/>
        <w:rPr>
          <w:rFonts w:hint="eastAsia"/>
        </w:rPr>
      </w:pPr>
      <w:r>
        <w:rPr>
          <w:rFonts w:hint="eastAsia"/>
        </w:rPr>
        <w:t>规</w:t>
      </w:r>
      <w:r>
        <w:rPr>
          <w:rFonts w:hint="eastAsia"/>
        </w:rPr>
        <w:t xml:space="preserve">  </w:t>
      </w:r>
      <w:r>
        <w:rPr>
          <w:rFonts w:hint="eastAsia"/>
        </w:rPr>
        <w:t>划</w:t>
      </w:r>
    </w:p>
    <w:p w:rsidR="00000000" w:rsidRDefault="00000000">
      <w:pPr>
        <w:rPr>
          <w:rFonts w:hint="eastAsia"/>
        </w:rPr>
      </w:pPr>
      <w:r>
        <w:rPr>
          <w:rFonts w:hint="eastAsia"/>
        </w:rPr>
        <w:tab/>
        <w:t xml:space="preserve">108.  </w:t>
      </w:r>
      <w:r>
        <w:rPr>
          <w:rFonts w:hint="eastAsia"/>
        </w:rPr>
        <w:t>在此应指出几个基本要点。除了出于建造公路和铁路的目的征用土地之外，自</w:t>
      </w:r>
      <w:r>
        <w:rPr>
          <w:rFonts w:hint="eastAsia"/>
        </w:rPr>
        <w:t>1989</w:t>
      </w:r>
      <w:r>
        <w:rPr>
          <w:rFonts w:hint="eastAsia"/>
        </w:rPr>
        <w:t>年以来没有征用过贝多因人的土地。</w:t>
      </w:r>
      <w:r>
        <w:rPr>
          <w:rFonts w:hint="eastAsia"/>
        </w:rPr>
        <w:t>1989</w:t>
      </w:r>
      <w:r>
        <w:rPr>
          <w:rFonts w:hint="eastAsia"/>
        </w:rPr>
        <w:t>年最后一次征用土地是为了建造一座新的贝多因人城镇。</w:t>
      </w:r>
    </w:p>
    <w:p w:rsidR="00000000" w:rsidRDefault="00000000">
      <w:pPr>
        <w:rPr>
          <w:rFonts w:hint="eastAsia"/>
        </w:rPr>
      </w:pPr>
      <w:r>
        <w:rPr>
          <w:rFonts w:hint="eastAsia"/>
        </w:rPr>
        <w:tab/>
        <w:t xml:space="preserve">109.  </w:t>
      </w:r>
      <w:r>
        <w:rPr>
          <w:rFonts w:hint="eastAsia"/>
        </w:rPr>
        <w:t>委员会收到的有关对贝多因人土地提出所有权要求的资料并不确切。土地问题解决部门的设立并不是为了解决贝多因人的土地要求，而是</w:t>
      </w:r>
      <w:r>
        <w:rPr>
          <w:rFonts w:hint="eastAsia"/>
        </w:rPr>
        <w:t>1930</w:t>
      </w:r>
      <w:r>
        <w:rPr>
          <w:rFonts w:hint="eastAsia"/>
        </w:rPr>
        <w:t>年代英国委任的托管政府设立的机构，以处置托管巴勒斯坦境内就未经法律注册的权利提出的土地要求。从那时起，该部门一直处置涉及到以色列境内各族提出的土地所有权要求，其中包括贝多因人提出的土地要求。根据法律确定的规则，合法的地契必须得到该部门的核准，而该部门在这项事务上几乎没有任何自行斟酌权。它要么批准未经核准的地契，要么撤消已确认的地契。</w:t>
      </w:r>
    </w:p>
    <w:p w:rsidR="00000000" w:rsidRDefault="00000000">
      <w:pPr>
        <w:rPr>
          <w:rFonts w:hint="eastAsia"/>
        </w:rPr>
      </w:pPr>
      <w:r>
        <w:rPr>
          <w:rFonts w:hint="eastAsia"/>
        </w:rPr>
        <w:tab/>
        <w:t xml:space="preserve">110.  </w:t>
      </w:r>
      <w:r>
        <w:rPr>
          <w:rFonts w:hint="eastAsia"/>
        </w:rPr>
        <w:t>该部门以处理所有其他土地要求同样的方式，处置贝多因人提出的土地要求。在将近</w:t>
      </w:r>
      <w:r>
        <w:rPr>
          <w:rFonts w:hint="eastAsia"/>
        </w:rPr>
        <w:t>1998</w:t>
      </w:r>
      <w:r>
        <w:rPr>
          <w:rFonts w:hint="eastAsia"/>
        </w:rPr>
        <w:t>年年底时，</w:t>
      </w:r>
      <w:r>
        <w:rPr>
          <w:rFonts w:hint="eastAsia"/>
        </w:rPr>
        <w:t xml:space="preserve"> </w:t>
      </w:r>
      <w:r>
        <w:rPr>
          <w:rFonts w:hint="eastAsia"/>
        </w:rPr>
        <w:t>贝多因人提出了总面积为</w:t>
      </w:r>
      <w:r>
        <w:rPr>
          <w:rFonts w:hint="eastAsia"/>
        </w:rPr>
        <w:t>730,000</w:t>
      </w:r>
      <w:r>
        <w:rPr>
          <w:rFonts w:hint="eastAsia"/>
        </w:rPr>
        <w:t>德南的</w:t>
      </w:r>
      <w:r>
        <w:rPr>
          <w:rFonts w:hint="eastAsia"/>
        </w:rPr>
        <w:t>3,274</w:t>
      </w:r>
      <w:r>
        <w:rPr>
          <w:rFonts w:hint="eastAsia"/>
        </w:rPr>
        <w:t>份土地要求。</w:t>
      </w:r>
      <w:r>
        <w:rPr>
          <w:rFonts w:hint="eastAsia"/>
        </w:rPr>
        <w:t>1969</w:t>
      </w:r>
      <w:r>
        <w:rPr>
          <w:rFonts w:hint="eastAsia"/>
        </w:rPr>
        <w:t>年的《土地权利解决法令》</w:t>
      </w:r>
      <w:r>
        <w:rPr>
          <w:rFonts w:hint="eastAsia"/>
        </w:rPr>
        <w:t>[</w:t>
      </w:r>
      <w:r>
        <w:rPr>
          <w:rFonts w:hint="eastAsia"/>
        </w:rPr>
        <w:t>新文本</w:t>
      </w:r>
      <w:r>
        <w:rPr>
          <w:rFonts w:hint="eastAsia"/>
        </w:rPr>
        <w:t>]</w:t>
      </w:r>
      <w:r>
        <w:rPr>
          <w:rFonts w:hint="eastAsia"/>
        </w:rPr>
        <w:t>授权土地解决部门，若持有经注册的所有权或出示未经中断的土地拥有情况的证据之下，即可承认对土地提出的所有权要求。然而，在许多情况下，贝多因人拿不出有关的土地证件，无法为其土地要求佐证。此外，</w:t>
      </w:r>
      <w:r>
        <w:rPr>
          <w:rFonts w:hint="eastAsia"/>
        </w:rPr>
        <w:t xml:space="preserve"> </w:t>
      </w:r>
      <w:r>
        <w:rPr>
          <w:rFonts w:hint="eastAsia"/>
        </w:rPr>
        <w:t>贝多因人对土地所有权的要求往往夸大其词，把他们这几年迁徙所经过的，但未曾长期不间断地拥有过的大面积土地划入索要的范围。因此，这些要求不可能符合法律规定的法定条件。</w:t>
      </w:r>
    </w:p>
    <w:p w:rsidR="00000000" w:rsidRDefault="00000000">
      <w:pPr>
        <w:rPr>
          <w:rFonts w:hint="eastAsia"/>
        </w:rPr>
      </w:pPr>
      <w:r>
        <w:rPr>
          <w:rFonts w:hint="eastAsia"/>
        </w:rPr>
        <w:tab/>
        <w:t xml:space="preserve">111.  </w:t>
      </w:r>
      <w:r>
        <w:rPr>
          <w:rFonts w:hint="eastAsia"/>
        </w:rPr>
        <w:t>然而，为了拿出务实性的解决办法，政府决定批准与贝多因人达成了钱款解决办法。政府由此解决了</w:t>
      </w:r>
      <w:r>
        <w:rPr>
          <w:rFonts w:hint="eastAsia"/>
        </w:rPr>
        <w:t>168</w:t>
      </w:r>
      <w:r>
        <w:rPr>
          <w:rFonts w:hint="eastAsia"/>
        </w:rPr>
        <w:t>个案件，而且在其他</w:t>
      </w:r>
      <w:r>
        <w:rPr>
          <w:rFonts w:hint="eastAsia"/>
        </w:rPr>
        <w:t>527</w:t>
      </w:r>
      <w:r>
        <w:rPr>
          <w:rFonts w:hint="eastAsia"/>
        </w:rPr>
        <w:t>个案件中征用了有关的土地，眼下正在就一项财政解决办法展开谈判（至今，在所占用的</w:t>
      </w:r>
      <w:r>
        <w:rPr>
          <w:rFonts w:hint="eastAsia"/>
        </w:rPr>
        <w:t>75,000</w:t>
      </w:r>
      <w:r>
        <w:rPr>
          <w:rFonts w:hint="eastAsia"/>
        </w:rPr>
        <w:t>德南的地皮中，已经为</w:t>
      </w:r>
      <w:r>
        <w:rPr>
          <w:rFonts w:hint="eastAsia"/>
        </w:rPr>
        <w:t>46,000</w:t>
      </w:r>
      <w:r>
        <w:rPr>
          <w:rFonts w:hint="eastAsia"/>
        </w:rPr>
        <w:t>德南土地支付了赔偿费）。在贝多因人提出拥有权要求的总面积</w:t>
      </w:r>
      <w:r>
        <w:rPr>
          <w:rFonts w:hint="eastAsia"/>
        </w:rPr>
        <w:t>550,000</w:t>
      </w:r>
      <w:r>
        <w:rPr>
          <w:rFonts w:hint="eastAsia"/>
        </w:rPr>
        <w:t>德南地皮中，该部门正在就剩余的</w:t>
      </w:r>
      <w:r>
        <w:rPr>
          <w:rFonts w:hint="eastAsia"/>
        </w:rPr>
        <w:t>2,500</w:t>
      </w:r>
      <w:r>
        <w:rPr>
          <w:rFonts w:hint="eastAsia"/>
        </w:rPr>
        <w:t>德南面积的地皮谈判一项解决办法。</w:t>
      </w:r>
    </w:p>
    <w:p w:rsidR="00000000" w:rsidRDefault="00000000">
      <w:pPr>
        <w:spacing w:after="240"/>
        <w:rPr>
          <w:rFonts w:hint="eastAsia"/>
        </w:rPr>
      </w:pPr>
      <w:r>
        <w:rPr>
          <w:rFonts w:hint="eastAsia"/>
        </w:rPr>
        <w:tab/>
        <w:t xml:space="preserve">112.  </w:t>
      </w:r>
      <w:r>
        <w:rPr>
          <w:rFonts w:hint="eastAsia"/>
        </w:rPr>
        <w:t>在近两年内几乎未拆除过贝多因人在</w:t>
      </w:r>
      <w:r>
        <w:t>Negev</w:t>
      </w:r>
      <w:r>
        <w:rPr>
          <w:rFonts w:hint="eastAsia"/>
        </w:rPr>
        <w:t>盖的任何非法建房。根据最近的估算，在</w:t>
      </w:r>
      <w:r>
        <w:rPr>
          <w:rFonts w:hint="eastAsia"/>
        </w:rPr>
        <w:t>N</w:t>
      </w:r>
      <w:r>
        <w:t>egev</w:t>
      </w:r>
      <w:r>
        <w:rPr>
          <w:rFonts w:hint="eastAsia"/>
        </w:rPr>
        <w:t>有</w:t>
      </w:r>
      <w:r>
        <w:rPr>
          <w:rFonts w:hint="eastAsia"/>
        </w:rPr>
        <w:t>60,000</w:t>
      </w:r>
      <w:r>
        <w:rPr>
          <w:rFonts w:hint="eastAsia"/>
        </w:rPr>
        <w:t>座非法建房。</w:t>
      </w:r>
    </w:p>
    <w:p w:rsidR="00000000" w:rsidRDefault="00000000">
      <w:pPr>
        <w:pStyle w:val="Heading4"/>
        <w:rPr>
          <w:rFonts w:hint="eastAsia"/>
        </w:rPr>
      </w:pPr>
      <w:r>
        <w:rPr>
          <w:rFonts w:hint="eastAsia"/>
        </w:rPr>
        <w:t>规划</w:t>
      </w:r>
      <w:r>
        <w:rPr>
          <w:rFonts w:hint="eastAsia"/>
          <w:spacing w:val="-40"/>
          <w:sz w:val="22"/>
        </w:rPr>
        <w:t>——</w:t>
      </w:r>
      <w:r>
        <w:rPr>
          <w:sz w:val="22"/>
        </w:rPr>
        <w:t xml:space="preserve"> </w:t>
      </w:r>
      <w:r>
        <w:rPr>
          <w:rFonts w:hint="eastAsia"/>
        </w:rPr>
        <w:t>北部的贝多因人区</w:t>
      </w:r>
    </w:p>
    <w:p w:rsidR="00000000" w:rsidRDefault="00000000">
      <w:pPr>
        <w:rPr>
          <w:rFonts w:hint="eastAsia"/>
        </w:rPr>
      </w:pPr>
      <w:r>
        <w:rPr>
          <w:rFonts w:hint="eastAsia"/>
        </w:rPr>
        <w:tab/>
        <w:t>113.  1998</w:t>
      </w:r>
      <w:r>
        <w:rPr>
          <w:rFonts w:hint="eastAsia"/>
        </w:rPr>
        <w:t>年，政府决定推行一项在北部发展贝多因人定居点的五年方案。从</w:t>
      </w:r>
      <w:r>
        <w:rPr>
          <w:rFonts w:hint="eastAsia"/>
        </w:rPr>
        <w:t>1999-2003</w:t>
      </w:r>
      <w:r>
        <w:rPr>
          <w:rFonts w:hint="eastAsia"/>
        </w:rPr>
        <w:t>年的这项方案预算应为</w:t>
      </w:r>
      <w:r>
        <w:rPr>
          <w:rFonts w:hint="eastAsia"/>
        </w:rPr>
        <w:t>6.15</w:t>
      </w:r>
      <w:r>
        <w:rPr>
          <w:rFonts w:hint="eastAsia"/>
        </w:rPr>
        <w:t>亿新锡克尔（约为</w:t>
      </w:r>
      <w:r>
        <w:rPr>
          <w:rFonts w:hint="eastAsia"/>
        </w:rPr>
        <w:t>1.54</w:t>
      </w:r>
      <w:r>
        <w:rPr>
          <w:rFonts w:hint="eastAsia"/>
        </w:rPr>
        <w:t>亿美元）。这一方案列有许多目标，包括发展新居住区、建造公共机构、修建公路、铺设排污管、工业区、改善教育体制，开设社会服务机构等等。自</w:t>
      </w:r>
      <w:r>
        <w:rPr>
          <w:rFonts w:hint="eastAsia"/>
        </w:rPr>
        <w:t>1999</w:t>
      </w:r>
      <w:r>
        <w:rPr>
          <w:rFonts w:hint="eastAsia"/>
        </w:rPr>
        <w:t>年以来这项方案正在逐步推进，然而由于行政问题，方案尚未在每一个领域内得到充分实施。</w:t>
      </w:r>
    </w:p>
    <w:p w:rsidR="00000000" w:rsidRDefault="00000000">
      <w:pPr>
        <w:spacing w:after="240"/>
        <w:rPr>
          <w:rFonts w:hint="eastAsia"/>
        </w:rPr>
      </w:pPr>
      <w:r>
        <w:rPr>
          <w:rFonts w:hint="eastAsia"/>
        </w:rPr>
        <w:tab/>
        <w:t xml:space="preserve">114.  </w:t>
      </w:r>
      <w:r>
        <w:rPr>
          <w:rFonts w:hint="eastAsia"/>
        </w:rPr>
        <w:t>以下表格列出了原先采取的若干项决定，决定赋予若干个“未经承认的村庄”合法的乡镇地位。这些村庄目前正处于批准规划过程的各不同阶段。在计划已经批准的定居点中将推行</w:t>
      </w:r>
      <w:r>
        <w:rPr>
          <w:rFonts w:hint="eastAsia"/>
        </w:rPr>
        <w:t xml:space="preserve"> </w:t>
      </w:r>
      <w:r>
        <w:rPr>
          <w:rFonts w:hint="eastAsia"/>
        </w:rPr>
        <w:t>（电力、饮用水、排污和通信）基础结构计划。这些定居点是：</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2"/>
        <w:gridCol w:w="3190"/>
        <w:gridCol w:w="2968"/>
      </w:tblGrid>
      <w:tr w:rsidR="00000000">
        <w:tblPrEx>
          <w:tblCellMar>
            <w:top w:w="0" w:type="dxa"/>
            <w:bottom w:w="0" w:type="dxa"/>
          </w:tblCellMar>
        </w:tblPrEx>
        <w:tc>
          <w:tcPr>
            <w:tcW w:w="2962" w:type="dxa"/>
          </w:tcPr>
          <w:p w:rsidR="00000000" w:rsidRDefault="00000000">
            <w:pPr>
              <w:pStyle w:val="aa"/>
              <w:rPr>
                <w:rFonts w:hint="eastAsia"/>
              </w:rPr>
            </w:pPr>
          </w:p>
        </w:tc>
        <w:tc>
          <w:tcPr>
            <w:tcW w:w="3190" w:type="dxa"/>
          </w:tcPr>
          <w:p w:rsidR="00000000" w:rsidRDefault="00000000">
            <w:pPr>
              <w:pStyle w:val="aa"/>
              <w:jc w:val="center"/>
              <w:rPr>
                <w:rFonts w:hint="eastAsia"/>
              </w:rPr>
            </w:pPr>
            <w:r>
              <w:rPr>
                <w:rFonts w:hint="eastAsia"/>
              </w:rPr>
              <w:t>北</w:t>
            </w:r>
            <w:r>
              <w:t xml:space="preserve">    </w:t>
            </w:r>
            <w:r>
              <w:rPr>
                <w:rFonts w:hint="eastAsia"/>
              </w:rPr>
              <w:t>区</w:t>
            </w:r>
          </w:p>
        </w:tc>
        <w:tc>
          <w:tcPr>
            <w:tcW w:w="2968" w:type="dxa"/>
          </w:tcPr>
          <w:p w:rsidR="00000000" w:rsidRDefault="00000000">
            <w:pPr>
              <w:pStyle w:val="aa"/>
              <w:jc w:val="center"/>
              <w:rPr>
                <w:rFonts w:hint="eastAsia"/>
              </w:rPr>
            </w:pPr>
            <w:r>
              <w:rPr>
                <w:rFonts w:hint="eastAsia"/>
              </w:rPr>
              <w:t>海</w:t>
            </w:r>
            <w:r>
              <w:t xml:space="preserve"> </w:t>
            </w:r>
            <w:r>
              <w:rPr>
                <w:rFonts w:hint="eastAsia"/>
              </w:rPr>
              <w:t>法</w:t>
            </w:r>
            <w:r>
              <w:t xml:space="preserve"> </w:t>
            </w:r>
            <w:r>
              <w:rPr>
                <w:rFonts w:hint="eastAsia"/>
              </w:rPr>
              <w:t>区</w:t>
            </w:r>
          </w:p>
        </w:tc>
      </w:tr>
      <w:tr w:rsidR="00000000">
        <w:tblPrEx>
          <w:tblCellMar>
            <w:top w:w="0" w:type="dxa"/>
            <w:bottom w:w="0" w:type="dxa"/>
          </w:tblCellMar>
        </w:tblPrEx>
        <w:tc>
          <w:tcPr>
            <w:tcW w:w="2962" w:type="dxa"/>
          </w:tcPr>
          <w:p w:rsidR="00000000" w:rsidRDefault="00000000">
            <w:pPr>
              <w:pStyle w:val="aa"/>
              <w:ind w:left="360"/>
              <w:rPr>
                <w:rFonts w:hint="eastAsia"/>
              </w:rPr>
            </w:pPr>
            <w:r>
              <w:rPr>
                <w:rFonts w:hint="eastAsia"/>
              </w:rPr>
              <w:t>处于规划阶段的计划</w:t>
            </w:r>
          </w:p>
        </w:tc>
        <w:tc>
          <w:tcPr>
            <w:tcW w:w="3190" w:type="dxa"/>
          </w:tcPr>
          <w:p w:rsidR="00000000" w:rsidRDefault="00000000">
            <w:pPr>
              <w:pStyle w:val="aa"/>
              <w:ind w:left="410"/>
            </w:pPr>
            <w:r>
              <w:rPr>
                <w:rFonts w:hint="eastAsia"/>
              </w:rPr>
              <w:t xml:space="preserve">1.  </w:t>
            </w:r>
            <w:r>
              <w:t>Sawaid Hamira</w:t>
            </w:r>
          </w:p>
          <w:p w:rsidR="00000000" w:rsidRDefault="00000000">
            <w:pPr>
              <w:pStyle w:val="aa"/>
              <w:ind w:left="410"/>
            </w:pPr>
            <w:r>
              <w:t xml:space="preserve">2.  </w:t>
            </w:r>
            <w:r>
              <w:rPr>
                <w:rFonts w:hint="eastAsia"/>
              </w:rPr>
              <w:t>A</w:t>
            </w:r>
            <w:r>
              <w:t>rab El-Naim</w:t>
            </w:r>
          </w:p>
        </w:tc>
        <w:tc>
          <w:tcPr>
            <w:tcW w:w="2968" w:type="dxa"/>
          </w:tcPr>
          <w:p w:rsidR="00000000" w:rsidRDefault="00000000">
            <w:pPr>
              <w:pStyle w:val="aa"/>
              <w:rPr>
                <w:rFonts w:hint="eastAsia"/>
              </w:rPr>
            </w:pPr>
          </w:p>
        </w:tc>
      </w:tr>
      <w:tr w:rsidR="00000000">
        <w:tblPrEx>
          <w:tblCellMar>
            <w:top w:w="0" w:type="dxa"/>
            <w:bottom w:w="0" w:type="dxa"/>
          </w:tblCellMar>
        </w:tblPrEx>
        <w:tc>
          <w:tcPr>
            <w:tcW w:w="2962" w:type="dxa"/>
          </w:tcPr>
          <w:p w:rsidR="00000000" w:rsidRDefault="00000000">
            <w:pPr>
              <w:pStyle w:val="aa"/>
              <w:ind w:left="360"/>
              <w:rPr>
                <w:rFonts w:hint="eastAsia"/>
              </w:rPr>
            </w:pPr>
            <w:r>
              <w:rPr>
                <w:rFonts w:hint="eastAsia"/>
              </w:rPr>
              <w:t>处于批准阶段的计划</w:t>
            </w:r>
          </w:p>
        </w:tc>
        <w:tc>
          <w:tcPr>
            <w:tcW w:w="3190" w:type="dxa"/>
          </w:tcPr>
          <w:p w:rsidR="00000000" w:rsidRDefault="00000000">
            <w:pPr>
              <w:pStyle w:val="aa"/>
              <w:ind w:left="410"/>
              <w:rPr>
                <w:lang w:val="fr-FR"/>
              </w:rPr>
            </w:pPr>
            <w:r>
              <w:rPr>
                <w:rFonts w:hint="eastAsia"/>
                <w:lang w:val="fr-FR"/>
              </w:rPr>
              <w:t xml:space="preserve">1.  </w:t>
            </w:r>
            <w:r>
              <w:rPr>
                <w:lang w:val="fr-FR"/>
              </w:rPr>
              <w:t>Hussnia</w:t>
            </w:r>
          </w:p>
          <w:p w:rsidR="00000000" w:rsidRDefault="00000000">
            <w:pPr>
              <w:pStyle w:val="aa"/>
              <w:ind w:left="410"/>
              <w:rPr>
                <w:lang w:val="fr-FR"/>
              </w:rPr>
            </w:pPr>
            <w:r>
              <w:rPr>
                <w:lang w:val="fr-FR"/>
              </w:rPr>
              <w:t xml:space="preserve">2.  </w:t>
            </w:r>
            <w:r>
              <w:rPr>
                <w:rFonts w:hint="eastAsia"/>
                <w:lang w:val="fr-FR"/>
              </w:rPr>
              <w:t>R</w:t>
            </w:r>
            <w:r>
              <w:rPr>
                <w:lang w:val="fr-FR"/>
              </w:rPr>
              <w:t>as El-Ein</w:t>
            </w:r>
          </w:p>
        </w:tc>
        <w:tc>
          <w:tcPr>
            <w:tcW w:w="2968" w:type="dxa"/>
          </w:tcPr>
          <w:p w:rsidR="00000000" w:rsidRDefault="00000000">
            <w:pPr>
              <w:pStyle w:val="aa"/>
              <w:ind w:left="820"/>
              <w:rPr>
                <w:lang w:val="fr-FR"/>
              </w:rPr>
            </w:pPr>
            <w:r>
              <w:rPr>
                <w:lang w:val="fr-FR"/>
              </w:rPr>
              <w:t xml:space="preserve">1.  </w:t>
            </w:r>
            <w:r>
              <w:rPr>
                <w:rFonts w:hint="eastAsia"/>
                <w:lang w:val="fr-FR"/>
              </w:rPr>
              <w:t>E</w:t>
            </w:r>
            <w:r>
              <w:rPr>
                <w:lang w:val="fr-FR"/>
              </w:rPr>
              <w:t>in Hod</w:t>
            </w:r>
          </w:p>
        </w:tc>
      </w:tr>
      <w:tr w:rsidR="00000000">
        <w:tblPrEx>
          <w:tblCellMar>
            <w:top w:w="0" w:type="dxa"/>
            <w:bottom w:w="0" w:type="dxa"/>
          </w:tblCellMar>
        </w:tblPrEx>
        <w:tc>
          <w:tcPr>
            <w:tcW w:w="2962" w:type="dxa"/>
          </w:tcPr>
          <w:p w:rsidR="00000000" w:rsidRDefault="00000000">
            <w:pPr>
              <w:pStyle w:val="aa"/>
              <w:ind w:left="360"/>
              <w:rPr>
                <w:rFonts w:hint="eastAsia"/>
                <w:lang w:val="fr-FR"/>
              </w:rPr>
            </w:pPr>
            <w:r>
              <w:rPr>
                <w:rFonts w:hint="eastAsia"/>
              </w:rPr>
              <w:t>已经批准的计划</w:t>
            </w:r>
          </w:p>
        </w:tc>
        <w:tc>
          <w:tcPr>
            <w:tcW w:w="3190" w:type="dxa"/>
          </w:tcPr>
          <w:p w:rsidR="00000000" w:rsidRDefault="00000000">
            <w:pPr>
              <w:pStyle w:val="aa"/>
              <w:ind w:left="410"/>
              <w:rPr>
                <w:lang w:val="fr-FR"/>
              </w:rPr>
            </w:pPr>
            <w:r>
              <w:rPr>
                <w:rFonts w:hint="eastAsia"/>
                <w:lang w:val="fr-FR"/>
              </w:rPr>
              <w:t>1.</w:t>
            </w:r>
            <w:r>
              <w:rPr>
                <w:lang w:val="fr-FR"/>
              </w:rPr>
              <w:t xml:space="preserve">  Dmeira</w:t>
            </w:r>
          </w:p>
          <w:p w:rsidR="00000000" w:rsidRDefault="00000000">
            <w:pPr>
              <w:pStyle w:val="aa"/>
              <w:ind w:left="410"/>
              <w:rPr>
                <w:lang w:val="fr-FR"/>
              </w:rPr>
            </w:pPr>
            <w:r>
              <w:rPr>
                <w:lang w:val="fr-FR"/>
              </w:rPr>
              <w:t>2.  Kamane</w:t>
            </w:r>
          </w:p>
        </w:tc>
        <w:tc>
          <w:tcPr>
            <w:tcW w:w="2968" w:type="dxa"/>
          </w:tcPr>
          <w:p w:rsidR="00000000" w:rsidRDefault="00000000">
            <w:pPr>
              <w:pStyle w:val="aa"/>
              <w:ind w:left="820"/>
              <w:rPr>
                <w:lang w:val="fr-FR"/>
              </w:rPr>
            </w:pPr>
            <w:r>
              <w:rPr>
                <w:lang w:val="fr-FR"/>
              </w:rPr>
              <w:t>1.  Hawaled</w:t>
            </w:r>
          </w:p>
          <w:p w:rsidR="00000000" w:rsidRDefault="00000000">
            <w:pPr>
              <w:pStyle w:val="aa"/>
              <w:ind w:left="820"/>
              <w:rPr>
                <w:lang w:val="fr-FR"/>
              </w:rPr>
            </w:pPr>
            <w:r>
              <w:rPr>
                <w:lang w:val="fr-FR"/>
              </w:rPr>
              <w:t>2.  El Arian</w:t>
            </w:r>
          </w:p>
        </w:tc>
      </w:tr>
    </w:tbl>
    <w:p w:rsidR="00000000" w:rsidRDefault="00000000">
      <w:pPr>
        <w:spacing w:before="240" w:after="240"/>
        <w:rPr>
          <w:rFonts w:hint="eastAsia"/>
        </w:rPr>
      </w:pPr>
      <w:r>
        <w:rPr>
          <w:lang w:val="fr-FR"/>
        </w:rPr>
        <w:tab/>
        <w:t xml:space="preserve">115.  </w:t>
      </w:r>
      <w:r>
        <w:rPr>
          <w:rFonts w:hint="eastAsia"/>
        </w:rPr>
        <w:t>正如以上表格所展示的</w:t>
      </w:r>
      <w:r>
        <w:rPr>
          <w:rFonts w:hint="eastAsia"/>
          <w:lang w:val="fr-FR"/>
        </w:rPr>
        <w:t>，</w:t>
      </w:r>
      <w:r>
        <w:rPr>
          <w:rFonts w:hint="eastAsia"/>
          <w:lang w:val="fr-FR"/>
        </w:rPr>
        <w:t xml:space="preserve"> A</w:t>
      </w:r>
      <w:r>
        <w:rPr>
          <w:lang w:val="fr-FR"/>
        </w:rPr>
        <w:t>rab El-Naim</w:t>
      </w:r>
      <w:r>
        <w:rPr>
          <w:rFonts w:hint="eastAsia"/>
        </w:rPr>
        <w:t>村将在其计划制定就绪和得到批准后予以承认。</w:t>
      </w:r>
      <w:r>
        <w:t>Ein Hod’s</w:t>
      </w:r>
      <w:r>
        <w:rPr>
          <w:rFonts w:hint="eastAsia"/>
        </w:rPr>
        <w:t>的建筑计划已经制定就绪并等待批准（委员会对上述这两个定居点尤为关注）。</w:t>
      </w:r>
    </w:p>
    <w:p w:rsidR="00000000" w:rsidRDefault="00000000">
      <w:pPr>
        <w:pStyle w:val="Heading4"/>
        <w:rPr>
          <w:rFonts w:hint="eastAsia"/>
        </w:rPr>
      </w:pPr>
      <w:r>
        <w:rPr>
          <w:rFonts w:hint="eastAsia"/>
        </w:rPr>
        <w:t>规划</w:t>
      </w:r>
      <w:r>
        <w:rPr>
          <w:rFonts w:hint="eastAsia"/>
          <w:spacing w:val="-40"/>
          <w:sz w:val="22"/>
        </w:rPr>
        <w:t>——</w:t>
      </w:r>
      <w:r>
        <w:rPr>
          <w:sz w:val="22"/>
        </w:rPr>
        <w:t xml:space="preserve"> </w:t>
      </w:r>
      <w:r>
        <w:rPr>
          <w:rFonts w:hint="eastAsia"/>
          <w:sz w:val="22"/>
        </w:rPr>
        <w:t>南部的</w:t>
      </w:r>
      <w:r>
        <w:rPr>
          <w:rFonts w:hint="eastAsia"/>
        </w:rPr>
        <w:t>贝多因人区</w:t>
      </w:r>
    </w:p>
    <w:p w:rsidR="00000000" w:rsidRDefault="00000000">
      <w:pPr>
        <w:rPr>
          <w:rFonts w:hint="eastAsia"/>
        </w:rPr>
      </w:pPr>
      <w:r>
        <w:rPr>
          <w:rFonts w:hint="eastAsia"/>
        </w:rPr>
        <w:tab/>
        <w:t xml:space="preserve">116.  </w:t>
      </w:r>
      <w:r>
        <w:rPr>
          <w:rFonts w:hint="eastAsia"/>
        </w:rPr>
        <w:t>根据估算，目前在以色列南部</w:t>
      </w:r>
      <w:r>
        <w:t>Negev</w:t>
      </w:r>
      <w:r>
        <w:rPr>
          <w:rFonts w:hint="eastAsia"/>
        </w:rPr>
        <w:t>荒漠区居住着</w:t>
      </w:r>
      <w:r>
        <w:rPr>
          <w:rFonts w:hint="eastAsia"/>
        </w:rPr>
        <w:t>120,000</w:t>
      </w:r>
      <w:r>
        <w:rPr>
          <w:rFonts w:hint="eastAsia"/>
        </w:rPr>
        <w:t>名贝多因人，每年人口增长率约为</w:t>
      </w:r>
      <w:r>
        <w:rPr>
          <w:rFonts w:hint="eastAsia"/>
        </w:rPr>
        <w:t>5.8%</w:t>
      </w:r>
      <w:r>
        <w:rPr>
          <w:rFonts w:hint="eastAsia"/>
        </w:rPr>
        <w:t>。</w:t>
      </w:r>
    </w:p>
    <w:p w:rsidR="00000000" w:rsidRDefault="00000000">
      <w:pPr>
        <w:rPr>
          <w:rFonts w:hint="eastAsia"/>
        </w:rPr>
      </w:pPr>
      <w:r>
        <w:rPr>
          <w:rFonts w:hint="eastAsia"/>
        </w:rPr>
        <w:tab/>
        <w:t>117.  1999</w:t>
      </w:r>
      <w:r>
        <w:rPr>
          <w:rFonts w:hint="eastAsia"/>
        </w:rPr>
        <w:t>年，政府准备建立</w:t>
      </w:r>
      <w:r>
        <w:rPr>
          <w:rFonts w:hint="eastAsia"/>
        </w:rPr>
        <w:t>5</w:t>
      </w:r>
      <w:r>
        <w:rPr>
          <w:rFonts w:hint="eastAsia"/>
        </w:rPr>
        <w:t>个贝多因人新城镇。根据向迁移至城镇内或被承认的村庄中的贝多因人提供补偿的新特殊安排，新建村拟不向贝多因人征收地皮费。此外，他们在原非法居住点放弃的任何资产还将获得相当数额的赔偿。</w:t>
      </w:r>
    </w:p>
    <w:p w:rsidR="00000000" w:rsidRDefault="00000000">
      <w:pPr>
        <w:rPr>
          <w:rFonts w:hint="eastAsia"/>
        </w:rPr>
      </w:pPr>
      <w:r>
        <w:rPr>
          <w:rFonts w:hint="eastAsia"/>
        </w:rPr>
        <w:tab/>
        <w:t xml:space="preserve">118.  </w:t>
      </w:r>
      <w:r>
        <w:rPr>
          <w:rFonts w:hint="eastAsia"/>
        </w:rPr>
        <w:t>一项新提议争取增建四个新的贝多因人居住点：两个村庄、一个郊区镇和一个农业村庄。此外，并在现有的城镇内建立两个新住宅区。</w:t>
      </w:r>
    </w:p>
    <w:p w:rsidR="00000000" w:rsidRDefault="00000000">
      <w:pPr>
        <w:rPr>
          <w:rFonts w:hint="eastAsia"/>
        </w:rPr>
      </w:pPr>
      <w:r>
        <w:rPr>
          <w:rFonts w:hint="eastAsia"/>
        </w:rPr>
        <w:tab/>
        <w:t xml:space="preserve">119.  </w:t>
      </w:r>
      <w:r>
        <w:rPr>
          <w:rFonts w:hint="eastAsia"/>
        </w:rPr>
        <w:t>以上所述的决定得到了卫生部、教育部和大众保健基金的支持。以上三个部门将负责在新的定居点中建立自己的机构，以提供学校和卫生服务的基础设施。</w:t>
      </w:r>
    </w:p>
    <w:p w:rsidR="00000000" w:rsidRDefault="00000000">
      <w:pPr>
        <w:rPr>
          <w:rFonts w:hint="eastAsia"/>
        </w:rPr>
      </w:pPr>
      <w:r>
        <w:rPr>
          <w:rFonts w:hint="eastAsia"/>
        </w:rPr>
        <w:tab/>
        <w:t>120.  2000</w:t>
      </w:r>
      <w:r>
        <w:rPr>
          <w:rFonts w:hint="eastAsia"/>
        </w:rPr>
        <w:t>年</w:t>
      </w:r>
      <w:r>
        <w:rPr>
          <w:rFonts w:hint="eastAsia"/>
        </w:rPr>
        <w:t>8</w:t>
      </w:r>
      <w:r>
        <w:rPr>
          <w:rFonts w:hint="eastAsia"/>
        </w:rPr>
        <w:t>月</w:t>
      </w:r>
      <w:r>
        <w:rPr>
          <w:rFonts w:hint="eastAsia"/>
        </w:rPr>
        <w:t>21</w:t>
      </w:r>
      <w:r>
        <w:rPr>
          <w:rFonts w:hint="eastAsia"/>
        </w:rPr>
        <w:t>日，政府决定对南部的贝多因人口实行一项新政策。这项新方案的目标是弥合这一人口群体与全国其他人口之间的社会经济差距。</w:t>
      </w:r>
    </w:p>
    <w:p w:rsidR="00000000" w:rsidRDefault="00000000">
      <w:pPr>
        <w:rPr>
          <w:rFonts w:hint="eastAsia"/>
        </w:rPr>
      </w:pPr>
      <w:r>
        <w:rPr>
          <w:rFonts w:hint="eastAsia"/>
        </w:rPr>
        <w:tab/>
        <w:t xml:space="preserve">121.  </w:t>
      </w:r>
      <w:r>
        <w:rPr>
          <w:rFonts w:hint="eastAsia"/>
        </w:rPr>
        <w:t>政府的新方案包括为贝多因族建造新的定居点。并将致力于满足贝多因人口扩增地皮的需要。然而，是否拥有地皮所有权，已不再是提供服务的先决条件。有关新定居点的决定已经作出，将包括</w:t>
      </w:r>
      <w:r>
        <w:t>Mareit</w:t>
      </w:r>
      <w:r>
        <w:t>（</w:t>
      </w:r>
      <w:r>
        <w:t>Darajat</w:t>
      </w:r>
      <w:r>
        <w:t>）</w:t>
      </w:r>
      <w:r>
        <w:rPr>
          <w:rFonts w:hint="eastAsia"/>
        </w:rPr>
        <w:t>、</w:t>
      </w:r>
      <w:r>
        <w:t>Bert-Pelet</w:t>
      </w:r>
      <w:r>
        <w:rPr>
          <w:rFonts w:hint="eastAsia"/>
        </w:rPr>
        <w:t>和</w:t>
      </w:r>
      <w:r>
        <w:t>Bert-Hil</w:t>
      </w:r>
      <w:r>
        <w:rPr>
          <w:rFonts w:hint="eastAsia"/>
        </w:rPr>
        <w:t>。关于这些新定居点，已经向规划机构提出了蓝图，以供批准。</w:t>
      </w:r>
      <w:r>
        <w:t>Hawashla</w:t>
      </w:r>
      <w:r>
        <w:rPr>
          <w:rFonts w:hint="eastAsia"/>
        </w:rPr>
        <w:t>、</w:t>
      </w:r>
      <w:r>
        <w:t>UmBetin</w:t>
      </w:r>
      <w:r>
        <w:rPr>
          <w:rFonts w:hint="eastAsia"/>
        </w:rPr>
        <w:t>、</w:t>
      </w:r>
      <w:r>
        <w:t>Tarabin AISana</w:t>
      </w:r>
      <w:r>
        <w:rPr>
          <w:rFonts w:hint="eastAsia"/>
        </w:rPr>
        <w:t>和</w:t>
      </w:r>
      <w:r>
        <w:t>Molada</w:t>
      </w:r>
      <w:r>
        <w:rPr>
          <w:rFonts w:hint="eastAsia"/>
        </w:rPr>
        <w:t>各新定居点还处于规划阶段。</w:t>
      </w:r>
    </w:p>
    <w:p w:rsidR="00000000" w:rsidRDefault="00000000">
      <w:pPr>
        <w:spacing w:after="240"/>
        <w:rPr>
          <w:rFonts w:hint="eastAsia"/>
        </w:rPr>
      </w:pPr>
      <w:r>
        <w:rPr>
          <w:rFonts w:hint="eastAsia"/>
        </w:rPr>
        <w:tab/>
        <w:t xml:space="preserve">122.  </w:t>
      </w:r>
      <w:r>
        <w:rPr>
          <w:rFonts w:hint="eastAsia"/>
        </w:rPr>
        <w:t>南部规划概况如下：</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gridCol w:w="5040"/>
      </w:tblGrid>
      <w:tr w:rsidR="00000000">
        <w:tblPrEx>
          <w:tblCellMar>
            <w:top w:w="0" w:type="dxa"/>
            <w:bottom w:w="0" w:type="dxa"/>
          </w:tblCellMar>
        </w:tblPrEx>
        <w:tc>
          <w:tcPr>
            <w:tcW w:w="4080" w:type="dxa"/>
          </w:tcPr>
          <w:p w:rsidR="00000000" w:rsidRDefault="00000000">
            <w:pPr>
              <w:pStyle w:val="aa"/>
              <w:rPr>
                <w:rFonts w:hint="eastAsia"/>
              </w:rPr>
            </w:pPr>
          </w:p>
        </w:tc>
        <w:tc>
          <w:tcPr>
            <w:tcW w:w="5040" w:type="dxa"/>
          </w:tcPr>
          <w:p w:rsidR="00000000" w:rsidRDefault="00000000">
            <w:pPr>
              <w:pStyle w:val="aa"/>
              <w:jc w:val="center"/>
              <w:rPr>
                <w:rFonts w:hint="eastAsia"/>
              </w:rPr>
            </w:pPr>
            <w:r>
              <w:rPr>
                <w:rFonts w:hint="eastAsia"/>
              </w:rPr>
              <w:t>南</w:t>
            </w:r>
            <w:r>
              <w:rPr>
                <w:rFonts w:hint="eastAsia"/>
              </w:rPr>
              <w:t xml:space="preserve">        </w:t>
            </w:r>
            <w:r>
              <w:rPr>
                <w:rFonts w:hint="eastAsia"/>
              </w:rPr>
              <w:t>区</w:t>
            </w:r>
          </w:p>
        </w:tc>
      </w:tr>
      <w:tr w:rsidR="00000000">
        <w:tblPrEx>
          <w:tblCellMar>
            <w:top w:w="0" w:type="dxa"/>
            <w:bottom w:w="0" w:type="dxa"/>
          </w:tblCellMar>
        </w:tblPrEx>
        <w:tc>
          <w:tcPr>
            <w:tcW w:w="4080" w:type="dxa"/>
          </w:tcPr>
          <w:p w:rsidR="00000000" w:rsidRDefault="00000000">
            <w:pPr>
              <w:pStyle w:val="aa"/>
              <w:rPr>
                <w:rFonts w:hint="eastAsia"/>
              </w:rPr>
            </w:pPr>
            <w:r>
              <w:rPr>
                <w:rFonts w:hint="eastAsia"/>
              </w:rPr>
              <w:t>处于规划阶段的计划</w:t>
            </w:r>
          </w:p>
        </w:tc>
        <w:tc>
          <w:tcPr>
            <w:tcW w:w="5040" w:type="dxa"/>
          </w:tcPr>
          <w:p w:rsidR="00000000" w:rsidRDefault="00000000">
            <w:pPr>
              <w:pStyle w:val="aa"/>
            </w:pPr>
            <w:r>
              <w:t>Hawashla</w:t>
            </w:r>
            <w:r>
              <w:rPr>
                <w:rFonts w:hint="eastAsia"/>
              </w:rPr>
              <w:t>、</w:t>
            </w:r>
            <w:r>
              <w:t>UmBetin</w:t>
            </w:r>
            <w:r>
              <w:rPr>
                <w:rFonts w:hint="eastAsia"/>
              </w:rPr>
              <w:t>、</w:t>
            </w:r>
            <w:r>
              <w:t>Tarabin AISana</w:t>
            </w:r>
            <w:r>
              <w:rPr>
                <w:rFonts w:hint="eastAsia"/>
              </w:rPr>
              <w:t>和</w:t>
            </w:r>
            <w:r>
              <w:t>Molada</w:t>
            </w:r>
          </w:p>
        </w:tc>
      </w:tr>
      <w:tr w:rsidR="00000000">
        <w:tblPrEx>
          <w:tblCellMar>
            <w:top w:w="0" w:type="dxa"/>
            <w:bottom w:w="0" w:type="dxa"/>
          </w:tblCellMar>
        </w:tblPrEx>
        <w:tc>
          <w:tcPr>
            <w:tcW w:w="4080" w:type="dxa"/>
          </w:tcPr>
          <w:p w:rsidR="00000000" w:rsidRDefault="00000000">
            <w:pPr>
              <w:pStyle w:val="aa"/>
              <w:rPr>
                <w:rFonts w:hint="eastAsia"/>
              </w:rPr>
            </w:pPr>
            <w:r>
              <w:rPr>
                <w:rFonts w:hint="eastAsia"/>
              </w:rPr>
              <w:t>正在批准阶段的计划</w:t>
            </w:r>
          </w:p>
        </w:tc>
        <w:tc>
          <w:tcPr>
            <w:tcW w:w="5040" w:type="dxa"/>
          </w:tcPr>
          <w:p w:rsidR="00000000" w:rsidRDefault="00000000">
            <w:pPr>
              <w:pStyle w:val="aa"/>
            </w:pPr>
            <w:r>
              <w:t>Tarabin A-Sana</w:t>
            </w:r>
            <w:r>
              <w:rPr>
                <w:rFonts w:hint="eastAsia"/>
              </w:rPr>
              <w:t>、</w:t>
            </w:r>
            <w:r>
              <w:t xml:space="preserve"> Bert Pelet</w:t>
            </w:r>
            <w:r>
              <w:rPr>
                <w:rFonts w:hint="eastAsia"/>
              </w:rPr>
              <w:t>、</w:t>
            </w:r>
            <w:r>
              <w:t>Marert</w:t>
            </w:r>
            <w:r>
              <w:rPr>
                <w:rFonts w:hint="eastAsia"/>
              </w:rPr>
              <w:t>和</w:t>
            </w:r>
            <w:r>
              <w:t>Be’er Hail</w:t>
            </w:r>
            <w:r>
              <w:rPr>
                <w:rFonts w:hint="eastAsia"/>
              </w:rPr>
              <w:t>、</w:t>
            </w:r>
            <w:r>
              <w:t xml:space="preserve"> Kochle</w:t>
            </w:r>
          </w:p>
        </w:tc>
      </w:tr>
      <w:tr w:rsidR="00000000">
        <w:tblPrEx>
          <w:tblCellMar>
            <w:top w:w="0" w:type="dxa"/>
            <w:bottom w:w="0" w:type="dxa"/>
          </w:tblCellMar>
        </w:tblPrEx>
        <w:tc>
          <w:tcPr>
            <w:tcW w:w="4080" w:type="dxa"/>
          </w:tcPr>
          <w:p w:rsidR="00000000" w:rsidRDefault="00000000">
            <w:pPr>
              <w:pStyle w:val="aa"/>
              <w:rPr>
                <w:rFonts w:hint="eastAsia"/>
              </w:rPr>
            </w:pPr>
            <w:r>
              <w:rPr>
                <w:rFonts w:hint="eastAsia"/>
              </w:rPr>
              <w:t>已批准的规划</w:t>
            </w:r>
          </w:p>
        </w:tc>
        <w:tc>
          <w:tcPr>
            <w:tcW w:w="5040" w:type="dxa"/>
          </w:tcPr>
          <w:p w:rsidR="00000000" w:rsidRDefault="00000000">
            <w:pPr>
              <w:pStyle w:val="aa"/>
            </w:pPr>
          </w:p>
        </w:tc>
      </w:tr>
    </w:tbl>
    <w:p w:rsidR="00000000" w:rsidRDefault="00000000">
      <w:pPr>
        <w:pStyle w:val="Heading3"/>
        <w:spacing w:before="320"/>
        <w:rPr>
          <w:rFonts w:hint="eastAsia"/>
        </w:rPr>
      </w:pPr>
      <w:r>
        <w:rPr>
          <w:rFonts w:hint="eastAsia"/>
          <w:u w:val="none"/>
        </w:rPr>
        <w:t>N.</w:t>
      </w:r>
      <w:r>
        <w:rPr>
          <w:rFonts w:hint="eastAsia"/>
          <w:u w:val="none"/>
        </w:rPr>
        <w:tab/>
      </w:r>
      <w:r>
        <w:rPr>
          <w:rFonts w:hint="eastAsia"/>
        </w:rPr>
        <w:t>区域纲要计划（结论性意见第</w:t>
      </w:r>
      <w:r>
        <w:rPr>
          <w:rFonts w:hint="eastAsia"/>
        </w:rPr>
        <w:t>27</w:t>
      </w:r>
      <w:r>
        <w:rPr>
          <w:rFonts w:hint="eastAsia"/>
        </w:rPr>
        <w:t>段</w:t>
      </w:r>
      <w:r>
        <w:rPr>
          <w:rFonts w:hint="eastAsia"/>
          <w:u w:val="none"/>
        </w:rPr>
        <w:t>）</w:t>
      </w:r>
    </w:p>
    <w:p w:rsidR="00000000" w:rsidRDefault="00000000">
      <w:pPr>
        <w:rPr>
          <w:rFonts w:hint="eastAsia"/>
        </w:rPr>
      </w:pPr>
      <w:r>
        <w:rPr>
          <w:rFonts w:hint="eastAsia"/>
        </w:rPr>
        <w:tab/>
        <w:t xml:space="preserve">123.  </w:t>
      </w:r>
      <w:r>
        <w:rPr>
          <w:rFonts w:hint="eastAsia"/>
        </w:rPr>
        <w:t>委员会对以色列北区和</w:t>
      </w:r>
      <w:r>
        <w:t>Negev</w:t>
      </w:r>
      <w:r>
        <w:rPr>
          <w:rFonts w:hint="eastAsia"/>
        </w:rPr>
        <w:t>区域的纲要计划感到关注。这一问题在更多的程度上涉及到以色列阿拉伯人的需要问题，而不是贝多因人“未经承认村庄”的情况。这一情况已在前面的章节中进行了论述。</w:t>
      </w:r>
    </w:p>
    <w:p w:rsidR="00000000" w:rsidRDefault="00000000">
      <w:pPr>
        <w:rPr>
          <w:rFonts w:hint="eastAsia"/>
        </w:rPr>
      </w:pPr>
      <w:r>
        <w:rPr>
          <w:rFonts w:hint="eastAsia"/>
        </w:rPr>
        <w:tab/>
        <w:t xml:space="preserve">124.  </w:t>
      </w:r>
      <w:r>
        <w:rPr>
          <w:rFonts w:hint="eastAsia"/>
        </w:rPr>
        <w:t>应当指出，</w:t>
      </w:r>
      <w:r>
        <w:rPr>
          <w:rFonts w:hint="eastAsia"/>
        </w:rPr>
        <w:t>1999</w:t>
      </w:r>
      <w:r>
        <w:rPr>
          <w:rFonts w:hint="eastAsia"/>
        </w:rPr>
        <w:t>年</w:t>
      </w:r>
      <w:r>
        <w:rPr>
          <w:rFonts w:hint="eastAsia"/>
        </w:rPr>
        <w:t>9</w:t>
      </w:r>
      <w:r>
        <w:rPr>
          <w:rFonts w:hint="eastAsia"/>
        </w:rPr>
        <w:t>月</w:t>
      </w:r>
      <w:r>
        <w:rPr>
          <w:rFonts w:hint="eastAsia"/>
        </w:rPr>
        <w:t>7</w:t>
      </w:r>
      <w:r>
        <w:rPr>
          <w:rFonts w:hint="eastAsia"/>
        </w:rPr>
        <w:t>日已经交存了以色列北区的新区计划。新计划中的大部分建议是要发展</w:t>
      </w:r>
      <w:r>
        <w:t>Galilee</w:t>
      </w:r>
      <w:r>
        <w:rPr>
          <w:rFonts w:hint="eastAsia"/>
        </w:rPr>
        <w:t>中心区。在该区域居住的犹太居民占</w:t>
      </w:r>
      <w:r>
        <w:rPr>
          <w:rFonts w:hint="eastAsia"/>
        </w:rPr>
        <w:t>41%</w:t>
      </w:r>
      <w:r>
        <w:rPr>
          <w:rFonts w:hint="eastAsia"/>
        </w:rPr>
        <w:t>，而该区域的阿拉伯居民占</w:t>
      </w:r>
      <w:r>
        <w:rPr>
          <w:rFonts w:hint="eastAsia"/>
        </w:rPr>
        <w:t>82%</w:t>
      </w:r>
      <w:r>
        <w:rPr>
          <w:rFonts w:hint="eastAsia"/>
        </w:rPr>
        <w:t>。加快该区的发展将提高两族居民人口的生活水平，特别是阿拉伯人口的生活水平，因为阿拉伯人在该区占重大的比重。此外，该计划特别考虑到了阿拉伯居民的特殊人口需要，因为阿拉伯人口群体比犹太人口群体大得多。</w:t>
      </w:r>
    </w:p>
    <w:p w:rsidR="00000000" w:rsidRDefault="00000000">
      <w:pPr>
        <w:rPr>
          <w:rFonts w:hint="eastAsia"/>
        </w:rPr>
      </w:pPr>
      <w:r>
        <w:rPr>
          <w:rFonts w:hint="eastAsia"/>
        </w:rPr>
        <w:tab/>
        <w:t xml:space="preserve">125.  </w:t>
      </w:r>
      <w:r>
        <w:rPr>
          <w:rFonts w:hint="eastAsia"/>
        </w:rPr>
        <w:t>根据一项以发展现有定居点为要旨的政策，没有规划新的阿拉伯定居点。这是分析了阿拉伯人口的发展趋势并在与阿拉伯族首脑人物商谈的基础上制定的政策。这项政策与在与阿拉伯区非法建造的现象相关，而这种现象本身即是一个复杂的问题。</w:t>
      </w:r>
    </w:p>
    <w:p w:rsidR="00000000" w:rsidRDefault="00000000">
      <w:pPr>
        <w:rPr>
          <w:rFonts w:hint="eastAsia"/>
        </w:rPr>
      </w:pPr>
      <w:r>
        <w:rPr>
          <w:rFonts w:hint="eastAsia"/>
        </w:rPr>
        <w:tab/>
        <w:t xml:space="preserve">126.  </w:t>
      </w:r>
      <w:r>
        <w:rPr>
          <w:rFonts w:hint="eastAsia"/>
        </w:rPr>
        <w:t>阿拉伯人口的年递增率是</w:t>
      </w:r>
      <w:r>
        <w:rPr>
          <w:rFonts w:hint="eastAsia"/>
        </w:rPr>
        <w:t>3%</w:t>
      </w:r>
      <w:r>
        <w:rPr>
          <w:rFonts w:hint="eastAsia"/>
        </w:rPr>
        <w:t>。需要住房的新家庭每年大约为</w:t>
      </w:r>
      <w:r>
        <w:rPr>
          <w:rFonts w:hint="eastAsia"/>
        </w:rPr>
        <w:t>10,000</w:t>
      </w:r>
      <w:r>
        <w:rPr>
          <w:rFonts w:hint="eastAsia"/>
        </w:rPr>
        <w:t>个。大部分阿拉伯人口是在其现有的家庭住房局限内解决住房扩增问题（采取扩建现有的住房或者在家庭院子内增盖住房的办法）。增加地皮和扩大现有定居点的压力逐年增长。上述这些因素加剧了非法建造的现象。</w:t>
      </w:r>
    </w:p>
    <w:p w:rsidR="00000000" w:rsidRDefault="00000000">
      <w:pPr>
        <w:rPr>
          <w:rFonts w:hint="eastAsia"/>
        </w:rPr>
      </w:pPr>
      <w:r>
        <w:rPr>
          <w:rFonts w:hint="eastAsia"/>
        </w:rPr>
        <w:tab/>
        <w:t xml:space="preserve">127.  </w:t>
      </w:r>
      <w:r>
        <w:rPr>
          <w:rFonts w:hint="eastAsia"/>
        </w:rPr>
        <w:t>这些非法建筑有一部分是建造在归当事家庭所有，但未批准用于建房的地皮上的。此外还有侵占公共地皮进行非法建造的情况。通常，阿拉伯人的住房是单层密集度较低的平房。随着时间的推移，这些建筑由于不断为后代扩建，形成了多层建筑。在阿拉伯区域建筑密度唯一较高的是犹太</w:t>
      </w:r>
      <w:r>
        <w:rPr>
          <w:rFonts w:hint="eastAsia"/>
          <w:spacing w:val="-40"/>
          <w:sz w:val="22"/>
        </w:rPr>
        <w:t>与</w:t>
      </w:r>
      <w:r>
        <w:rPr>
          <w:rFonts w:hint="eastAsia"/>
        </w:rPr>
        <w:t>阿拉伯人混合的社区或者以犹太人为主的社区。由于这类社区不能无限度地扩大，并且由于问题逐年恶化，越来越有必要倾向于修建多层楼房（高密度建筑）。</w:t>
      </w:r>
    </w:p>
    <w:p w:rsidR="00000000" w:rsidRDefault="00000000">
      <w:pPr>
        <w:rPr>
          <w:rFonts w:hint="eastAsia"/>
        </w:rPr>
      </w:pPr>
      <w:r>
        <w:rPr>
          <w:rFonts w:hint="eastAsia"/>
        </w:rPr>
        <w:tab/>
        <w:t xml:space="preserve">128.  </w:t>
      </w:r>
      <w:r>
        <w:rPr>
          <w:rFonts w:hint="eastAsia"/>
        </w:rPr>
        <w:t>关于该国南部</w:t>
      </w:r>
      <w:r>
        <w:t>Negev</w:t>
      </w:r>
      <w:r>
        <w:rPr>
          <w:rFonts w:hint="eastAsia"/>
        </w:rPr>
        <w:t>地区，已经于</w:t>
      </w:r>
      <w:r>
        <w:rPr>
          <w:rFonts w:hint="eastAsia"/>
        </w:rPr>
        <w:t>2000</w:t>
      </w:r>
      <w:r>
        <w:rPr>
          <w:rFonts w:hint="eastAsia"/>
        </w:rPr>
        <w:t>年</w:t>
      </w:r>
      <w:r>
        <w:rPr>
          <w:rFonts w:hint="eastAsia"/>
        </w:rPr>
        <w:t>1</w:t>
      </w:r>
      <w:r>
        <w:rPr>
          <w:rFonts w:hint="eastAsia"/>
        </w:rPr>
        <w:t>月</w:t>
      </w:r>
      <w:r>
        <w:rPr>
          <w:rFonts w:hint="eastAsia"/>
        </w:rPr>
        <w:t>23</w:t>
      </w:r>
      <w:r>
        <w:rPr>
          <w:rFonts w:hint="eastAsia"/>
        </w:rPr>
        <w:t>日批准了一项新区规划。这项规划的目标之一是在南部融合贝多因人口。计划扩大</w:t>
      </w:r>
      <w:r>
        <w:t>Rahat</w:t>
      </w:r>
      <w:r>
        <w:rPr>
          <w:rFonts w:hint="eastAsia"/>
        </w:rPr>
        <w:t>贝多因人的城区和其他六个贝多因人定居点的面积。</w:t>
      </w:r>
    </w:p>
    <w:p w:rsidR="00000000" w:rsidRDefault="00000000">
      <w:pPr>
        <w:rPr>
          <w:rFonts w:hint="eastAsia"/>
        </w:rPr>
      </w:pPr>
      <w:r>
        <w:rPr>
          <w:rFonts w:hint="eastAsia"/>
        </w:rPr>
        <w:tab/>
        <w:t xml:space="preserve">129.  </w:t>
      </w:r>
      <w:r>
        <w:rPr>
          <w:rFonts w:hint="eastAsia"/>
        </w:rPr>
        <w:t>然而，</w:t>
      </w:r>
      <w:r>
        <w:rPr>
          <w:rFonts w:hint="eastAsia"/>
        </w:rPr>
        <w:t xml:space="preserve"> </w:t>
      </w:r>
      <w:r>
        <w:rPr>
          <w:rFonts w:hint="eastAsia"/>
        </w:rPr>
        <w:t>贝多因人向以色列最高法院提出申诉，辩称区计划并未体现出他们对乡村定居点的需要。目前这项申诉正有待法院作出裁决。</w:t>
      </w:r>
    </w:p>
    <w:p w:rsidR="00000000" w:rsidRDefault="00000000">
      <w:pPr>
        <w:spacing w:after="240"/>
        <w:rPr>
          <w:rFonts w:hint="eastAsia"/>
        </w:rPr>
      </w:pPr>
      <w:r>
        <w:rPr>
          <w:rFonts w:hint="eastAsia"/>
        </w:rPr>
        <w:tab/>
        <w:t xml:space="preserve">130.  </w:t>
      </w:r>
      <w:r>
        <w:rPr>
          <w:rFonts w:hint="eastAsia"/>
        </w:rPr>
        <w:t>应当指出，根据政府最近进行的普查，在</w:t>
      </w:r>
      <w:r>
        <w:rPr>
          <w:rFonts w:hint="eastAsia"/>
        </w:rPr>
        <w:t>74</w:t>
      </w:r>
      <w:r>
        <w:rPr>
          <w:rFonts w:hint="eastAsia"/>
        </w:rPr>
        <w:t>个阿拉伯人为主的社区中，有</w:t>
      </w:r>
      <w:r>
        <w:rPr>
          <w:rFonts w:hint="eastAsia"/>
        </w:rPr>
        <w:t>37</w:t>
      </w:r>
      <w:r>
        <w:rPr>
          <w:rFonts w:hint="eastAsia"/>
        </w:rPr>
        <w:t>个批准了地方计划，而其他各区域正处于批准或规划的各类不同阶段。</w:t>
      </w:r>
    </w:p>
    <w:p w:rsidR="00000000" w:rsidRDefault="00000000">
      <w:pPr>
        <w:pStyle w:val="Heading3"/>
        <w:rPr>
          <w:rFonts w:hint="eastAsia"/>
          <w:u w:val="none"/>
        </w:rPr>
      </w:pPr>
      <w:r>
        <w:rPr>
          <w:rFonts w:hint="eastAsia"/>
          <w:u w:val="none"/>
        </w:rPr>
        <w:t>O.</w:t>
      </w:r>
      <w:r>
        <w:rPr>
          <w:rFonts w:hint="eastAsia"/>
          <w:u w:val="none"/>
        </w:rPr>
        <w:tab/>
      </w:r>
      <w:r>
        <w:rPr>
          <w:rFonts w:hint="eastAsia"/>
        </w:rPr>
        <w:t>教育体制中的差距（结论性意见第</w:t>
      </w:r>
      <w:r>
        <w:rPr>
          <w:rFonts w:hint="eastAsia"/>
        </w:rPr>
        <w:t>29</w:t>
      </w:r>
      <w:r>
        <w:rPr>
          <w:rFonts w:hint="eastAsia"/>
        </w:rPr>
        <w:t>段</w:t>
      </w:r>
      <w:r>
        <w:rPr>
          <w:rFonts w:hint="eastAsia"/>
          <w:u w:val="none"/>
        </w:rPr>
        <w:t>）</w:t>
      </w:r>
    </w:p>
    <w:p w:rsidR="00000000" w:rsidRDefault="00000000">
      <w:pPr>
        <w:rPr>
          <w:rFonts w:hint="eastAsia"/>
        </w:rPr>
      </w:pPr>
      <w:r>
        <w:rPr>
          <w:rFonts w:hint="eastAsia"/>
        </w:rPr>
        <w:tab/>
        <w:t xml:space="preserve">131.  </w:t>
      </w:r>
      <w:r>
        <w:rPr>
          <w:rFonts w:hint="eastAsia"/>
        </w:rPr>
        <w:t>消除以色列教育体制中的差距问题，是以色列议程上的一个优先事项。从</w:t>
      </w:r>
      <w:r>
        <w:rPr>
          <w:rFonts w:hint="eastAsia"/>
        </w:rPr>
        <w:t>1999</w:t>
      </w:r>
      <w:r>
        <w:rPr>
          <w:rFonts w:hint="eastAsia"/>
        </w:rPr>
        <w:t>年初起，教育部的主要优先事项是：提高边远市镇和经济落后人口群体的水平，消除差距；在阿拉伯的教育体制中采取扶持行动；增强特殊教育；提高获得准入大学资格的学生数量。以色列第二次定期报告将进一步详细阐述这一问题。</w:t>
      </w:r>
    </w:p>
    <w:p w:rsidR="00000000" w:rsidRDefault="00000000">
      <w:pPr>
        <w:rPr>
          <w:rFonts w:hint="eastAsia"/>
        </w:rPr>
      </w:pPr>
      <w:r>
        <w:rPr>
          <w:rFonts w:hint="eastAsia"/>
        </w:rPr>
        <w:tab/>
        <w:t xml:space="preserve">132.  </w:t>
      </w:r>
      <w:r>
        <w:rPr>
          <w:rFonts w:hint="eastAsia"/>
        </w:rPr>
        <w:t>阿拉伯和德鲁兹的小学生与以色列小学生之间的差别仍然极为明显。阿拉伯和德鲁兹区域获得的建筑预算率较高。此外，</w:t>
      </w:r>
      <w:r>
        <w:rPr>
          <w:rFonts w:hint="eastAsia"/>
        </w:rPr>
        <w:t>1991</w:t>
      </w:r>
      <w:r>
        <w:rPr>
          <w:rFonts w:hint="eastAsia"/>
        </w:rPr>
        <w:t>年开始的五年方案完成之后，缩小了但并未弥合上述差距。因此，教育部将扶持行动置于其议程首位。</w:t>
      </w:r>
      <w:r>
        <w:rPr>
          <w:rFonts w:hint="eastAsia"/>
        </w:rPr>
        <w:t>1999</w:t>
      </w:r>
      <w:r>
        <w:rPr>
          <w:rFonts w:hint="eastAsia"/>
        </w:rPr>
        <w:t>年教育部推行了一项新的五年方案和其他活动。这些都是为了实现上述两个部门与犹太人教育部门之间在教育和预算标准上的平等。</w:t>
      </w:r>
    </w:p>
    <w:p w:rsidR="00000000" w:rsidRDefault="00000000">
      <w:pPr>
        <w:rPr>
          <w:rFonts w:hint="eastAsia"/>
        </w:rPr>
      </w:pPr>
      <w:r>
        <w:rPr>
          <w:rFonts w:hint="eastAsia"/>
        </w:rPr>
        <w:tab/>
        <w:t xml:space="preserve">133.  </w:t>
      </w:r>
      <w:r>
        <w:rPr>
          <w:rFonts w:hint="eastAsia"/>
        </w:rPr>
        <w:t>教育部拟从</w:t>
      </w:r>
      <w:r>
        <w:rPr>
          <w:rFonts w:hint="eastAsia"/>
        </w:rPr>
        <w:t>2000</w:t>
      </w:r>
      <w:r>
        <w:rPr>
          <w:rFonts w:hint="eastAsia"/>
        </w:rPr>
        <w:t>年起于五年期间拿出</w:t>
      </w:r>
      <w:r>
        <w:rPr>
          <w:rFonts w:hint="eastAsia"/>
        </w:rPr>
        <w:t>2.5</w:t>
      </w:r>
      <w:r>
        <w:rPr>
          <w:rFonts w:hint="eastAsia"/>
        </w:rPr>
        <w:t>亿新锡克尔（相当于</w:t>
      </w:r>
      <w:r>
        <w:rPr>
          <w:rFonts w:hint="eastAsia"/>
        </w:rPr>
        <w:t>6,250</w:t>
      </w:r>
      <w:r>
        <w:rPr>
          <w:rFonts w:hint="eastAsia"/>
        </w:rPr>
        <w:t>万美元）的预算外拨款。根据三个不同委员会的建议，方案的指导委员会将决定如何实施一项基本方案。</w:t>
      </w:r>
    </w:p>
    <w:p w:rsidR="00000000" w:rsidRDefault="00000000">
      <w:pPr>
        <w:rPr>
          <w:rFonts w:hint="eastAsia"/>
        </w:rPr>
      </w:pPr>
      <w:r>
        <w:rPr>
          <w:rFonts w:hint="eastAsia"/>
        </w:rPr>
        <w:tab/>
        <w:t xml:space="preserve">134.  </w:t>
      </w:r>
      <w:r>
        <w:rPr>
          <w:rFonts w:hint="eastAsia"/>
        </w:rPr>
        <w:t>该方案的主要目标包括：</w:t>
      </w:r>
    </w:p>
    <w:p w:rsidR="00000000" w:rsidRDefault="00000000">
      <w:pPr>
        <w:numPr>
          <w:ilvl w:val="0"/>
          <w:numId w:val="30"/>
        </w:numPr>
        <w:rPr>
          <w:rFonts w:hint="eastAsia"/>
        </w:rPr>
      </w:pPr>
      <w:r>
        <w:rPr>
          <w:rFonts w:hint="eastAsia"/>
        </w:rPr>
        <w:t>增加获得准入大学资格的学生人数；</w:t>
      </w:r>
    </w:p>
    <w:p w:rsidR="00000000" w:rsidRDefault="00000000">
      <w:pPr>
        <w:numPr>
          <w:ilvl w:val="0"/>
          <w:numId w:val="30"/>
        </w:numPr>
        <w:rPr>
          <w:rFonts w:hint="eastAsia"/>
        </w:rPr>
      </w:pPr>
      <w:r>
        <w:rPr>
          <w:rFonts w:hint="eastAsia"/>
        </w:rPr>
        <w:t>降低辍学率；</w:t>
      </w:r>
    </w:p>
    <w:p w:rsidR="00000000" w:rsidRDefault="00000000">
      <w:pPr>
        <w:numPr>
          <w:ilvl w:val="0"/>
          <w:numId w:val="30"/>
        </w:numPr>
        <w:rPr>
          <w:rFonts w:hint="eastAsia"/>
        </w:rPr>
      </w:pPr>
      <w:r>
        <w:rPr>
          <w:rFonts w:hint="eastAsia"/>
        </w:rPr>
        <w:t>增加教学班；</w:t>
      </w:r>
    </w:p>
    <w:p w:rsidR="00000000" w:rsidRDefault="00000000">
      <w:pPr>
        <w:numPr>
          <w:ilvl w:val="0"/>
          <w:numId w:val="30"/>
        </w:numPr>
        <w:rPr>
          <w:rFonts w:hint="eastAsia"/>
        </w:rPr>
      </w:pPr>
      <w:r>
        <w:rPr>
          <w:rFonts w:hint="eastAsia"/>
        </w:rPr>
        <w:t>改进心理援助和咨询部门；</w:t>
      </w:r>
    </w:p>
    <w:p w:rsidR="00000000" w:rsidRDefault="00000000">
      <w:pPr>
        <w:numPr>
          <w:ilvl w:val="0"/>
          <w:numId w:val="30"/>
        </w:numPr>
        <w:rPr>
          <w:rFonts w:hint="eastAsia"/>
        </w:rPr>
      </w:pPr>
      <w:r>
        <w:rPr>
          <w:rFonts w:hint="eastAsia"/>
        </w:rPr>
        <w:t>增强特殊教育；</w:t>
      </w:r>
    </w:p>
    <w:p w:rsidR="00000000" w:rsidRDefault="00000000">
      <w:pPr>
        <w:numPr>
          <w:ilvl w:val="0"/>
          <w:numId w:val="30"/>
        </w:numPr>
        <w:rPr>
          <w:rFonts w:hint="eastAsia"/>
        </w:rPr>
      </w:pPr>
      <w:r>
        <w:rPr>
          <w:rFonts w:hint="eastAsia"/>
        </w:rPr>
        <w:t>改善技术教育；</w:t>
      </w:r>
    </w:p>
    <w:p w:rsidR="00000000" w:rsidRDefault="00000000">
      <w:pPr>
        <w:numPr>
          <w:ilvl w:val="0"/>
          <w:numId w:val="30"/>
        </w:numPr>
        <w:rPr>
          <w:rFonts w:hint="eastAsia"/>
        </w:rPr>
      </w:pPr>
      <w:r>
        <w:rPr>
          <w:rFonts w:hint="eastAsia"/>
        </w:rPr>
        <w:t>培训师资、心理和咨询人员；</w:t>
      </w:r>
    </w:p>
    <w:p w:rsidR="00000000" w:rsidRDefault="00000000">
      <w:pPr>
        <w:rPr>
          <w:rFonts w:hint="eastAsia"/>
        </w:rPr>
      </w:pPr>
      <w:r>
        <w:rPr>
          <w:rFonts w:hint="eastAsia"/>
        </w:rPr>
        <w:tab/>
        <w:t>135.  2000</w:t>
      </w:r>
      <w:r>
        <w:rPr>
          <w:rFonts w:hint="eastAsia"/>
        </w:rPr>
        <w:t>年此方案在下列一些领域中推行：</w:t>
      </w:r>
    </w:p>
    <w:p w:rsidR="00000000" w:rsidRDefault="00000000">
      <w:pPr>
        <w:numPr>
          <w:ilvl w:val="0"/>
          <w:numId w:val="31"/>
        </w:numPr>
        <w:rPr>
          <w:rFonts w:hint="eastAsia"/>
        </w:rPr>
      </w:pPr>
      <w:r>
        <w:rPr>
          <w:rFonts w:hint="eastAsia"/>
        </w:rPr>
        <w:t>方案更新了</w:t>
      </w:r>
      <w:r>
        <w:rPr>
          <w:rFonts w:hint="eastAsia"/>
        </w:rPr>
        <w:t>1,526</w:t>
      </w:r>
      <w:r>
        <w:rPr>
          <w:rFonts w:hint="eastAsia"/>
        </w:rPr>
        <w:t>个计算机站；</w:t>
      </w:r>
    </w:p>
    <w:p w:rsidR="00000000" w:rsidRDefault="00000000">
      <w:pPr>
        <w:numPr>
          <w:ilvl w:val="0"/>
          <w:numId w:val="31"/>
        </w:numPr>
        <w:rPr>
          <w:rFonts w:hint="eastAsia"/>
        </w:rPr>
      </w:pPr>
      <w:r>
        <w:rPr>
          <w:rFonts w:hint="eastAsia"/>
        </w:rPr>
        <w:t>为幼儿园和小学提供了科学设备；</w:t>
      </w:r>
    </w:p>
    <w:p w:rsidR="00000000" w:rsidRDefault="00000000">
      <w:pPr>
        <w:numPr>
          <w:ilvl w:val="0"/>
          <w:numId w:val="31"/>
        </w:numPr>
        <w:rPr>
          <w:rFonts w:hint="eastAsia"/>
        </w:rPr>
      </w:pPr>
      <w:r>
        <w:rPr>
          <w:rFonts w:hint="eastAsia"/>
        </w:rPr>
        <w:t>增加了获得准入大学资格的学生人数；</w:t>
      </w:r>
    </w:p>
    <w:p w:rsidR="00000000" w:rsidRDefault="00000000">
      <w:pPr>
        <w:numPr>
          <w:ilvl w:val="0"/>
          <w:numId w:val="31"/>
        </w:numPr>
        <w:rPr>
          <w:rFonts w:hint="eastAsia"/>
        </w:rPr>
      </w:pPr>
      <w:r>
        <w:rPr>
          <w:rFonts w:hint="eastAsia"/>
        </w:rPr>
        <w:t>拟定教学课程；</w:t>
      </w:r>
    </w:p>
    <w:p w:rsidR="00000000" w:rsidRDefault="00000000">
      <w:pPr>
        <w:numPr>
          <w:ilvl w:val="0"/>
          <w:numId w:val="31"/>
        </w:numPr>
        <w:rPr>
          <w:rFonts w:hint="eastAsia"/>
        </w:rPr>
      </w:pPr>
      <w:r>
        <w:rPr>
          <w:rFonts w:hint="eastAsia"/>
        </w:rPr>
        <w:t>培训了师资队伍。</w:t>
      </w:r>
    </w:p>
    <w:p w:rsidR="00000000" w:rsidRDefault="00000000">
      <w:pPr>
        <w:rPr>
          <w:rFonts w:hint="eastAsia"/>
        </w:rPr>
      </w:pPr>
      <w:r>
        <w:rPr>
          <w:rFonts w:hint="eastAsia"/>
        </w:rPr>
        <w:tab/>
        <w:t xml:space="preserve">136.  </w:t>
      </w:r>
      <w:r>
        <w:rPr>
          <w:rFonts w:hint="eastAsia"/>
        </w:rPr>
        <w:t>阿拉伯人口部分与其他人口之间的差距仍然存在，特别是高中教育方面的差距。若仅从女性人口角度观察，这些差距亦更大。获得准入大学资格的阿拉伯学生比率仅占犹太人口中准入大学学生比率的约半数，其中仅有四分之一的阿拉伯学生申请上大学。在犹太人口中，大约只有</w:t>
      </w:r>
      <w:r>
        <w:rPr>
          <w:rFonts w:hint="eastAsia"/>
        </w:rPr>
        <w:t>5.5%</w:t>
      </w:r>
      <w:r>
        <w:rPr>
          <w:rFonts w:hint="eastAsia"/>
        </w:rPr>
        <w:t>的人不工作或不学习，而阿拉伯人口中不工作不学习的比例占</w:t>
      </w:r>
      <w:r>
        <w:rPr>
          <w:rFonts w:hint="eastAsia"/>
        </w:rPr>
        <w:t>14.3%</w:t>
      </w:r>
      <w:r>
        <w:rPr>
          <w:rFonts w:hint="eastAsia"/>
        </w:rPr>
        <w:t>。阿拉伯人口中上技校的学生比率约为</w:t>
      </w:r>
      <w:r>
        <w:rPr>
          <w:rFonts w:hint="eastAsia"/>
        </w:rPr>
        <w:t>25%</w:t>
      </w:r>
      <w:r>
        <w:rPr>
          <w:rFonts w:hint="eastAsia"/>
        </w:rPr>
        <w:t>，而其他人口中技校学生的比率约达</w:t>
      </w:r>
      <w:r>
        <w:rPr>
          <w:rFonts w:hint="eastAsia"/>
        </w:rPr>
        <w:t>30%</w:t>
      </w:r>
      <w:r>
        <w:rPr>
          <w:rFonts w:hint="eastAsia"/>
        </w:rPr>
        <w:t>。阿拉伯技校班中半数的教学水平达不到可使学生获得准入大学资格的程度。</w:t>
      </w:r>
    </w:p>
    <w:p w:rsidR="00000000" w:rsidRDefault="00000000">
      <w:pPr>
        <w:spacing w:after="240"/>
        <w:rPr>
          <w:rFonts w:hint="eastAsia"/>
        </w:rPr>
      </w:pPr>
      <w:r>
        <w:rPr>
          <w:rFonts w:hint="eastAsia"/>
        </w:rPr>
        <w:tab/>
        <w:t xml:space="preserve">137.  </w:t>
      </w:r>
      <w:r>
        <w:rPr>
          <w:rFonts w:hint="eastAsia"/>
        </w:rPr>
        <w:t>这些差距就是教育部为什么要采取平权行动政策的原因。</w:t>
      </w:r>
    </w:p>
    <w:p w:rsidR="00000000" w:rsidRDefault="00000000">
      <w:pPr>
        <w:pStyle w:val="Heading3"/>
        <w:rPr>
          <w:rFonts w:hint="eastAsia"/>
        </w:rPr>
      </w:pPr>
      <w:r>
        <w:rPr>
          <w:rFonts w:hint="eastAsia"/>
        </w:rPr>
        <w:t>在阿拉伯和德鲁兹学校中建造的教室数量（</w:t>
      </w:r>
      <w:r>
        <w:rPr>
          <w:rFonts w:hint="eastAsia"/>
        </w:rPr>
        <w:t>1990</w:t>
      </w:r>
      <w:r>
        <w:rPr>
          <w:rFonts w:hint="eastAsia"/>
        </w:rPr>
        <w:t>至</w:t>
      </w:r>
      <w:r>
        <w:rPr>
          <w:rFonts w:hint="eastAsia"/>
        </w:rPr>
        <w:t>2000</w:t>
      </w:r>
      <w:r>
        <w:rPr>
          <w:rFonts w:hint="eastAsia"/>
        </w:rPr>
        <w:t>年）</w:t>
      </w:r>
    </w:p>
    <w:p w:rsidR="00000000" w:rsidRDefault="00000000">
      <w:pPr>
        <w:spacing w:after="160"/>
        <w:ind w:firstLine="520"/>
        <w:rPr>
          <w:rFonts w:hint="eastAsia"/>
          <w:snapToGrid/>
          <w:u w:val="single"/>
        </w:rPr>
      </w:pPr>
      <w:r>
        <w:rPr>
          <w:rFonts w:hint="eastAsia"/>
          <w:snapToGrid/>
          <w:u w:val="single"/>
        </w:rPr>
        <w:t>教室数量</w:t>
      </w:r>
    </w:p>
    <w:p w:rsidR="00000000" w:rsidRDefault="00000000">
      <w:r>
        <w:rPr>
          <w:rFonts w:eastAsia="KaiTi_GB2312"/>
          <w:noProof/>
          <w:snapToGrid/>
          <w:spacing w:val="0"/>
          <w:sz w:val="20"/>
          <w:u w:val="single"/>
          <w:lang w:eastAsia="en-US"/>
        </w:rPr>
        <w:pict>
          <v:shapetype id="_x0000_t202" coordsize="21600,21600" o:spt="202" path="m,l,21600r21600,l21600,xe">
            <v:stroke joinstyle="miter"/>
            <v:path gradientshapeok="t" o:connecttype="rect"/>
          </v:shapetype>
          <v:shape id="_x0000_s2055" type="#_x0000_t202" style="position:absolute;left:0;text-align:left;margin-left:66pt;margin-top:197.5pt;width:90pt;height:52pt;z-index:1" strokecolor="white">
            <v:textbox style="mso-next-textbox:#_x0000_s2055">
              <w:txbxContent>
                <w:p w:rsidR="00000000" w:rsidRDefault="00000000">
                  <w:pPr>
                    <w:spacing w:line="264" w:lineRule="auto"/>
                    <w:rPr>
                      <w:rFonts w:hint="eastAsia"/>
                      <w:sz w:val="20"/>
                    </w:rPr>
                  </w:pPr>
                  <w:r>
                    <w:rPr>
                      <w:rFonts w:hint="eastAsia"/>
                      <w:sz w:val="20"/>
                    </w:rPr>
                    <w:t>德鲁兹学校</w:t>
                  </w:r>
                </w:p>
                <w:p w:rsidR="00000000" w:rsidRDefault="00000000">
                  <w:pPr>
                    <w:spacing w:before="40" w:after="40" w:line="264" w:lineRule="auto"/>
                    <w:rPr>
                      <w:rFonts w:hint="eastAsia"/>
                      <w:sz w:val="20"/>
                    </w:rPr>
                  </w:pPr>
                  <w:r>
                    <w:rPr>
                      <w:rFonts w:hint="eastAsia"/>
                      <w:sz w:val="20"/>
                    </w:rPr>
                    <w:t>阿拉伯学校</w:t>
                  </w:r>
                </w:p>
                <w:p w:rsidR="00000000" w:rsidRDefault="00000000">
                  <w:pPr>
                    <w:spacing w:line="264" w:lineRule="auto"/>
                    <w:rPr>
                      <w:rFonts w:hint="eastAsia"/>
                    </w:rPr>
                  </w:pPr>
                  <w:r>
                    <w:rPr>
                      <w:rFonts w:hint="eastAsia"/>
                      <w:sz w:val="20"/>
                    </w:rPr>
                    <w:t>合计</w:t>
                  </w:r>
                </w:p>
              </w:txbxContent>
            </v:textbox>
          </v:shape>
        </w:pict>
      </w:r>
      <w:r>
        <w:object w:dxaOrig="9366" w:dyaOrig="5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pt;height:256.5pt" o:ole="">
            <v:imagedata r:id="rId7" o:title=""/>
          </v:shape>
          <o:OLEObject Type="Embed" ProgID="MSPhotoEd.3" ShapeID="_x0000_i1025" DrawAspect="Content" ObjectID="_1395868292" r:id="rId8"/>
        </w:object>
      </w:r>
    </w:p>
    <w:p w:rsidR="00000000" w:rsidRDefault="00000000">
      <w:pPr>
        <w:spacing w:after="240"/>
        <w:ind w:firstLine="260"/>
        <w:rPr>
          <w:rFonts w:hint="eastAsia"/>
        </w:rPr>
      </w:pPr>
      <w:r>
        <w:rPr>
          <w:rFonts w:eastAsia="KaiTi_GB2312" w:hint="eastAsia"/>
          <w:snapToGrid/>
          <w:spacing w:val="0"/>
          <w:u w:val="single"/>
        </w:rPr>
        <w:t>资料来源</w:t>
      </w:r>
      <w:r>
        <w:rPr>
          <w:rFonts w:eastAsia="KaiTi_GB2312" w:hint="eastAsia"/>
          <w:snapToGrid/>
          <w:spacing w:val="0"/>
        </w:rPr>
        <w:t>：教育部。</w:t>
      </w:r>
    </w:p>
    <w:p w:rsidR="00000000" w:rsidRDefault="00000000">
      <w:pPr>
        <w:rPr>
          <w:rFonts w:hint="eastAsia"/>
        </w:rPr>
      </w:pPr>
      <w:r>
        <w:rPr>
          <w:rFonts w:hint="eastAsia"/>
        </w:rPr>
        <w:tab/>
        <w:t xml:space="preserve">138.  </w:t>
      </w:r>
      <w:r>
        <w:rPr>
          <w:rFonts w:hint="eastAsia"/>
        </w:rPr>
        <w:t>以色列第二次定期报告将列入对此问题的深入详述。</w:t>
      </w:r>
    </w:p>
    <w:p w:rsidR="00000000" w:rsidRDefault="00000000">
      <w:pPr>
        <w:spacing w:after="320"/>
        <w:rPr>
          <w:rFonts w:hint="eastAsia"/>
        </w:rPr>
      </w:pPr>
      <w:r>
        <w:rPr>
          <w:rFonts w:hint="eastAsia"/>
        </w:rPr>
        <w:tab/>
        <w:t xml:space="preserve">139.  </w:t>
      </w:r>
      <w:r>
        <w:rPr>
          <w:rFonts w:hint="eastAsia"/>
        </w:rPr>
        <w:t>除了以上提及的教育部各项活动外，人们应当记得政府最近决定在阿拉伯人口部分中采取扶持行动（上述答复第</w:t>
      </w:r>
      <w:r>
        <w:rPr>
          <w:rFonts w:hint="eastAsia"/>
        </w:rPr>
        <w:t>33</w:t>
      </w:r>
      <w:r>
        <w:rPr>
          <w:rFonts w:hint="eastAsia"/>
        </w:rPr>
        <w:t>段中报道的情况）。</w:t>
      </w:r>
    </w:p>
    <w:p w:rsidR="00000000" w:rsidRDefault="00000000">
      <w:pPr>
        <w:pStyle w:val="Heading3"/>
        <w:rPr>
          <w:rFonts w:hint="eastAsia"/>
          <w:u w:val="none"/>
        </w:rPr>
      </w:pPr>
      <w:r>
        <w:rPr>
          <w:rFonts w:hint="eastAsia"/>
          <w:u w:val="none"/>
        </w:rPr>
        <w:t xml:space="preserve">P.  </w:t>
      </w:r>
      <w:r>
        <w:rPr>
          <w:rFonts w:hint="eastAsia"/>
        </w:rPr>
        <w:t>全国健康保险法（结论性意见第</w:t>
      </w:r>
      <w:r>
        <w:rPr>
          <w:rFonts w:hint="eastAsia"/>
        </w:rPr>
        <w:t>30</w:t>
      </w:r>
      <w:r>
        <w:rPr>
          <w:rFonts w:hint="eastAsia"/>
        </w:rPr>
        <w:t>段</w:t>
      </w:r>
      <w:r>
        <w:rPr>
          <w:rFonts w:hint="eastAsia"/>
          <w:u w:val="none"/>
        </w:rPr>
        <w:t>）</w:t>
      </w:r>
    </w:p>
    <w:p w:rsidR="00000000" w:rsidRDefault="00000000">
      <w:pPr>
        <w:rPr>
          <w:rFonts w:hint="eastAsia"/>
        </w:rPr>
      </w:pPr>
      <w:r>
        <w:rPr>
          <w:rFonts w:hint="eastAsia"/>
        </w:rPr>
        <w:tab/>
        <w:t xml:space="preserve">140.  </w:t>
      </w:r>
      <w:r>
        <w:rPr>
          <w:rFonts w:hint="eastAsia"/>
        </w:rPr>
        <w:t>委员会就（经</w:t>
      </w:r>
      <w:r>
        <w:rPr>
          <w:rFonts w:hint="eastAsia"/>
        </w:rPr>
        <w:t>1998</w:t>
      </w:r>
      <w:r>
        <w:rPr>
          <w:rFonts w:hint="eastAsia"/>
        </w:rPr>
        <w:t>年《安排法》修订的）《全国卫生保险法》变革的所作的阐述在某种程度上并不确切。并不存在与某些必须与卫生服务部门挂钩的定期保健税，而只是采取了旨在尽可能减少影响社会经济较弱群体的方式，要求对某些保健服务共同承付最低程度的必要金额。</w:t>
      </w:r>
    </w:p>
    <w:p w:rsidR="00000000" w:rsidRDefault="00000000">
      <w:pPr>
        <w:rPr>
          <w:rFonts w:hint="eastAsia"/>
        </w:rPr>
      </w:pPr>
      <w:r>
        <w:rPr>
          <w:rFonts w:hint="eastAsia"/>
        </w:rPr>
        <w:tab/>
        <w:t xml:space="preserve">141.  </w:t>
      </w:r>
      <w:r>
        <w:rPr>
          <w:rFonts w:hint="eastAsia"/>
        </w:rPr>
        <w:t>在</w:t>
      </w:r>
      <w:r>
        <w:rPr>
          <w:rFonts w:hint="eastAsia"/>
        </w:rPr>
        <w:t>1995</w:t>
      </w:r>
      <w:r>
        <w:rPr>
          <w:rFonts w:hint="eastAsia"/>
        </w:rPr>
        <w:t>年刚实施《全国卫生保健法》时，健康照顾服务提供人要求居民（</w:t>
      </w:r>
      <w:r>
        <w:rPr>
          <w:rFonts w:hint="eastAsia"/>
        </w:rPr>
        <w:t>4</w:t>
      </w:r>
      <w:r>
        <w:rPr>
          <w:rFonts w:hint="eastAsia"/>
        </w:rPr>
        <w:t>人一组）分摊支付医药费。有一家健康照顾服务提供人还要求共同分担向医疗专家求诊的费用。</w:t>
      </w:r>
      <w:r>
        <w:rPr>
          <w:rFonts w:hint="eastAsia"/>
        </w:rPr>
        <w:t>1998</w:t>
      </w:r>
      <w:r>
        <w:rPr>
          <w:rFonts w:hint="eastAsia"/>
        </w:rPr>
        <w:t>年，另外三家卫生保健提供人被批准要求共同支付最低数额的专家诊疗费和某些诊所的门诊费。合作医疗费每一个日历季度可允许承担一次专家诊疗费，但对每个人和每个家庭都规定了最高支付额，一概不论由户主负责承担医疗费的家庭中有多少位成员。</w:t>
      </w:r>
    </w:p>
    <w:p w:rsidR="00000000" w:rsidRDefault="00000000">
      <w:pPr>
        <w:rPr>
          <w:rFonts w:hint="eastAsia"/>
        </w:rPr>
      </w:pPr>
      <w:r>
        <w:rPr>
          <w:rFonts w:hint="eastAsia"/>
        </w:rPr>
        <w:tab/>
        <w:t xml:space="preserve">142.  </w:t>
      </w:r>
      <w:r>
        <w:rPr>
          <w:rFonts w:hint="eastAsia"/>
        </w:rPr>
        <w:t>《全国卫生保险法》的改革是为了让保健照顾提供人在财务上有更大程度的灵活性，以作为鼓施减少无必要地滥用医疗服务的励措，并减少健康照顾提供人的预算赤字。为了避免有损于最弱的社会经济群体并在最大程度上减少对其他人的影响，对共同支付的规定确立了下述各项限制：</w:t>
      </w:r>
    </w:p>
    <w:p w:rsidR="00000000" w:rsidRDefault="00000000">
      <w:pPr>
        <w:numPr>
          <w:ilvl w:val="0"/>
          <w:numId w:val="32"/>
        </w:numPr>
        <w:rPr>
          <w:rFonts w:hint="eastAsia"/>
        </w:rPr>
      </w:pPr>
      <w:r>
        <w:rPr>
          <w:rFonts w:hint="eastAsia"/>
        </w:rPr>
        <w:t>根据《国家保险法》领取收补贴的居民可免费；</w:t>
      </w:r>
    </w:p>
    <w:p w:rsidR="00000000" w:rsidRDefault="00000000">
      <w:pPr>
        <w:numPr>
          <w:ilvl w:val="0"/>
          <w:numId w:val="32"/>
        </w:numPr>
        <w:rPr>
          <w:rFonts w:hint="eastAsia"/>
        </w:rPr>
      </w:pPr>
      <w:r>
        <w:rPr>
          <w:rFonts w:hint="eastAsia"/>
        </w:rPr>
        <w:t>根据《赡养（支付保险）法》领取生活的居民可免费；</w:t>
      </w:r>
    </w:p>
    <w:p w:rsidR="00000000" w:rsidRDefault="00000000">
      <w:pPr>
        <w:numPr>
          <w:ilvl w:val="0"/>
          <w:numId w:val="32"/>
        </w:numPr>
        <w:rPr>
          <w:rFonts w:hint="eastAsia"/>
        </w:rPr>
      </w:pPr>
      <w:r>
        <w:rPr>
          <w:rFonts w:hint="eastAsia"/>
        </w:rPr>
        <w:t>根据《国民保险法》领取病残恤金的居民可免费；</w:t>
      </w:r>
      <w:r>
        <w:rPr>
          <w:rFonts w:hint="eastAsia"/>
        </w:rPr>
        <w:t xml:space="preserve"> </w:t>
      </w:r>
    </w:p>
    <w:p w:rsidR="00000000" w:rsidRDefault="00000000">
      <w:pPr>
        <w:numPr>
          <w:ilvl w:val="0"/>
          <w:numId w:val="32"/>
        </w:numPr>
        <w:rPr>
          <w:rFonts w:hint="eastAsia"/>
        </w:rPr>
      </w:pPr>
      <w:r>
        <w:rPr>
          <w:rFonts w:hint="eastAsia"/>
        </w:rPr>
        <w:t>患有艾滋病、癌症、需要进行渗析的肾疾病或其他特定疾病的居民也可部分免费；</w:t>
      </w:r>
    </w:p>
    <w:p w:rsidR="00000000" w:rsidRDefault="00000000">
      <w:pPr>
        <w:numPr>
          <w:ilvl w:val="0"/>
          <w:numId w:val="32"/>
        </w:numPr>
        <w:rPr>
          <w:rFonts w:hint="eastAsia"/>
        </w:rPr>
      </w:pPr>
      <w:r>
        <w:rPr>
          <w:rFonts w:hint="eastAsia"/>
        </w:rPr>
        <w:t>对于来访者寻求初级诊疗医生、儿科医生、妇科医生或者内科专家求诊，不须支付必要的分摊医疗费。</w:t>
      </w:r>
    </w:p>
    <w:p w:rsidR="00000000" w:rsidRDefault="00000000">
      <w:pPr>
        <w:rPr>
          <w:rFonts w:hint="eastAsia"/>
        </w:rPr>
      </w:pPr>
      <w:r>
        <w:rPr>
          <w:rFonts w:hint="eastAsia"/>
        </w:rPr>
        <w:tab/>
        <w:t>14</w:t>
      </w:r>
      <w:r>
        <w:t>3</w:t>
      </w:r>
      <w:r>
        <w:rPr>
          <w:rFonts w:hint="eastAsia"/>
        </w:rPr>
        <w:t xml:space="preserve">.  </w:t>
      </w:r>
      <w:r>
        <w:rPr>
          <w:rFonts w:hint="eastAsia"/>
        </w:rPr>
        <w:t>除了以上具体阐明的一些免费实例外，卫生部还定期审查分担医疗费规定的影响，以确定是否有必要作出修改。</w:t>
      </w:r>
    </w:p>
    <w:p w:rsidR="00000000" w:rsidRDefault="00000000">
      <w:pPr>
        <w:spacing w:after="320"/>
        <w:rPr>
          <w:rFonts w:hint="eastAsia"/>
        </w:rPr>
      </w:pPr>
      <w:r>
        <w:rPr>
          <w:rFonts w:hint="eastAsia"/>
        </w:rPr>
        <w:tab/>
        <w:t>14</w:t>
      </w:r>
      <w:r>
        <w:t>4</w:t>
      </w:r>
      <w:r>
        <w:rPr>
          <w:rFonts w:hint="eastAsia"/>
        </w:rPr>
        <w:t xml:space="preserve">.  </w:t>
      </w:r>
      <w:r>
        <w:rPr>
          <w:rFonts w:hint="eastAsia"/>
        </w:rPr>
        <w:t>此外，还须指出至少每年都得审查根据《国家卫生保险法》为受保人提供的“一揽子服务”，并且增补医疗技术和程序，以及新医药。</w:t>
      </w:r>
    </w:p>
    <w:p w:rsidR="00000000" w:rsidRDefault="00000000">
      <w:pPr>
        <w:pStyle w:val="Heading3"/>
        <w:rPr>
          <w:rFonts w:hint="eastAsia"/>
          <w:u w:val="none"/>
        </w:rPr>
      </w:pPr>
      <w:r>
        <w:rPr>
          <w:rFonts w:hint="eastAsia"/>
          <w:u w:val="none"/>
        </w:rPr>
        <w:t xml:space="preserve">Q.  </w:t>
      </w:r>
      <w:r>
        <w:rPr>
          <w:rFonts w:hint="eastAsia"/>
        </w:rPr>
        <w:t>侵害妇女的家庭暴力（结论性意见第</w:t>
      </w:r>
      <w:r>
        <w:rPr>
          <w:rFonts w:hint="eastAsia"/>
        </w:rPr>
        <w:t>31</w:t>
      </w:r>
      <w:r>
        <w:rPr>
          <w:rFonts w:hint="eastAsia"/>
        </w:rPr>
        <w:t>段</w:t>
      </w:r>
      <w:r>
        <w:rPr>
          <w:rFonts w:hint="eastAsia"/>
          <w:u w:val="none"/>
        </w:rPr>
        <w:t>）</w:t>
      </w:r>
    </w:p>
    <w:p w:rsidR="00000000" w:rsidRDefault="00000000">
      <w:pPr>
        <w:rPr>
          <w:rFonts w:hint="eastAsia"/>
        </w:rPr>
      </w:pPr>
      <w:r>
        <w:rPr>
          <w:rFonts w:hint="eastAsia"/>
        </w:rPr>
        <w:tab/>
        <w:t>14</w:t>
      </w:r>
      <w:r>
        <w:t>5</w:t>
      </w:r>
      <w:r>
        <w:rPr>
          <w:rFonts w:hint="eastAsia"/>
        </w:rPr>
        <w:t xml:space="preserve">.  </w:t>
      </w:r>
      <w:r>
        <w:rPr>
          <w:rFonts w:hint="eastAsia"/>
        </w:rPr>
        <w:t>这是委员会感到关注的问题。以色列在全国各地为遭殴打的妇女开设了</w:t>
      </w:r>
      <w:r>
        <w:rPr>
          <w:rFonts w:hint="eastAsia"/>
        </w:rPr>
        <w:t>12</w:t>
      </w:r>
      <w:r>
        <w:rPr>
          <w:rFonts w:hint="eastAsia"/>
        </w:rPr>
        <w:t>个提供保护免遭暴力的庇护所。由于阿拉伯妇女和极端东正教犹太妇女的具体文化和宗教需要，为她们设立了一些专门的中心。这些庇护所每年为将近</w:t>
      </w:r>
      <w:r>
        <w:rPr>
          <w:rFonts w:hint="eastAsia"/>
        </w:rPr>
        <w:t>1,600</w:t>
      </w:r>
      <w:r>
        <w:rPr>
          <w:rFonts w:hint="eastAsia"/>
        </w:rPr>
        <w:t>名妇女和儿童采取了紧急干预措施。劳工和社会服务部承担了这些庇护所</w:t>
      </w:r>
      <w:r>
        <w:rPr>
          <w:rFonts w:hint="eastAsia"/>
        </w:rPr>
        <w:t>75%</w:t>
      </w:r>
      <w:r>
        <w:rPr>
          <w:rFonts w:hint="eastAsia"/>
        </w:rPr>
        <w:t>的费用，其余的</w:t>
      </w:r>
      <w:r>
        <w:rPr>
          <w:rFonts w:hint="eastAsia"/>
        </w:rPr>
        <w:t>25%</w:t>
      </w:r>
      <w:r>
        <w:rPr>
          <w:rFonts w:hint="eastAsia"/>
        </w:rPr>
        <w:t>由妇女自愿者组织提供。在认识到阿拉伯社区特殊需要的情况下，劳工和社会事务部为这类庇护所承担了</w:t>
      </w:r>
      <w:r>
        <w:rPr>
          <w:rFonts w:hint="eastAsia"/>
        </w:rPr>
        <w:t>100%</w:t>
      </w:r>
      <w:r>
        <w:rPr>
          <w:rFonts w:hint="eastAsia"/>
        </w:rPr>
        <w:t>的运作费用。</w:t>
      </w:r>
    </w:p>
    <w:p w:rsidR="00000000" w:rsidRDefault="00000000">
      <w:pPr>
        <w:rPr>
          <w:rFonts w:hint="eastAsia"/>
        </w:rPr>
      </w:pPr>
      <w:r>
        <w:rPr>
          <w:rFonts w:hint="eastAsia"/>
        </w:rPr>
        <w:tab/>
        <w:t>14</w:t>
      </w:r>
      <w:r>
        <w:t>6</w:t>
      </w:r>
      <w:r>
        <w:rPr>
          <w:rFonts w:hint="eastAsia"/>
        </w:rPr>
        <w:t xml:space="preserve">.  </w:t>
      </w:r>
      <w:r>
        <w:rPr>
          <w:rFonts w:hint="eastAsia"/>
        </w:rPr>
        <w:t>这些庇护所提供专业咨询、法律咨询和援助、儿童照顾和康复工作。若干庇护所还有讲多种语言的工作人员和自愿人员，以协助一些移民妇女。儿童在居住在这些庇护所内的同时，仍然参与基于社区的日托所或小学教育体制。然而，有些庇护所因空间局限，限制妇女可携带住进庇护所的子女人数。当然，这种限制对某些妇女造成了无法避免的冲突问题。此外，当这些妇女准备离开庇护所时，还有</w:t>
      </w:r>
      <w:r>
        <w:rPr>
          <w:rFonts w:hint="eastAsia"/>
        </w:rPr>
        <w:t>30</w:t>
      </w:r>
      <w:r>
        <w:rPr>
          <w:rFonts w:hint="eastAsia"/>
        </w:rPr>
        <w:t>套过渡性公寓可为子女提供新增的选择。</w:t>
      </w:r>
    </w:p>
    <w:p w:rsidR="00000000" w:rsidRDefault="00000000">
      <w:pPr>
        <w:rPr>
          <w:rFonts w:hint="eastAsia"/>
        </w:rPr>
      </w:pPr>
      <w:r>
        <w:rPr>
          <w:rFonts w:hint="eastAsia"/>
        </w:rPr>
        <w:tab/>
        <w:t>14</w:t>
      </w:r>
      <w:r>
        <w:t>7</w:t>
      </w:r>
      <w:r>
        <w:rPr>
          <w:rFonts w:hint="eastAsia"/>
        </w:rPr>
        <w:t xml:space="preserve">.  </w:t>
      </w:r>
      <w:r>
        <w:rPr>
          <w:rFonts w:hint="eastAsia"/>
        </w:rPr>
        <w:t>对于那些按法院命令从其家中迁走的男人建立起了一个管束有虐待倾躲向男性的特殊监管所，在这个监管所内，这些男人接受群体和个人治疗，并使之有机会提高良心意识和纠正行为举止。</w:t>
      </w:r>
    </w:p>
    <w:p w:rsidR="00000000" w:rsidRDefault="00000000">
      <w:pPr>
        <w:rPr>
          <w:rFonts w:hint="eastAsia"/>
        </w:rPr>
      </w:pPr>
      <w:r>
        <w:rPr>
          <w:rFonts w:hint="eastAsia"/>
        </w:rPr>
        <w:tab/>
        <w:t>14</w:t>
      </w:r>
      <w:r>
        <w:t>8</w:t>
      </w:r>
      <w:r>
        <w:rPr>
          <w:rFonts w:hint="eastAsia"/>
        </w:rPr>
        <w:t xml:space="preserve">.  </w:t>
      </w:r>
      <w:r>
        <w:rPr>
          <w:rFonts w:hint="eastAsia"/>
        </w:rPr>
        <w:t>全国至少为遭殴打妇女建立起了十条热线电话；有一条是为讲阿拉伯语妇女设的专线，而其它各线热线也可接受讲俄罗斯语和阿姆哈拉语的妇女。拨打专线的妇女可以从经过训练的自愿者那儿获得咨询和信息。</w:t>
      </w:r>
    </w:p>
    <w:p w:rsidR="00000000" w:rsidRDefault="00000000">
      <w:pPr>
        <w:rPr>
          <w:rFonts w:hint="eastAsia"/>
        </w:rPr>
      </w:pPr>
      <w:r>
        <w:rPr>
          <w:rFonts w:hint="eastAsia"/>
        </w:rPr>
        <w:tab/>
        <w:t>14</w:t>
      </w:r>
      <w:r>
        <w:t>9</w:t>
      </w:r>
      <w:r>
        <w:rPr>
          <w:rFonts w:hint="eastAsia"/>
        </w:rPr>
        <w:t xml:space="preserve">.  </w:t>
      </w:r>
      <w:r>
        <w:rPr>
          <w:rFonts w:hint="eastAsia"/>
        </w:rPr>
        <w:t>提高妇女地位署还在政府的所有各部内推行了一项防止暴力侵害妇女讲习班的方案。</w:t>
      </w:r>
    </w:p>
    <w:p w:rsidR="00000000" w:rsidRDefault="00000000">
      <w:pPr>
        <w:rPr>
          <w:rFonts w:hint="eastAsia"/>
        </w:rPr>
      </w:pPr>
      <w:r>
        <w:rPr>
          <w:rFonts w:hint="eastAsia"/>
        </w:rPr>
        <w:tab/>
      </w:r>
      <w:r>
        <w:t>150</w:t>
      </w:r>
      <w:r>
        <w:rPr>
          <w:rFonts w:hint="eastAsia"/>
        </w:rPr>
        <w:t xml:space="preserve">.  </w:t>
      </w:r>
      <w:r>
        <w:rPr>
          <w:rFonts w:hint="eastAsia"/>
        </w:rPr>
        <w:t>警察对家庭内暴力的处理。警方人员目前正在接受如何处置家庭内暴力的专门培训。警方政策规定，将家庭内暴力作为暴力罪行看待，并且为受害者提供保护。此外，即使妇女撤回了她的申诉，警方也可继续就有关暴力的申诉进行调查。然而，在大部分国家中，大部分遭虐待妇女并不向警察提出报案。</w:t>
      </w:r>
    </w:p>
    <w:p w:rsidR="00000000" w:rsidRDefault="00000000">
      <w:pPr>
        <w:rPr>
          <w:rFonts w:hint="eastAsia"/>
        </w:rPr>
      </w:pPr>
      <w:r>
        <w:rPr>
          <w:rFonts w:hint="eastAsia"/>
        </w:rPr>
        <w:tab/>
        <w:t>15</w:t>
      </w:r>
      <w:r>
        <w:t>1</w:t>
      </w:r>
      <w:r>
        <w:rPr>
          <w:rFonts w:hint="eastAsia"/>
        </w:rPr>
        <w:t xml:space="preserve">.  </w:t>
      </w:r>
      <w:r>
        <w:rPr>
          <w:rFonts w:hint="eastAsia"/>
        </w:rPr>
        <w:t>即使遭虐待妇女不愿意提出申诉，警察也有举报的特权。妇女组织报告，与警方的合作一般是有效的，而且公共安全部长也任命了一位有关暴力侵害妇女问题的顾问。</w:t>
      </w:r>
    </w:p>
    <w:p w:rsidR="00000000" w:rsidRDefault="00000000">
      <w:pPr>
        <w:rPr>
          <w:rFonts w:hint="eastAsia"/>
        </w:rPr>
      </w:pPr>
      <w:r>
        <w:rPr>
          <w:rFonts w:hint="eastAsia"/>
        </w:rPr>
        <w:tab/>
        <w:t>15</w:t>
      </w:r>
      <w:r>
        <w:t>2</w:t>
      </w:r>
      <w:r>
        <w:rPr>
          <w:rFonts w:hint="eastAsia"/>
        </w:rPr>
        <w:t xml:space="preserve">.  </w:t>
      </w:r>
      <w:r>
        <w:rPr>
          <w:rFonts w:hint="eastAsia"/>
        </w:rPr>
        <w:t>全国各地设立了</w:t>
      </w:r>
      <w:r>
        <w:rPr>
          <w:rFonts w:hint="eastAsia"/>
        </w:rPr>
        <w:t>25</w:t>
      </w:r>
      <w:r>
        <w:rPr>
          <w:rFonts w:hint="eastAsia"/>
        </w:rPr>
        <w:t>个防止家庭暴力的中心。这些中心是由劳工和社会事务部、各妇女组织和地方当局联合资助和管理的。这些中心提供直接的治疗、为分居的家长和子女提供能够（必要时在监督之下）会面的探访中心、法律咨询、调研和信息。</w:t>
      </w:r>
    </w:p>
    <w:p w:rsidR="00000000" w:rsidRDefault="00000000">
      <w:pPr>
        <w:rPr>
          <w:rFonts w:hint="eastAsia"/>
        </w:rPr>
      </w:pPr>
      <w:r>
        <w:rPr>
          <w:rFonts w:hint="eastAsia"/>
        </w:rPr>
        <w:tab/>
        <w:t>15</w:t>
      </w:r>
      <w:r>
        <w:t>3</w:t>
      </w:r>
      <w:r>
        <w:rPr>
          <w:rFonts w:hint="eastAsia"/>
        </w:rPr>
        <w:t xml:space="preserve">.  </w:t>
      </w:r>
      <w:r>
        <w:rPr>
          <w:rFonts w:hint="eastAsia"/>
        </w:rPr>
        <w:t>一个非政府妇女组织与促进人权医生组织联合，开设了一项培训多学科应急室工作人员的项目，并提高他们对遭殴打和遭暴力妇女的敏感意识和处理能力。这个分成三个阶段的培训班包括演讲和小组研讨会，以及与医院行政和管理部门合作。这个在试验基础上建立的项目已经扩展至</w:t>
      </w:r>
      <w:r>
        <w:rPr>
          <w:rFonts w:hint="eastAsia"/>
        </w:rPr>
        <w:t>4</w:t>
      </w:r>
      <w:r>
        <w:rPr>
          <w:rFonts w:hint="eastAsia"/>
        </w:rPr>
        <w:t>个医院。</w:t>
      </w:r>
    </w:p>
    <w:p w:rsidR="00000000" w:rsidRDefault="00000000">
      <w:pPr>
        <w:rPr>
          <w:rFonts w:hint="eastAsia"/>
        </w:rPr>
      </w:pPr>
      <w:r>
        <w:rPr>
          <w:rFonts w:hint="eastAsia"/>
        </w:rPr>
        <w:tab/>
        <w:t>15</w:t>
      </w:r>
      <w:r>
        <w:t>4</w:t>
      </w:r>
      <w:r>
        <w:rPr>
          <w:rFonts w:hint="eastAsia"/>
        </w:rPr>
        <w:t xml:space="preserve">.  </w:t>
      </w:r>
      <w:r>
        <w:rPr>
          <w:rFonts w:hint="eastAsia"/>
        </w:rPr>
        <w:t>法律确认了“遭殴打妇女的综合性状况”，承认遭殴打妇女有权对侵害者采取自卫行动，实际扩大了“自卫”的定义。</w:t>
      </w:r>
    </w:p>
    <w:p w:rsidR="00000000" w:rsidRDefault="00000000">
      <w:pPr>
        <w:rPr>
          <w:rFonts w:hint="eastAsia"/>
        </w:rPr>
      </w:pPr>
      <w:r>
        <w:rPr>
          <w:rFonts w:hint="eastAsia"/>
        </w:rPr>
        <w:tab/>
        <w:t>15</w:t>
      </w:r>
      <w:r>
        <w:t>5</w:t>
      </w:r>
      <w:r>
        <w:rPr>
          <w:rFonts w:hint="eastAsia"/>
        </w:rPr>
        <w:t xml:space="preserve">.  </w:t>
      </w:r>
      <w:r>
        <w:rPr>
          <w:rFonts w:hint="eastAsia"/>
        </w:rPr>
        <w:t>此外，议会通过了一项对《刑事法》的修订案，允许法院对虽被判定犯有谋杀施虐待者的罪行，然而又是遭严重虐待之害的妇女从宽量刑。虽然这项修订案并非仅限于家庭内的虐待行为，但看来这是实施这项法律最重要的一个方面。</w:t>
      </w:r>
    </w:p>
    <w:p w:rsidR="00000000" w:rsidRDefault="00000000">
      <w:pPr>
        <w:rPr>
          <w:rFonts w:hint="eastAsia"/>
        </w:rPr>
      </w:pPr>
      <w:r>
        <w:rPr>
          <w:rFonts w:hint="eastAsia"/>
        </w:rPr>
        <w:tab/>
        <w:t>15</w:t>
      </w:r>
      <w:r>
        <w:t>6</w:t>
      </w:r>
      <w:r>
        <w:rPr>
          <w:rFonts w:hint="eastAsia"/>
        </w:rPr>
        <w:t xml:space="preserve">.  </w:t>
      </w:r>
      <w:r>
        <w:rPr>
          <w:rFonts w:hint="eastAsia"/>
        </w:rPr>
        <w:t>以色列</w:t>
      </w:r>
      <w:r>
        <w:rPr>
          <w:rFonts w:hint="eastAsia"/>
        </w:rPr>
        <w:t>8</w:t>
      </w:r>
      <w:r>
        <w:rPr>
          <w:rFonts w:hint="eastAsia"/>
        </w:rPr>
        <w:t>个强奸行为危机中心每年接到</w:t>
      </w:r>
      <w:r>
        <w:rPr>
          <w:rFonts w:hint="eastAsia"/>
        </w:rPr>
        <w:t>10,000</w:t>
      </w:r>
      <w:r>
        <w:rPr>
          <w:rFonts w:hint="eastAsia"/>
        </w:rPr>
        <w:t>多个查询案件。这些中心还开设了各条热线并提供教育服务。公众对强奸行为危机中心的支助较低；主要靠捐助维持。这些中心报告，虽然警察的指令旨在为受害者提供敏感而有效的照顾，然而全国对这些指令的执行并不统一。此外，在以色列与在其他国家一样，遭骚扰的妇女往往不愿意向警方通报。</w:t>
      </w:r>
    </w:p>
    <w:p w:rsidR="00000000" w:rsidRDefault="00000000">
      <w:pPr>
        <w:rPr>
          <w:rFonts w:hint="eastAsia"/>
        </w:rPr>
      </w:pPr>
      <w:r>
        <w:rPr>
          <w:rFonts w:hint="eastAsia"/>
        </w:rPr>
        <w:tab/>
        <w:t>15</w:t>
      </w:r>
      <w:r>
        <w:t>7</w:t>
      </w:r>
      <w:r>
        <w:rPr>
          <w:rFonts w:hint="eastAsia"/>
        </w:rPr>
        <w:t>.  1995</w:t>
      </w:r>
      <w:r>
        <w:rPr>
          <w:rFonts w:hint="eastAsia"/>
        </w:rPr>
        <w:t>年</w:t>
      </w:r>
      <w:r>
        <w:rPr>
          <w:rFonts w:hint="eastAsia"/>
        </w:rPr>
        <w:t>3</w:t>
      </w:r>
      <w:r>
        <w:rPr>
          <w:rFonts w:hint="eastAsia"/>
        </w:rPr>
        <w:t>月，议会任命了一个议会调查委员会调查妇女遭其配偶和生活伴侣谋杀的问题。该委员会的任务得到进一步的扩大，包括了对侵害妇女暴力行为的调查。该调查委员会于</w:t>
      </w:r>
      <w:r>
        <w:rPr>
          <w:rFonts w:hint="eastAsia"/>
        </w:rPr>
        <w:t>1996</w:t>
      </w:r>
      <w:r>
        <w:rPr>
          <w:rFonts w:hint="eastAsia"/>
        </w:rPr>
        <w:t>年</w:t>
      </w:r>
      <w:r>
        <w:rPr>
          <w:rFonts w:hint="eastAsia"/>
        </w:rPr>
        <w:t>6</w:t>
      </w:r>
      <w:r>
        <w:rPr>
          <w:rFonts w:hint="eastAsia"/>
        </w:rPr>
        <w:t>月得出了其结论和建议。这项综合性的报告分析了家庭暴力的根源、现有各项服务的适足程度和有效性，以及服务提供方面存在的差距。报告全面、综合和融合了政府每个有关部的建议。</w:t>
      </w:r>
    </w:p>
    <w:p w:rsidR="00000000" w:rsidRDefault="00000000">
      <w:pPr>
        <w:rPr>
          <w:rFonts w:hint="eastAsia"/>
        </w:rPr>
      </w:pPr>
      <w:r>
        <w:rPr>
          <w:rFonts w:hint="eastAsia"/>
        </w:rPr>
        <w:tab/>
        <w:t>15</w:t>
      </w:r>
      <w:r>
        <w:t>8</w:t>
      </w:r>
      <w:r>
        <w:rPr>
          <w:rFonts w:hint="eastAsia"/>
        </w:rPr>
        <w:t>.  1998</w:t>
      </w:r>
      <w:r>
        <w:rPr>
          <w:rFonts w:hint="eastAsia"/>
        </w:rPr>
        <w:t>年政府决定建立一个部际委员会，处理执法和增强现有服务的问题。委员会由劳工和社会事务部的局长担任主席，并包括了总理办公厅、提高妇女地位署、公共安全部、卫生部、教育部和各妇女组织的代表。</w:t>
      </w:r>
      <w:r>
        <w:rPr>
          <w:rFonts w:hint="eastAsia"/>
        </w:rPr>
        <w:t>1997</w:t>
      </w:r>
      <w:r>
        <w:rPr>
          <w:rFonts w:hint="eastAsia"/>
        </w:rPr>
        <w:t>至</w:t>
      </w:r>
      <w:r>
        <w:rPr>
          <w:rFonts w:hint="eastAsia"/>
        </w:rPr>
        <w:t>1998</w:t>
      </w:r>
      <w:r>
        <w:rPr>
          <w:rFonts w:hint="eastAsia"/>
        </w:rPr>
        <w:t>年期间，总理办公厅主持了一项防止侵害妇女暴力的全国媒介宣传运动，包括全国热线和案件呈报服务。</w:t>
      </w:r>
    </w:p>
    <w:p w:rsidR="00000000" w:rsidRDefault="00000000">
      <w:pPr>
        <w:rPr>
          <w:lang w:val="fr-CH"/>
        </w:rPr>
      </w:pPr>
    </w:p>
    <w:p w:rsidR="00000000" w:rsidRDefault="00000000">
      <w:pPr>
        <w:jc w:val="center"/>
      </w:pPr>
      <w:r>
        <w:t>--  --  --  --  --</w:t>
      </w:r>
    </w:p>
    <w:sectPr w:rsidR="00000000">
      <w:headerReference w:type="even" r:id="rId9"/>
      <w:headerReference w:type="default" r:id="rId10"/>
      <w:headerReference w:type="first" r:id="rId11"/>
      <w:footerReference w:type="first" r:id="rId12"/>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w:t>
          </w:r>
          <w:r>
            <w:rPr>
              <w:rFonts w:hint="eastAsia"/>
            </w:rPr>
            <w:t>42064</w:t>
          </w:r>
          <w:r>
            <w:t xml:space="preserve"> (C)</w:t>
          </w:r>
        </w:p>
      </w:tc>
      <w:tc>
        <w:tcPr>
          <w:tcW w:w="1050" w:type="dxa"/>
        </w:tcPr>
        <w:p w:rsidR="00000000" w:rsidRDefault="00000000">
          <w:pPr>
            <w:pStyle w:val="Footer"/>
          </w:pPr>
          <w:r>
            <w:t>020701</w:t>
          </w:r>
        </w:p>
      </w:tc>
      <w:tc>
        <w:tcPr>
          <w:tcW w:w="6061" w:type="dxa"/>
        </w:tcPr>
        <w:p w:rsidR="00000000" w:rsidRDefault="00000000">
          <w:pPr>
            <w:pStyle w:val="Footer"/>
          </w:pPr>
          <w:r>
            <w:t>060701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vertAlign w:val="baseline"/>
        </w:rPr>
        <w:t>*</w:t>
      </w:r>
      <w:r>
        <w:t xml:space="preserve"> </w:t>
      </w:r>
      <w:r>
        <w:rPr>
          <w:rFonts w:hint="eastAsia"/>
        </w:rPr>
        <w:tab/>
      </w:r>
      <w:r>
        <w:rPr>
          <w:rFonts w:hint="eastAsia"/>
        </w:rPr>
        <w:t>在</w:t>
      </w:r>
      <w:r>
        <w:rPr>
          <w:rFonts w:hint="eastAsia"/>
        </w:rPr>
        <w:t>1998</w:t>
      </w:r>
      <w:r>
        <w:rPr>
          <w:rFonts w:hint="eastAsia"/>
        </w:rPr>
        <w:t>年</w:t>
      </w:r>
      <w:r>
        <w:rPr>
          <w:rFonts w:hint="eastAsia"/>
        </w:rPr>
        <w:t>11</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31</w:t>
      </w:r>
      <w:r>
        <w:rPr>
          <w:rFonts w:hint="eastAsia"/>
        </w:rPr>
        <w:t>、</w:t>
      </w:r>
      <w:r>
        <w:rPr>
          <w:rFonts w:hint="eastAsia"/>
        </w:rPr>
        <w:t>32</w:t>
      </w:r>
      <w:r>
        <w:rPr>
          <w:rFonts w:hint="eastAsia"/>
        </w:rPr>
        <w:t>和</w:t>
      </w:r>
      <w:r>
        <w:rPr>
          <w:rFonts w:hint="eastAsia"/>
        </w:rPr>
        <w:t>33</w:t>
      </w:r>
      <w:r>
        <w:rPr>
          <w:rFonts w:hint="eastAsia"/>
        </w:rPr>
        <w:t>次会议</w:t>
      </w:r>
      <w:r>
        <w:rPr>
          <w:rFonts w:hint="eastAsia"/>
        </w:rPr>
        <w:t>(E/C.12/1998/SR.31</w:t>
      </w:r>
      <w:r>
        <w:rPr>
          <w:rFonts w:hint="eastAsia"/>
        </w:rPr>
        <w:t>、</w:t>
      </w:r>
      <w:r>
        <w:rPr>
          <w:rFonts w:hint="eastAsia"/>
        </w:rPr>
        <w:t>32</w:t>
      </w:r>
      <w:r>
        <w:rPr>
          <w:rFonts w:hint="eastAsia"/>
        </w:rPr>
        <w:t>和</w:t>
      </w:r>
      <w:r>
        <w:rPr>
          <w:rFonts w:hint="eastAsia"/>
        </w:rPr>
        <w:t>33)</w:t>
      </w:r>
      <w:r>
        <w:rPr>
          <w:rFonts w:hint="eastAsia"/>
        </w:rPr>
        <w:t>上</w:t>
      </w:r>
      <w:r>
        <w:rPr>
          <w:rFonts w:hint="eastAsia"/>
        </w:rPr>
        <w:t>,</w:t>
      </w:r>
      <w:r>
        <w:t xml:space="preserve"> </w:t>
      </w:r>
      <w:r>
        <w:rPr>
          <w:rFonts w:hint="eastAsia"/>
        </w:rPr>
        <w:t>委员会审议了以色列就《公约》第</w:t>
      </w:r>
      <w:r>
        <w:rPr>
          <w:rFonts w:hint="eastAsia"/>
        </w:rPr>
        <w:t>1</w:t>
      </w:r>
      <w:r>
        <w:rPr>
          <w:rFonts w:hint="eastAsia"/>
        </w:rPr>
        <w:t>至第</w:t>
      </w:r>
      <w:r>
        <w:rPr>
          <w:rFonts w:hint="eastAsia"/>
        </w:rPr>
        <w:t>15</w:t>
      </w:r>
      <w:r>
        <w:rPr>
          <w:rFonts w:hint="eastAsia"/>
        </w:rPr>
        <w:t>条所述各项权利提交的初次报告</w:t>
      </w:r>
      <w:r>
        <w:t xml:space="preserve"> </w:t>
      </w:r>
      <w:r>
        <w:rPr>
          <w:rFonts w:hint="eastAsia"/>
        </w:rPr>
        <w:t>(E/1990/5/</w:t>
      </w:r>
      <w:r>
        <w:t>Add.39)</w:t>
      </w:r>
      <w:r>
        <w:rPr>
          <w:rFonts w:hint="eastAsia"/>
        </w:rPr>
        <w:t>。</w:t>
      </w:r>
    </w:p>
    <w:p w:rsidR="00000000" w:rsidRDefault="00000000">
      <w:pPr>
        <w:pStyle w:val="FootnoteText"/>
        <w:rPr>
          <w:rFonts w:hint="eastAsia"/>
        </w:rPr>
      </w:pPr>
      <w:r>
        <w:rPr>
          <w:rFonts w:hint="eastAsia"/>
        </w:rPr>
        <w:t>按照委员会结论性意见</w:t>
      </w:r>
      <w:r>
        <w:t xml:space="preserve"> </w:t>
      </w:r>
      <w:r>
        <w:rPr>
          <w:rFonts w:hint="eastAsia"/>
        </w:rPr>
        <w:t>(E/C.12/1/</w:t>
      </w:r>
      <w:r>
        <w:t>Add.27</w:t>
      </w:r>
      <w:r>
        <w:rPr>
          <w:rFonts w:hint="eastAsia"/>
        </w:rPr>
        <w:t>）的要求</w:t>
      </w:r>
      <w:r>
        <w:rPr>
          <w:rFonts w:hint="eastAsia"/>
        </w:rPr>
        <w:t>,</w:t>
      </w:r>
      <w:r>
        <w:t xml:space="preserve"> </w:t>
      </w:r>
      <w:r>
        <w:rPr>
          <w:rFonts w:hint="eastAsia"/>
        </w:rPr>
        <w:t>以色列政府就委员会对上述报告的审议提交了载于本文件的增补资料。</w:t>
      </w:r>
    </w:p>
  </w:footnote>
  <w:footnote w:id="2">
    <w:p w:rsidR="00000000" w:rsidRDefault="00000000">
      <w:pPr>
        <w:pStyle w:val="FootnoteText"/>
        <w:rPr>
          <w:rFonts w:hint="eastAsia"/>
        </w:rPr>
      </w:pPr>
      <w:r>
        <w:rPr>
          <w:rStyle w:val="FootnoteReference"/>
        </w:rPr>
        <w:footnoteRef/>
      </w:r>
      <w:r>
        <w:t xml:space="preserve"> </w:t>
      </w:r>
      <w:r>
        <w:rPr>
          <w:rFonts w:hint="eastAsia"/>
        </w:rPr>
        <w:tab/>
      </w:r>
      <w:r>
        <w:rPr>
          <w:rFonts w:hint="eastAsia"/>
        </w:rPr>
        <w:t>以色列</w:t>
      </w:r>
      <w:r>
        <w:rPr>
          <w:rFonts w:hint="eastAsia"/>
          <w:spacing w:val="-40"/>
          <w:sz w:val="22"/>
        </w:rPr>
        <w:t>——</w:t>
      </w:r>
      <w:r>
        <w:rPr>
          <w:sz w:val="22"/>
        </w:rPr>
        <w:t xml:space="preserve"> </w:t>
      </w:r>
      <w:r>
        <w:rPr>
          <w:rFonts w:hint="eastAsia"/>
        </w:rPr>
        <w:t>巴勒斯坦关于西岸和加沙地带的临时协议</w:t>
      </w:r>
      <w:r>
        <w:rPr>
          <w:rFonts w:hint="eastAsia"/>
        </w:rPr>
        <w:t>(1995</w:t>
      </w:r>
      <w:r>
        <w:rPr>
          <w:rFonts w:hint="eastAsia"/>
        </w:rPr>
        <w:t>年</w:t>
      </w:r>
      <w:r>
        <w:rPr>
          <w:rFonts w:hint="eastAsia"/>
        </w:rPr>
        <w:t>9</w:t>
      </w:r>
      <w:r>
        <w:rPr>
          <w:rFonts w:hint="eastAsia"/>
        </w:rPr>
        <w:t>月</w:t>
      </w:r>
      <w:r>
        <w:rPr>
          <w:rFonts w:hint="eastAsia"/>
        </w:rPr>
        <w:t>28</w:t>
      </w:r>
      <w:r>
        <w:rPr>
          <w:rFonts w:hint="eastAsia"/>
        </w:rPr>
        <w:t>日</w:t>
      </w:r>
      <w:r>
        <w:rPr>
          <w:rFonts w:hint="eastAsia"/>
        </w:rPr>
        <w:t>)</w:t>
      </w:r>
      <w:r>
        <w:rPr>
          <w:rFonts w:hint="eastAsia"/>
        </w:rPr>
        <w:t>。</w:t>
      </w:r>
    </w:p>
  </w:footnote>
  <w:footnote w:id="3">
    <w:p w:rsidR="00000000" w:rsidRDefault="00000000">
      <w:pPr>
        <w:pStyle w:val="FootnoteText"/>
        <w:rPr>
          <w:rFonts w:hint="eastAsia"/>
        </w:rPr>
      </w:pPr>
      <w:r>
        <w:rPr>
          <w:rStyle w:val="FootnoteReference"/>
        </w:rPr>
        <w:footnoteRef/>
      </w:r>
      <w:r>
        <w:t xml:space="preserve"> </w:t>
      </w:r>
      <w:r>
        <w:rPr>
          <w:rFonts w:hint="eastAsia"/>
        </w:rPr>
        <w:tab/>
        <w:t>1998</w:t>
      </w:r>
      <w:r>
        <w:rPr>
          <w:rFonts w:hint="eastAsia"/>
        </w:rPr>
        <w:t>年</w:t>
      </w:r>
      <w:r>
        <w:rPr>
          <w:rFonts w:hint="eastAsia"/>
        </w:rPr>
        <w:t>10</w:t>
      </w:r>
      <w:r>
        <w:rPr>
          <w:rFonts w:hint="eastAsia"/>
        </w:rPr>
        <w:t>月</w:t>
      </w:r>
      <w:r>
        <w:rPr>
          <w:rFonts w:hint="eastAsia"/>
        </w:rPr>
        <w:t>23</w:t>
      </w:r>
      <w:r>
        <w:rPr>
          <w:rFonts w:hint="eastAsia"/>
        </w:rPr>
        <w:t>日签订的《瓦尔河备忘录》和</w:t>
      </w:r>
      <w:r>
        <w:rPr>
          <w:rFonts w:hint="eastAsia"/>
        </w:rPr>
        <w:t>1999</w:t>
      </w:r>
      <w:r>
        <w:rPr>
          <w:rFonts w:hint="eastAsia"/>
        </w:rPr>
        <w:t>年</w:t>
      </w:r>
      <w:r>
        <w:rPr>
          <w:rFonts w:hint="eastAsia"/>
        </w:rPr>
        <w:t>9</w:t>
      </w:r>
      <w:r>
        <w:rPr>
          <w:rFonts w:hint="eastAsia"/>
        </w:rPr>
        <w:t>月</w:t>
      </w:r>
      <w:r>
        <w:rPr>
          <w:rFonts w:hint="eastAsia"/>
        </w:rPr>
        <w:t>4</w:t>
      </w:r>
      <w:r>
        <w:rPr>
          <w:rFonts w:hint="eastAsia"/>
        </w:rPr>
        <w:t>日《沙姆沙伊赫备忘录》。</w:t>
      </w:r>
    </w:p>
  </w:footnote>
  <w:footnote w:id="4">
    <w:p w:rsidR="00000000" w:rsidRDefault="00000000">
      <w:pPr>
        <w:pStyle w:val="FootnoteText"/>
        <w:rPr>
          <w:rFonts w:hint="eastAsia"/>
        </w:rPr>
      </w:pPr>
      <w:r>
        <w:rPr>
          <w:rStyle w:val="FootnoteReference"/>
        </w:rPr>
        <w:sym w:font="Symbol" w:char="F02A"/>
      </w:r>
      <w:r>
        <w:t xml:space="preserve"> </w:t>
      </w:r>
      <w:r>
        <w:rPr>
          <w:rFonts w:hint="eastAsia"/>
        </w:rPr>
        <w:t>可在秘书处查阅。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E/1989/5/Add.14</w:t>
    </w:r>
  </w:p>
  <w:p w:rsidR="00000000" w:rsidRDefault="00000000">
    <w:pPr>
      <w:pStyle w:val="1R2"/>
      <w:framePr w:w="0" w:hRule="auto" w:hSpace="0" w:wrap="auto" w:vAnchor="margin" w:hAnchor="text" w:xAlign="left" w:yAlign="inline"/>
      <w:rPr>
        <w:lang w:val="fr-FR"/>
      </w:rPr>
    </w:pPr>
    <w:r>
      <w:rPr>
        <w:lang w:val="fr-FR"/>
      </w:rPr>
      <w:t xml:space="preserve">page </w:t>
    </w:r>
    <w:r>
      <w:rPr>
        <w:rStyle w:val="PageNumber"/>
        <w:snapToGrid/>
      </w:rPr>
      <w:fldChar w:fldCharType="begin"/>
    </w:r>
    <w:r>
      <w:rPr>
        <w:rStyle w:val="PageNumber"/>
        <w:snapToGrid/>
      </w:rPr>
      <w:instrText xml:space="preserve"> PAGE </w:instrText>
    </w:r>
    <w:r>
      <w:rPr>
        <w:rStyle w:val="PageNumber"/>
        <w:snapToGrid/>
      </w:rPr>
      <w:fldChar w:fldCharType="separate"/>
    </w:r>
    <w:r>
      <w:rPr>
        <w:rStyle w:val="PageNumber"/>
        <w:noProof/>
        <w:snapToGrid/>
      </w:rPr>
      <w:t>30</w:t>
    </w:r>
    <w:r>
      <w:rPr>
        <w:rStyle w:val="PageNumber"/>
        <w:snapToGrid/>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E/1989/5/Add.14</w:t>
    </w:r>
  </w:p>
  <w:p w:rsidR="00000000" w:rsidRDefault="00000000">
    <w:pPr>
      <w:pStyle w:val="1R2"/>
      <w:framePr w:w="0" w:hRule="auto" w:hSpace="0" w:wrap="auto" w:vAnchor="margin" w:hAnchor="text" w:xAlign="left" w:yAlign="inline"/>
    </w:pPr>
    <w:r>
      <w:tab/>
    </w:r>
    <w:r>
      <w:tab/>
    </w:r>
    <w:r>
      <w:tab/>
    </w:r>
    <w:r>
      <w:tab/>
      <w:t xml:space="preserve">page </w:t>
    </w:r>
    <w:r>
      <w:rPr>
        <w:rStyle w:val="PageNumber"/>
        <w:snapToGrid/>
      </w:rPr>
      <w:fldChar w:fldCharType="begin"/>
    </w:r>
    <w:r>
      <w:rPr>
        <w:rStyle w:val="PageNumber"/>
        <w:snapToGrid/>
      </w:rPr>
      <w:instrText xml:space="preserve"> PAGE </w:instrText>
    </w:r>
    <w:r>
      <w:rPr>
        <w:rStyle w:val="PageNumber"/>
        <w:snapToGrid/>
      </w:rPr>
      <w:fldChar w:fldCharType="separate"/>
    </w:r>
    <w:r>
      <w:rPr>
        <w:rStyle w:val="PageNumber"/>
        <w:noProof/>
        <w:snapToGrid/>
      </w:rPr>
      <w:t>31</w:t>
    </w:r>
    <w:r>
      <w:rPr>
        <w:rStyle w:val="PageNumber"/>
        <w:snapToGrid/>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rPr>
        <w:b/>
        <w:bCs/>
      </w:rPr>
    </w:pPr>
    <w:r>
      <w:rPr>
        <w:b/>
        <w:bCs/>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r>
      <w:rPr>
        <w:b/>
        <w:bCs/>
      </w:rPr>
      <w:fldChar w:fldCharType="begin"/>
    </w:r>
    <w:r>
      <w:rPr>
        <w:b/>
        <w:bCs/>
      </w:rPr>
      <w:instrText xml:space="preserve">PRIVATE </w:instrText>
    </w:r>
    <w:r>
      <w:rPr>
        <w:b/>
        <w:bCs/>
      </w:rPr>
    </w:r>
    <w:r>
      <w:rPr>
        <w:b/>
        <w:bCs/>
      </w:rP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E/1989/5/Add.14</w:t>
    </w:r>
  </w:p>
  <w:p w:rsidR="00000000" w:rsidRDefault="00000000">
    <w:pPr>
      <w:pStyle w:val="1R2"/>
      <w:framePr w:wrap="around"/>
    </w:pPr>
    <w:r>
      <w:t>14 May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07328"/>
    <w:multiLevelType w:val="hybridMultilevel"/>
    <w:tmpl w:val="4C387AD8"/>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2">
    <w:nsid w:val="17780BB0"/>
    <w:multiLevelType w:val="hybridMultilevel"/>
    <w:tmpl w:val="FC3640A8"/>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3111CE"/>
    <w:multiLevelType w:val="hybridMultilevel"/>
    <w:tmpl w:val="7F7EA5BE"/>
    <w:lvl w:ilvl="0" w:tplc="9ADEB69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6">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7">
    <w:nsid w:val="36C56F83"/>
    <w:multiLevelType w:val="hybridMultilevel"/>
    <w:tmpl w:val="A63E1EAC"/>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9">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10">
    <w:nsid w:val="5EEB2568"/>
    <w:multiLevelType w:val="hybridMultilevel"/>
    <w:tmpl w:val="9AE23CF4"/>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44F46E1"/>
    <w:multiLevelType w:val="hybridMultilevel"/>
    <w:tmpl w:val="BC06E186"/>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CF51CF1"/>
    <w:multiLevelType w:val="hybridMultilevel"/>
    <w:tmpl w:val="241E0DA2"/>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8"/>
  </w:num>
  <w:num w:numId="4">
    <w:abstractNumId w:val="5"/>
  </w:num>
  <w:num w:numId="5">
    <w:abstractNumId w:val="6"/>
  </w:num>
  <w:num w:numId="6">
    <w:abstractNumId w:val="9"/>
  </w:num>
  <w:num w:numId="7">
    <w:abstractNumId w:val="8"/>
  </w:num>
  <w:num w:numId="8">
    <w:abstractNumId w:val="5"/>
  </w:num>
  <w:num w:numId="9">
    <w:abstractNumId w:val="6"/>
  </w:num>
  <w:num w:numId="10">
    <w:abstractNumId w:val="9"/>
  </w:num>
  <w:num w:numId="11">
    <w:abstractNumId w:val="8"/>
  </w:num>
  <w:num w:numId="12">
    <w:abstractNumId w:val="5"/>
  </w:num>
  <w:num w:numId="13">
    <w:abstractNumId w:val="6"/>
  </w:num>
  <w:num w:numId="14">
    <w:abstractNumId w:val="9"/>
  </w:num>
  <w:num w:numId="15">
    <w:abstractNumId w:val="8"/>
  </w:num>
  <w:num w:numId="16">
    <w:abstractNumId w:val="9"/>
  </w:num>
  <w:num w:numId="17">
    <w:abstractNumId w:val="8"/>
  </w:num>
  <w:num w:numId="18">
    <w:abstractNumId w:val="1"/>
  </w:num>
  <w:num w:numId="19">
    <w:abstractNumId w:val="9"/>
  </w:num>
  <w:num w:numId="20">
    <w:abstractNumId w:val="8"/>
  </w:num>
  <w:num w:numId="21">
    <w:abstractNumId w:val="12"/>
  </w:num>
  <w:num w:numId="22">
    <w:abstractNumId w:val="4"/>
  </w:num>
  <w:num w:numId="23">
    <w:abstractNumId w:val="4"/>
  </w:num>
  <w:num w:numId="24">
    <w:abstractNumId w:val="9"/>
  </w:num>
  <w:num w:numId="25">
    <w:abstractNumId w:val="8"/>
  </w:num>
  <w:num w:numId="26">
    <w:abstractNumId w:val="7"/>
  </w:num>
  <w:num w:numId="27">
    <w:abstractNumId w:val="0"/>
  </w:num>
  <w:num w:numId="28">
    <w:abstractNumId w:val="3"/>
  </w:num>
  <w:num w:numId="29">
    <w:abstractNumId w:val="13"/>
  </w:num>
  <w:num w:numId="30">
    <w:abstractNumId w:val="2"/>
  </w:num>
  <w:num w:numId="31">
    <w:abstractNumId w:val="10"/>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932</TotalTime>
  <Pages>1</Pages>
  <Words>3713</Words>
  <Characters>21169</Characters>
  <Application>Microsoft Office Word</Application>
  <DocSecurity>4</DocSecurity>
  <Lines>176</Lines>
  <Paragraphs>42</Paragraphs>
  <ScaleCrop>false</ScaleCrop>
  <HeadingPairs>
    <vt:vector size="4" baseType="variant">
      <vt:variant>
        <vt:lpstr>题目</vt:lpstr>
      </vt:variant>
      <vt:variant>
        <vt:i4>1</vt:i4>
      </vt:variant>
      <vt:variant>
        <vt:lpstr>标题</vt:lpstr>
      </vt:variant>
      <vt:variant>
        <vt:i4>50</vt:i4>
      </vt:variant>
    </vt:vector>
  </HeadingPairs>
  <TitlesOfParts>
    <vt:vector size="51" baseType="lpstr">
      <vt:lpstr>E.dot</vt:lpstr>
      <vt:lpstr>    《经济、社会、文化权利国际公约》的执行情况</vt:lpstr>
      <vt:lpstr>        在经济、社会、文化权利委员会审议了缔约国 提交的报告之后，公约缔约国提交的增补资料</vt:lpstr>
      <vt:lpstr>        增  编</vt:lpstr>
      <vt:lpstr>        以 色 列 *</vt:lpstr>
      <vt:lpstr>        就以色列国关于《经济、社会、文化权利国际公约》 执行情况初次报告提交的增补资料</vt:lpstr>
      <vt:lpstr>        导  言</vt:lpstr>
      <vt:lpstr>    一、增补资料</vt:lpstr>
      <vt:lpstr>        A.  《经济、社会、文化权利国际公约》对西岸和 加沙地带的适用性</vt:lpstr>
      <vt:lpstr>        B.  耶路撒冷东区的人口</vt:lpstr>
      <vt:lpstr>        1999年1月1日至1999年6月30日期间的数字</vt:lpstr>
      <vt:lpstr>        C.  “未经承认的村庄”</vt:lpstr>
      <vt:lpstr>        D.  向未经承认的村庄提供基本服务的概要计划</vt:lpstr>
      <vt:lpstr>        E.  Ein Hod和阿拉伯El-Naim的情况</vt:lpstr>
      <vt:lpstr>        F.  Jahalin贝多因人</vt:lpstr>
      <vt:lpstr>    二、答  复</vt:lpstr>
      <vt:lpstr>        A.  土地和人民（结论性意见第8段）</vt:lpstr>
      <vt:lpstr>        B.  《公约》的地位（结论性意见第9段）</vt:lpstr>
      <vt:lpstr>        C.  促进非犹太人公民的平等地位（结论性意见第10段）</vt:lpstr>
      <vt:lpstr>        D.  “体制上的平等”（结论性意见第11段）</vt:lpstr>
      <vt:lpstr>        E.  Jahalin贝多因人（结论性意见第12段）</vt:lpstr>
      <vt:lpstr>        F.  《回归法》（结论性意见第13段）</vt:lpstr>
      <vt:lpstr>        G.  就业（结论性意见第14条）</vt:lpstr>
      <vt:lpstr>        H.  残疾人的就业（结论性意见第15段）</vt:lpstr>
      <vt:lpstr>        I.  最低工资（结论性意见第16段）</vt:lpstr>
      <vt:lpstr>        《最低工资法》执行情况报告（1996年）</vt:lpstr>
      <vt:lpstr>        已有调查结论</vt:lpstr>
      <vt:lpstr>        未有调查结论</vt:lpstr>
      <vt:lpstr>        违反最低工资规定的补发款额</vt:lpstr>
      <vt:lpstr>        最低工资执行情况报告（1997年）</vt:lpstr>
      <vt:lpstr>        已有调查结论</vt:lpstr>
      <vt:lpstr>        未有调查结论</vt:lpstr>
      <vt:lpstr>        违反最低工资规定的补发款额</vt:lpstr>
      <vt:lpstr>        1998至1999年期间的监查、违法和补偿情况</vt:lpstr>
      <vt:lpstr>        J.  “劳动承包商”（结论性意见第16段的最后部分）</vt:lpstr>
      <vt:lpstr>        K.  关闭边界（结论性意见第17至19段）</vt:lpstr>
      <vt:lpstr>        L.  长期居住权（结论性意见第20段）</vt:lpstr>
      <vt:lpstr>        M.	土地利用和住房</vt:lpstr>
      <vt:lpstr>        1.	耶路撒冷东区（结论性意见第21-22段）</vt:lpstr>
      <vt:lpstr>        2.	犹太人和阿拉伯人居民混合的城市中的阿拉伯人 住宅区（结论性意见第23段）</vt:lpstr>
      <vt:lpstr>        3.	西岸和加沙地带的以色列定居点（结论性意见第24段）</vt:lpstr>
      <vt:lpstr>        4.	未经承认的贝多因人村庄——  基本公用设施的提供 和地位问题（结论性意见第26和28段）</vt:lpstr>
      <vt:lpstr>        贝多因人教育部门按年度分列的比较统计数字</vt:lpstr>
      <vt:lpstr>        学生人数</vt:lpstr>
      <vt:lpstr>        教师人数</vt:lpstr>
      <vt:lpstr>        准入大学资格</vt:lpstr>
      <vt:lpstr>        N.	区域纲要计划（结论性意见第27段）</vt:lpstr>
      <vt:lpstr>        O.	教育体制中的差距（结论性意见第29段）</vt:lpstr>
      <vt:lpstr>        在阿拉伯和德鲁兹学校中建造的教室数量（1990至2000年）</vt:lpstr>
      <vt:lpstr>        P.  全国健康保险法（结论性意见第30段）</vt:lpstr>
      <vt:lpstr>        Q.  侵害妇女的家庭暴力（结论性意见第31段）</vt:lpstr>
    </vt:vector>
  </TitlesOfParts>
  <Company>ONU</Company>
  <LinksUpToDate>false</LinksUpToDate>
  <CharactersWithSpaces>25997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SIJ</dc:creator>
  <cp:keywords/>
  <cp:lastModifiedBy>TPS</cp:lastModifiedBy>
  <cp:revision>54</cp:revision>
  <cp:lastPrinted>2001-07-06T12:25:00Z</cp:lastPrinted>
  <dcterms:created xsi:type="dcterms:W3CDTF">2001-07-03T13:37:00Z</dcterms:created>
  <dcterms:modified xsi:type="dcterms:W3CDTF">2001-07-06T12:38:00Z</dcterms:modified>
</cp:coreProperties>
</file>