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0C6" w:rsidRDefault="001930C6">
      <w:pPr>
        <w:spacing w:line="60" w:lineRule="exact"/>
        <w:rPr>
          <w:sz w:val="6"/>
        </w:rPr>
        <w:sectPr w:rsidR="001930C6">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1930C6" w:rsidRDefault="001930C6">
      <w:pPr>
        <w:spacing w:line="60" w:lineRule="exact"/>
        <w:rPr>
          <w:sz w:val="6"/>
        </w:rPr>
      </w:pPr>
    </w:p>
    <w:p w:rsidR="001930C6" w:rsidRDefault="001930C6">
      <w:pPr>
        <w:pStyle w:val="H1"/>
        <w:rPr>
          <w:rFonts w:hint="eastAsia"/>
        </w:rPr>
      </w:pPr>
      <w:r>
        <w:rPr>
          <w:rFonts w:hint="eastAsia"/>
        </w:rPr>
        <w:t>消除对妇女歧视委员会</w:t>
      </w:r>
    </w:p>
    <w:p w:rsidR="001930C6" w:rsidRDefault="001930C6">
      <w:pPr>
        <w:pStyle w:val="H23"/>
        <w:rPr>
          <w:rFonts w:hint="eastAsia"/>
        </w:rPr>
      </w:pPr>
      <w:r>
        <w:rPr>
          <w:rFonts w:hint="eastAsia"/>
        </w:rPr>
        <w:t>第二十届会议</w:t>
      </w:r>
    </w:p>
    <w:p w:rsidR="001930C6" w:rsidRDefault="001930C6">
      <w:pPr>
        <w:spacing w:line="120" w:lineRule="exact"/>
        <w:rPr>
          <w:sz w:val="12"/>
        </w:rPr>
      </w:pPr>
    </w:p>
    <w:p w:rsidR="001930C6" w:rsidRDefault="001930C6">
      <w:pPr>
        <w:spacing w:line="120" w:lineRule="exact"/>
        <w:rPr>
          <w:sz w:val="10"/>
        </w:rPr>
      </w:pPr>
    </w:p>
    <w:p w:rsidR="001930C6" w:rsidRDefault="001930C6">
      <w:pPr>
        <w:pStyle w:val="H23"/>
        <w:rPr>
          <w:rFonts w:hint="eastAsia"/>
        </w:rPr>
      </w:pPr>
      <w:r>
        <w:rPr>
          <w:rFonts w:hint="eastAsia"/>
        </w:rPr>
        <w:t>第413次会议简要记录</w:t>
      </w:r>
    </w:p>
    <w:p w:rsidR="001930C6" w:rsidRDefault="001930C6">
      <w:pPr>
        <w:rPr>
          <w:rFonts w:hint="eastAsia"/>
        </w:rPr>
      </w:pPr>
      <w:r>
        <w:rPr>
          <w:rFonts w:hint="eastAsia"/>
        </w:rPr>
        <w:t>1999年1月27日，星期三，上午10时在纽约总部举行</w:t>
      </w:r>
    </w:p>
    <w:p w:rsidR="001930C6" w:rsidRDefault="001930C6">
      <w:pPr>
        <w:spacing w:line="120" w:lineRule="exact"/>
        <w:rPr>
          <w:rFonts w:hint="eastAsia"/>
          <w:sz w:val="10"/>
        </w:rPr>
      </w:pPr>
    </w:p>
    <w:p w:rsidR="001930C6" w:rsidRDefault="001930C6">
      <w:pPr>
        <w:tabs>
          <w:tab w:val="left" w:pos="1267"/>
          <w:tab w:val="right" w:leader="dot" w:pos="8568"/>
        </w:tabs>
        <w:spacing w:after="140"/>
        <w:ind w:right="1267"/>
        <w:rPr>
          <w:color w:val="000000"/>
        </w:rPr>
      </w:pPr>
      <w:r>
        <w:rPr>
          <w:rFonts w:eastAsia="KaiTi_GB2312" w:hint="eastAsia"/>
          <w:color w:val="0000FF"/>
        </w:rPr>
        <w:t>主席：</w:t>
      </w:r>
      <w:r>
        <w:rPr>
          <w:color w:val="000000"/>
        </w:rPr>
        <w:tab/>
      </w:r>
      <w:r>
        <w:rPr>
          <w:rFonts w:hint="eastAsia"/>
        </w:rPr>
        <w:t>冈萨雷斯女士</w:t>
      </w:r>
    </w:p>
    <w:p w:rsidR="001930C6" w:rsidRDefault="001930C6">
      <w:pPr>
        <w:pStyle w:val="SingleTxt"/>
        <w:ind w:left="0"/>
        <w:rPr>
          <w:rFonts w:hint="eastAsia"/>
        </w:rPr>
      </w:pPr>
      <w:r>
        <w:rPr>
          <w:rFonts w:ascii="KaiTi_GB2312" w:eastAsia="KaiTi_GB2312" w:hint="eastAsia"/>
          <w:color w:val="0000FF"/>
        </w:rPr>
        <w:t>后来</w:t>
      </w:r>
      <w:r>
        <w:rPr>
          <w:rFonts w:hint="eastAsia"/>
        </w:rPr>
        <w:t>：</w:t>
      </w:r>
      <w:r>
        <w:tab/>
      </w:r>
      <w:r>
        <w:rPr>
          <w:rFonts w:hint="eastAsia"/>
        </w:rPr>
        <w:t>金英贞女士（副主席）</w:t>
      </w:r>
    </w:p>
    <w:p w:rsidR="001930C6" w:rsidRDefault="001930C6">
      <w:pPr>
        <w:tabs>
          <w:tab w:val="left" w:pos="1267"/>
          <w:tab w:val="right" w:leader="dot" w:pos="8568"/>
        </w:tabs>
        <w:spacing w:after="140"/>
        <w:ind w:right="1267"/>
        <w:rPr>
          <w:color w:val="000000"/>
        </w:rPr>
      </w:pPr>
      <w:r>
        <w:rPr>
          <w:rFonts w:ascii="KaiTi_GB2312" w:eastAsia="KaiTi_GB2312" w:hint="eastAsia"/>
          <w:color w:val="0000FF"/>
        </w:rPr>
        <w:t>后来</w:t>
      </w:r>
      <w:r>
        <w:rPr>
          <w:rFonts w:hint="eastAsia"/>
        </w:rPr>
        <w:t>：</w:t>
      </w:r>
      <w:r>
        <w:tab/>
      </w:r>
      <w:r>
        <w:rPr>
          <w:rFonts w:hint="eastAsia"/>
        </w:rPr>
        <w:t>冈萨雷斯女士（主席）</w:t>
      </w:r>
    </w:p>
    <w:p w:rsidR="001930C6" w:rsidRDefault="001930C6">
      <w:pPr>
        <w:tabs>
          <w:tab w:val="left" w:pos="1267"/>
          <w:tab w:val="right" w:leader="dot" w:pos="8568"/>
        </w:tabs>
        <w:spacing w:line="120" w:lineRule="exact"/>
        <w:ind w:right="1267"/>
        <w:rPr>
          <w:color w:val="000000"/>
          <w:sz w:val="10"/>
        </w:rPr>
      </w:pPr>
    </w:p>
    <w:p w:rsidR="001930C6" w:rsidRDefault="001930C6">
      <w:pPr>
        <w:tabs>
          <w:tab w:val="left" w:pos="1267"/>
          <w:tab w:val="right" w:leader="dot" w:pos="8568"/>
        </w:tabs>
        <w:spacing w:line="120" w:lineRule="exact"/>
        <w:ind w:right="1267"/>
        <w:rPr>
          <w:color w:val="000000"/>
          <w:sz w:val="10"/>
        </w:rPr>
      </w:pPr>
    </w:p>
    <w:p w:rsidR="001930C6" w:rsidRDefault="001930C6">
      <w:pPr>
        <w:tabs>
          <w:tab w:val="left" w:pos="1267"/>
          <w:tab w:val="right" w:leader="dot" w:pos="8568"/>
        </w:tabs>
        <w:spacing w:line="120" w:lineRule="exact"/>
        <w:ind w:right="1267"/>
        <w:rPr>
          <w:color w:val="000000"/>
          <w:sz w:val="10"/>
        </w:rPr>
      </w:pPr>
    </w:p>
    <w:p w:rsidR="001930C6" w:rsidRDefault="001930C6">
      <w:pPr>
        <w:pStyle w:val="HCh"/>
        <w:rPr>
          <w:rFonts w:eastAsia="SimSun" w:hint="eastAsia"/>
        </w:rPr>
      </w:pPr>
      <w:r>
        <w:rPr>
          <w:rFonts w:eastAsia="SimSun" w:hint="eastAsia"/>
        </w:rPr>
        <w:t>目录</w:t>
      </w:r>
    </w:p>
    <w:p w:rsidR="001930C6" w:rsidRDefault="001930C6">
      <w:pPr>
        <w:pStyle w:val="HCh"/>
        <w:spacing w:line="240" w:lineRule="auto"/>
        <w:rPr>
          <w:rFonts w:eastAsia="SimSun"/>
          <w:sz w:val="14"/>
        </w:rPr>
      </w:pPr>
    </w:p>
    <w:p w:rsidR="001930C6" w:rsidRDefault="001930C6">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1930C6" w:rsidRDefault="001930C6">
      <w:pPr>
        <w:pStyle w:val="SingleTxt"/>
        <w:sectPr w:rsidR="001930C6">
          <w:type w:val="continuous"/>
          <w:pgSz w:w="12242" w:h="15842" w:code="1"/>
          <w:pgMar w:top="1742" w:right="1195" w:bottom="1898" w:left="1195" w:header="576" w:footer="1030" w:gutter="0"/>
          <w:pgNumType w:start="1"/>
          <w:cols w:space="425"/>
          <w:noEndnote/>
          <w:docGrid w:type="lines" w:linePitch="312"/>
        </w:sectPr>
      </w:pPr>
      <w:r>
        <w:rPr>
          <w:rFonts w:hint="eastAsia"/>
        </w:rPr>
        <w:tab/>
      </w:r>
      <w:r>
        <w:rPr>
          <w:rFonts w:ascii="KaiTi_GB2312" w:eastAsia="KaiTi_GB2312" w:hint="eastAsia"/>
          <w:color w:val="0000FF"/>
        </w:rPr>
        <w:t>吉尔吉斯斯坦的初次报告</w:t>
      </w:r>
      <w:r>
        <w:rPr>
          <w:rFonts w:hint="eastAsia"/>
        </w:rPr>
        <w:t>（</w:t>
      </w:r>
      <w:r>
        <w:rPr>
          <w:rFonts w:ascii="KaiTi_GB2312" w:eastAsia="KaiTi_GB2312" w:hint="eastAsia"/>
          <w:color w:val="0000FF"/>
        </w:rPr>
        <w:t>续</w:t>
      </w:r>
      <w:r>
        <w:rPr>
          <w:rFonts w:hint="eastAsia"/>
        </w:rPr>
        <w:t>）</w:t>
      </w:r>
    </w:p>
    <w:p w:rsidR="001930C6" w:rsidRDefault="001930C6">
      <w:pPr>
        <w:pStyle w:val="SingleTxt"/>
        <w:spacing w:after="0" w:line="100" w:lineRule="exact"/>
        <w:rPr>
          <w:rFonts w:ascii="KaiTi_GB2312" w:eastAsia="KaiTi_GB2312"/>
          <w:color w:val="0000FF"/>
        </w:rPr>
        <w:sectPr w:rsidR="001930C6">
          <w:pgSz w:w="12242" w:h="15842" w:code="1"/>
          <w:pgMar w:top="1742" w:right="1195" w:bottom="1898" w:left="1195" w:header="576" w:footer="1030" w:gutter="0"/>
          <w:cols w:space="425"/>
          <w:noEndnote/>
          <w:docGrid w:type="lines" w:linePitch="312"/>
        </w:sectPr>
      </w:pPr>
    </w:p>
    <w:p w:rsidR="001930C6" w:rsidRDefault="001930C6">
      <w:pPr>
        <w:pStyle w:val="DualTxt"/>
        <w:rPr>
          <w:rFonts w:ascii="KaiTi_GB2312" w:eastAsia="KaiTi_GB2312" w:hint="eastAsia"/>
          <w:color w:val="0000FF"/>
        </w:rPr>
      </w:pPr>
      <w:r>
        <w:rPr>
          <w:rFonts w:ascii="KaiTi_GB2312" w:eastAsia="KaiTi_GB2312" w:hint="eastAsia"/>
          <w:color w:val="0000FF"/>
        </w:rPr>
        <w:tab/>
        <w:t>上午10时10分宣布开会</w:t>
      </w:r>
    </w:p>
    <w:p w:rsidR="001930C6" w:rsidRDefault="001930C6">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1930C6" w:rsidRDefault="001930C6">
      <w:pPr>
        <w:pStyle w:val="DualTxt"/>
        <w:rPr>
          <w:rFonts w:hint="eastAsia"/>
        </w:rPr>
      </w:pPr>
      <w:r>
        <w:rPr>
          <w:rFonts w:hint="eastAsia"/>
        </w:rPr>
        <w:tab/>
      </w:r>
      <w:r>
        <w:rPr>
          <w:rFonts w:ascii="KaiTi_GB2312" w:eastAsia="KaiTi_GB2312" w:hint="eastAsia"/>
          <w:color w:val="0000FF"/>
        </w:rPr>
        <w:t>吉尔吉斯斯坦的初次报告</w:t>
      </w:r>
      <w:r>
        <w:rPr>
          <w:rFonts w:hint="eastAsia"/>
        </w:rPr>
        <w:t>（CEDAW/C/KGZ/1）（</w:t>
      </w:r>
      <w:r>
        <w:rPr>
          <w:rFonts w:ascii="KaiTi_GB2312" w:eastAsia="KaiTi_GB2312" w:hint="eastAsia"/>
          <w:color w:val="0000FF"/>
        </w:rPr>
        <w:t>续</w:t>
      </w:r>
      <w:r>
        <w:rPr>
          <w:rFonts w:hint="eastAsia"/>
        </w:rPr>
        <w:t>）</w:t>
      </w:r>
    </w:p>
    <w:p w:rsidR="001930C6" w:rsidRDefault="001930C6">
      <w:pPr>
        <w:pStyle w:val="DualTxt"/>
        <w:rPr>
          <w:rFonts w:hint="eastAsia"/>
        </w:rPr>
      </w:pPr>
      <w:r>
        <w:rPr>
          <w:rFonts w:hint="eastAsia"/>
        </w:rPr>
        <w:t>1.</w:t>
      </w:r>
      <w:r>
        <w:rPr>
          <w:rFonts w:hint="eastAsia"/>
        </w:rPr>
        <w:tab/>
      </w:r>
      <w:r>
        <w:rPr>
          <w:rFonts w:ascii="KaiTi_GB2312" w:eastAsia="KaiTi_GB2312" w:hint="eastAsia"/>
          <w:color w:val="0000FF"/>
        </w:rPr>
        <w:t>应主席邀请，I</w:t>
      </w:r>
      <w:r>
        <w:rPr>
          <w:rFonts w:ascii="KaiTi_GB2312" w:eastAsia="KaiTi_GB2312"/>
          <w:color w:val="0000FF"/>
        </w:rPr>
        <w:t>smailova</w:t>
      </w:r>
      <w:r>
        <w:rPr>
          <w:rFonts w:ascii="KaiTi_GB2312" w:eastAsia="KaiTi_GB2312" w:hint="eastAsia"/>
          <w:color w:val="0000FF"/>
        </w:rPr>
        <w:t>女士（吉尔吉斯斯坦）在委员会议席就座。</w:t>
      </w:r>
    </w:p>
    <w:p w:rsidR="001930C6" w:rsidRDefault="001930C6">
      <w:pPr>
        <w:pStyle w:val="DualTxt"/>
        <w:rPr>
          <w:rFonts w:hint="eastAsia"/>
        </w:rPr>
      </w:pPr>
      <w:r>
        <w:rPr>
          <w:rFonts w:hint="eastAsia"/>
        </w:rPr>
        <w:t>2.</w:t>
      </w:r>
      <w:r>
        <w:rPr>
          <w:rFonts w:hint="eastAsia"/>
        </w:rPr>
        <w:tab/>
      </w:r>
      <w:r>
        <w:rPr>
          <w:rFonts w:ascii="SimHei" w:eastAsia="SimHei" w:hint="eastAsia"/>
          <w:b/>
          <w:bCs/>
          <w:color w:val="FF0000"/>
        </w:rPr>
        <w:t>I</w:t>
      </w:r>
      <w:r>
        <w:rPr>
          <w:rFonts w:ascii="SimHei" w:eastAsia="SimHei"/>
          <w:b/>
          <w:bCs/>
          <w:color w:val="FF0000"/>
        </w:rPr>
        <w:t>smailova</w:t>
      </w:r>
      <w:r>
        <w:rPr>
          <w:rFonts w:ascii="SimHei" w:eastAsia="SimHei" w:hint="eastAsia"/>
          <w:color w:val="FF0000"/>
        </w:rPr>
        <w:t>女士</w:t>
      </w:r>
      <w:r>
        <w:rPr>
          <w:rFonts w:hint="eastAsia"/>
        </w:rPr>
        <w:t>（吉尔吉斯斯坦）答复委员会在第409次会议上提出的问题时说，第四次妇女问题世界会议证明是吉尔吉斯斯坦关于妇女政策的转捩点，并以指定1996年为妇女年为起点。现已设立国家家庭、妇女和青年问题委员会，议会也已批准了关于消除对妇女歧视的五项国际公约。国家方案“阿亚尔扎特”已于1997年获得加强，并为此而设立了一个部门间工作组，由副总理领导，参与者包括各主要部委、各区域行政部门和非政府组织的代表。现已指派特别国家方案“M</w:t>
      </w:r>
      <w:r>
        <w:t>adaniyat</w:t>
      </w:r>
      <w:r>
        <w:rPr>
          <w:rFonts w:hint="eastAsia"/>
        </w:rPr>
        <w:t>”</w:t>
      </w:r>
      <w:r>
        <w:t>(</w:t>
      </w:r>
      <w:r>
        <w:rPr>
          <w:rFonts w:hint="eastAsia"/>
        </w:rPr>
        <w:t>文化</w:t>
      </w:r>
      <w:r>
        <w:t>)</w:t>
      </w:r>
      <w:r>
        <w:rPr>
          <w:rFonts w:hint="eastAsia"/>
        </w:rPr>
        <w:t>发展民族传统和促进妇女的文化发展。该方案提供了一系列措施，以消除对妇女的偏见。关于发展民间艺术和手工艺的非政府组织提供了宝贵的帮助，以提高妇女在社会上新的地位。</w:t>
      </w:r>
    </w:p>
    <w:p w:rsidR="001930C6" w:rsidRDefault="001930C6">
      <w:pPr>
        <w:pStyle w:val="DualTxt"/>
        <w:spacing w:after="240"/>
        <w:rPr>
          <w:rFonts w:hint="eastAsia"/>
        </w:rPr>
      </w:pPr>
      <w:r>
        <w:rPr>
          <w:rFonts w:hint="eastAsia"/>
        </w:rPr>
        <w:t>3.</w:t>
      </w:r>
      <w:r>
        <w:rPr>
          <w:rFonts w:hint="eastAsia"/>
        </w:rPr>
        <w:tab/>
        <w:t>关于第2条，她重申法律之前人人平等。虽然未界定歧视，但不言而喻的，这意味着，对《宪法》所保证权利的任何限制便是歧视。在这方面，她提请注意该报告第57至62段。</w:t>
      </w:r>
    </w:p>
    <w:p w:rsidR="001930C6" w:rsidRDefault="001930C6">
      <w:pPr>
        <w:pStyle w:val="DualTxt"/>
        <w:spacing w:after="240"/>
        <w:rPr>
          <w:rFonts w:hint="eastAsia"/>
        </w:rPr>
      </w:pPr>
      <w:r>
        <w:rPr>
          <w:rFonts w:hint="eastAsia"/>
        </w:rPr>
        <w:t>4.</w:t>
      </w:r>
      <w:r>
        <w:rPr>
          <w:rFonts w:hint="eastAsia"/>
        </w:rPr>
        <w:tab/>
        <w:t>在答复关于提供更多有关国家家庭、妇女和青年问题委员会的资料时，她说，该国家委员会是由国家出资的，共有13名工作人员，包括一名律师、一名社会学家和其他专家。该报告第67段叙述了国家委员会及各区域妇女倡议中心的作用。国家委员会同第47段所述部门间委员会不同，后者集中注意于关于“阿亚尔扎特”方案的部门间合作，国家委员会则协调各当局在每个级别上执行该方案方面所进行的活动。</w:t>
      </w:r>
    </w:p>
    <w:p w:rsidR="001930C6" w:rsidRDefault="001930C6">
      <w:pPr>
        <w:pStyle w:val="DualTxt"/>
        <w:rPr>
          <w:rFonts w:hint="eastAsia"/>
        </w:rPr>
      </w:pPr>
      <w:r>
        <w:rPr>
          <w:rFonts w:hint="eastAsia"/>
        </w:rPr>
        <w:t>5.</w:t>
      </w:r>
      <w:r>
        <w:rPr>
          <w:rFonts w:hint="eastAsia"/>
        </w:rPr>
        <w:tab/>
        <w:t>各区域妇女倡议中心证明极具价值，这些中心一并接受公私双方的资金。这些中心采用循环基金方式，协助妇女集团取得贷款，从事生利活动并制订市场做法。所有六个现有的中心都于1997年在目前仍在进行中的试点计划下获得公共资金，向低收入妇女提供微额信贷，准备设立“阿亚尔扎特”方案下计划的妇女信贷银行。</w:t>
      </w:r>
    </w:p>
    <w:p w:rsidR="001930C6" w:rsidRDefault="001930C6">
      <w:pPr>
        <w:pStyle w:val="DualTxt"/>
        <w:rPr>
          <w:rFonts w:hint="eastAsia"/>
        </w:rPr>
      </w:pPr>
      <w:r>
        <w:rPr>
          <w:rFonts w:hint="eastAsia"/>
        </w:rPr>
        <w:t>6.</w:t>
      </w:r>
      <w:r>
        <w:rPr>
          <w:rFonts w:hint="eastAsia"/>
        </w:rPr>
        <w:tab/>
        <w:t>初步的结果是正面的：一旦创造了工作机会，妇女便可赚到钱，家庭的物质和精神福利同时可获得改善，整个社区皆从取得信贷的妇女所提供的主要物品和服务而获益。编制商业计划和使用商业贷款也有助于增进妇女的经济和法律知识。最令人感到鼓舞的一个部分是关于贷款的偿还。选择给予贷款妇女的条件是根据其以前的就业情况及社区成员的意见；她们的活动完全展示在社区的眼前，这保证了适当使用贷款和按时偿还。</w:t>
      </w:r>
    </w:p>
    <w:p w:rsidR="001930C6" w:rsidRDefault="001930C6">
      <w:pPr>
        <w:pStyle w:val="DualTxt"/>
        <w:spacing w:after="120"/>
        <w:rPr>
          <w:rFonts w:hint="eastAsia"/>
        </w:rPr>
      </w:pPr>
      <w:r>
        <w:rPr>
          <w:rFonts w:hint="eastAsia"/>
        </w:rPr>
        <w:t>7.</w:t>
      </w:r>
      <w:r>
        <w:rPr>
          <w:rFonts w:hint="eastAsia"/>
        </w:rPr>
        <w:tab/>
        <w:t>关于吉尔吉斯斯坦境内强奸情况的首次研究是于1994至1995年进行的，这项工作获得荷兰和美利坚合众国的一些组织的协助。“钻石”协会于1995年举行了一次题为“性别保护的不可靠性”的会议。针对该问题采用的系统化办法有助于确立范围广泛的保护妇女和女孩方案，包括设立一个收容强奸罪受害女性的危机中心。目前正在制订各项措施，以澄清关于强奸罪的法律；处理有助于鼓励强奸的因素（色情制品、卖淫和公共道德的衰落）；为强奸罪受害者设立广泛的“安全”电话号码网络及康复中心；以及改变公共态度并劝阻迫使妇女进入诸如同未成年人结婚或多配偶等关系。部门间委员会正在制订各项措施，关于其执行的协调则将由国家家庭、妇女和青年问题委员会负责。</w:t>
      </w:r>
    </w:p>
    <w:p w:rsidR="001930C6" w:rsidRDefault="001930C6">
      <w:pPr>
        <w:pStyle w:val="DualTxt"/>
        <w:spacing w:after="120"/>
        <w:rPr>
          <w:rFonts w:hint="eastAsia"/>
        </w:rPr>
      </w:pPr>
      <w:r>
        <w:rPr>
          <w:rFonts w:hint="eastAsia"/>
        </w:rPr>
        <w:t>8.</w:t>
      </w:r>
      <w:r>
        <w:rPr>
          <w:rFonts w:hint="eastAsia"/>
        </w:rPr>
        <w:tab/>
        <w:t>统计数字显示，30％的暴力事件发生在家庭内，但为保护家庭名誉，已举报的这类事件只有10％。1995至1998年之间，设立了六所危机中心，使总数达到10所。1998年11月进行了关于其活动的调查。吉尔吉斯斯坦所有妇女都可查阅国家统计委员会信息系统，该系统载有关于侵犯人权的所有基本资料。</w:t>
      </w:r>
    </w:p>
    <w:p w:rsidR="001930C6" w:rsidRDefault="001930C6">
      <w:pPr>
        <w:pStyle w:val="DualTxt"/>
        <w:rPr>
          <w:rFonts w:hint="eastAsia"/>
        </w:rPr>
      </w:pPr>
      <w:r>
        <w:rPr>
          <w:rFonts w:hint="eastAsia"/>
        </w:rPr>
        <w:t>9.</w:t>
      </w:r>
      <w:r>
        <w:rPr>
          <w:rFonts w:hint="eastAsia"/>
        </w:rPr>
        <w:tab/>
        <w:t>《刑法典》将女同性恋界定为“一种具有性本质的暴力行为”。其实行或威胁实行，或对无助受害者的利用手法，均得处以三年至八年的有期徒刑。她实在不知道该如何解释为何会把女同性恋与性暴力联系起来，因为这种行为很可能只是一种性向的显示。女同性恋是一种颇新的现象，吉尔吉斯斯坦社会仍将它视为应受</w:t>
      </w:r>
      <w:r>
        <w:rPr>
          <w:rFonts w:hint="eastAsia"/>
          <w:spacing w:val="4"/>
        </w:rPr>
        <w:t>严责的。考虑到吉尔吉斯斯坦是一个政教分离的非穆斯林国家，这种态度——以及相应</w:t>
      </w:r>
      <w:r>
        <w:rPr>
          <w:rFonts w:hint="eastAsia"/>
        </w:rPr>
        <w:t>的法律——均应明白地予以重估。</w:t>
      </w:r>
    </w:p>
    <w:p w:rsidR="001930C6" w:rsidRDefault="001930C6">
      <w:pPr>
        <w:pStyle w:val="DualTxt"/>
        <w:rPr>
          <w:rFonts w:hint="eastAsia"/>
        </w:rPr>
      </w:pPr>
      <w:r>
        <w:rPr>
          <w:rFonts w:hint="eastAsia"/>
        </w:rPr>
        <w:t>10.</w:t>
      </w:r>
      <w:r>
        <w:rPr>
          <w:rFonts w:hint="eastAsia"/>
        </w:rPr>
        <w:tab/>
        <w:t>非政府妇女组织与国家委员会站在平等的地位上协力进行关于妇女地位的研究、改善妇女地位的法律基础、从性别观点来审慎研究法律草案以及执行社会方案。妇女民主党在吉尔吉斯斯坦积极活动，推动妇女参与社会和政治界和参与管理部门，提出消灭一切形式歧视的法律，解决妇女的就业问题，并游说议会。该党与独立国家联合体的女议员共同举办会议，以讨论诸如“妇女和政治：参与问题和今后的展望”之类的主题。</w:t>
      </w:r>
    </w:p>
    <w:p w:rsidR="001930C6" w:rsidRDefault="001930C6">
      <w:pPr>
        <w:pStyle w:val="DualTxt"/>
        <w:rPr>
          <w:rFonts w:hint="eastAsia"/>
        </w:rPr>
      </w:pPr>
      <w:r>
        <w:rPr>
          <w:rFonts w:hint="eastAsia"/>
        </w:rPr>
        <w:t>11.</w:t>
      </w:r>
      <w:r>
        <w:rPr>
          <w:rFonts w:hint="eastAsia"/>
        </w:rPr>
        <w:tab/>
        <w:t>除了从国家委员会和“阿亚尔扎特”方案获得援助外，妇女也自助地参与转型期市场经济，也稳固地据守在中等管理层级上。此外，还有越来越多信息灵敏的非政府组织以各种方式巩固妇女在新劳动力市场上的地位。</w:t>
      </w:r>
    </w:p>
    <w:p w:rsidR="001930C6" w:rsidRDefault="001930C6">
      <w:pPr>
        <w:pStyle w:val="DualTxt"/>
        <w:rPr>
          <w:rFonts w:hint="eastAsia"/>
        </w:rPr>
      </w:pPr>
      <w:r>
        <w:rPr>
          <w:rFonts w:hint="eastAsia"/>
        </w:rPr>
        <w:t>12.</w:t>
      </w:r>
      <w:r>
        <w:rPr>
          <w:rFonts w:hint="eastAsia"/>
        </w:rPr>
        <w:tab/>
        <w:t>为执行1998年关于克服贫穷的《总统法令》，已设置了一个国家基金，由公共和自愿两种资金、投资、赠款和贷款筹措经费。在颇短的时限内采取了措施，以改善社会保险制度，对儿童和残疾者的社会保护，使所有人口部门都可享有社会服务并且发展中小型商业。在执行“阿亚尔扎特”方案和《公约》条款方面的唯一阻碍是缺乏来自国家预算的必要资金。</w:t>
      </w:r>
    </w:p>
    <w:p w:rsidR="001930C6" w:rsidRDefault="001930C6">
      <w:pPr>
        <w:pStyle w:val="DualTxt"/>
        <w:rPr>
          <w:rFonts w:hint="eastAsia"/>
        </w:rPr>
      </w:pPr>
      <w:r>
        <w:rPr>
          <w:rFonts w:hint="eastAsia"/>
        </w:rPr>
        <w:t>13.</w:t>
      </w:r>
      <w:r>
        <w:rPr>
          <w:rFonts w:hint="eastAsia"/>
        </w:rPr>
        <w:tab/>
        <w:t>过去两年来各次讨论会和会议提出的所有建议皆已提交当局，并由有关机构仔细审议。</w:t>
      </w:r>
    </w:p>
    <w:p w:rsidR="001930C6" w:rsidRDefault="001930C6">
      <w:pPr>
        <w:pStyle w:val="DualTxt"/>
        <w:rPr>
          <w:rFonts w:hint="eastAsia"/>
        </w:rPr>
      </w:pPr>
      <w:r>
        <w:rPr>
          <w:rFonts w:hint="eastAsia"/>
        </w:rPr>
        <w:t>14.</w:t>
      </w:r>
      <w:r>
        <w:rPr>
          <w:rFonts w:hint="eastAsia"/>
        </w:rPr>
        <w:tab/>
        <w:t>妇女占工会成员的50％。此外，在主要工会的领导人中，35％的是妇女。独立工会是吉尔吉斯斯坦工会运动的先锋，它也是由一名妇女领导的。</w:t>
      </w:r>
    </w:p>
    <w:p w:rsidR="001930C6" w:rsidRDefault="001930C6">
      <w:pPr>
        <w:pStyle w:val="DualTxt"/>
        <w:rPr>
          <w:rFonts w:hint="eastAsia"/>
        </w:rPr>
      </w:pPr>
      <w:r>
        <w:rPr>
          <w:rFonts w:hint="eastAsia"/>
        </w:rPr>
        <w:t>15.</w:t>
      </w:r>
      <w:r>
        <w:rPr>
          <w:rFonts w:hint="eastAsia"/>
        </w:rPr>
        <w:tab/>
        <w:t>妇女参与经济决策的人数所占百分比是9％；议会政治决策方面占4.1％；参与国家机构者占29％。</w:t>
      </w:r>
    </w:p>
    <w:p w:rsidR="001930C6" w:rsidRDefault="001930C6">
      <w:pPr>
        <w:pStyle w:val="DualTxt"/>
        <w:rPr>
          <w:rFonts w:hint="eastAsia"/>
        </w:rPr>
      </w:pPr>
      <w:r>
        <w:rPr>
          <w:rFonts w:hint="eastAsia"/>
        </w:rPr>
        <w:t>16.</w:t>
      </w:r>
      <w:r>
        <w:rPr>
          <w:rFonts w:hint="eastAsia"/>
        </w:rPr>
        <w:tab/>
        <w:t>她在答复第5条关于对妇女的暴力行为下提出的问题时说，此类事件的增加是转型期间社会和经济困难的结果。为解决这些问题，已举行了旨在提高妇女对其法定权利的认识的讨论会；一些非政府组织正在印行关于人权的小册子；执法官员也在接受关于预防对妇女的暴力行为的特别培训。</w:t>
      </w:r>
    </w:p>
    <w:p w:rsidR="001930C6" w:rsidRDefault="001930C6">
      <w:pPr>
        <w:pStyle w:val="DualTxt"/>
        <w:rPr>
          <w:rFonts w:hint="eastAsia"/>
        </w:rPr>
      </w:pPr>
      <w:r>
        <w:rPr>
          <w:rFonts w:hint="eastAsia"/>
        </w:rPr>
        <w:t>17.</w:t>
      </w:r>
      <w:r>
        <w:rPr>
          <w:rFonts w:hint="eastAsia"/>
        </w:rPr>
        <w:tab/>
        <w:t>在“阿亚尔扎特”方案下将执行数项旨在提高女童地位的倡议，以增加女童受教育的机会，并提高实用识字能力，以期消除性别定型观念。</w:t>
      </w:r>
    </w:p>
    <w:p w:rsidR="001930C6" w:rsidRDefault="001930C6">
      <w:pPr>
        <w:pStyle w:val="DualTxt"/>
        <w:rPr>
          <w:rFonts w:hint="eastAsia"/>
        </w:rPr>
      </w:pPr>
      <w:r>
        <w:rPr>
          <w:rFonts w:hint="eastAsia"/>
        </w:rPr>
        <w:t>18.</w:t>
      </w:r>
      <w:r>
        <w:rPr>
          <w:rFonts w:hint="eastAsia"/>
        </w:rPr>
        <w:tab/>
        <w:t>同样在卫生部的保护女童方案框架内，国家家庭、妇女和青年问题委员会将进行一项对关于生殖健康法案的性别分析，将会特别注意同女童有关的条款。生殖健康中心最近开设了一个妇幼科，并且正在计划设立针对青少年的咨询和防治服务。</w:t>
      </w:r>
    </w:p>
    <w:p w:rsidR="001930C6" w:rsidRDefault="001930C6">
      <w:pPr>
        <w:pStyle w:val="DualTxt"/>
        <w:rPr>
          <w:rFonts w:hint="eastAsia"/>
        </w:rPr>
      </w:pPr>
      <w:r>
        <w:rPr>
          <w:rFonts w:hint="eastAsia"/>
        </w:rPr>
        <w:t>19.</w:t>
      </w:r>
      <w:r>
        <w:rPr>
          <w:rFonts w:hint="eastAsia"/>
        </w:rPr>
        <w:tab/>
        <w:t>关于对《刑法典》有关工作场所性骚扰的订正案，该提案遭到否决，因为该法典已载入了有关条款。至于关于大众媒体的法律草案，据提议，应将关于实现两性平等的单行条款纳入该法案，其中保证平等取用信息来源以及平等使用新技术，同时禁止印行轻视妇女或将妇女描绘为性对象的材料。</w:t>
      </w:r>
    </w:p>
    <w:p w:rsidR="001930C6" w:rsidRDefault="001930C6">
      <w:pPr>
        <w:pStyle w:val="DualTxt"/>
        <w:rPr>
          <w:rFonts w:hint="eastAsia"/>
        </w:rPr>
      </w:pPr>
      <w:r>
        <w:rPr>
          <w:rFonts w:hint="eastAsia"/>
        </w:rPr>
        <w:t>20.</w:t>
      </w:r>
      <w:r>
        <w:rPr>
          <w:rFonts w:hint="eastAsia"/>
        </w:rPr>
        <w:tab/>
        <w:t>至于在第6条下提出的问题，她说，刑警组织国家办事处负责监测贩卖人口事务，根据其数据未发现任何案例，不过，有数名前往海外就业的妇女；其护照已被没收，并遭到性剥削。《刑法典》规定，为性剥削或其他剥削目的从事贩卖人口者须受惩罚。该报告提及的旅行社的业务（第91段），现已作为一项预防措施而暂停，以便当局调查其活动。</w:t>
      </w:r>
    </w:p>
    <w:p w:rsidR="001930C6" w:rsidRDefault="001930C6">
      <w:pPr>
        <w:pStyle w:val="DualTxt"/>
        <w:rPr>
          <w:rFonts w:hint="eastAsia"/>
        </w:rPr>
      </w:pPr>
      <w:r>
        <w:rPr>
          <w:rFonts w:hint="eastAsia"/>
        </w:rPr>
        <w:t>21.</w:t>
      </w:r>
      <w:r>
        <w:rPr>
          <w:rFonts w:hint="eastAsia"/>
        </w:rPr>
        <w:tab/>
        <w:t>轮奸罪是一种颇新的现象，由于吉尔吉斯斯坦社会的文化、宗教和道德价值，其发生率一直很低。关于案例数目的数据将于稍后提交委员会。她同意，酗酒事例的增加与社会暴力行为的增多有关。至于多配偶，按照《刑法典》是一项罪行，但妇女因其经济依赖性而接受了此一习俗。</w:t>
      </w:r>
    </w:p>
    <w:p w:rsidR="001930C6" w:rsidRDefault="001930C6">
      <w:pPr>
        <w:pStyle w:val="DualTxt"/>
        <w:spacing w:after="240"/>
        <w:rPr>
          <w:rFonts w:hint="eastAsia"/>
        </w:rPr>
      </w:pPr>
      <w:r>
        <w:rPr>
          <w:rFonts w:hint="eastAsia"/>
        </w:rPr>
        <w:t>22.</w:t>
      </w:r>
      <w:r>
        <w:rPr>
          <w:rFonts w:hint="eastAsia"/>
        </w:rPr>
        <w:tab/>
        <w:t>现已计划或执行数项倡议，以促进妇女参与政治和公共生活（第7条），不过，研究显示，尽管妇女支持目前的改革，她们将它视为经济和政治稳定的一种工具，但许多人还是认为政治是专属于男子的事务。此外，整个国家发现其本身处于一种意识形态的真空状态，新的政治理念尚未在民众间植根。</w:t>
      </w:r>
    </w:p>
    <w:p w:rsidR="001930C6" w:rsidRDefault="001930C6">
      <w:pPr>
        <w:pStyle w:val="DualTxt"/>
        <w:spacing w:after="240"/>
        <w:rPr>
          <w:rFonts w:hint="eastAsia"/>
        </w:rPr>
      </w:pPr>
      <w:r>
        <w:rPr>
          <w:rFonts w:hint="eastAsia"/>
        </w:rPr>
        <w:t>23.</w:t>
      </w:r>
      <w:r>
        <w:rPr>
          <w:rFonts w:hint="eastAsia"/>
        </w:rPr>
        <w:tab/>
        <w:t>在答复第11条下提出的问题时，她说，关于请育儿假照顾幼儿的男子人数，其资料将于稍后提出。关于工会在歧视案件中的作用，依法工会有权解决劳工纠纷，并向吉尔吉斯斯坦公民，包括妇女提供法律援助，以保护其权利和利益。个人如认为在就业中遭到歧视，也可向法院提出控诉，如果作出有利于原告的判决，法院便将就所受物质和精神损失给予补偿。1997年一个审查过时法律所设立法议会的特别委员会检查了吉尔吉斯斯坦的《劳工法典》。另外，30多名代表着范围广泛的政府和非政府组织的独立专家参与了对该法典的性别分析。</w:t>
      </w:r>
    </w:p>
    <w:p w:rsidR="001930C6" w:rsidRDefault="001930C6">
      <w:pPr>
        <w:pStyle w:val="DualTxt"/>
        <w:spacing w:after="240"/>
        <w:rPr>
          <w:rFonts w:hint="eastAsia"/>
        </w:rPr>
      </w:pPr>
      <w:r>
        <w:rPr>
          <w:rFonts w:hint="eastAsia"/>
        </w:rPr>
        <w:t>24.</w:t>
      </w:r>
      <w:r>
        <w:rPr>
          <w:rFonts w:hint="eastAsia"/>
        </w:rPr>
        <w:tab/>
        <w:t>关于防治获得性人体免疫缺陷综合症（艾滋病）（第12条），她说，1996年通过了法律，规定共和国应强制执行防治艾滋病措施和向艾滋病患提供医疗援助。按照《宪法》第34条，所有公民都有权免费享有医疗照顾。按照《刑法典》，使感染人体免疫缺陷病毒（艾滋病毒）是一项罪行。迄今，吉尔吉斯斯坦境内共有4个经诊断的艾滋病毒/艾滋病病例，其中两名是妇女，两名是男子。正在执行一项国家结核病方案。1996至1998年期间，92％的人口再次接种了防治该疾病的疫苗。所有结核病患都须接受艾滋病毒测试。</w:t>
      </w:r>
    </w:p>
    <w:p w:rsidR="001930C6" w:rsidRDefault="001930C6">
      <w:pPr>
        <w:pStyle w:val="DualTxt"/>
        <w:spacing w:after="240"/>
        <w:rPr>
          <w:rFonts w:hint="eastAsia"/>
        </w:rPr>
      </w:pPr>
      <w:r>
        <w:rPr>
          <w:rFonts w:hint="eastAsia"/>
        </w:rPr>
        <w:t>25.</w:t>
      </w:r>
      <w:r>
        <w:rPr>
          <w:rFonts w:hint="eastAsia"/>
        </w:rPr>
        <w:tab/>
        <w:t>吉尔吉斯斯坦政府核可了一项从1996至2000年期间的全国免疫方案。按照该方案，共和国人民，无论男女和年龄，一律将免费获接种防治传染病的疫苗。</w:t>
      </w:r>
    </w:p>
    <w:p w:rsidR="001930C6" w:rsidRDefault="001930C6">
      <w:pPr>
        <w:pStyle w:val="DualTxt"/>
        <w:spacing w:after="240"/>
        <w:rPr>
          <w:rFonts w:hint="eastAsia"/>
        </w:rPr>
      </w:pPr>
      <w:r>
        <w:rPr>
          <w:rFonts w:hint="eastAsia"/>
        </w:rPr>
        <w:t>26.</w:t>
      </w:r>
      <w:r>
        <w:rPr>
          <w:rFonts w:hint="eastAsia"/>
        </w:rPr>
        <w:tab/>
        <w:t>《刑法典》规定了进行非法堕胎的刑罚，所谓非法堕胎经界定为在不卫生的条件和没有适当照顾下进行的堕胎。妇女出于急欲保密的动机才寻求这类堕胎。农村地区提供堕胎手术，同时是在整个共和国境内免费进行的。</w:t>
      </w:r>
    </w:p>
    <w:p w:rsidR="001930C6" w:rsidRDefault="001930C6">
      <w:pPr>
        <w:pStyle w:val="DualTxt"/>
        <w:rPr>
          <w:rFonts w:hint="eastAsia"/>
        </w:rPr>
      </w:pPr>
      <w:r>
        <w:rPr>
          <w:rFonts w:hint="eastAsia"/>
        </w:rPr>
        <w:t>27.</w:t>
      </w:r>
      <w:r>
        <w:rPr>
          <w:rFonts w:hint="eastAsia"/>
        </w:rPr>
        <w:tab/>
        <w:t>在答复第13条下提出的问题时，她说，妇女在快速扩展的非正规商业部门发挥着日益重要的作用。数个女企业家正在创立她们自己的业务。她们拥有高学历，比男子更快地适应新的市场经济。“</w:t>
      </w:r>
      <w:r>
        <w:t>Emgek</w:t>
      </w:r>
      <w:r>
        <w:rPr>
          <w:rFonts w:hint="eastAsia"/>
        </w:rPr>
        <w:t>”方案是一个国家基金，用于发展中小型企业和从国际借贷组织贷款，现正通过此一方案促进企业活动。</w:t>
      </w:r>
    </w:p>
    <w:p w:rsidR="001930C6" w:rsidRDefault="001930C6">
      <w:pPr>
        <w:pStyle w:val="DualTxt"/>
        <w:rPr>
          <w:rFonts w:hint="eastAsia"/>
        </w:rPr>
      </w:pPr>
      <w:r>
        <w:rPr>
          <w:rFonts w:hint="eastAsia"/>
        </w:rPr>
        <w:t>28.</w:t>
      </w:r>
      <w:r>
        <w:rPr>
          <w:rFonts w:hint="eastAsia"/>
        </w:rPr>
        <w:tab/>
        <w:t>关于旨在推动生利活动的方案（第14条），她说，现已给予共和国最贫穷公民（其中90％是妇女）20 000多笔贷款。不过，由于缺乏资金，不易取得微额信贷。</w:t>
      </w:r>
    </w:p>
    <w:p w:rsidR="001930C6" w:rsidRDefault="001930C6">
      <w:pPr>
        <w:pStyle w:val="DualTxt"/>
        <w:rPr>
          <w:rFonts w:hint="eastAsia"/>
        </w:rPr>
      </w:pPr>
      <w:r>
        <w:rPr>
          <w:rFonts w:hint="eastAsia"/>
        </w:rPr>
        <w:t>29.</w:t>
      </w:r>
      <w:r>
        <w:rPr>
          <w:rFonts w:hint="eastAsia"/>
        </w:rPr>
        <w:tab/>
        <w:t>为解决妇女的失业问题，国家就业事务处正在促进自营职业和在家里从事的工作，安排培训和再培训，并开办课程，协助妇女心理上适应劳工市场的要求。各类非政府组织正在协助妇女找工作，并设立了求职者俱乐部。另外，流动就业事务处也在世界银行的支助下，正在资助微额信贷项目。</w:t>
      </w:r>
    </w:p>
    <w:p w:rsidR="001930C6" w:rsidRDefault="001930C6">
      <w:pPr>
        <w:pStyle w:val="DualTxt"/>
        <w:rPr>
          <w:rFonts w:hint="eastAsia"/>
        </w:rPr>
      </w:pPr>
      <w:r>
        <w:rPr>
          <w:rFonts w:hint="eastAsia"/>
        </w:rPr>
        <w:t>30.</w:t>
      </w:r>
      <w:r>
        <w:rPr>
          <w:rFonts w:hint="eastAsia"/>
        </w:rPr>
        <w:tab/>
        <w:t>虽然妇女已担任家庭之外的新角色，但仍承担育儿和家务的主要责任，这意味着她们的负担比男子不知沉重多少。不过，为减轻此一负担的努力，包括执行旨在改善烟叶种植条件的措施，都因为经费短缺，难以为继。</w:t>
      </w:r>
    </w:p>
    <w:p w:rsidR="001930C6" w:rsidRDefault="001930C6">
      <w:pPr>
        <w:pStyle w:val="DualTxt"/>
        <w:rPr>
          <w:rFonts w:hint="eastAsia"/>
        </w:rPr>
      </w:pPr>
      <w:r>
        <w:rPr>
          <w:rFonts w:hint="eastAsia"/>
        </w:rPr>
        <w:t>31.</w:t>
      </w:r>
      <w:r>
        <w:rPr>
          <w:rFonts w:hint="eastAsia"/>
        </w:rPr>
        <w:tab/>
        <w:t>按照</w:t>
      </w:r>
      <w:r>
        <w:rPr>
          <w:rFonts w:hint="eastAsia"/>
          <w:spacing w:val="-4"/>
        </w:rPr>
        <w:t>国家统计委员会每半年编制一次的数据，逾50％的吉尔吉斯斯坦人口生活在贫穷</w:t>
      </w:r>
      <w:r>
        <w:rPr>
          <w:rFonts w:hint="eastAsia"/>
        </w:rPr>
        <w:t>线下，其中15％生活在赤贫状况中。“A</w:t>
      </w:r>
      <w:r>
        <w:t>raket</w:t>
      </w:r>
      <w:r>
        <w:rPr>
          <w:rFonts w:hint="eastAsia"/>
        </w:rPr>
        <w:t>”国家方案（第76段）制订了措施，旨在使贫穷和失业率剧降，并加强对人口中弱势群体的社会保护。</w:t>
      </w:r>
    </w:p>
    <w:p w:rsidR="001930C6" w:rsidRDefault="001930C6">
      <w:pPr>
        <w:pStyle w:val="DualTxt"/>
        <w:spacing w:after="120"/>
        <w:rPr>
          <w:rFonts w:hint="eastAsia"/>
        </w:rPr>
      </w:pPr>
      <w:r>
        <w:rPr>
          <w:rFonts w:hint="eastAsia"/>
        </w:rPr>
        <w:t>32.</w:t>
      </w:r>
      <w:r>
        <w:rPr>
          <w:rFonts w:hint="eastAsia"/>
        </w:rPr>
        <w:tab/>
        <w:t>委员会成员提及的氰化钠溢出问题一直是某一政府委员会所提出的报告的主题，该委员会已将其调查结果提交吉尔吉斯斯坦议会的一次特别会议。不过，考虑到为评价溢出一事所产生的影响问题而征询的国际和国家专家的意见与当地人口的意见相左，所以她提议在稍后时以书面向委员会答复。</w:t>
      </w:r>
    </w:p>
    <w:p w:rsidR="001930C6" w:rsidRDefault="001930C6">
      <w:pPr>
        <w:pStyle w:val="DualTxt"/>
        <w:spacing w:after="120"/>
        <w:rPr>
          <w:rFonts w:hint="eastAsia"/>
        </w:rPr>
      </w:pPr>
      <w:r>
        <w:rPr>
          <w:rFonts w:hint="eastAsia"/>
        </w:rPr>
        <w:t>33.</w:t>
      </w:r>
      <w:r>
        <w:rPr>
          <w:rFonts w:hint="eastAsia"/>
        </w:rPr>
        <w:tab/>
      </w:r>
      <w:r>
        <w:rPr>
          <w:rFonts w:ascii="KaiTi_GB2312" w:eastAsia="KaiTi_GB2312" w:hint="eastAsia"/>
          <w:color w:val="0000FF"/>
        </w:rPr>
        <w:t>副主席金英贞女士就座</w:t>
      </w:r>
      <w:r>
        <w:rPr>
          <w:rFonts w:hint="eastAsia"/>
        </w:rPr>
        <w:t>。</w:t>
      </w:r>
    </w:p>
    <w:p w:rsidR="001930C6" w:rsidRDefault="001930C6">
      <w:pPr>
        <w:pStyle w:val="DualTxt"/>
        <w:rPr>
          <w:rFonts w:hint="eastAsia"/>
        </w:rPr>
      </w:pPr>
      <w:r>
        <w:rPr>
          <w:rFonts w:hint="eastAsia"/>
        </w:rPr>
        <w:t>34.</w:t>
      </w:r>
      <w:r>
        <w:rPr>
          <w:rFonts w:hint="eastAsia"/>
        </w:rPr>
        <w:tab/>
      </w:r>
      <w:r>
        <w:rPr>
          <w:rFonts w:ascii="SimHei" w:eastAsia="SimHei" w:hint="eastAsia"/>
          <w:b/>
          <w:bCs/>
          <w:color w:val="FF0000"/>
        </w:rPr>
        <w:t>A</w:t>
      </w:r>
      <w:r>
        <w:rPr>
          <w:rFonts w:ascii="SimHei" w:eastAsia="SimHei"/>
          <w:b/>
          <w:bCs/>
          <w:color w:val="FF0000"/>
        </w:rPr>
        <w:t>car</w:t>
      </w:r>
      <w:r>
        <w:rPr>
          <w:rFonts w:ascii="SimHei" w:eastAsia="SimHei" w:hint="eastAsia"/>
          <w:color w:val="FF0000"/>
        </w:rPr>
        <w:t>女士</w:t>
      </w:r>
      <w:r>
        <w:rPr>
          <w:rFonts w:hint="eastAsia"/>
        </w:rPr>
        <w:t>说，她表示欢迎吉尔吉斯斯坦政府努力使司法界人士、公务员和一般大众都熟悉吉尔吉斯斯坦加入为缔约国的国际文书的条款。还应大力加强这些努力，以便将这些文书的原则纳入吉尔吉斯斯坦的政治文化中。有效国家机构的存在，对实现妇女的人权是至关重要的。她认为，吉尔吉斯斯坦政府在这方面并未展示出必要的政治意志，故促请它批拨更多人力和财务资源给予其国家机构。</w:t>
      </w:r>
    </w:p>
    <w:p w:rsidR="001930C6" w:rsidRDefault="001930C6">
      <w:pPr>
        <w:pStyle w:val="DualTxt"/>
        <w:rPr>
          <w:rFonts w:hint="eastAsia"/>
        </w:rPr>
      </w:pPr>
      <w:r>
        <w:rPr>
          <w:rFonts w:hint="eastAsia"/>
        </w:rPr>
        <w:t>35.</w:t>
      </w:r>
      <w:r>
        <w:rPr>
          <w:rFonts w:hint="eastAsia"/>
        </w:rPr>
        <w:tab/>
      </w:r>
      <w:r>
        <w:rPr>
          <w:rFonts w:ascii="SimHei" w:eastAsia="SimHei" w:hint="eastAsia"/>
          <w:b/>
          <w:bCs/>
          <w:color w:val="FF0000"/>
        </w:rPr>
        <w:t>S</w:t>
      </w:r>
      <w:r>
        <w:rPr>
          <w:rFonts w:ascii="SimHei" w:eastAsia="SimHei"/>
          <w:b/>
          <w:bCs/>
          <w:color w:val="FF0000"/>
        </w:rPr>
        <w:t>ch</w:t>
      </w:r>
      <w:r>
        <w:rPr>
          <w:rFonts w:ascii="SimHei" w:eastAsia="SimHei"/>
          <w:b/>
          <w:bCs/>
          <w:color w:val="FF0000"/>
        </w:rPr>
        <w:t>ö</w:t>
      </w:r>
      <w:r>
        <w:rPr>
          <w:rFonts w:ascii="SimHei" w:eastAsia="SimHei"/>
          <w:b/>
          <w:bCs/>
          <w:color w:val="FF0000"/>
        </w:rPr>
        <w:t>pp-Schilling</w:t>
      </w:r>
      <w:r>
        <w:rPr>
          <w:rFonts w:ascii="SimHei" w:eastAsia="SimHei" w:hint="eastAsia"/>
          <w:color w:val="FF0000"/>
        </w:rPr>
        <w:t>女士</w:t>
      </w:r>
      <w:r>
        <w:rPr>
          <w:rFonts w:hint="eastAsia"/>
        </w:rPr>
        <w:t>感谢吉尔吉斯斯坦代表团的详细答复。她对吉尔吉斯斯坦政府连同国际和双边捐助者共同努力提高对人权的认识感到钦佩。</w:t>
      </w:r>
    </w:p>
    <w:p w:rsidR="001930C6" w:rsidRDefault="001930C6">
      <w:pPr>
        <w:pStyle w:val="DualTxt"/>
        <w:rPr>
          <w:rFonts w:hint="eastAsia"/>
        </w:rPr>
      </w:pPr>
      <w:r>
        <w:rPr>
          <w:rFonts w:hint="eastAsia"/>
        </w:rPr>
        <w:t>36.</w:t>
      </w:r>
      <w:r>
        <w:rPr>
          <w:rFonts w:hint="eastAsia"/>
        </w:rPr>
        <w:tab/>
        <w:t>她关注到，在吉尔吉斯斯坦，正如同在前苏联集团的许多国家内一样，对人权问题的办法仍以旧有的心态为准。从而，尽管法律载有禁止劳动力市场性别歧视的条款，但似乎并未实际了解到，在男女地位悬殊时，适用平等条款可能会导致非蓄意的歧视。她建议，吉尔吉斯斯坦政府应咨询美国和欧洲专家，这些专家在处理这一问题方面经验丰富。</w:t>
      </w:r>
    </w:p>
    <w:p w:rsidR="001930C6" w:rsidRDefault="001930C6">
      <w:pPr>
        <w:pStyle w:val="DualTxt"/>
        <w:rPr>
          <w:rFonts w:hint="eastAsia"/>
        </w:rPr>
      </w:pPr>
      <w:r>
        <w:rPr>
          <w:rFonts w:hint="eastAsia"/>
        </w:rPr>
        <w:t>37.</w:t>
      </w:r>
      <w:r>
        <w:rPr>
          <w:rFonts w:hint="eastAsia"/>
        </w:rPr>
        <w:tab/>
        <w:t>她注意到吉尔吉斯斯坦的报告中隐含性别定型观念，其中提及丈夫是家庭的赚钱者，因此，她促请吉尔吉斯斯坦有关委员会应大力改变对男女角色的传统概念。</w:t>
      </w:r>
    </w:p>
    <w:p w:rsidR="001930C6" w:rsidRDefault="001930C6">
      <w:pPr>
        <w:pStyle w:val="DualTxt"/>
        <w:rPr>
          <w:rFonts w:hint="eastAsia"/>
        </w:rPr>
      </w:pPr>
      <w:r>
        <w:rPr>
          <w:rFonts w:hint="eastAsia"/>
        </w:rPr>
        <w:t>38.</w:t>
      </w:r>
      <w:r>
        <w:rPr>
          <w:rFonts w:hint="eastAsia"/>
        </w:rPr>
        <w:tab/>
        <w:t>她认为，吉尔吉斯斯坦实现妇女权利国家机构的结构仍不明确。尽管有形形色色的委员会，似乎并未将妇女的议题有效纳入政府机构。吉尔吉斯斯坦政府应研究其他国家的国家机构。至少吉尔吉斯斯坦应任命一人在内阁任职，专门负责协调其妇女政策。</w:t>
      </w:r>
    </w:p>
    <w:p w:rsidR="001930C6" w:rsidRDefault="001930C6">
      <w:pPr>
        <w:pStyle w:val="DualTxt"/>
        <w:rPr>
          <w:rFonts w:hint="eastAsia"/>
        </w:rPr>
      </w:pPr>
      <w:r>
        <w:rPr>
          <w:rFonts w:hint="eastAsia"/>
        </w:rPr>
        <w:t>39.</w:t>
      </w:r>
      <w:r>
        <w:rPr>
          <w:rFonts w:hint="eastAsia"/>
        </w:rPr>
        <w:tab/>
        <w:t>关于经济情况，尽管她赞扬政府通过批拨微额信贷，努力推动小生意，但这类倡议并非一种可行的长期解决妇女问题的办法，必须将妇女纳入正规部门，使她们得以享受今后经济发展之利。</w:t>
      </w:r>
    </w:p>
    <w:p w:rsidR="001930C6" w:rsidRDefault="001930C6">
      <w:pPr>
        <w:pStyle w:val="DualTxt"/>
        <w:rPr>
          <w:rFonts w:hint="eastAsia"/>
        </w:rPr>
      </w:pPr>
      <w:r>
        <w:rPr>
          <w:rFonts w:hint="eastAsia"/>
        </w:rPr>
        <w:t>40.</w:t>
      </w:r>
      <w:r>
        <w:rPr>
          <w:rFonts w:hint="eastAsia"/>
        </w:rPr>
        <w:tab/>
        <w:t>该报告将女同性恋与“具有性本质的暴力行为”相关连（第75段）是不合适的。她促请不要将女同性恋定为犯罪，女同性恋是一种性向，从而是私事。</w:t>
      </w:r>
    </w:p>
    <w:p w:rsidR="001930C6" w:rsidRDefault="001930C6">
      <w:pPr>
        <w:pStyle w:val="DualTxt"/>
        <w:rPr>
          <w:rFonts w:hint="eastAsia"/>
        </w:rPr>
      </w:pPr>
      <w:r>
        <w:rPr>
          <w:rFonts w:hint="eastAsia"/>
        </w:rPr>
        <w:t>41.</w:t>
      </w:r>
      <w:r>
        <w:rPr>
          <w:rFonts w:hint="eastAsia"/>
        </w:rPr>
        <w:tab/>
      </w:r>
      <w:r>
        <w:rPr>
          <w:rFonts w:ascii="SimHei" w:eastAsia="SimHei" w:hint="eastAsia"/>
          <w:b/>
          <w:bCs/>
          <w:color w:val="FF0000"/>
        </w:rPr>
        <w:t>Taya</w:t>
      </w:r>
      <w:r>
        <w:rPr>
          <w:rFonts w:ascii="SimHei" w:eastAsia="SimHei" w:hint="eastAsia"/>
          <w:color w:val="FF0000"/>
        </w:rPr>
        <w:t>女士</w:t>
      </w:r>
      <w:r>
        <w:rPr>
          <w:rFonts w:hint="eastAsia"/>
        </w:rPr>
        <w:t>说，她的印象是，吉尔吉斯斯坦境内最严重的问题是普遍贫穷，尤其是贫穷影响到农村妇女。不过，政府应注意到，尽管外国投资公司采用的环境和劳工标准较国际间接受的要低，也许真能增加国民生产总值，但也可能使贫穷效应更恶化。农村妇女参与发展方案之事应继续下去。</w:t>
      </w:r>
    </w:p>
    <w:p w:rsidR="001930C6" w:rsidRDefault="001930C6">
      <w:pPr>
        <w:pStyle w:val="DualTxt"/>
        <w:rPr>
          <w:rFonts w:hint="eastAsia"/>
        </w:rPr>
      </w:pPr>
      <w:r>
        <w:rPr>
          <w:rFonts w:hint="eastAsia"/>
        </w:rPr>
        <w:t>42.</w:t>
      </w:r>
      <w:r>
        <w:rPr>
          <w:rFonts w:hint="eastAsia"/>
        </w:rPr>
        <w:tab/>
      </w:r>
      <w:r>
        <w:rPr>
          <w:rFonts w:ascii="SimHei" w:eastAsia="SimHei" w:hint="eastAsia"/>
          <w:b/>
          <w:bCs/>
          <w:color w:val="FF0000"/>
        </w:rPr>
        <w:t>A</w:t>
      </w:r>
      <w:r>
        <w:rPr>
          <w:rFonts w:ascii="SimHei" w:eastAsia="SimHei"/>
          <w:b/>
          <w:bCs/>
          <w:color w:val="FF0000"/>
        </w:rPr>
        <w:t>baka</w:t>
      </w:r>
      <w:r>
        <w:rPr>
          <w:rFonts w:ascii="SimHei" w:eastAsia="SimHei" w:hint="eastAsia"/>
          <w:color w:val="FF0000"/>
        </w:rPr>
        <w:t>女士</w:t>
      </w:r>
      <w:r>
        <w:rPr>
          <w:rFonts w:hint="eastAsia"/>
        </w:rPr>
        <w:t>说，在诸如吉尔吉斯斯坦等正值经济转型期的国家，妇女作为一种生存手段，往往离开了正规部门，从而进入小生意或非正规部门。如果取得更多关于经济体的该部门信贷计划的资料，将是有用的。她置疑，从事非正规部门或家庭小生意工作的妇女是否缴交社会保障制缴款或获得有薪产假。如果知道非正规部门工人是否获得了国际劳工组织（劳工组织）各项公约的保护，或是否须遵守环境标准，也是十分重要的。</w:t>
      </w:r>
    </w:p>
    <w:p w:rsidR="001930C6" w:rsidRDefault="001930C6">
      <w:pPr>
        <w:pStyle w:val="DualTxt"/>
        <w:rPr>
          <w:rFonts w:hint="eastAsia"/>
        </w:rPr>
      </w:pPr>
      <w:r>
        <w:rPr>
          <w:rFonts w:hint="eastAsia"/>
        </w:rPr>
        <w:t>43.</w:t>
      </w:r>
      <w:r>
        <w:rPr>
          <w:rFonts w:ascii="SimHei" w:eastAsia="SimHei" w:hint="eastAsia"/>
          <w:color w:val="FF0000"/>
        </w:rPr>
        <w:tab/>
      </w:r>
      <w:r>
        <w:rPr>
          <w:rFonts w:ascii="SimHei" w:eastAsia="SimHei" w:hint="eastAsia"/>
          <w:b/>
          <w:bCs/>
          <w:color w:val="FF0000"/>
        </w:rPr>
        <w:t>K</w:t>
      </w:r>
      <w:r>
        <w:rPr>
          <w:rFonts w:ascii="SimHei" w:eastAsia="SimHei"/>
          <w:b/>
          <w:bCs/>
          <w:color w:val="FF0000"/>
        </w:rPr>
        <w:t>han</w:t>
      </w:r>
      <w:r>
        <w:rPr>
          <w:rFonts w:ascii="SimHei" w:eastAsia="SimHei" w:hint="eastAsia"/>
          <w:color w:val="FF0000"/>
        </w:rPr>
        <w:t>女士</w:t>
      </w:r>
      <w:r>
        <w:rPr>
          <w:rFonts w:hint="eastAsia"/>
        </w:rPr>
        <w:t>说，微额信贷经证明是减轻贫穷的有效工具，但是有时有一种趋势，即已将妇女推向诸如手工艺等传统部门，而未向她们提供经济现代化部门所需的新技术。为补充微额信贷部门现有的有限资金和国际资源，她还提议诸如国家农业银行等商业银行可参与，因为这类项目的收益率可能相当可观。妇女加入工会的高比率令人感到鼓舞，如果知道工会议程上是否包括妇女所关注的议题，例如同工同酬等，将是有用的。</w:t>
      </w:r>
    </w:p>
    <w:p w:rsidR="001930C6" w:rsidRDefault="001930C6">
      <w:pPr>
        <w:pStyle w:val="DualTxt"/>
        <w:spacing w:after="120"/>
        <w:rPr>
          <w:rFonts w:hint="eastAsia"/>
        </w:rPr>
      </w:pPr>
      <w:r>
        <w:rPr>
          <w:rFonts w:hint="eastAsia"/>
        </w:rPr>
        <w:t>44.</w:t>
      </w:r>
      <w:r>
        <w:rPr>
          <w:rFonts w:hint="eastAsia"/>
        </w:rPr>
        <w:tab/>
        <w:t>从提供的资料仍然无法完全清楚看出重婚做法在吉尔吉斯斯坦是否合法。在下次报告中应载入关于审查过时法律，尤其是在婚姻和家庭领域内，所采取步骤的更详细的资料。</w:t>
      </w:r>
    </w:p>
    <w:p w:rsidR="001930C6" w:rsidRDefault="001930C6">
      <w:pPr>
        <w:pStyle w:val="DualTxt"/>
        <w:spacing w:after="120"/>
        <w:rPr>
          <w:rFonts w:hint="eastAsia"/>
        </w:rPr>
      </w:pPr>
      <w:r>
        <w:rPr>
          <w:rFonts w:hint="eastAsia"/>
        </w:rPr>
        <w:t>45.</w:t>
      </w:r>
      <w:r>
        <w:rPr>
          <w:rFonts w:ascii="SimHei" w:eastAsia="SimHei" w:hint="eastAsia"/>
          <w:color w:val="FF0000"/>
        </w:rPr>
        <w:tab/>
      </w:r>
      <w:r>
        <w:rPr>
          <w:rFonts w:ascii="SimHei" w:eastAsia="SimHei" w:hint="eastAsia"/>
          <w:b/>
          <w:bCs/>
          <w:color w:val="FF0000"/>
        </w:rPr>
        <w:t>M</w:t>
      </w:r>
      <w:r>
        <w:rPr>
          <w:rFonts w:ascii="SimHei" w:eastAsia="SimHei"/>
          <w:b/>
          <w:bCs/>
          <w:color w:val="FF0000"/>
        </w:rPr>
        <w:t>analo</w:t>
      </w:r>
      <w:r>
        <w:rPr>
          <w:rFonts w:ascii="SimHei" w:eastAsia="SimHei" w:hint="eastAsia"/>
          <w:color w:val="FF0000"/>
        </w:rPr>
        <w:t>女士</w:t>
      </w:r>
      <w:r>
        <w:rPr>
          <w:rFonts w:hint="eastAsia"/>
        </w:rPr>
        <w:t>说，尽管报告相当坦白地承认吉尔吉斯斯坦境内有一些违法的一般习俗，但任何法院都未收到关于性别歧视的控诉；她对此一事实感到惊讶。政府必须设法让妇女知道她们的权利，协助她们向法院提出控诉。</w:t>
      </w:r>
    </w:p>
    <w:p w:rsidR="001930C6" w:rsidRDefault="001930C6">
      <w:pPr>
        <w:pStyle w:val="DualTxt"/>
        <w:rPr>
          <w:rFonts w:hint="eastAsia"/>
        </w:rPr>
      </w:pPr>
      <w:r>
        <w:rPr>
          <w:rFonts w:hint="eastAsia"/>
        </w:rPr>
        <w:t>46</w:t>
      </w:r>
      <w:r>
        <w:rPr>
          <w:rFonts w:hint="eastAsia"/>
        </w:rPr>
        <w:tab/>
        <w:t>她希望知道更多关于政府协助从事与可持续发展活动相反的企业活动的任何措施。企业活动的目的是为了获利，可持续发展活动则是为了生存,从而必须加以明白区分。在苏联时代,投资于妇女的教育是受重视的；她想知道政府是否仍然予以鼓励，是否鼓励妇女继续在大学深造。吉尔吉斯斯坦作为独立国家联合体（独联体）的一个成员国，可从该组织与欧洲联盟的联系获益。作为中亚的一个发展中国家，与联合国贸易和发展会议（贸发会议）及南南合作的联系可成为对其经济发展提供援助的来源。</w:t>
      </w:r>
    </w:p>
    <w:p w:rsidR="001930C6" w:rsidRDefault="001930C6">
      <w:pPr>
        <w:pStyle w:val="DualTxt"/>
        <w:rPr>
          <w:rFonts w:hint="eastAsia"/>
        </w:rPr>
      </w:pPr>
      <w:r>
        <w:rPr>
          <w:rFonts w:hint="eastAsia"/>
        </w:rPr>
        <w:t>47.</w:t>
      </w:r>
      <w:r>
        <w:rPr>
          <w:rFonts w:hint="eastAsia"/>
        </w:rPr>
        <w:tab/>
      </w:r>
      <w:r>
        <w:rPr>
          <w:rFonts w:ascii="SimHei" w:eastAsia="SimHei" w:hint="eastAsia"/>
          <w:b/>
          <w:bCs/>
          <w:color w:val="FF0000"/>
        </w:rPr>
        <w:t>A</w:t>
      </w:r>
      <w:r>
        <w:rPr>
          <w:rFonts w:ascii="SimHei" w:eastAsia="SimHei"/>
          <w:b/>
          <w:bCs/>
          <w:color w:val="FF0000"/>
        </w:rPr>
        <w:t>car</w:t>
      </w:r>
      <w:r>
        <w:rPr>
          <w:rFonts w:ascii="SimHei" w:eastAsia="SimHei" w:hint="eastAsia"/>
          <w:color w:val="FF0000"/>
        </w:rPr>
        <w:t>女士</w:t>
      </w:r>
      <w:r>
        <w:rPr>
          <w:rFonts w:hint="eastAsia"/>
        </w:rPr>
        <w:t>说，据她了解，吉尔吉斯斯坦代表团曾说，尽管议会感觉上反对多配偶制，但仍企图为此做法恢复某种合法基础。在象吉尔吉斯斯坦这样一个政教分离的国家内，这种行动是危险的，也是难以了解的。决不允许传统和文化的看法侵犯妇女的人权。</w:t>
      </w:r>
    </w:p>
    <w:p w:rsidR="001930C6" w:rsidRDefault="001930C6">
      <w:pPr>
        <w:pStyle w:val="DualTxt"/>
        <w:spacing w:after="240"/>
        <w:rPr>
          <w:rFonts w:hint="eastAsia"/>
        </w:rPr>
      </w:pPr>
      <w:r>
        <w:rPr>
          <w:rFonts w:hint="eastAsia"/>
        </w:rPr>
        <w:t>48.</w:t>
      </w:r>
      <w:r>
        <w:rPr>
          <w:rFonts w:hint="eastAsia"/>
        </w:rPr>
        <w:tab/>
      </w:r>
      <w:r>
        <w:rPr>
          <w:rFonts w:ascii="SimHei" w:eastAsia="SimHei" w:hint="eastAsia"/>
          <w:b/>
          <w:bCs/>
          <w:color w:val="FF0000"/>
        </w:rPr>
        <w:t>G</w:t>
      </w:r>
      <w:r>
        <w:rPr>
          <w:rFonts w:ascii="SimHei" w:eastAsia="SimHei"/>
          <w:b/>
          <w:bCs/>
          <w:color w:val="FF0000"/>
        </w:rPr>
        <w:t>oonesekere</w:t>
      </w:r>
      <w:r>
        <w:rPr>
          <w:rFonts w:ascii="SimHei" w:eastAsia="SimHei" w:hint="eastAsia"/>
          <w:color w:val="FF0000"/>
        </w:rPr>
        <w:t>女士</w:t>
      </w:r>
      <w:r>
        <w:rPr>
          <w:rFonts w:hint="eastAsia"/>
        </w:rPr>
        <w:t>要求提供关于男子在事实上为多配偶和有非婚生子女的情况下应付出赡养费情况的进一步资料。</w:t>
      </w:r>
    </w:p>
    <w:p w:rsidR="001930C6" w:rsidRDefault="001930C6">
      <w:pPr>
        <w:pStyle w:val="DualTxt"/>
        <w:spacing w:after="240"/>
        <w:rPr>
          <w:rFonts w:hint="eastAsia"/>
        </w:rPr>
      </w:pPr>
      <w:r>
        <w:rPr>
          <w:rFonts w:hint="eastAsia"/>
        </w:rPr>
        <w:t>49.</w:t>
      </w:r>
      <w:r>
        <w:rPr>
          <w:rFonts w:hint="eastAsia"/>
        </w:rPr>
        <w:tab/>
      </w:r>
      <w:r>
        <w:rPr>
          <w:rFonts w:ascii="KaiTi_GB2312" w:eastAsia="KaiTi_GB2312" w:hint="eastAsia"/>
          <w:color w:val="0000FF"/>
        </w:rPr>
        <w:t>主席冈萨雷斯女士继续担任主席</w:t>
      </w:r>
      <w:r>
        <w:rPr>
          <w:rFonts w:hint="eastAsia"/>
        </w:rPr>
        <w:t>。</w:t>
      </w:r>
    </w:p>
    <w:p w:rsidR="001930C6" w:rsidRDefault="001930C6">
      <w:pPr>
        <w:pStyle w:val="DualTxt"/>
      </w:pPr>
      <w:r>
        <w:rPr>
          <w:rFonts w:hint="eastAsia"/>
        </w:rPr>
        <w:t>50.</w:t>
      </w:r>
      <w:r>
        <w:rPr>
          <w:rFonts w:hint="eastAsia"/>
        </w:rPr>
        <w:tab/>
      </w:r>
      <w:r>
        <w:rPr>
          <w:rFonts w:ascii="SimHei" w:eastAsia="SimHei" w:hint="eastAsia"/>
          <w:b/>
          <w:bCs/>
          <w:color w:val="FF0000"/>
        </w:rPr>
        <w:t>I</w:t>
      </w:r>
      <w:r>
        <w:rPr>
          <w:rFonts w:ascii="SimHei" w:eastAsia="SimHei"/>
          <w:b/>
          <w:bCs/>
          <w:color w:val="FF0000"/>
        </w:rPr>
        <w:t>smailova</w:t>
      </w:r>
      <w:r>
        <w:rPr>
          <w:rFonts w:ascii="SimHei" w:eastAsia="SimHei" w:hint="eastAsia"/>
          <w:color w:val="FF0000"/>
        </w:rPr>
        <w:t>女士</w:t>
      </w:r>
      <w:r>
        <w:rPr>
          <w:rFonts w:hint="eastAsia"/>
        </w:rPr>
        <w:t>（吉尔吉斯斯坦）说，关于对微额信贷的意见，这些资源确实是扶贫的最有效行动。她接受过孟加拉国格拉米恩银行提供的微额信贷培训，该银行是此一领域内的开拓者之一。除了19个其他提供微额信贷服务的组织外，吉尔吉斯斯坦目前</w:t>
      </w:r>
    </w:p>
    <w:p w:rsidR="001930C6" w:rsidRDefault="001930C6">
      <w:pPr>
        <w:pStyle w:val="DualTxt"/>
        <w:rPr>
          <w:rFonts w:hint="eastAsia"/>
        </w:rPr>
      </w:pPr>
      <w:r>
        <w:br w:type="column"/>
      </w:r>
      <w:r>
        <w:rPr>
          <w:rFonts w:hint="eastAsia"/>
        </w:rPr>
        <w:t>有两个格拉米恩银行分行。</w:t>
      </w:r>
    </w:p>
    <w:p w:rsidR="001930C6" w:rsidRDefault="001930C6">
      <w:pPr>
        <w:pStyle w:val="DualTxt"/>
        <w:rPr>
          <w:rFonts w:hint="eastAsia"/>
        </w:rPr>
      </w:pPr>
      <w:r>
        <w:rPr>
          <w:rFonts w:hint="eastAsia"/>
        </w:rPr>
        <w:t>51.</w:t>
      </w:r>
      <w:r>
        <w:rPr>
          <w:rFonts w:hint="eastAsia"/>
        </w:rPr>
        <w:tab/>
        <w:t>关于改善适用于婚姻、家庭和妇女的法律规范的建议，那种多配偶情形是法律上禁止的，同时除非第一次婚姻已解除，是不允许再婚的。不过，即使在象吉尔吉斯斯坦这样一个政教分离的国家境内，某些情形仍非法院系统所可及的；今后政府必须采取较坚定的立场。在制订《劳工法典》和《家庭法典》方面，政府从国际专家获益极大，政府将向委员会提供更多资料，供其存档。政府也编制了关于一般人权和特别关于妇女的权利的小册子，也备有关于对妇女的暴力行为的材料。</w:t>
      </w:r>
    </w:p>
    <w:p w:rsidR="001930C6" w:rsidRDefault="001930C6">
      <w:pPr>
        <w:pStyle w:val="DualTxt"/>
        <w:rPr>
          <w:rFonts w:hint="eastAsia"/>
          <w:b/>
          <w:bCs/>
        </w:rPr>
      </w:pPr>
      <w:r>
        <w:rPr>
          <w:rFonts w:hint="eastAsia"/>
        </w:rPr>
        <w:t>52.</w:t>
      </w:r>
      <w:r>
        <w:rPr>
          <w:rFonts w:hint="eastAsia"/>
        </w:rPr>
        <w:tab/>
        <w:t>妇女对经济转型极端重要，国家委员会制订的女企业家方案影响重大。坦白讲，妇女对歧视的概念可能不足。政府正在努力散发该信息，但仍有重重阻碍待克服。她在作总结时提及促进经济发展和援助弱势人民的“A</w:t>
      </w:r>
      <w:r>
        <w:t>raket</w:t>
      </w:r>
      <w:r>
        <w:rPr>
          <w:rFonts w:hint="eastAsia"/>
        </w:rPr>
        <w:t>”方案，该方案将指导2005年全年的扶贫工作。</w:t>
      </w:r>
    </w:p>
    <w:p w:rsidR="001930C6" w:rsidRDefault="001930C6">
      <w:pPr>
        <w:pStyle w:val="DualTxt"/>
      </w:pPr>
      <w:r>
        <w:rPr>
          <w:rFonts w:hint="eastAsia"/>
        </w:rPr>
        <w:tab/>
      </w:r>
      <w:r>
        <w:rPr>
          <w:rFonts w:ascii="KaiTi_GB2312" w:eastAsia="KaiTi_GB2312" w:hint="eastAsia"/>
          <w:color w:val="0000FF"/>
        </w:rPr>
        <w:t>下午12时10分散会</w:t>
      </w:r>
    </w:p>
    <w:sectPr w:rsidR="001930C6">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930C6" w:rsidRDefault="001930C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NO&gt;&gt;N0224297C&lt;&lt;ODS JOB NO&gt;&gt;</w:t>
      </w:r>
    </w:p>
    <w:p w:rsidR="001930C6" w:rsidRDefault="001930C6">
      <w:pPr>
        <w:pStyle w:val="CommentText"/>
      </w:pPr>
      <w:r>
        <w:t>&lt;&lt;ODS DOC SYMBOL1&gt;&gt;CEDAW/C/SR.413&lt;&lt;ODS DOC SYMBOL1&gt;&gt;</w:t>
      </w:r>
    </w:p>
    <w:p w:rsidR="001930C6" w:rsidRDefault="001930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50F1">
      <w:pPr>
        <w:spacing w:line="240" w:lineRule="auto"/>
      </w:pPr>
      <w:r>
        <w:separator/>
      </w:r>
    </w:p>
  </w:endnote>
  <w:endnote w:type="continuationSeparator" w:id="0">
    <w:p w:rsidR="00000000" w:rsidRDefault="00D250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930C6">
      <w:tblPrEx>
        <w:tblCellMar>
          <w:top w:w="0" w:type="dxa"/>
          <w:bottom w:w="0" w:type="dxa"/>
        </w:tblCellMar>
      </w:tblPrEx>
      <w:tc>
        <w:tcPr>
          <w:tcW w:w="5034" w:type="dxa"/>
          <w:vAlign w:val="bottom"/>
        </w:tcPr>
        <w:p w:rsidR="001930C6" w:rsidRDefault="001930C6">
          <w:pPr>
            <w:pStyle w:val="Footer"/>
          </w:pPr>
          <w:r>
            <w:fldChar w:fldCharType="begin"/>
          </w:r>
          <w:r>
            <w:instrText xml:space="preserve"> PAGE  \* MERGEFORMAT </w:instrText>
          </w:r>
          <w:r>
            <w:fldChar w:fldCharType="separate"/>
          </w:r>
          <w:r>
            <w:t>2</w:t>
          </w:r>
          <w:r>
            <w:fldChar w:fldCharType="end"/>
          </w:r>
        </w:p>
      </w:tc>
      <w:tc>
        <w:tcPr>
          <w:tcW w:w="5034" w:type="dxa"/>
          <w:vAlign w:val="bottom"/>
        </w:tcPr>
        <w:p w:rsidR="001930C6" w:rsidRDefault="001930C6">
          <w:pPr>
            <w:pStyle w:val="Footer"/>
            <w:jc w:val="right"/>
          </w:pPr>
        </w:p>
      </w:tc>
    </w:tr>
  </w:tbl>
  <w:p w:rsidR="001930C6" w:rsidRDefault="001930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930C6">
      <w:tblPrEx>
        <w:tblCellMar>
          <w:top w:w="0" w:type="dxa"/>
          <w:bottom w:w="0" w:type="dxa"/>
        </w:tblCellMar>
      </w:tblPrEx>
      <w:tc>
        <w:tcPr>
          <w:tcW w:w="5034" w:type="dxa"/>
          <w:vAlign w:val="bottom"/>
        </w:tcPr>
        <w:p w:rsidR="001930C6" w:rsidRDefault="001930C6">
          <w:pPr>
            <w:pStyle w:val="Footer"/>
          </w:pPr>
        </w:p>
      </w:tc>
      <w:tc>
        <w:tcPr>
          <w:tcW w:w="5034" w:type="dxa"/>
          <w:vAlign w:val="bottom"/>
        </w:tcPr>
        <w:p w:rsidR="001930C6" w:rsidRDefault="001930C6">
          <w:pPr>
            <w:pStyle w:val="Footer"/>
            <w:jc w:val="right"/>
          </w:pPr>
          <w:r>
            <w:fldChar w:fldCharType="begin"/>
          </w:r>
          <w:r>
            <w:instrText xml:space="preserve"> PAGE  \* MERGEFORMAT </w:instrText>
          </w:r>
          <w:r>
            <w:fldChar w:fldCharType="separate"/>
          </w:r>
          <w:r>
            <w:t>5</w:t>
          </w:r>
          <w:r>
            <w:fldChar w:fldCharType="end"/>
          </w:r>
        </w:p>
      </w:tc>
    </w:tr>
  </w:tbl>
  <w:p w:rsidR="001930C6" w:rsidRDefault="001930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0C6" w:rsidRDefault="001930C6">
    <w:pPr>
      <w:pStyle w:val="Footer"/>
    </w:pPr>
  </w:p>
  <w:p w:rsidR="001930C6" w:rsidRDefault="001930C6">
    <w:pPr>
      <w:pStyle w:val="Footer"/>
      <w:pBdr>
        <w:top w:val="single" w:sz="2" w:space="0" w:color="000000"/>
      </w:pBdr>
      <w:rPr>
        <w:sz w:val="2"/>
      </w:rPr>
    </w:pPr>
  </w:p>
  <w:p w:rsidR="001930C6" w:rsidRDefault="001930C6">
    <w:pPr>
      <w:spacing w:after="120" w:line="240" w:lineRule="auto"/>
      <w:ind w:left="1267" w:right="1267"/>
      <w:jc w:val="both"/>
      <w:rPr>
        <w:snapToGrid w:val="0"/>
        <w:w w:val="104"/>
        <w:sz w:val="17"/>
      </w:rPr>
    </w:pPr>
    <w:r>
      <w:rPr>
        <w:rFonts w:hint="eastAsia"/>
        <w:snapToGrid w:val="0"/>
        <w:w w:val="104"/>
        <w:sz w:val="17"/>
      </w:rPr>
      <w:t>本记录可以更正。</w:t>
    </w:r>
  </w:p>
  <w:p w:rsidR="001930C6" w:rsidRDefault="001930C6">
    <w:pPr>
      <w:spacing w:after="120" w:line="240" w:lineRule="auto"/>
      <w:ind w:left="1267" w:right="1267"/>
      <w:jc w:val="both"/>
      <w:rPr>
        <w:rFonts w:hint="eastAsia"/>
        <w:snapToGrid w:val="0"/>
        <w:w w:val="104"/>
        <w:sz w:val="17"/>
      </w:rPr>
    </w:pPr>
    <w:r>
      <w:rPr>
        <w:rFonts w:hint="eastAsia"/>
        <w:snapToGrid w:val="0"/>
        <w:w w:val="104"/>
        <w:sz w:val="17"/>
      </w:rPr>
      <w:t>本记录的各项更正应以一种工作语文提出。各项更正应在一份备忘录内列明，并填写在一份记录上。各项更正应</w:t>
    </w:r>
    <w:r>
      <w:rPr>
        <w:rFonts w:eastAsia="SimHei" w:hint="eastAsia"/>
        <w:snapToGrid w:val="0"/>
        <w:w w:val="104"/>
        <w:sz w:val="17"/>
      </w:rPr>
      <w:t>在本文件印发日期后一个星期内</w:t>
    </w:r>
    <w:r>
      <w:rPr>
        <w:rFonts w:hint="eastAsia"/>
        <w:snapToGrid w:val="0"/>
        <w:w w:val="104"/>
        <w:sz w:val="17"/>
      </w:rPr>
      <w:t>送交正式记录编辑科科长（联合国广场</w:t>
    </w:r>
    <w:r>
      <w:rPr>
        <w:snapToGrid w:val="0"/>
        <w:w w:val="104"/>
        <w:sz w:val="17"/>
      </w:rPr>
      <w:t>2</w:t>
    </w:r>
    <w:r>
      <w:rPr>
        <w:rFonts w:hint="eastAsia"/>
        <w:snapToGrid w:val="0"/>
        <w:w w:val="104"/>
        <w:sz w:val="17"/>
      </w:rPr>
      <w:t>号</w:t>
    </w:r>
    <w:r>
      <w:rPr>
        <w:snapToGrid w:val="0"/>
        <w:w w:val="104"/>
        <w:sz w:val="17"/>
      </w:rPr>
      <w:t xml:space="preserve"> DC2-750</w:t>
    </w:r>
    <w:r>
      <w:rPr>
        <w:rFonts w:hint="eastAsia"/>
        <w:snapToGrid w:val="0"/>
        <w:w w:val="104"/>
        <w:sz w:val="17"/>
      </w:rPr>
      <w:t>室）。</w:t>
    </w:r>
  </w:p>
  <w:p w:rsidR="001930C6" w:rsidRDefault="001930C6">
    <w:pPr>
      <w:pStyle w:val="FootnoteText"/>
      <w:spacing w:after="140"/>
      <w:ind w:left="1267" w:right="1267" w:firstLine="0"/>
      <w:rPr>
        <w:rFonts w:hint="eastAsia"/>
        <w:snapToGrid w:val="0"/>
        <w:spacing w:val="5"/>
        <w:w w:val="104"/>
        <w:sz w:val="17"/>
      </w:rPr>
    </w:pPr>
    <w:r>
      <w:rPr>
        <w:rFonts w:hint="eastAsia"/>
        <w:noProof w:val="0"/>
        <w:snapToGrid w:val="0"/>
        <w:w w:val="104"/>
        <w:sz w:val="17"/>
      </w:rPr>
      <w:t>对本届会议各次会议记录的任何更正将并入一份更正汇编，在届会结束后不久印发。</w:t>
    </w:r>
  </w:p>
  <w:p w:rsidR="001930C6" w:rsidRDefault="001930C6">
    <w:pPr>
      <w:pStyle w:val="Footer"/>
      <w:rPr>
        <w:b w:val="0"/>
        <w:snapToGrid w:val="0"/>
        <w:w w:val="104"/>
        <w:sz w:val="21"/>
      </w:rPr>
    </w:pPr>
    <w:r>
      <w:rPr>
        <w:b w:val="0"/>
        <w:snapToGrid w:val="0"/>
        <w:w w:val="104"/>
        <w:sz w:val="21"/>
      </w:rPr>
      <w:t>02-24297 (C)</w:t>
    </w:r>
  </w:p>
  <w:p w:rsidR="001930C6" w:rsidRDefault="001930C6">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*0224297*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50F1">
      <w:pPr>
        <w:spacing w:line="240" w:lineRule="auto"/>
      </w:pPr>
      <w:r>
        <w:separator/>
      </w:r>
    </w:p>
  </w:footnote>
  <w:footnote w:type="continuationSeparator" w:id="0">
    <w:p w:rsidR="00000000" w:rsidRDefault="00D250F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0C6" w:rsidRDefault="001930C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930C6">
                  <w:tblPrEx>
                    <w:tblCellMar>
                      <w:top w:w="0" w:type="dxa"/>
                      <w:bottom w:w="0" w:type="dxa"/>
                    </w:tblCellMar>
                  </w:tblPrEx>
                  <w:trPr>
                    <w:trHeight w:hRule="exact" w:val="864"/>
                  </w:trPr>
                  <w:tc>
                    <w:tcPr>
                      <w:tcW w:w="4838" w:type="dxa"/>
                      <w:vAlign w:val="bottom"/>
                    </w:tcPr>
                    <w:p w:rsidR="001930C6" w:rsidRDefault="001930C6">
                      <w:pPr>
                        <w:pStyle w:val="Header"/>
                        <w:spacing w:after="80"/>
                        <w:rPr>
                          <w:b/>
                          <w:sz w:val="17"/>
                        </w:rPr>
                      </w:pPr>
                      <w:r>
                        <w:rPr>
                          <w:b/>
                          <w:sz w:val="17"/>
                        </w:rPr>
                        <w:t>CEDAW/C/SR.413</w:t>
                      </w:r>
                    </w:p>
                  </w:tc>
                  <w:tc>
                    <w:tcPr>
                      <w:tcW w:w="5048" w:type="dxa"/>
                      <w:vAlign w:val="bottom"/>
                    </w:tcPr>
                    <w:p w:rsidR="001930C6" w:rsidRDefault="001930C6">
                      <w:pPr>
                        <w:pStyle w:val="Header"/>
                      </w:pPr>
                    </w:p>
                  </w:tc>
                </w:tr>
              </w:tbl>
              <w:p w:rsidR="001930C6" w:rsidRDefault="001930C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0C6" w:rsidRDefault="001930C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930C6">
                  <w:tblPrEx>
                    <w:tblCellMar>
                      <w:top w:w="0" w:type="dxa"/>
                      <w:bottom w:w="0" w:type="dxa"/>
                    </w:tblCellMar>
                  </w:tblPrEx>
                  <w:trPr>
                    <w:trHeight w:hRule="exact" w:val="864"/>
                  </w:trPr>
                  <w:tc>
                    <w:tcPr>
                      <w:tcW w:w="4838" w:type="dxa"/>
                      <w:vAlign w:val="bottom"/>
                    </w:tcPr>
                    <w:p w:rsidR="001930C6" w:rsidRDefault="001930C6">
                      <w:pPr>
                        <w:pStyle w:val="Header"/>
                      </w:pPr>
                    </w:p>
                  </w:tc>
                  <w:tc>
                    <w:tcPr>
                      <w:tcW w:w="5048" w:type="dxa"/>
                      <w:vAlign w:val="bottom"/>
                    </w:tcPr>
                    <w:p w:rsidR="001930C6" w:rsidRDefault="001930C6">
                      <w:pPr>
                        <w:pStyle w:val="Header"/>
                        <w:spacing w:after="80"/>
                        <w:jc w:val="right"/>
                        <w:rPr>
                          <w:b/>
                          <w:sz w:val="17"/>
                        </w:rPr>
                      </w:pPr>
                      <w:r>
                        <w:rPr>
                          <w:b/>
                          <w:sz w:val="17"/>
                        </w:rPr>
                        <w:t>CEDAW/C/SR.413</w:t>
                      </w:r>
                    </w:p>
                  </w:tc>
                </w:tr>
              </w:tbl>
              <w:p w:rsidR="001930C6" w:rsidRDefault="001930C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30C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930C6" w:rsidRDefault="001930C6">
          <w:pPr>
            <w:pStyle w:val="Header"/>
            <w:spacing w:after="120"/>
          </w:pPr>
        </w:p>
      </w:tc>
      <w:tc>
        <w:tcPr>
          <w:tcW w:w="1872" w:type="dxa"/>
          <w:tcBorders>
            <w:top w:val="nil"/>
            <w:left w:val="nil"/>
            <w:bottom w:val="single" w:sz="4" w:space="0" w:color="auto"/>
            <w:right w:val="nil"/>
          </w:tcBorders>
          <w:vAlign w:val="bottom"/>
        </w:tcPr>
        <w:p w:rsidR="001930C6" w:rsidRDefault="001930C6">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1930C6" w:rsidRDefault="001930C6">
          <w:pPr>
            <w:pStyle w:val="Header"/>
            <w:spacing w:after="120"/>
          </w:pPr>
        </w:p>
      </w:tc>
      <w:tc>
        <w:tcPr>
          <w:tcW w:w="6523" w:type="dxa"/>
          <w:gridSpan w:val="3"/>
          <w:tcBorders>
            <w:top w:val="nil"/>
            <w:left w:val="nil"/>
            <w:bottom w:val="single" w:sz="4" w:space="0" w:color="auto"/>
            <w:right w:val="nil"/>
          </w:tcBorders>
          <w:vAlign w:val="bottom"/>
        </w:tcPr>
        <w:p w:rsidR="001930C6" w:rsidRDefault="001930C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/C/SR.413</w:t>
          </w:r>
        </w:p>
      </w:tc>
    </w:tr>
    <w:tr w:rsidR="001930C6">
      <w:tblPrEx>
        <w:tblCellMar>
          <w:top w:w="0" w:type="dxa"/>
          <w:bottom w:w="0" w:type="dxa"/>
        </w:tblCellMar>
      </w:tblPrEx>
      <w:trPr>
        <w:trHeight w:hRule="exact" w:val="2880"/>
      </w:trPr>
      <w:tc>
        <w:tcPr>
          <w:tcW w:w="1267" w:type="dxa"/>
          <w:tcBorders>
            <w:left w:val="nil"/>
            <w:bottom w:val="single" w:sz="12" w:space="0" w:color="auto"/>
            <w:right w:val="nil"/>
          </w:tcBorders>
        </w:tcPr>
        <w:p w:rsidR="001930C6" w:rsidRDefault="001930C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930C6" w:rsidRDefault="001930C6">
          <w:pPr>
            <w:pStyle w:val="Header"/>
            <w:spacing w:before="109"/>
            <w:ind w:left="-72"/>
          </w:pPr>
        </w:p>
      </w:tc>
      <w:tc>
        <w:tcPr>
          <w:tcW w:w="5227" w:type="dxa"/>
          <w:gridSpan w:val="3"/>
          <w:tcBorders>
            <w:left w:val="nil"/>
            <w:bottom w:val="single" w:sz="12" w:space="0" w:color="auto"/>
            <w:right w:val="nil"/>
          </w:tcBorders>
        </w:tcPr>
        <w:p w:rsidR="001930C6" w:rsidRDefault="001930C6">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1930C6" w:rsidRDefault="001930C6">
          <w:pPr>
            <w:pStyle w:val="Header"/>
            <w:spacing w:before="109"/>
          </w:pPr>
        </w:p>
      </w:tc>
      <w:tc>
        <w:tcPr>
          <w:tcW w:w="3180" w:type="dxa"/>
          <w:gridSpan w:val="2"/>
          <w:tcBorders>
            <w:left w:val="nil"/>
            <w:bottom w:val="single" w:sz="12" w:space="0" w:color="auto"/>
            <w:right w:val="nil"/>
          </w:tcBorders>
        </w:tcPr>
        <w:p w:rsidR="001930C6" w:rsidRDefault="001930C6">
          <w:pPr>
            <w:spacing w:before="240" w:line="240" w:lineRule="exact"/>
            <w:rPr>
              <w:rFonts w:ascii="Times New Roman"/>
            </w:rPr>
          </w:pPr>
          <w:r>
            <w:rPr>
              <w:rFonts w:ascii="Times New Roman"/>
            </w:rPr>
            <w:t>Distr.: General</w:t>
          </w:r>
        </w:p>
        <w:p w:rsidR="001930C6" w:rsidRDefault="001930C6">
          <w:pPr>
            <w:spacing w:line="240" w:lineRule="exact"/>
            <w:rPr>
              <w:rFonts w:ascii="Times New Roman"/>
            </w:rPr>
          </w:pPr>
          <w:r>
            <w:rPr>
              <w:rFonts w:ascii="Times New Roman"/>
            </w:rPr>
            <w:t>22 December 2003</w:t>
          </w:r>
        </w:p>
        <w:p w:rsidR="001930C6" w:rsidRDefault="001930C6">
          <w:pPr>
            <w:spacing w:line="240" w:lineRule="exact"/>
            <w:rPr>
              <w:rFonts w:ascii="Times New Roman"/>
            </w:rPr>
          </w:pPr>
          <w:r>
            <w:rPr>
              <w:rFonts w:ascii="Times New Roman"/>
            </w:rPr>
            <w:t>Chinese</w:t>
          </w:r>
        </w:p>
        <w:p w:rsidR="001930C6" w:rsidRDefault="001930C6">
          <w:pPr>
            <w:spacing w:line="240" w:lineRule="exact"/>
            <w:rPr>
              <w:rFonts w:ascii="Times New Roman"/>
            </w:rPr>
          </w:pPr>
          <w:r>
            <w:rPr>
              <w:rFonts w:ascii="Times New Roman"/>
            </w:rPr>
            <w:t>Original: English</w:t>
          </w:r>
        </w:p>
      </w:tc>
    </w:tr>
  </w:tbl>
  <w:p w:rsidR="001930C6" w:rsidRDefault="001930C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12/2003 1:46: PM"/>
    <w:docVar w:name="DocCategory" w:val="SROthers"/>
    <w:docVar w:name="DocType" w:val="Final"/>
    <w:docVar w:name="JobNo" w:val="0224297C"/>
    <w:docVar w:name="OandT" w:val="ZHOU"/>
    <w:docVar w:name="Symbol1" w:val="CEDAW/C/SR.413"/>
    <w:docVar w:name="Symbol2" w:val="-"/>
  </w:docVars>
  <w:rsids>
    <w:rsidRoot w:val="001930C6"/>
    <w:rsid w:val="001930C6"/>
    <w:rsid w:val="00D250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1930C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3</Pages>
  <Words>1059</Words>
  <Characters>6038</Characters>
  <Application>Microsoft Office Word</Application>
  <DocSecurity>4</DocSecurity>
  <Lines>50</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20</cp:revision>
  <cp:lastPrinted>2003-12-22T15:59:00Z</cp:lastPrinted>
  <dcterms:created xsi:type="dcterms:W3CDTF">2003-12-18T12:46:00Z</dcterms:created>
  <dcterms:modified xsi:type="dcterms:W3CDTF">2003-12-22T15:41:00Z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0224297</vt:lpwstr>
  </property>
  <property fmtid="{D5CDD505-2E9C-101B-9397-08002B2CF9AE}" pid="3" name="Symbol1">
    <vt:lpwstr>CEDAW/C/SR.413</vt:lpwstr>
  </property>
  <property fmtid="{D5CDD505-2E9C-101B-9397-08002B2CF9AE}" pid="4" name="Symbol2">
    <vt:lpwstr/>
  </property>
  <property fmtid="{D5CDD505-2E9C-101B-9397-08002B2CF9AE}" pid="5" name="Translator">
    <vt:lpwstr/>
  </property>
  <property fmtid="{D5CDD505-2E9C-101B-9397-08002B2CF9AE}" pid="6" name="Operator">
    <vt:lpwstr>ZHOU</vt:lpwstr>
  </property>
  <property fmtid="{D5CDD505-2E9C-101B-9397-08002B2CF9AE}" pid="7" name="DraftPages">
    <vt:lpwstr> </vt:lpwstr>
  </property>
  <property fmtid="{D5CDD505-2E9C-101B-9397-08002B2CF9AE}" pid="8" name="Comment">
    <vt:lpwstr/>
  </property>
</Properties>
</file>