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941762F" w14:textId="77777777" w:rsidTr="008F3CA0">
        <w:trPr>
          <w:trHeight w:hRule="exact" w:val="851"/>
        </w:trPr>
        <w:tc>
          <w:tcPr>
            <w:tcW w:w="1276" w:type="dxa"/>
            <w:tcBorders>
              <w:bottom w:val="single" w:sz="4" w:space="0" w:color="auto"/>
            </w:tcBorders>
          </w:tcPr>
          <w:p w14:paraId="5B7B2116" w14:textId="77777777" w:rsidR="000354E9" w:rsidRPr="00DB58B5" w:rsidRDefault="000354E9" w:rsidP="00EB5903"/>
        </w:tc>
        <w:tc>
          <w:tcPr>
            <w:tcW w:w="2268" w:type="dxa"/>
            <w:tcBorders>
              <w:bottom w:val="single" w:sz="4" w:space="0" w:color="auto"/>
            </w:tcBorders>
            <w:vAlign w:val="bottom"/>
          </w:tcPr>
          <w:p w14:paraId="1DB133E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2217991" w14:textId="77777777" w:rsidR="000354E9" w:rsidRPr="00DB58B5" w:rsidRDefault="00EB5903" w:rsidP="00EB5903">
            <w:pPr>
              <w:jc w:val="right"/>
            </w:pPr>
            <w:r w:rsidRPr="00EB5903">
              <w:rPr>
                <w:sz w:val="40"/>
              </w:rPr>
              <w:t>CRC</w:t>
            </w:r>
            <w:r>
              <w:t>/C/BRA/RQ/5-7</w:t>
            </w:r>
          </w:p>
        </w:tc>
      </w:tr>
      <w:tr w:rsidR="000354E9" w:rsidRPr="00DB58B5" w14:paraId="5C97A250" w14:textId="77777777" w:rsidTr="008F3CA0">
        <w:trPr>
          <w:trHeight w:hRule="exact" w:val="2835"/>
        </w:trPr>
        <w:tc>
          <w:tcPr>
            <w:tcW w:w="1276" w:type="dxa"/>
            <w:tcBorders>
              <w:top w:val="single" w:sz="4" w:space="0" w:color="auto"/>
              <w:bottom w:val="single" w:sz="12" w:space="0" w:color="auto"/>
            </w:tcBorders>
          </w:tcPr>
          <w:p w14:paraId="6F5FBFFD" w14:textId="77777777" w:rsidR="000354E9" w:rsidRPr="00DB58B5" w:rsidRDefault="000354E9" w:rsidP="008F3CA0">
            <w:pPr>
              <w:spacing w:before="120"/>
              <w:jc w:val="center"/>
            </w:pPr>
            <w:r>
              <w:rPr>
                <w:noProof/>
                <w:lang w:eastAsia="fr-CH"/>
              </w:rPr>
              <w:drawing>
                <wp:inline distT="0" distB="0" distL="0" distR="0" wp14:anchorId="705DCEAF" wp14:editId="59CEF4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5541B9"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CC736F1" w14:textId="77777777" w:rsidR="000354E9" w:rsidRDefault="00EB5903" w:rsidP="008F3CA0">
            <w:pPr>
              <w:spacing w:before="240"/>
            </w:pPr>
            <w:proofErr w:type="spellStart"/>
            <w:r>
              <w:t>Distr</w:t>
            </w:r>
            <w:proofErr w:type="spellEnd"/>
            <w:r>
              <w:t>. générale</w:t>
            </w:r>
          </w:p>
          <w:p w14:paraId="71938221" w14:textId="77777777" w:rsidR="00EB5903" w:rsidRDefault="00EB5903" w:rsidP="00EB5903">
            <w:pPr>
              <w:spacing w:line="240" w:lineRule="exact"/>
            </w:pPr>
            <w:r>
              <w:t>7 mars 2025</w:t>
            </w:r>
          </w:p>
          <w:p w14:paraId="42F4303D" w14:textId="77777777" w:rsidR="00EB5903" w:rsidRDefault="00EB5903" w:rsidP="00EB5903">
            <w:pPr>
              <w:spacing w:line="240" w:lineRule="exact"/>
            </w:pPr>
            <w:r>
              <w:t>Français</w:t>
            </w:r>
          </w:p>
          <w:p w14:paraId="1448A1C8" w14:textId="7B11BE66" w:rsidR="00EB5903" w:rsidRDefault="00EB5903" w:rsidP="00EB5903">
            <w:pPr>
              <w:spacing w:line="240" w:lineRule="exact"/>
            </w:pPr>
            <w:r>
              <w:t>Original</w:t>
            </w:r>
            <w:r w:rsidR="00236BCA">
              <w:t> :</w:t>
            </w:r>
            <w:r>
              <w:t xml:space="preserve"> anglais</w:t>
            </w:r>
          </w:p>
          <w:p w14:paraId="2CEB5E91" w14:textId="0C1CC333" w:rsidR="00EB5903" w:rsidRPr="00DB58B5" w:rsidRDefault="00EB5903" w:rsidP="00EB5903">
            <w:pPr>
              <w:spacing w:line="240" w:lineRule="exact"/>
            </w:pPr>
            <w:r>
              <w:t>Anglais, espagnol et français seulement</w:t>
            </w:r>
          </w:p>
        </w:tc>
      </w:tr>
    </w:tbl>
    <w:p w14:paraId="403AB566" w14:textId="77777777" w:rsidR="002D14A3" w:rsidRDefault="002D14A3" w:rsidP="00EB5903">
      <w:pPr>
        <w:spacing w:before="120"/>
        <w:rPr>
          <w:b/>
          <w:sz w:val="24"/>
          <w:szCs w:val="24"/>
        </w:rPr>
      </w:pPr>
      <w:r w:rsidRPr="00DA3BE9">
        <w:rPr>
          <w:b/>
          <w:sz w:val="24"/>
          <w:szCs w:val="24"/>
        </w:rPr>
        <w:t>Comité des droits de l’enfant</w:t>
      </w:r>
    </w:p>
    <w:p w14:paraId="20A918F3" w14:textId="77777777" w:rsidR="00EB5903" w:rsidRPr="00BE2E8F" w:rsidRDefault="00EB5903" w:rsidP="00EB5903">
      <w:pPr>
        <w:rPr>
          <w:b/>
          <w:bCs/>
          <w:color w:val="000000" w:themeColor="text1"/>
        </w:rPr>
      </w:pPr>
      <w:r>
        <w:rPr>
          <w:b/>
          <w:color w:val="000000" w:themeColor="text1"/>
        </w:rPr>
        <w:t>Quatre-vingt-dix-neuvième session</w:t>
      </w:r>
    </w:p>
    <w:p w14:paraId="122EF573" w14:textId="2599D3B6" w:rsidR="00EB5903" w:rsidRPr="00BE2E8F" w:rsidRDefault="00EB5903" w:rsidP="00EB5903">
      <w:pPr>
        <w:rPr>
          <w:color w:val="000000" w:themeColor="text1"/>
        </w:rPr>
      </w:pPr>
      <w:r>
        <w:rPr>
          <w:color w:val="000000" w:themeColor="text1"/>
        </w:rPr>
        <w:t>Genève, 5</w:t>
      </w:r>
      <w:r>
        <w:rPr>
          <w:color w:val="000000" w:themeColor="text1"/>
        </w:rPr>
        <w:noBreakHyphen/>
      </w:r>
      <w:r>
        <w:rPr>
          <w:color w:val="000000" w:themeColor="text1"/>
        </w:rPr>
        <w:t>23 mai 2025</w:t>
      </w:r>
    </w:p>
    <w:p w14:paraId="2E8B0815" w14:textId="77777777" w:rsidR="00EB5903" w:rsidRPr="00BE2E8F" w:rsidRDefault="00EB5903" w:rsidP="00EB5903">
      <w:pPr>
        <w:rPr>
          <w:b/>
          <w:bCs/>
          <w:color w:val="000000" w:themeColor="text1"/>
        </w:rPr>
      </w:pPr>
      <w:r>
        <w:rPr>
          <w:b/>
          <w:color w:val="000000" w:themeColor="text1"/>
        </w:rPr>
        <w:t>Examen des rapports des États parties</w:t>
      </w:r>
    </w:p>
    <w:p w14:paraId="26C1D629" w14:textId="77777777" w:rsidR="00EB5903" w:rsidRPr="00BE2E8F" w:rsidRDefault="00EB5903" w:rsidP="00EB5903">
      <w:pPr>
        <w:pStyle w:val="HMG"/>
        <w:spacing w:before="360"/>
      </w:pPr>
      <w:r>
        <w:tab/>
      </w:r>
      <w:r>
        <w:tab/>
        <w:t>Réponses du Brésil à la liste de points concernant son rapport valant cinquième à septième rapports périodiques</w:t>
      </w:r>
      <w:r w:rsidRPr="00EB5903">
        <w:rPr>
          <w:b w:val="0"/>
          <w:position w:val="4"/>
          <w:sz w:val="20"/>
          <w:szCs w:val="14"/>
        </w:rPr>
        <w:footnoteReference w:customMarkFollows="1" w:id="2"/>
        <w:t>*</w:t>
      </w:r>
      <w:r w:rsidRPr="00EB5903">
        <w:rPr>
          <w:b w:val="0"/>
          <w:position w:val="4"/>
          <w:sz w:val="20"/>
          <w:vertAlign w:val="superscript"/>
        </w:rPr>
        <w:t xml:space="preserve">, </w:t>
      </w:r>
      <w:r w:rsidRPr="00EB5903">
        <w:rPr>
          <w:b w:val="0"/>
          <w:position w:val="4"/>
          <w:sz w:val="20"/>
          <w:szCs w:val="14"/>
        </w:rPr>
        <w:footnoteReference w:customMarkFollows="1" w:id="3"/>
        <w:t>**</w:t>
      </w:r>
    </w:p>
    <w:p w14:paraId="7541B623" w14:textId="77777777" w:rsidR="00EB5903" w:rsidRPr="00BE2E8F" w:rsidRDefault="00EB5903" w:rsidP="00EB5903">
      <w:pPr>
        <w:pStyle w:val="SingleTxtG"/>
        <w:jc w:val="right"/>
      </w:pPr>
      <w:r>
        <w:t>[Date de réception : 3 mars 2025]</w:t>
      </w:r>
    </w:p>
    <w:p w14:paraId="74F55559" w14:textId="77777777" w:rsidR="00EB5903" w:rsidRPr="00BE2E8F" w:rsidRDefault="00EB5903" w:rsidP="00EB5903">
      <w:pPr>
        <w:pStyle w:val="SingleTxtG"/>
      </w:pPr>
      <w:r>
        <w:br w:type="page"/>
      </w:r>
    </w:p>
    <w:p w14:paraId="0669974F" w14:textId="169A9449" w:rsidR="00EB5903" w:rsidRPr="00BE2E8F" w:rsidRDefault="00EB5903" w:rsidP="00EB5903">
      <w:pPr>
        <w:pStyle w:val="HChG"/>
        <w:spacing w:before="320" w:after="200"/>
      </w:pPr>
      <w:r>
        <w:lastRenderedPageBreak/>
        <w:tab/>
      </w:r>
      <w:r>
        <w:tab/>
      </w:r>
      <w:r>
        <w:t>Première partie</w:t>
      </w:r>
    </w:p>
    <w:p w14:paraId="1BDE7044" w14:textId="02E46BCA" w:rsidR="00EB5903" w:rsidRPr="00BE2E8F" w:rsidRDefault="00EB5903" w:rsidP="00EB5903">
      <w:pPr>
        <w:pStyle w:val="H1G"/>
        <w:spacing w:before="320" w:after="200"/>
      </w:pPr>
      <w:r>
        <w:tab/>
      </w:r>
      <w:r>
        <w:tab/>
        <w:t>Réponse au paragraphe 2 a) de la liste de points (</w:t>
      </w:r>
      <w:hyperlink r:id="rId8" w:history="1">
        <w:r w:rsidRPr="00EB5903">
          <w:rPr>
            <w:rStyle w:val="Lienhypertexte"/>
          </w:rPr>
          <w:t>CRC/C/BRA/Q/5-7</w:t>
        </w:r>
      </w:hyperlink>
      <w:r>
        <w:t>)</w:t>
      </w:r>
    </w:p>
    <w:p w14:paraId="3F85ADE1" w14:textId="2801893B" w:rsidR="00EB5903" w:rsidRPr="00BE2E8F" w:rsidRDefault="00EB5903" w:rsidP="00EB5903">
      <w:pPr>
        <w:pStyle w:val="SingleTxtG"/>
      </w:pPr>
      <w:r>
        <w:t>1.</w:t>
      </w:r>
      <w:r>
        <w:tab/>
        <w:t>L’article 2 de la loi n</w:t>
      </w:r>
      <w:r>
        <w:rPr>
          <w:vertAlign w:val="superscript"/>
        </w:rPr>
        <w:t>o</w:t>
      </w:r>
      <w:r>
        <w:t> 8</w:t>
      </w:r>
      <w:r w:rsidR="00236BCA">
        <w:t> </w:t>
      </w:r>
      <w:r>
        <w:t>069/1990 (Statut de l’enfant et de l’adolescent) définit l’enfant comme une personne âgée de 0 à 11 ans et l’adolescent comme une personne âgée de 12 à 18 ans. La Constitution fédérale (art</w:t>
      </w:r>
      <w:r>
        <w:t>.</w:t>
      </w:r>
      <w:r>
        <w:t> 227) et le Statut de l’enfant et de l’adolescent interdisent le recours à toute forme de violence ou de discrimination contre ces personnes.</w:t>
      </w:r>
    </w:p>
    <w:p w14:paraId="066C6E07" w14:textId="77777777" w:rsidR="00EB5903" w:rsidRPr="00BE2E8F" w:rsidRDefault="00EB5903" w:rsidP="00EB5903">
      <w:pPr>
        <w:pStyle w:val="SingleTxtG"/>
      </w:pPr>
      <w:r>
        <w:t>2.</w:t>
      </w:r>
      <w:r>
        <w:tab/>
        <w:t>Le principe de l’intérêt supérieur de l’enfant, dérivé du cadre juridique de protection, s’applique à toutes les interventions de l’État concernant les enfants et les adolescents dans les domaines juridique, budgétaire et politique et dans bien d’autres domaines.</w:t>
      </w:r>
    </w:p>
    <w:p w14:paraId="08C5BB7E" w14:textId="77777777" w:rsidR="00EB5903" w:rsidRPr="00BE2E8F" w:rsidRDefault="00EB5903" w:rsidP="00EB5903">
      <w:pPr>
        <w:pStyle w:val="H1G"/>
        <w:spacing w:before="320" w:after="200"/>
      </w:pPr>
      <w:r>
        <w:tab/>
      </w:r>
      <w:r>
        <w:tab/>
        <w:t xml:space="preserve">Réponse au paragraphe 2 b) de la liste de points </w:t>
      </w:r>
    </w:p>
    <w:p w14:paraId="24B6860D" w14:textId="059B9D2D" w:rsidR="00EB5903" w:rsidRPr="00BE2E8F" w:rsidRDefault="00EB5903" w:rsidP="00EB5903">
      <w:pPr>
        <w:pStyle w:val="SingleTxtG"/>
      </w:pPr>
      <w:r>
        <w:t>3.</w:t>
      </w:r>
      <w:r>
        <w:tab/>
        <w:t>En 2024, en partenariat avec l’Université fédérale rurale du Pernambouc, le Ministère des droits de l’homme et de la citoyenneté a publié un appel à propositions relatif à l’exécution du projet d’évaluation et de révision du Plan d’action décennal pour la promotion des droits de l’enfant et de l’adolescent. Différents acteurs du Système de protection des droits de l’enfant et de l’adolescent au</w:t>
      </w:r>
      <w:r w:rsidR="008329F0">
        <w:t xml:space="preserve"> niveau</w:t>
      </w:r>
      <w:r>
        <w:t xml:space="preserve"> des États, des districts et des régions et au niveau national participeront à ce processus.</w:t>
      </w:r>
    </w:p>
    <w:p w14:paraId="094159D2" w14:textId="5EEBEFBE" w:rsidR="00EB5903" w:rsidRPr="00BE2E8F" w:rsidRDefault="00EB5903" w:rsidP="00EB5903">
      <w:pPr>
        <w:pStyle w:val="SingleTxtG"/>
      </w:pPr>
      <w:r>
        <w:t>4.</w:t>
      </w:r>
      <w:r>
        <w:tab/>
        <w:t xml:space="preserve">À ce jour, 27 séminaires ont été organisés dans les États, un dans chaque unité fédérative, avec la participation d’enfants et d’adolescents, d’organisations de la société civile et d’organismes publics. En 2025, </w:t>
      </w:r>
      <w:r w:rsidR="00236BCA">
        <w:t>5</w:t>
      </w:r>
      <w:r>
        <w:t xml:space="preserve"> séminaires régionaux et </w:t>
      </w:r>
      <w:r w:rsidR="00236BCA">
        <w:t>1</w:t>
      </w:r>
      <w:r>
        <w:t xml:space="preserve"> séminaire national seront organisés en vue d’achever l’élaboration du plan et de le lancer.</w:t>
      </w:r>
    </w:p>
    <w:p w14:paraId="2B1F9080" w14:textId="77777777" w:rsidR="00EB5903" w:rsidRPr="00BE2E8F" w:rsidRDefault="00EB5903" w:rsidP="00EB5903">
      <w:pPr>
        <w:pStyle w:val="H1G"/>
        <w:spacing w:before="320" w:after="200"/>
      </w:pPr>
      <w:r>
        <w:tab/>
      </w:r>
      <w:r>
        <w:tab/>
        <w:t xml:space="preserve">Réponse au paragraphe 2 c) de la liste de points </w:t>
      </w:r>
    </w:p>
    <w:p w14:paraId="74F755B7" w14:textId="77777777" w:rsidR="00EB5903" w:rsidRPr="00BE2E8F" w:rsidRDefault="00EB5903" w:rsidP="00EB5903">
      <w:pPr>
        <w:pStyle w:val="SingleTxtG"/>
      </w:pPr>
      <w:r>
        <w:t>5.</w:t>
      </w:r>
      <w:r>
        <w:tab/>
      </w:r>
      <w:r w:rsidRPr="00EB5903">
        <w:rPr>
          <w:spacing w:val="-3"/>
        </w:rPr>
        <w:t>Le Conseil national des droits de l’enfant et de l’adolescent (CONANDA), créé par le décret n</w:t>
      </w:r>
      <w:r w:rsidRPr="00EB5903">
        <w:rPr>
          <w:spacing w:val="-3"/>
          <w:vertAlign w:val="superscript"/>
        </w:rPr>
        <w:t>o</w:t>
      </w:r>
      <w:r w:rsidRPr="00EB5903">
        <w:rPr>
          <w:spacing w:val="-3"/>
        </w:rPr>
        <w:t> 9 579/2018, est un organe délibératif composé de 15 représentants de la société civile et de 15 représentants du Gouvernement fédéral. Il est chargé de mettre au point des lignes directrices concernant l’élaboration, la mise en œuvre et le suivi de politiques nationales relatives aux droits de l’enfant et de l’adolescent au Brésil, y compris les droits définis dans la Convention.</w:t>
      </w:r>
    </w:p>
    <w:p w14:paraId="4FA037CE" w14:textId="77777777" w:rsidR="00EB5903" w:rsidRPr="00BE2E8F" w:rsidRDefault="00EB5903" w:rsidP="00EB5903">
      <w:pPr>
        <w:pStyle w:val="SingleTxtG"/>
      </w:pPr>
      <w:r>
        <w:t>6.</w:t>
      </w:r>
      <w:r>
        <w:tab/>
        <w:t xml:space="preserve">En mai 2024, lors de la </w:t>
      </w:r>
      <w:proofErr w:type="spellStart"/>
      <w:r>
        <w:t>XLIII</w:t>
      </w:r>
      <w:r>
        <w:rPr>
          <w:vertAlign w:val="superscript"/>
        </w:rPr>
        <w:t>e</w:t>
      </w:r>
      <w:proofErr w:type="spellEnd"/>
      <w:r>
        <w:t> réunion des hautes autorités compétentes en matière de droits de l’homme du MERCOSUR, le Brésil et le Paraguay ont signé un accord de coopération concernant la mise en œuvre du Système de suivi des recommandations internationales relatives aux droits de l’homme (SIMORE). SIMORE Brasil renforcera la transparence en indiquant l’état d’application des recommandations relatives aux droits de l’homme reçues par le Brésil et en désignant les autorités responsables de leur application aux niveaux fédéral, étatique et municipal. En outre, la société civile sera encouragée à participer à l’élaboration et au fonctionnement de ce système.</w:t>
      </w:r>
    </w:p>
    <w:p w14:paraId="5089AA15" w14:textId="77777777" w:rsidR="00EB5903" w:rsidRPr="00BE2E8F" w:rsidRDefault="00EB5903" w:rsidP="00EB5903">
      <w:pPr>
        <w:pStyle w:val="H1G"/>
        <w:spacing w:before="320" w:after="200"/>
      </w:pPr>
      <w:bookmarkStart w:id="0" w:name="_Hlk192068049"/>
      <w:r>
        <w:tab/>
      </w:r>
      <w:r>
        <w:tab/>
        <w:t xml:space="preserve">Réponse au paragraphe 2 d) de la liste de points </w:t>
      </w:r>
    </w:p>
    <w:bookmarkEnd w:id="0"/>
    <w:p w14:paraId="4C4ED613" w14:textId="77777777" w:rsidR="00EB5903" w:rsidRPr="00BE2E8F" w:rsidRDefault="00EB5903" w:rsidP="00EB5903">
      <w:pPr>
        <w:pStyle w:val="SingleTxtG"/>
      </w:pPr>
      <w:r>
        <w:t>7.</w:t>
      </w:r>
      <w:r>
        <w:tab/>
        <w:t>Depuis 2024, la loi d’orientation budgétaire et le plan pluriannuel comprennent des programmes transversaux, dont un programme dédié aux enfants et aux adolescents. La loi d’orientation budgétaire prévoit la publication de rapports sur l’exécution budgétaire du programme transversal et multisectoriel en faveur des enfants et des adolescents. En outre, des rapports sur le financement de la petite enfance dans le budget fédéral ont été publiés, conformément à la loi n</w:t>
      </w:r>
      <w:r>
        <w:rPr>
          <w:vertAlign w:val="superscript"/>
        </w:rPr>
        <w:t>o</w:t>
      </w:r>
      <w:r>
        <w:t> 13 257/2016, au décret n</w:t>
      </w:r>
      <w:r>
        <w:rPr>
          <w:vertAlign w:val="superscript"/>
        </w:rPr>
        <w:t>o</w:t>
      </w:r>
      <w:r>
        <w:t> 10 770/2021 et à l’ordonnance n</w:t>
      </w:r>
      <w:r>
        <w:rPr>
          <w:vertAlign w:val="superscript"/>
        </w:rPr>
        <w:t>o</w:t>
      </w:r>
      <w:r>
        <w:t> 1 410/2022 du Ministère de l’économie.</w:t>
      </w:r>
    </w:p>
    <w:p w14:paraId="077766B4" w14:textId="4CC2A4BA" w:rsidR="00EB5903" w:rsidRPr="00BE2E8F" w:rsidRDefault="00EB5903" w:rsidP="00EB5903">
      <w:pPr>
        <w:pStyle w:val="SingleTxtG"/>
        <w:widowControl w:val="0"/>
      </w:pPr>
      <w:r>
        <w:t>8.</w:t>
      </w:r>
      <w:r>
        <w:tab/>
        <w:t xml:space="preserve">Le processus de suivi budgétaire a été modifié à compter de l’exercice 2023 afin de permettre la collecte d’informations sur l’exécution matérielle et financière du budget fiscal et de sécurité sociale fédéral pour la catégorie « enfants et adolescents ». Ces informations </w:t>
      </w:r>
      <w:r>
        <w:lastRenderedPageBreak/>
        <w:t xml:space="preserve">serviront à l’élaboration du rapport sur l’exécution budgétaire pour le </w:t>
      </w:r>
      <w:r w:rsidR="00CB4F51">
        <w:t>P</w:t>
      </w:r>
      <w:r>
        <w:t>rogramme transversal en faveur des enfants et des adolescents 2025.</w:t>
      </w:r>
    </w:p>
    <w:p w14:paraId="0AABCC07" w14:textId="0953D385" w:rsidR="00EB5903" w:rsidRPr="00BE2E8F" w:rsidRDefault="00EB5903" w:rsidP="00EB5903">
      <w:pPr>
        <w:pStyle w:val="SingleTxtG"/>
      </w:pPr>
      <w:r>
        <w:t>9.</w:t>
      </w:r>
      <w:r>
        <w:tab/>
        <w:t xml:space="preserve">À compter de l’exercice 2024, avec l’adoption de </w:t>
      </w:r>
      <w:r w:rsidR="00CB4F51">
        <w:t xml:space="preserve">la </w:t>
      </w:r>
      <w:r>
        <w:t>loi sur le budget annuel 2024, le Ministère de la planification et du budget met les informations relatives au budget et à l’exécution financière des cinq programmes transversaux à la disposition du public au moyen du Système intégré de planification et de budget (SIOP). Par conséquent, tout citoyen disposant d’un accès à Internet peut suivre l’exécution budgétaire et financière des programmes associés au Programme transversal en faveur des enfants et des adolescents sur le portail du budget fédéral.</w:t>
      </w:r>
    </w:p>
    <w:p w14:paraId="7BBEEAB4" w14:textId="77777777" w:rsidR="00EB5903" w:rsidRPr="00BE2E8F" w:rsidRDefault="00EB5903" w:rsidP="00EB5903">
      <w:pPr>
        <w:pStyle w:val="H1G"/>
      </w:pPr>
      <w:bookmarkStart w:id="1" w:name="_Hlk192067112"/>
      <w:r>
        <w:tab/>
      </w:r>
      <w:r>
        <w:tab/>
        <w:t xml:space="preserve">Réponse au paragraphe 2 e) de la liste de points </w:t>
      </w:r>
    </w:p>
    <w:bookmarkEnd w:id="1"/>
    <w:p w14:paraId="663EE423" w14:textId="77777777" w:rsidR="00EB5903" w:rsidRPr="00BE2E8F" w:rsidRDefault="00EB5903" w:rsidP="00EB5903">
      <w:pPr>
        <w:pStyle w:val="SingleTxtG"/>
      </w:pPr>
      <w:r>
        <w:t>10.</w:t>
      </w:r>
      <w:r>
        <w:tab/>
        <w:t xml:space="preserve">La </w:t>
      </w:r>
      <w:proofErr w:type="spellStart"/>
      <w:r>
        <w:t>plateforme</w:t>
      </w:r>
      <w:proofErr w:type="spellEnd"/>
      <w:r>
        <w:t xml:space="preserve"> </w:t>
      </w:r>
      <w:proofErr w:type="spellStart"/>
      <w:r>
        <w:t>ObservaDH</w:t>
      </w:r>
      <w:proofErr w:type="spellEnd"/>
      <w:r>
        <w:t>, qui a pour objectif de diffuser et d’analyser des informations stratégiques sur la situation des droits de l’homme au Brésil, fournit des éléments de preuve permettant d’assurer la planification, le suivi et l’évaluation des politiques publiques en faveur de la défense, de la promotion et de la protection des droits de l’homme et de l’éducation et de la culture dans ce domaine dans l’administration fédérale, étatique et municipale ainsi que dans la société civile. Elle permet d’élaborer des indicateurs qui sont recueillis et mis à disposition au moyen des principales sources de données du pays.</w:t>
      </w:r>
    </w:p>
    <w:p w14:paraId="15C31086" w14:textId="77777777" w:rsidR="00EB5903" w:rsidRPr="00BE2E8F" w:rsidRDefault="00EB5903" w:rsidP="00EB5903">
      <w:pPr>
        <w:pStyle w:val="H1G"/>
      </w:pPr>
      <w:r>
        <w:tab/>
      </w:r>
      <w:r>
        <w:tab/>
        <w:t xml:space="preserve">Réponse au paragraphe 2 f) de la liste de points </w:t>
      </w:r>
    </w:p>
    <w:p w14:paraId="775D972E" w14:textId="77777777" w:rsidR="00EB5903" w:rsidRPr="00BE2E8F" w:rsidRDefault="00EB5903" w:rsidP="00EB5903">
      <w:pPr>
        <w:pStyle w:val="SingleTxtG"/>
      </w:pPr>
      <w:r>
        <w:t>11.</w:t>
      </w:r>
      <w:r>
        <w:tab/>
        <w:t>Au Brésil, il existe deux principaux organes chargés de suivre la situation des droits de l’enfant et de l’adolescent : le Conseil national des droits de l’homme (CNDH) et le Conseil national des droits de l’enfant et de l’adolescent (CONANDA), qui sont des organes délibératifs composés de représentants publics et de membres de la société civile.</w:t>
      </w:r>
    </w:p>
    <w:p w14:paraId="5C7DA9E2" w14:textId="77777777" w:rsidR="00EB5903" w:rsidRPr="00BE2E8F" w:rsidRDefault="00EB5903" w:rsidP="00EB5903">
      <w:pPr>
        <w:pStyle w:val="SingleTxtG"/>
      </w:pPr>
      <w:r>
        <w:t>12.</w:t>
      </w:r>
      <w:r>
        <w:tab/>
        <w:t>Ces Conseils font office de mécanismes de suivi, d’orientation et de surveillance des politiques publiques, conformément aux principes d’autonomie et d’efficacité établis par les Principes de Paris. Tous deux visent à garantir que les politiques mises en œuvre par l’État respectent les engagements pris par le Brésil dans les conventions et traités internationaux, confirmant l’importance de disposer d’un système national de promotion et de protection des droits de l’homme solide.</w:t>
      </w:r>
    </w:p>
    <w:p w14:paraId="5BEB2BC6" w14:textId="77777777" w:rsidR="00EB5903" w:rsidRPr="00BE2E8F" w:rsidRDefault="00EB5903" w:rsidP="00EB5903">
      <w:pPr>
        <w:pStyle w:val="H1G"/>
      </w:pPr>
      <w:r>
        <w:tab/>
      </w:r>
      <w:r>
        <w:tab/>
        <w:t xml:space="preserve">Réponse au paragraphe 2 g) de la liste de points </w:t>
      </w:r>
    </w:p>
    <w:p w14:paraId="67FB419D" w14:textId="77777777" w:rsidR="00EB5903" w:rsidRPr="00BE2E8F" w:rsidRDefault="00EB5903" w:rsidP="00EB5903">
      <w:pPr>
        <w:pStyle w:val="SingleTxtG"/>
      </w:pPr>
      <w:r>
        <w:t>13.</w:t>
      </w:r>
      <w:r>
        <w:tab/>
        <w:t>Le service d’assistance téléphonique en matière de droits de l’homme (« Composez le 100 »), qui reçoit les signalements de violations des droits de l’homme et les transmet aux autorités compétentes, permet au Médiateur national des droits de l’homme de fournir des services 24 heures sur 24. Outre ce service, le Médiateur national des droits de l’homme dispose de multiples canaux pour recevoir les plaintes, à savoir un site Web intégrant un système de discussion en ligne et d’appel vidéo en langue des signes brésilienne (</w:t>
      </w:r>
      <w:proofErr w:type="spellStart"/>
      <w:r>
        <w:t>Libras</w:t>
      </w:r>
      <w:proofErr w:type="spellEnd"/>
      <w:r>
        <w:t xml:space="preserve">), et un service d’assistance via </w:t>
      </w:r>
      <w:proofErr w:type="spellStart"/>
      <w:r>
        <w:t>Telegram</w:t>
      </w:r>
      <w:proofErr w:type="spellEnd"/>
      <w:r>
        <w:t xml:space="preserve"> et WhatsApp. Le service d’assistance téléphonique en matière de droits de l’homme est également chargé de diffuser des informations et des orientations sur les actions, les programmes, les campagnes et les services disponibles aux niveaux fédéral, étatique et municipal et au niveau du District fédéral.</w:t>
      </w:r>
    </w:p>
    <w:p w14:paraId="2D111973" w14:textId="77777777" w:rsidR="00EB5903" w:rsidRPr="00BE2E8F" w:rsidRDefault="00EB5903" w:rsidP="00EB5903">
      <w:pPr>
        <w:pStyle w:val="SingleTxtG"/>
      </w:pPr>
      <w:r>
        <w:t>14.</w:t>
      </w:r>
      <w:r>
        <w:tab/>
        <w:t>Il convient de noter que ce service d’assistance téléphonique n’a pas la compétence pour enquêter sur les plaintes. Une fois enregistrée, la plainte est transmise à un réseau d’appui composé des agences chargées d’assurer l’application finale de la politique de protection des victimes.</w:t>
      </w:r>
    </w:p>
    <w:p w14:paraId="040A1C75" w14:textId="77777777" w:rsidR="00EB5903" w:rsidRPr="00BE2E8F" w:rsidRDefault="00EB5903" w:rsidP="00EB5903">
      <w:pPr>
        <w:pStyle w:val="H1G"/>
      </w:pPr>
      <w:r>
        <w:tab/>
      </w:r>
      <w:r>
        <w:tab/>
        <w:t xml:space="preserve">Réponse au paragraphe 2 h) de la liste de points </w:t>
      </w:r>
    </w:p>
    <w:p w14:paraId="12F27984" w14:textId="77777777" w:rsidR="00EB5903" w:rsidRPr="00BE2E8F" w:rsidRDefault="00EB5903" w:rsidP="00EB5903">
      <w:pPr>
        <w:pStyle w:val="SingleTxtG"/>
      </w:pPr>
      <w:r>
        <w:t>15.</w:t>
      </w:r>
      <w:r>
        <w:tab/>
        <w:t>Le Programme de protection des défenseurs des droits de l’homme, des communicateurs et des défenseurs de l’environnement (PPDDH) a été créé par le décret n</w:t>
      </w:r>
      <w:r>
        <w:rPr>
          <w:vertAlign w:val="superscript"/>
        </w:rPr>
        <w:t>o</w:t>
      </w:r>
      <w:r>
        <w:t> 9 937/2019, modifié par le décret n</w:t>
      </w:r>
      <w:r>
        <w:rPr>
          <w:vertAlign w:val="superscript"/>
        </w:rPr>
        <w:t>o</w:t>
      </w:r>
      <w:r>
        <w:t xml:space="preserve"> 11 867/2023 et réglementé par l’ordonnance </w:t>
      </w:r>
      <w:r>
        <w:lastRenderedPageBreak/>
        <w:t>n</w:t>
      </w:r>
      <w:r>
        <w:rPr>
          <w:vertAlign w:val="superscript"/>
        </w:rPr>
        <w:t>o</w:t>
      </w:r>
      <w:r>
        <w:t> 507/2022. Conformément à cette ordonnance, les enfants et les adolescents ne sont pas des bénéficiaires directs de ce programme, et ne peuvent être couverts qu’en tant que membres de l’unité familiale de la personne protégée. La responsabilité de protéger les enfants et les adolescents exposés à des menaces graves et imminentes incombe au Programme de protection des enfants et des adolescents menacés de mort (PPCAAM), créé en 2003 et mis en place par le décret n</w:t>
      </w:r>
      <w:r>
        <w:rPr>
          <w:vertAlign w:val="superscript"/>
        </w:rPr>
        <w:t>o</w:t>
      </w:r>
      <w:r>
        <w:t> 6 231/2007. Ce programme intervient lorsque les moyens conventionnels de prévention ou de réponse à la menace ont été épuisés.</w:t>
      </w:r>
    </w:p>
    <w:p w14:paraId="7B2C7B97" w14:textId="77777777" w:rsidR="00EB5903" w:rsidRPr="00BE2E8F" w:rsidRDefault="00EB5903" w:rsidP="00EB5903">
      <w:pPr>
        <w:pStyle w:val="H1G"/>
      </w:pPr>
      <w:r>
        <w:tab/>
      </w:r>
      <w:r>
        <w:tab/>
        <w:t xml:space="preserve">Réponse au paragraphe 2 i) de la liste de points </w:t>
      </w:r>
    </w:p>
    <w:p w14:paraId="748E4A5C" w14:textId="77777777" w:rsidR="00EB5903" w:rsidRPr="00BE2E8F" w:rsidRDefault="00EB5903" w:rsidP="00EB5903">
      <w:pPr>
        <w:pStyle w:val="SingleTxtG"/>
      </w:pPr>
      <w:r>
        <w:t>16.</w:t>
      </w:r>
      <w:r>
        <w:tab/>
        <w:t>Le Statut de l’enfant et de l’adolescent prévoit des sanctions pour les entreprises qui violent les droits de l’enfant, notamment en cas de non-respect des restrictions liées à l’âge, de vente d’alcool et d’appui à l’exploitation sexuelle. Pour renforcer les normes d’éthique, le Ministère du tourisme a lancé le Code de conduite brésilien (2018), qui fournit des directives aux entreprises en matière de prévention de l’exploitation sexuelle des enfants.</w:t>
      </w:r>
    </w:p>
    <w:p w14:paraId="11C7AB07" w14:textId="77777777" w:rsidR="00EB5903" w:rsidRPr="00BE2E8F" w:rsidRDefault="00EB5903" w:rsidP="00EB5903">
      <w:pPr>
        <w:pStyle w:val="SingleTxtG"/>
      </w:pPr>
      <w:r>
        <w:t>17.</w:t>
      </w:r>
      <w:r>
        <w:tab/>
        <w:t>En 2024, le Ministère des droits de l’homme et de la citoyenneté a mis en place un groupe de travail interministériel chargé d’élaborer la Politique nationale relative aux droits de l’homme et aux entreprises, dans l’objectif de renforcer les politiques publiques au moyen d’un vaste processus de consultations. En outre, la loi n</w:t>
      </w:r>
      <w:r>
        <w:rPr>
          <w:vertAlign w:val="superscript"/>
        </w:rPr>
        <w:t>o</w:t>
      </w:r>
      <w:r>
        <w:t> 15 073/2024 a modifié la loi générale relative au tourisme en intégrant la protection de l’enfance à la Politique nationale du tourisme et en renforçant les sanctions encourues par les entreprises impliquées dans l’exploitation sexuelle.</w:t>
      </w:r>
    </w:p>
    <w:p w14:paraId="33F8EBE8" w14:textId="77777777" w:rsidR="00EB5903" w:rsidRPr="00BE2E8F" w:rsidRDefault="00EB5903" w:rsidP="00EB5903">
      <w:pPr>
        <w:pStyle w:val="H1G"/>
      </w:pPr>
      <w:r>
        <w:tab/>
      </w:r>
      <w:r>
        <w:tab/>
        <w:t xml:space="preserve">Réponse au paragraphe 3 de la liste de points </w:t>
      </w:r>
    </w:p>
    <w:p w14:paraId="6F7EFE3E" w14:textId="5357D959" w:rsidR="00EB5903" w:rsidRPr="001F2294" w:rsidRDefault="00EB5903" w:rsidP="00EB5903">
      <w:pPr>
        <w:pStyle w:val="SingleTxtG"/>
        <w:rPr>
          <w:spacing w:val="-1"/>
        </w:rPr>
      </w:pPr>
      <w:r>
        <w:t>18.</w:t>
      </w:r>
      <w:r>
        <w:tab/>
        <w:t>L</w:t>
      </w:r>
      <w:r w:rsidRPr="001F2294">
        <w:rPr>
          <w:spacing w:val="-1"/>
        </w:rPr>
        <w:t>e Ministère de l’éducation a renforcé les politiques en faveur de l’équité et de l’inclusion en adoptant la Politique nationale relative à l’équité, à l’éducation et aux relations ethniques et raciales et à l’éducation scolaire Quilombola (ordonnance n</w:t>
      </w:r>
      <w:r w:rsidRPr="001F2294">
        <w:rPr>
          <w:spacing w:val="-1"/>
          <w:vertAlign w:val="superscript"/>
        </w:rPr>
        <w:t>o</w:t>
      </w:r>
      <w:r w:rsidR="00CB4F51">
        <w:rPr>
          <w:spacing w:val="-1"/>
        </w:rPr>
        <w:t> </w:t>
      </w:r>
      <w:r w:rsidRPr="001F2294">
        <w:rPr>
          <w:spacing w:val="-1"/>
        </w:rPr>
        <w:t xml:space="preserve">470/2024), qui vise à promouvoir l’inclusion et à lutter contre la discrimination. En 2024, 16 formations ont été dispensées dans le cadre du Programme d’éducation continue à l’intention des professionnels de l’éducation de base, bénéficiant à 14 400 participants, pour un investissement de 4,2 millions de </w:t>
      </w:r>
      <w:proofErr w:type="spellStart"/>
      <w:r w:rsidRPr="001F2294">
        <w:rPr>
          <w:spacing w:val="-1"/>
        </w:rPr>
        <w:t>reals</w:t>
      </w:r>
      <w:proofErr w:type="spellEnd"/>
      <w:r w:rsidRPr="001F2294">
        <w:rPr>
          <w:spacing w:val="-1"/>
        </w:rPr>
        <w:t xml:space="preserve"> en coûts opérationnels et de 4,1 millions de </w:t>
      </w:r>
      <w:proofErr w:type="spellStart"/>
      <w:r w:rsidRPr="001F2294">
        <w:rPr>
          <w:spacing w:val="-1"/>
        </w:rPr>
        <w:t>reals</w:t>
      </w:r>
      <w:proofErr w:type="spellEnd"/>
      <w:r w:rsidRPr="001F2294">
        <w:rPr>
          <w:spacing w:val="-1"/>
        </w:rPr>
        <w:t xml:space="preserve"> en bourses. De plus, le Ministère de l’éducation a élaboré des brochures thématiques et mis en place un groupe de travail (ordonnance n</w:t>
      </w:r>
      <w:r w:rsidRPr="001F2294">
        <w:rPr>
          <w:spacing w:val="-1"/>
          <w:vertAlign w:val="superscript"/>
        </w:rPr>
        <w:t>o</w:t>
      </w:r>
      <w:r w:rsidR="005010BA">
        <w:rPr>
          <w:spacing w:val="-1"/>
        </w:rPr>
        <w:t> </w:t>
      </w:r>
      <w:r w:rsidRPr="001F2294">
        <w:rPr>
          <w:spacing w:val="-1"/>
        </w:rPr>
        <w:t>614/2024) chargé de proposer des stratégies pour lutter contre le harcèlement, les préjudices et la discrimination dans les écoles. Le Plan pluriannuel 2024</w:t>
      </w:r>
      <w:r w:rsidR="005010BA">
        <w:rPr>
          <w:spacing w:val="-1"/>
        </w:rPr>
        <w:noBreakHyphen/>
      </w:r>
      <w:r w:rsidRPr="001F2294">
        <w:rPr>
          <w:spacing w:val="-1"/>
        </w:rPr>
        <w:t>2027 et la Stratégie nationale de lutte contre la violence à l’égard des personnes LGBTQIA+ (ordonnance n</w:t>
      </w:r>
      <w:r w:rsidRPr="001F2294">
        <w:rPr>
          <w:spacing w:val="-1"/>
          <w:vertAlign w:val="superscript"/>
        </w:rPr>
        <w:t>o</w:t>
      </w:r>
      <w:r w:rsidR="005010BA">
        <w:rPr>
          <w:spacing w:val="-1"/>
        </w:rPr>
        <w:t> </w:t>
      </w:r>
      <w:r w:rsidRPr="001F2294">
        <w:rPr>
          <w:spacing w:val="-1"/>
        </w:rPr>
        <w:t>756/2023) renforcent ces mesures en créant des environnements éducatifs sûrs, en luttant contre la violence et en renforçant les réseaux de protection. En outre, la résolution n</w:t>
      </w:r>
      <w:r w:rsidRPr="001F2294">
        <w:rPr>
          <w:spacing w:val="-1"/>
          <w:vertAlign w:val="superscript"/>
        </w:rPr>
        <w:t>o</w:t>
      </w:r>
      <w:r w:rsidR="005010BA">
        <w:rPr>
          <w:spacing w:val="-1"/>
        </w:rPr>
        <w:t> </w:t>
      </w:r>
      <w:r w:rsidRPr="001F2294">
        <w:rPr>
          <w:spacing w:val="-1"/>
        </w:rPr>
        <w:t>2/2023 du Conseil national des droits des personnes LGBTQIA+ fournit des directives visant à assurer l’accès, le maintien et la protection des personnes LGBTQIA+ à l’école.</w:t>
      </w:r>
    </w:p>
    <w:p w14:paraId="75EC7DFE" w14:textId="77777777" w:rsidR="00EB5903" w:rsidRPr="00BE2E8F" w:rsidRDefault="00EB5903" w:rsidP="00EB5903">
      <w:pPr>
        <w:pStyle w:val="SingleTxtG"/>
      </w:pPr>
      <w:r>
        <w:t>19.</w:t>
      </w:r>
      <w:r>
        <w:tab/>
        <w:t>En parallèle, la police fédérale a lancé le programme « Gardiens de l’enfance » (2024), qui vise à prévenir les abus sexuels et à lutter contre les attitudes racistes, homophobes, transphobes et xénophobes dans les établissements scolaires. En quelques mois, 135 conférences ont été organisées dans le cadre du programme, dont 89 étaient destinées aux adolescents, 18 aux membres de leur famille, 16 aux enseignants et 12 à d’autres parties concernées. Ces efforts ont permis de former 4 222 adolescents, 817 membres de leur famille, 616 enseignants et 311 professionnels, notamment des membres des conseils de tutelle, des administrateurs et des assistants pédagogiques. En combinant les aspects éducatifs, l’application de la loi et les politiques sociales, ces initiatives renforcent l’éducation inclusive, les protections des droits de l’homme et la lutte contre la discrimination dans les écoles et les communautés.</w:t>
      </w:r>
    </w:p>
    <w:p w14:paraId="0CAA61A7" w14:textId="77777777" w:rsidR="00EB5903" w:rsidRPr="00BE2E8F" w:rsidRDefault="00EB5903" w:rsidP="00EB5903">
      <w:pPr>
        <w:pStyle w:val="H1G"/>
      </w:pPr>
      <w:r>
        <w:lastRenderedPageBreak/>
        <w:tab/>
      </w:r>
      <w:r>
        <w:tab/>
        <w:t xml:space="preserve">Réponse au paragraphe 4 de la liste de points </w:t>
      </w:r>
    </w:p>
    <w:p w14:paraId="7F70F830" w14:textId="4623BFBF" w:rsidR="00EB5903" w:rsidRPr="00BE2E8F" w:rsidRDefault="00EB5903" w:rsidP="00EB5903">
      <w:pPr>
        <w:pStyle w:val="SingleTxtG"/>
      </w:pPr>
      <w:r>
        <w:t>20.</w:t>
      </w:r>
      <w:r>
        <w:tab/>
        <w:t>Dans l’Engagement national pour l’élimination du sous-enregistrement (décret</w:t>
      </w:r>
      <w:r w:rsidR="005010BA">
        <w:t> </w:t>
      </w:r>
      <w:r>
        <w:t>n</w:t>
      </w:r>
      <w:r>
        <w:rPr>
          <w:vertAlign w:val="superscript"/>
        </w:rPr>
        <w:t>o</w:t>
      </w:r>
      <w:r>
        <w:t> 10 063/2019), le Brésil s’est fixé comme priorité de mettre un terme au sous</w:t>
      </w:r>
      <w:r w:rsidR="005010BA">
        <w:noBreakHyphen/>
      </w:r>
      <w:r>
        <w:t>enregistrement des naissances et de garantir l’accès universel aux documents d’état civil. Cette initiative encourage la participation des États et des municipalités à des actions concertées et à la Semaine nationale de mobilisation en faveur de l’enregistrement des naissances à l’état civil. En 2023, le Conseil national de la justice a intensifié ses efforts en mettant en œuvre le Programme de lutte contre le sous-enregistrement à l’état civil, qui a permis de délivrer 66 070 actes de naissance dans tout le pays. Les principales stratégies comprennent la campagne « Enregistrez-vous ! » à l’intention des populations socialement vulnérables, l’enregistrement des naissances dans les hôpitaux dans le cadre du programme « Premier cri, enregistrement » et des mesures spécialisées telles que la disposition n</w:t>
      </w:r>
      <w:r>
        <w:rPr>
          <w:vertAlign w:val="superscript"/>
        </w:rPr>
        <w:t>o</w:t>
      </w:r>
      <w:r>
        <w:t> 63 (standardisation des actes de naissance, y compris en cas de procréation médicalement assistée) et la résolution conjointe n</w:t>
      </w:r>
      <w:r>
        <w:rPr>
          <w:vertAlign w:val="superscript"/>
        </w:rPr>
        <w:t>o</w:t>
      </w:r>
      <w:r>
        <w:t> 3 (facilitant l’enregistrement des naissances pour les personnes autochtones). En outre, en collaboration avec l’UNICEF et des organisations internationales, le Gouvernement fédéral a élaboré un Guide relatif à la protection des enfants non accompagnés, séparés ou sans papiers.</w:t>
      </w:r>
    </w:p>
    <w:p w14:paraId="2BEE564E" w14:textId="41668E28" w:rsidR="00EB5903" w:rsidRPr="00BE2E8F" w:rsidRDefault="00EB5903" w:rsidP="00EB5903">
      <w:pPr>
        <w:pStyle w:val="SingleTxtG"/>
      </w:pPr>
      <w:r>
        <w:t>21.</w:t>
      </w:r>
      <w:r>
        <w:tab/>
        <w:t>Le Ministère des droits de l’homme et de la citoyenneté a mené des initiatives ciblées visant à élargir l’accès aux documents d’état civil dans les régions vulnérables. Dans le cadre du programme « Citoyenneté Marajó » (ordonnance n</w:t>
      </w:r>
      <w:r>
        <w:rPr>
          <w:vertAlign w:val="superscript"/>
        </w:rPr>
        <w:t>o</w:t>
      </w:r>
      <w:r>
        <w:t> 292/2023), des médiateurs itinérants ont assuré des services d’enregistrement à l’état civil dans des zones reculées. À Ro</w:t>
      </w:r>
      <w:r w:rsidR="005010BA">
        <w:t>r</w:t>
      </w:r>
      <w:r>
        <w:t xml:space="preserve">aima, le Gouvernement a lancé le Plan pour la jeunesse autochtone Yanomani et </w:t>
      </w:r>
      <w:proofErr w:type="spellStart"/>
      <w:r>
        <w:t>Ye</w:t>
      </w:r>
      <w:r w:rsidR="005010BA">
        <w:t>’</w:t>
      </w:r>
      <w:r>
        <w:t>k</w:t>
      </w:r>
      <w:r w:rsidR="005010BA">
        <w:t>w</w:t>
      </w:r>
      <w:r>
        <w:t>ana</w:t>
      </w:r>
      <w:proofErr w:type="spellEnd"/>
      <w:r>
        <w:t>, qui vise à garantir la délivrance d’actes de naissance aux enfants autochtones. En outre, en 2024, 19 actions itinérantes visant à faciliter l’enregistrement à l’état civil des populations n’ayant historiquement qu’un accès restreint à ce service ont été menées à travers le pays. Ces</w:t>
      </w:r>
      <w:r w:rsidR="005010BA">
        <w:t> </w:t>
      </w:r>
      <w:r>
        <w:t>mesures ont renforcé l’engagement du Gouvernement à réduire l’apatridie, à renforcer l’identité juridique et à promouvoir l’inclusion sociale.</w:t>
      </w:r>
    </w:p>
    <w:p w14:paraId="7171B464" w14:textId="77777777" w:rsidR="00EB5903" w:rsidRPr="00BE2E8F" w:rsidRDefault="00EB5903" w:rsidP="00EB5903">
      <w:pPr>
        <w:pStyle w:val="H1G"/>
      </w:pPr>
      <w:bookmarkStart w:id="2" w:name="_Hlk192068984"/>
      <w:r>
        <w:tab/>
      </w:r>
      <w:r>
        <w:tab/>
        <w:t xml:space="preserve">Réponse au paragraphe 5 a) de la liste de points </w:t>
      </w:r>
    </w:p>
    <w:bookmarkEnd w:id="2"/>
    <w:p w14:paraId="6AE9BE38" w14:textId="410DFF86" w:rsidR="00EB5903" w:rsidRPr="00BE2E8F" w:rsidRDefault="00EB5903" w:rsidP="00EB5903">
      <w:pPr>
        <w:pStyle w:val="SingleTxtG"/>
      </w:pPr>
      <w:r>
        <w:t>22.</w:t>
      </w:r>
      <w:r>
        <w:tab/>
        <w:t>Le Brésil a renforcé la protection de l’enfance en mettant en place des initiatives permettant de lui allouer des ressources humaines, techniques et financières suffisantes. Le</w:t>
      </w:r>
      <w:r w:rsidR="005010BA">
        <w:t> </w:t>
      </w:r>
      <w:r>
        <w:t>Conseil national du ministère public (CNMP) a adopté la recommandation n</w:t>
      </w:r>
      <w:r>
        <w:rPr>
          <w:vertAlign w:val="superscript"/>
        </w:rPr>
        <w:t>o</w:t>
      </w:r>
      <w:r w:rsidR="005010BA">
        <w:t> </w:t>
      </w:r>
      <w:r>
        <w:t>33/2016, établissant la structure des parquets dédiés aux enfants et aux jeunes, et la résolution n</w:t>
      </w:r>
      <w:r>
        <w:rPr>
          <w:vertAlign w:val="superscript"/>
        </w:rPr>
        <w:t>o</w:t>
      </w:r>
      <w:r>
        <w:t> 293/2024, qui définit le rôle joué par les procureurs publics pour garantir que les enfants placés en famille d’accueil bénéficient d’une vie familiale et communautaire. En outre, la recommandation conjointe n</w:t>
      </w:r>
      <w:r>
        <w:rPr>
          <w:vertAlign w:val="superscript"/>
        </w:rPr>
        <w:t>o</w:t>
      </w:r>
      <w:r w:rsidR="005010BA">
        <w:t> </w:t>
      </w:r>
      <w:r>
        <w:t>2/2024 vise à élargir et à renforcer les services de placement en famille d’accueil.</w:t>
      </w:r>
    </w:p>
    <w:p w14:paraId="243356B1" w14:textId="77777777" w:rsidR="00EB5903" w:rsidRPr="00BE2E8F" w:rsidRDefault="00EB5903" w:rsidP="00EB5903">
      <w:pPr>
        <w:pStyle w:val="SingleTxtG"/>
      </w:pPr>
      <w:r>
        <w:t>23.</w:t>
      </w:r>
      <w:r>
        <w:tab/>
      </w:r>
      <w:r w:rsidRPr="001F2294">
        <w:rPr>
          <w:spacing w:val="-3"/>
        </w:rPr>
        <w:t>Le Conseil national de la justice a établi des critères concernant les équipes pluridisciplinaires, qu’il a inclus dans son Prix de la qualité, et encouragé la création de tribunaux dédiés exclusivement aux enfants et aux jeunes. En parallèle, la police fédérale a redoublé d’efforts pour lutter contre la cybercriminalité liée à des abus sexuels sur enfants et adolescents.</w:t>
      </w:r>
    </w:p>
    <w:p w14:paraId="609190F3" w14:textId="77777777" w:rsidR="00EB5903" w:rsidRPr="00BE2E8F" w:rsidRDefault="00EB5903" w:rsidP="00EB5903">
      <w:pPr>
        <w:pStyle w:val="SingleTxtG"/>
      </w:pPr>
      <w:r>
        <w:t>24.</w:t>
      </w:r>
      <w:r>
        <w:tab/>
        <w:t>Dans le cadre de sa Politique d’assistance sociale, le Brésil gère plus de 2 900 Centres de référence en matière d’aide sociale (CREAS) ainsi qu’environ 250 centres spécialisés pour les populations sans abri et centres de jour pour les personnes handicapées ou âgées. De plus, un Guide du placement en famille d’accueil comprenant des supports multimédias et des formations en ligne a été élaboré pour aider le personnel d’encadrement et les équipes techniques. La réorganisation des services de placement en famille d’accueil a contribué à prévenir la surcharge du système de placement en institution, avec seulement 7,7 % des établissements excédant leurs capacités en 2023.</w:t>
      </w:r>
    </w:p>
    <w:p w14:paraId="4B72B383" w14:textId="22F10D02" w:rsidR="00EB5903" w:rsidRPr="00BE2E8F" w:rsidRDefault="00EB5903" w:rsidP="001F2294">
      <w:pPr>
        <w:pStyle w:val="SingleTxtG"/>
        <w:widowControl w:val="0"/>
      </w:pPr>
      <w:r>
        <w:t>25.</w:t>
      </w:r>
      <w:r>
        <w:tab/>
        <w:t xml:space="preserve">Le Ministère des droits de l’homme et de la citoyenneté a joué un rôle central dans le renforcement du Système de garantie des droits de l’enfant et de l’adolescent. Il a notamment lancé 14 écoles de conseils en partenariat avec les universités fédérales, dotées d’un budget de 7,58 millions de </w:t>
      </w:r>
      <w:proofErr w:type="spellStart"/>
      <w:r>
        <w:t>reals</w:t>
      </w:r>
      <w:proofErr w:type="spellEnd"/>
      <w:r>
        <w:t>, qui ont formé 15 639 professionnels dans 1 699 municipalités. Le</w:t>
      </w:r>
      <w:r w:rsidR="005010BA">
        <w:t> </w:t>
      </w:r>
      <w:r>
        <w:t>Ministère a également apporté un soutien logistique aux conseils de tutelle, en équipant 599 municipalités en 2023 et 81 en 2024 et en donnant 355 actifs, dont 53 véhicules. Le</w:t>
      </w:r>
      <w:r w:rsidR="005010BA">
        <w:t> </w:t>
      </w:r>
      <w:r>
        <w:t xml:space="preserve">Système d’information pour l’enfance et l’adolescence (SIPIA CT) a été actualisé ; 2 449 conseils l’utilisent, et plus de 390 000 dossiers ont été enregistrés entre 2023 et 2024. En outre, le Statut de l’enfant et de l’adolescent a été traduit en </w:t>
      </w:r>
      <w:proofErr w:type="spellStart"/>
      <w:r>
        <w:t>tikuna</w:t>
      </w:r>
      <w:proofErr w:type="spellEnd"/>
      <w:r>
        <w:t>, ce qui a amélioré l’accès aux droits des populations autochtones. L’École nationale des droits de l’enfant et de l’adolescent (ENDICA) continue de dispenser des formations aux membres des conseils des droits et des conseils de tutelle.</w:t>
      </w:r>
    </w:p>
    <w:p w14:paraId="0A5D7E63" w14:textId="77777777" w:rsidR="00EB5903" w:rsidRPr="00BE2E8F" w:rsidRDefault="00EB5903" w:rsidP="00EB5903">
      <w:pPr>
        <w:pStyle w:val="SingleTxtG"/>
      </w:pPr>
      <w:r>
        <w:t>26.</w:t>
      </w:r>
      <w:r>
        <w:tab/>
        <w:t xml:space="preserve">Les bureaux d’aide juridique des États ont renforcé l’offre de centres spécialisés dans les droits de l’enfant et de l’adolescent pour répondre aux demandes collectives et garantir la disponibilité de bureaux d’aide juridique dédiés aux affaires impliquant des enfants et des jeunes. Ces bureaux assurent une représentation judiciaire et </w:t>
      </w:r>
      <w:proofErr w:type="spellStart"/>
      <w:r>
        <w:t>extrajudiciaire</w:t>
      </w:r>
      <w:proofErr w:type="spellEnd"/>
      <w:r>
        <w:t>, et défendent des aspects stratégiques de protection de l’enfance.</w:t>
      </w:r>
    </w:p>
    <w:p w14:paraId="3FC64E9E" w14:textId="77777777" w:rsidR="00EB5903" w:rsidRPr="00BE2E8F" w:rsidRDefault="00EB5903" w:rsidP="00EB5903">
      <w:pPr>
        <w:pStyle w:val="H1G"/>
      </w:pPr>
      <w:r>
        <w:tab/>
      </w:r>
      <w:r>
        <w:tab/>
        <w:t xml:space="preserve">Réponse au paragraphe 5 b) de la liste de points </w:t>
      </w:r>
    </w:p>
    <w:p w14:paraId="35C2D525" w14:textId="77777777" w:rsidR="00EB5903" w:rsidRPr="00BE2E8F" w:rsidRDefault="00EB5903" w:rsidP="00EB5903">
      <w:pPr>
        <w:pStyle w:val="SingleTxtG"/>
      </w:pPr>
      <w:r>
        <w:t>27.</w:t>
      </w:r>
      <w:r>
        <w:tab/>
        <w:t>L’application de la loi n</w:t>
      </w:r>
      <w:r>
        <w:rPr>
          <w:vertAlign w:val="superscript"/>
        </w:rPr>
        <w:t>o</w:t>
      </w:r>
      <w:r>
        <w:t> 14 344/2022 renforce le principe du maintien des enfants et des adolescents dans leur environnement familial, en imposant en priorité le retrait de l’agresseur plutôt que celui de la victime. Selon les données du Recensement du Système unifié d’assistance sociale (</w:t>
      </w:r>
      <w:proofErr w:type="spellStart"/>
      <w:r>
        <w:t>CensoSUAS</w:t>
      </w:r>
      <w:proofErr w:type="spellEnd"/>
      <w:r>
        <w:t>) 2023, 22 % des placements en famille d’accueil étaient dus à la violence domestique, notamment à des violences physiques et morales, à des violences sexuelles intrafamiliales et à des conflits familiaux. En outre, un rapport de diagnostic élaboré par le Conseil national de la justice montre que 15 % des cas de placement en famille d’accueil résultent de conflits familiaux, mettant en évidence la nécessité d’adopter des mesures de protection conformément à la loi. L’intégration des processus judiciaires électroniques dans les services de placement en famille d’accueil a amélioré la communication et la coordination entre les services de différents secteurs, ce qui a renforcé l’efficacité de la loi.</w:t>
      </w:r>
    </w:p>
    <w:p w14:paraId="0E77CCCD" w14:textId="77777777" w:rsidR="00EB5903" w:rsidRPr="00BE2E8F" w:rsidRDefault="00EB5903" w:rsidP="00EB5903">
      <w:pPr>
        <w:pStyle w:val="SingleTxtG"/>
      </w:pPr>
      <w:r>
        <w:t>28.</w:t>
      </w:r>
      <w:r>
        <w:tab/>
        <w:t xml:space="preserve">Les Centres de référence en matière d’aide sociale (CRAS et CREAS) jouent un rôle essentiel dans l’application de mesures de protection, et fournissent un soutien </w:t>
      </w:r>
      <w:proofErr w:type="spellStart"/>
      <w:r>
        <w:t>psychosocial</w:t>
      </w:r>
      <w:proofErr w:type="spellEnd"/>
      <w:r>
        <w:t>, une aide juridique et des services d’urgence aux enfants et aux adolescents exposés à la violence. Les bureaux d’aide juridique contribuent également à assurer la sécurité des enfants, des adolescents et des femmes en situation de vulnérabilité en fournissant une aide juridique spécialisée et une éducation aux droits et en adoptant des mesures de protection. Les actions combinées des réseaux d’assistance sociale, des cadres juridiques et des mécanismes judiciaires contribuent à réduire la violence domestique et à renforcer les politiques de protection de la famille au Brésil.</w:t>
      </w:r>
    </w:p>
    <w:p w14:paraId="24F89E94" w14:textId="77777777" w:rsidR="00EB5903" w:rsidRPr="00BE2E8F" w:rsidRDefault="00EB5903" w:rsidP="00EB5903">
      <w:pPr>
        <w:pStyle w:val="H1G"/>
      </w:pPr>
      <w:r>
        <w:tab/>
      </w:r>
      <w:r>
        <w:tab/>
        <w:t xml:space="preserve">Réponse au paragraphe 5 c) de la liste de points </w:t>
      </w:r>
    </w:p>
    <w:p w14:paraId="70E85FE4" w14:textId="4186BC7F" w:rsidR="00EB5903" w:rsidRPr="001F2294" w:rsidRDefault="00EB5903" w:rsidP="00EB5903">
      <w:pPr>
        <w:pStyle w:val="SingleTxtG"/>
        <w:rPr>
          <w:spacing w:val="3"/>
        </w:rPr>
      </w:pPr>
      <w:r>
        <w:t>29.</w:t>
      </w:r>
      <w:r>
        <w:tab/>
      </w:r>
      <w:r w:rsidRPr="001F2294">
        <w:rPr>
          <w:spacing w:val="3"/>
        </w:rPr>
        <w:t>La loi n</w:t>
      </w:r>
      <w:r w:rsidRPr="001F2294">
        <w:rPr>
          <w:spacing w:val="3"/>
          <w:vertAlign w:val="superscript"/>
        </w:rPr>
        <w:t>o</w:t>
      </w:r>
      <w:r w:rsidRPr="001F2294">
        <w:rPr>
          <w:spacing w:val="3"/>
        </w:rPr>
        <w:t> 13 811/2019 portant modification de l’article 1 520 du Code civil afin d’en supprimer les exceptions légales à l’interdiction du mariage des enfants a été adoptée. Il est reformulé comme suit : « Le mariage n’est autorisé dans aucun cas aux personnes n’ayant pas atteint l’âge légal du mariage, conformément aux dispositions de l’article 1</w:t>
      </w:r>
      <w:r w:rsidR="002738F8">
        <w:rPr>
          <w:spacing w:val="3"/>
        </w:rPr>
        <w:t> </w:t>
      </w:r>
      <w:r w:rsidRPr="001F2294">
        <w:rPr>
          <w:spacing w:val="3"/>
        </w:rPr>
        <w:t>517 du présent Code ». Il convient de noter qu’au Brésil, l’âge légal du mariage est de 16 ans.</w:t>
      </w:r>
    </w:p>
    <w:p w14:paraId="1DB39CA6" w14:textId="77777777" w:rsidR="00EB5903" w:rsidRPr="00BE2E8F" w:rsidRDefault="00EB5903" w:rsidP="00EB5903">
      <w:pPr>
        <w:pStyle w:val="H1G"/>
      </w:pPr>
      <w:r>
        <w:tab/>
      </w:r>
      <w:r>
        <w:tab/>
        <w:t xml:space="preserve">Réponse au paragraphe 5 d) de la liste de points </w:t>
      </w:r>
    </w:p>
    <w:p w14:paraId="0E8D58A9" w14:textId="68FA25CE" w:rsidR="00EB5903" w:rsidRPr="00BE2E8F" w:rsidRDefault="00EB5903" w:rsidP="00EB5903">
      <w:pPr>
        <w:pStyle w:val="SingleTxtG"/>
      </w:pPr>
      <w:r>
        <w:t>30.</w:t>
      </w:r>
      <w:r>
        <w:tab/>
        <w:t xml:space="preserve">Le Gouvernement fédéral accorde une attention particulière aux services de protection sociale pour les adolescents faisant l’objet de mesures </w:t>
      </w:r>
      <w:proofErr w:type="spellStart"/>
      <w:r>
        <w:t>socioéducatives</w:t>
      </w:r>
      <w:proofErr w:type="spellEnd"/>
      <w:r>
        <w:t xml:space="preserve"> dans l’objectif de prévenir leur implication dans les gangs et de faciliter leur réadaptation et leur réinsertion. Les principales mesures incluent la liberté surveillée et le travail d’intérêt général, et les </w:t>
      </w:r>
      <w:proofErr w:type="spellStart"/>
      <w:r>
        <w:t>cofinancements</w:t>
      </w:r>
      <w:proofErr w:type="spellEnd"/>
      <w:r>
        <w:t xml:space="preserve"> octroyés aux mesures </w:t>
      </w:r>
      <w:proofErr w:type="spellStart"/>
      <w:r>
        <w:t>socioéducatives</w:t>
      </w:r>
      <w:proofErr w:type="spellEnd"/>
      <w:r>
        <w:t xml:space="preserve"> de détention en milieu ouvert ont plus que doublé entre 2021 et 2023, atteignant 60 millions de </w:t>
      </w:r>
      <w:proofErr w:type="spellStart"/>
      <w:r>
        <w:t>reals</w:t>
      </w:r>
      <w:proofErr w:type="spellEnd"/>
      <w:r>
        <w:t xml:space="preserve"> en 2024. Ces efforts s’appuient sur la résolution n</w:t>
      </w:r>
      <w:r>
        <w:rPr>
          <w:vertAlign w:val="superscript"/>
        </w:rPr>
        <w:t>o</w:t>
      </w:r>
      <w:r>
        <w:t> 7/2018 du Conseil national d’assistance sociale (CNAS), qui établit des niveaux de financement pour les services d’assistance aux adolescents.</w:t>
      </w:r>
    </w:p>
    <w:p w14:paraId="5F8F0264" w14:textId="31BF2215" w:rsidR="00EB5903" w:rsidRPr="00BE2E8F" w:rsidRDefault="00EB5903" w:rsidP="00EB5903">
      <w:pPr>
        <w:pStyle w:val="SingleTxtG"/>
      </w:pPr>
      <w:r>
        <w:t>31.</w:t>
      </w:r>
      <w:r>
        <w:tab/>
        <w:t>Le programme « </w:t>
      </w:r>
      <w:proofErr w:type="spellStart"/>
      <w:r w:rsidRPr="00531608">
        <w:rPr>
          <w:i/>
          <w:iCs/>
        </w:rPr>
        <w:t>Fazendo</w:t>
      </w:r>
      <w:proofErr w:type="spellEnd"/>
      <w:r w:rsidRPr="00531608">
        <w:rPr>
          <w:i/>
          <w:iCs/>
        </w:rPr>
        <w:t xml:space="preserve"> </w:t>
      </w:r>
      <w:proofErr w:type="spellStart"/>
      <w:r w:rsidRPr="00531608">
        <w:rPr>
          <w:i/>
          <w:iCs/>
        </w:rPr>
        <w:t>Justiça</w:t>
      </w:r>
      <w:proofErr w:type="spellEnd"/>
      <w:r w:rsidRPr="00531608">
        <w:rPr>
          <w:i/>
          <w:iCs/>
        </w:rPr>
        <w:t> </w:t>
      </w:r>
      <w:r>
        <w:t>», mené par le Conseil national de la justice en partenariat avec le Programme des Nations</w:t>
      </w:r>
      <w:r w:rsidR="002738F8">
        <w:t> </w:t>
      </w:r>
      <w:r>
        <w:t xml:space="preserve">Unies pour le développement (PNUD) et le Ministère de la justice et de la sécurité publique, a introduit des réformes structurelles en matière de réadaptation. Le Conseil national de la justice a adopté des résolutions établissant un registre central des places disponibles dans le système </w:t>
      </w:r>
      <w:proofErr w:type="spellStart"/>
      <w:r>
        <w:t>socioéducatif</w:t>
      </w:r>
      <w:proofErr w:type="spellEnd"/>
      <w:r>
        <w:t>, fixant des règles concernant les inspections judiciaires et créant un registre national d’inspection visant à recueillir des données sur les adolescents se trouvant dans le système de justice pour mineurs. De plus, des dispositions légales permettent le remplacement des mesures de privation de liberté pour les femmes enceintes, les parents et les personnes ayant la charge d’enfants handicapés, conformément aux décisions d’</w:t>
      </w:r>
      <w:r>
        <w:rPr>
          <w:i/>
          <w:iCs/>
        </w:rPr>
        <w:t>habeas corpus</w:t>
      </w:r>
      <w:r>
        <w:t xml:space="preserve"> de la Cour suprême.</w:t>
      </w:r>
    </w:p>
    <w:p w14:paraId="0C5B9C9C" w14:textId="23AD66C6" w:rsidR="00EB5903" w:rsidRPr="00BE2E8F" w:rsidRDefault="00EB5903" w:rsidP="00EB5903">
      <w:pPr>
        <w:pStyle w:val="SingleTxtG"/>
      </w:pPr>
      <w:r>
        <w:t>32.</w:t>
      </w:r>
      <w:r>
        <w:tab/>
        <w:t xml:space="preserve">Le Ministère des droits de l’homme et de la citoyenneté a renforcé ses initiatives de suivi des politiques et de recherche, avec notamment l’Enquête nationale sur la prise en charge </w:t>
      </w:r>
      <w:proofErr w:type="spellStart"/>
      <w:r>
        <w:t>socioéducative</w:t>
      </w:r>
      <w:proofErr w:type="spellEnd"/>
      <w:r>
        <w:t xml:space="preserve">, la révision du Plan national de prise en charge </w:t>
      </w:r>
      <w:proofErr w:type="spellStart"/>
      <w:r>
        <w:t>socioéducative</w:t>
      </w:r>
      <w:proofErr w:type="spellEnd"/>
      <w:r>
        <w:t xml:space="preserve"> et la surveillance internationale des mesures de protection dans les États d’</w:t>
      </w:r>
      <w:proofErr w:type="spellStart"/>
      <w:r>
        <w:t>Espírito</w:t>
      </w:r>
      <w:proofErr w:type="spellEnd"/>
      <w:r>
        <w:t xml:space="preserve"> Santo et de Ceará. Les adolescents faisant l’objet de mesures </w:t>
      </w:r>
      <w:proofErr w:type="spellStart"/>
      <w:r>
        <w:t>socioéducatives</w:t>
      </w:r>
      <w:proofErr w:type="spellEnd"/>
      <w:r>
        <w:t xml:space="preserve"> ont été intégrés dans des programmes fédéraux cl</w:t>
      </w:r>
      <w:r w:rsidR="002738F8">
        <w:t>ef</w:t>
      </w:r>
      <w:r>
        <w:t xml:space="preserve">s, tels que le Programme de dignité menstruelle, </w:t>
      </w:r>
      <w:r w:rsidR="002738F8">
        <w:t>« </w:t>
      </w:r>
      <w:r w:rsidRPr="00531608">
        <w:rPr>
          <w:i/>
          <w:iCs/>
        </w:rPr>
        <w:t xml:space="preserve">Pé de </w:t>
      </w:r>
      <w:proofErr w:type="spellStart"/>
      <w:r w:rsidRPr="00531608">
        <w:rPr>
          <w:i/>
          <w:iCs/>
        </w:rPr>
        <w:t>Meia</w:t>
      </w:r>
      <w:proofErr w:type="spellEnd"/>
      <w:r w:rsidR="002738F8">
        <w:t> »</w:t>
      </w:r>
      <w:r>
        <w:t xml:space="preserve"> (promotion de l’éducation) et PRONASCI Jeunesse (prévention de la violence). Les efforts de renforcement des institutions comprennent la restructuration du Système d’information pour l’enfance et l’adolescence (SIPIA) et du Système national de services </w:t>
      </w:r>
      <w:proofErr w:type="spellStart"/>
      <w:r>
        <w:t>socioéducatifs</w:t>
      </w:r>
      <w:proofErr w:type="spellEnd"/>
      <w:r>
        <w:t xml:space="preserve"> (SINASE), la création d’établissements </w:t>
      </w:r>
      <w:proofErr w:type="spellStart"/>
      <w:r>
        <w:t>socioéducatifs</w:t>
      </w:r>
      <w:proofErr w:type="spellEnd"/>
      <w:r>
        <w:t xml:space="preserve"> publics et la conclusion de nouveaux accords relatifs aux équipements des unités </w:t>
      </w:r>
      <w:proofErr w:type="spellStart"/>
      <w:r>
        <w:t>socioéducatives</w:t>
      </w:r>
      <w:proofErr w:type="spellEnd"/>
      <w:r>
        <w:t>.</w:t>
      </w:r>
    </w:p>
    <w:p w14:paraId="3193BDD3" w14:textId="77777777" w:rsidR="00EB5903" w:rsidRPr="00BE2E8F" w:rsidRDefault="00EB5903" w:rsidP="00EB5903">
      <w:pPr>
        <w:pStyle w:val="SingleTxtG"/>
      </w:pPr>
      <w:r>
        <w:t>33.</w:t>
      </w:r>
      <w:r>
        <w:tab/>
        <w:t>Enfin, les mesures spéciales concernant les adolescentes dans le système judiciaire ont été renforcées par la résolution n</w:t>
      </w:r>
      <w:r>
        <w:rPr>
          <w:vertAlign w:val="superscript"/>
        </w:rPr>
        <w:t>o</w:t>
      </w:r>
      <w:r>
        <w:t xml:space="preserve"> 233/2022 du Conseil national d’assistance sociale, qui établit des recommandations et des paramètres de prise en charge pour les filles détenues au sein du Système national de services </w:t>
      </w:r>
      <w:proofErr w:type="spellStart"/>
      <w:r>
        <w:t>socioéducatifs</w:t>
      </w:r>
      <w:proofErr w:type="spellEnd"/>
      <w:r>
        <w:t xml:space="preserve"> (SINASE). De plus, des normes d’accessibilité en matière d’architecture et de communication sont en train d’être mises en place pour améliorer les conditions dans les unités </w:t>
      </w:r>
      <w:proofErr w:type="spellStart"/>
      <w:r>
        <w:t>socioéducatives</w:t>
      </w:r>
      <w:proofErr w:type="spellEnd"/>
      <w:r>
        <w:t>, permettant ainsi une approche de la justice pour mineurs plus inclusive et axée sur la réadaptation.</w:t>
      </w:r>
    </w:p>
    <w:p w14:paraId="0BE6277D" w14:textId="77777777" w:rsidR="00EB5903" w:rsidRPr="00BE2E8F" w:rsidRDefault="00EB5903" w:rsidP="00EB5903">
      <w:pPr>
        <w:pStyle w:val="H1G"/>
      </w:pPr>
      <w:r>
        <w:tab/>
      </w:r>
      <w:r>
        <w:tab/>
        <w:t xml:space="preserve">Réponse au paragraphe 5 e) de la liste de points </w:t>
      </w:r>
    </w:p>
    <w:p w14:paraId="1785A61A" w14:textId="01C4F3BC" w:rsidR="00EB5903" w:rsidRPr="00BE2E8F" w:rsidRDefault="00EB5903" w:rsidP="00EB5903">
      <w:pPr>
        <w:pStyle w:val="SingleTxtG"/>
      </w:pPr>
      <w:r>
        <w:t>34.</w:t>
      </w:r>
      <w:r>
        <w:tab/>
        <w:t>Le Brésil a renforcé les mesures de protection des enfants et adolescents exposés à la violence, en s’efforçant principalement de prévenir l’exposition des victimes à de nouvelles violences dans les institutions publiques. Le pays a mis en place des partenariats cl</w:t>
      </w:r>
      <w:r w:rsidR="002738F8">
        <w:t>ef</w:t>
      </w:r>
      <w:r>
        <w:t>s, notamment des accords entre le Ministère de la justice et de la sécurité publique et l’Office des Nations</w:t>
      </w:r>
      <w:r w:rsidR="002738F8">
        <w:t> </w:t>
      </w:r>
      <w:r>
        <w:t>Unies contre la drogue et le crime (ONUDC), tels que le Protocole d’intentions relatif à l’élimination de la violence contre les enfants, et a participé à la première Conférence ministérielle mondiale sur l’élimination de la violence contre les enfants (Bogotá). En outre, le Brésil dirige des initiatives annuelles contre l’exploitation sexuelle, comme « </w:t>
      </w:r>
      <w:proofErr w:type="spellStart"/>
      <w:r w:rsidRPr="00531608">
        <w:rPr>
          <w:i/>
          <w:iCs/>
        </w:rPr>
        <w:t>Aliados</w:t>
      </w:r>
      <w:proofErr w:type="spellEnd"/>
      <w:r w:rsidRPr="00531608">
        <w:rPr>
          <w:i/>
          <w:iCs/>
        </w:rPr>
        <w:t xml:space="preserve"> </w:t>
      </w:r>
      <w:proofErr w:type="spellStart"/>
      <w:r w:rsidRPr="00531608">
        <w:rPr>
          <w:i/>
          <w:iCs/>
        </w:rPr>
        <w:t>por</w:t>
      </w:r>
      <w:proofErr w:type="spellEnd"/>
      <w:r w:rsidRPr="00531608">
        <w:rPr>
          <w:i/>
          <w:iCs/>
        </w:rPr>
        <w:t xml:space="preserve"> la </w:t>
      </w:r>
      <w:proofErr w:type="spellStart"/>
      <w:r w:rsidRPr="00531608">
        <w:rPr>
          <w:i/>
          <w:iCs/>
        </w:rPr>
        <w:t>Infancia</w:t>
      </w:r>
      <w:proofErr w:type="spellEnd"/>
      <w:r w:rsidRPr="002738F8">
        <w:t> </w:t>
      </w:r>
      <w:r>
        <w:t>» (portant sur les infractions sexuelles en ligne) et « </w:t>
      </w:r>
      <w:r w:rsidRPr="00531608">
        <w:rPr>
          <w:i/>
          <w:iCs/>
        </w:rPr>
        <w:t xml:space="preserve">Bad </w:t>
      </w:r>
      <w:proofErr w:type="spellStart"/>
      <w:r w:rsidRPr="00531608">
        <w:rPr>
          <w:i/>
          <w:iCs/>
        </w:rPr>
        <w:t>Vibes</w:t>
      </w:r>
      <w:proofErr w:type="spellEnd"/>
      <w:r>
        <w:t> » (portant sur les infractions en lien avec Viber). Parmi les mesures institutionnelles, il convient de citer les résolutions n</w:t>
      </w:r>
      <w:r>
        <w:rPr>
          <w:vertAlign w:val="superscript"/>
        </w:rPr>
        <w:t>o</w:t>
      </w:r>
      <w:r>
        <w:t> 287 et 298 du Conseil national du ministère public, instituant un système intégré de protection des victimes et un registre national des affaires de violence, ainsi que des recommandations judiciaires relatives à la mise en place de protocoles d’écoute particuliers en cas de violence scolaire et d’aliénation parentale.</w:t>
      </w:r>
    </w:p>
    <w:p w14:paraId="7D41F60E" w14:textId="7E3DDC0C" w:rsidR="00EB5903" w:rsidRPr="00BE2E8F" w:rsidRDefault="00EB5903" w:rsidP="00EB5903">
      <w:pPr>
        <w:pStyle w:val="SingleTxtG"/>
      </w:pPr>
      <w:r>
        <w:t>35.</w:t>
      </w:r>
      <w:r>
        <w:tab/>
        <w:t xml:space="preserve">Les mesures de renforcement du système de protection de l’enfance ont également été axées sur la prise en charge en institution et la réinsertion. Selon les données du </w:t>
      </w:r>
      <w:proofErr w:type="spellStart"/>
      <w:r>
        <w:t>CensoSUAS</w:t>
      </w:r>
      <w:proofErr w:type="spellEnd"/>
      <w:r>
        <w:t> 2023, 28 505 enfants et adolescents ont quitté les services de placement en institution ou en famille d’accueil : 51 % ont été réintégrés dans leur famille nucléaire, 30 % ont été placés dans leur famille élargie et 18 % ont été adoptés. Cependant, dans 4 464 cas (18 %), ils ont dû être placés de nouveau en raison de récidives. Pour améliorer l’efficacité de sa réponse, le Gouvernement a équipé quatre centres de prise en charge intégrale (AM, PR, BA et RJ), rétabli la Commission intersectorielle de lutte contre la violence sexuelle (décret n</w:t>
      </w:r>
      <w:r>
        <w:rPr>
          <w:vertAlign w:val="superscript"/>
        </w:rPr>
        <w:t>o</w:t>
      </w:r>
      <w:r>
        <w:t xml:space="preserve"> 11 533/2023), lancé des campagnes de sensibilisation nationales pendant le carnaval et le 18 mai (journée de sensibilisation à la protection de l’enfance) et adopté des mesures de prévention du travail des enfants. Des publications fondamentales comme MAPEAR 2.0, le Guide d’écoute spécialisée et des manuels sur la mise en place de centres </w:t>
      </w:r>
      <w:r>
        <w:lastRenderedPageBreak/>
        <w:t>de prise en charge intégrale permettent d’orienter les avancées politiques. En outre, des initiatives telles que le IV</w:t>
      </w:r>
      <w:r>
        <w:rPr>
          <w:vertAlign w:val="superscript"/>
        </w:rPr>
        <w:t>e</w:t>
      </w:r>
      <w:r>
        <w:t> Plan national de lutte contre la traite des personnes (décret n</w:t>
      </w:r>
      <w:r>
        <w:rPr>
          <w:vertAlign w:val="superscript"/>
        </w:rPr>
        <w:t>o</w:t>
      </w:r>
      <w:r>
        <w:t> 12 121/2024) et le programme « </w:t>
      </w:r>
      <w:proofErr w:type="spellStart"/>
      <w:r w:rsidRPr="00531608">
        <w:rPr>
          <w:i/>
          <w:iCs/>
        </w:rPr>
        <w:t>Cidadania</w:t>
      </w:r>
      <w:proofErr w:type="spellEnd"/>
      <w:r w:rsidRPr="00531608">
        <w:rPr>
          <w:i/>
          <w:iCs/>
        </w:rPr>
        <w:t xml:space="preserve"> Marajó</w:t>
      </w:r>
      <w:r>
        <w:t> » (ordonnance n</w:t>
      </w:r>
      <w:r>
        <w:rPr>
          <w:vertAlign w:val="superscript"/>
        </w:rPr>
        <w:t>o</w:t>
      </w:r>
      <w:r w:rsidR="002738F8">
        <w:t> </w:t>
      </w:r>
      <w:r>
        <w:t>292/2023) visent à prévenir la violence sexuelle et à améliorer la protection des victimes. Par ailleurs, l’ordonnance interministérielle du Ministère de la justice et du Ministère du travail et de l’emploi n</w:t>
      </w:r>
      <w:r>
        <w:rPr>
          <w:vertAlign w:val="superscript"/>
        </w:rPr>
        <w:t>o</w:t>
      </w:r>
      <w:r w:rsidR="002738F8">
        <w:t> </w:t>
      </w:r>
      <w:r>
        <w:t>46/2024 fournit des directives en ce qui concerne l’octroi de permis de séjour aux victimes de la traite et prévoit des dispositions spéciales pour les mineurs non accompagnés.</w:t>
      </w:r>
    </w:p>
    <w:p w14:paraId="66896348" w14:textId="77777777" w:rsidR="00EB5903" w:rsidRPr="00BE2E8F" w:rsidRDefault="00EB5903" w:rsidP="00EB5903">
      <w:pPr>
        <w:pStyle w:val="H1G"/>
      </w:pPr>
      <w:r>
        <w:tab/>
      </w:r>
      <w:r>
        <w:tab/>
        <w:t xml:space="preserve">Réponse au paragraphe 5 f) de la liste de points </w:t>
      </w:r>
    </w:p>
    <w:p w14:paraId="3FB2A616" w14:textId="0EAE8ABD" w:rsidR="00EB5903" w:rsidRPr="00BE2E8F" w:rsidRDefault="00EB5903" w:rsidP="00EB5903">
      <w:pPr>
        <w:pStyle w:val="SingleTxtG"/>
      </w:pPr>
      <w:r>
        <w:t>36.</w:t>
      </w:r>
      <w:r>
        <w:tab/>
        <w:t>L’État brésilien a redoublé d’efforts pour lutter contre la violence létale à l’égard des enfants et des jeunes au moyen de politiques telles que le Programme national de lutte contre la violence à l’égard des enfants et des adolescents, la Commission interministérielle de lutte contre la violence à l’égard des enfants et des adolescents (décret n</w:t>
      </w:r>
      <w:r>
        <w:rPr>
          <w:vertAlign w:val="superscript"/>
        </w:rPr>
        <w:t>o</w:t>
      </w:r>
      <w:r>
        <w:t> 10 701/2021) et le Pacte national de lutte contre la violence létale à l’égard des enfants et des adolescents (décret</w:t>
      </w:r>
      <w:r w:rsidR="002738F8">
        <w:t> </w:t>
      </w:r>
      <w:r>
        <w:t>n</w:t>
      </w:r>
      <w:r>
        <w:rPr>
          <w:vertAlign w:val="superscript"/>
        </w:rPr>
        <w:t>o</w:t>
      </w:r>
      <w:r>
        <w:t> 11 074/2022). En 2023, le Ministère des droits de l’homme et de la citoyenneté a élargi le Programme de protection des enfants et des adolescents menacés de mort (PPCAAM) à 22 unités fédératives, et a conclu des accords avec les États de Goiás, de Roraima, d’Amapá et de Mato Grosso do Sul. En outre, le Ministère des droits de l’homme et de la citoyenneté a signé un accord de coopération technique avec l’Assemblée législative de Ceará afin de renforcer la prévention des homicides chez les adolescents et établi un partenariat avec le PNUD et la Faculté latino-américaine des sciences sociales (FLACSO) afin d’améliorer les programmes de protection (PPCAAM, PROVITA et PPDDH).</w:t>
      </w:r>
    </w:p>
    <w:p w14:paraId="439A672B" w14:textId="6860D1A9" w:rsidR="00EB5903" w:rsidRPr="00BE2E8F" w:rsidRDefault="00EB5903" w:rsidP="00EB5903">
      <w:pPr>
        <w:pStyle w:val="SingleTxtG"/>
      </w:pPr>
      <w:r>
        <w:t>37.</w:t>
      </w:r>
      <w:r>
        <w:tab/>
        <w:t xml:space="preserve">Le Ministère de la justice et de la sécurité publique a renforcé ces mesures grâce au projet </w:t>
      </w:r>
      <w:proofErr w:type="spellStart"/>
      <w:r>
        <w:t>Lumini</w:t>
      </w:r>
      <w:proofErr w:type="spellEnd"/>
      <w:r>
        <w:t>, qui implique la police civile, les instituts d’identification et les instituts médico-légaux dans la recherche des enfants et des adolescents disparus. En outre, le système d’alerte AMBER, qui permet d’intervenir rapidement et en urgence en cas de disparition d’enfant, a été lancé dans le District fédéral et dans les États de Ceará et de Minas Gerais. La</w:t>
      </w:r>
      <w:r w:rsidR="00E24756">
        <w:t> </w:t>
      </w:r>
      <w:r>
        <w:t>police fédérale renforce ses capacités d’enquête en mettant en place des formations aux enquêtes sur les homicides, des protocoles d’intervention en faveur des droits de l’homme et des études sur le profil des victimes. En outre, un arrêt historique de la Cour suprême fédérale (action pour violation d’un principe fondamental n</w:t>
      </w:r>
      <w:r>
        <w:rPr>
          <w:vertAlign w:val="superscript"/>
        </w:rPr>
        <w:t>o</w:t>
      </w:r>
      <w:r>
        <w:t xml:space="preserve"> 635) interdit désormais les opérations de police à proximité des écoles pendant les heures de cours, ce qui rend les environnements éducatifs plus sûrs pour les enfants et les adolescents. </w:t>
      </w:r>
    </w:p>
    <w:p w14:paraId="1574B9E9" w14:textId="77777777" w:rsidR="00EB5903" w:rsidRPr="00BE2E8F" w:rsidRDefault="00EB5903" w:rsidP="00EB5903">
      <w:pPr>
        <w:pStyle w:val="SingleTxtG"/>
      </w:pPr>
      <w:r>
        <w:t>38.</w:t>
      </w:r>
      <w:r>
        <w:tab/>
        <w:t>Dans l’objectif de réduire la violence létale à l’égard des jeunes Brésiliens noirs, le Ministère de l’égalité raciale élabore le plan « </w:t>
      </w:r>
      <w:proofErr w:type="spellStart"/>
      <w:r w:rsidRPr="00531608">
        <w:rPr>
          <w:i/>
          <w:iCs/>
        </w:rPr>
        <w:t>Juventude</w:t>
      </w:r>
      <w:proofErr w:type="spellEnd"/>
      <w:r w:rsidRPr="00531608">
        <w:rPr>
          <w:i/>
          <w:iCs/>
        </w:rPr>
        <w:t xml:space="preserve"> </w:t>
      </w:r>
      <w:proofErr w:type="spellStart"/>
      <w:r w:rsidRPr="00531608">
        <w:rPr>
          <w:i/>
          <w:iCs/>
        </w:rPr>
        <w:t>Negra</w:t>
      </w:r>
      <w:proofErr w:type="spellEnd"/>
      <w:r w:rsidRPr="00531608">
        <w:rPr>
          <w:i/>
          <w:iCs/>
        </w:rPr>
        <w:t xml:space="preserve"> Viva</w:t>
      </w:r>
      <w:r>
        <w:t> » (« Jeunesse noire vivante »), qui vise à réduire les homicides et les vulnérabilités sociales, et promeut des politiques ministérielles en faveur de la jeunesse noire.</w:t>
      </w:r>
    </w:p>
    <w:p w14:paraId="3A0CD897" w14:textId="77777777" w:rsidR="00EB5903" w:rsidRPr="00BE2E8F" w:rsidRDefault="00EB5903" w:rsidP="00EB5903">
      <w:pPr>
        <w:pStyle w:val="H1G"/>
      </w:pPr>
      <w:r>
        <w:tab/>
      </w:r>
      <w:r>
        <w:tab/>
        <w:t xml:space="preserve">Réponse au paragraphe 6 de la liste de points </w:t>
      </w:r>
    </w:p>
    <w:p w14:paraId="19DDF47F" w14:textId="77777777" w:rsidR="00EB5903" w:rsidRPr="00BE2E8F" w:rsidRDefault="00EB5903" w:rsidP="00EB5903">
      <w:pPr>
        <w:pStyle w:val="SingleTxtG"/>
      </w:pPr>
      <w:r>
        <w:t>39.</w:t>
      </w:r>
      <w:r>
        <w:tab/>
        <w:t>Le Service de placement en famille d’accueil et le nombre de familles d’accueil enregistrées ont plus que triplé entre 2010 et 2021. Le nombre d’enfants placés en famille d’accueil sur cette période a augmenté de 104 %, tandis que les services de prise en charge en institution ont été réduits de 26,04 %.</w:t>
      </w:r>
    </w:p>
    <w:p w14:paraId="72F9653B" w14:textId="77777777" w:rsidR="00EB5903" w:rsidRPr="00BE2E8F" w:rsidRDefault="00EB5903" w:rsidP="00EB5903">
      <w:pPr>
        <w:pStyle w:val="SingleTxtG"/>
      </w:pPr>
      <w:r>
        <w:t>40.</w:t>
      </w:r>
      <w:r>
        <w:tab/>
        <w:t xml:space="preserve">Outre le Service de placement en famille d’accueil, les initiatives de </w:t>
      </w:r>
      <w:proofErr w:type="spellStart"/>
      <w:r>
        <w:t>désinstitutionnalisation</w:t>
      </w:r>
      <w:proofErr w:type="spellEnd"/>
      <w:r>
        <w:t xml:space="preserve"> comprennent des mesures de promotion et de prévention dans le cadre du travail d’assistance social auprès des familles. En particulier, les discussions sur les programmes de tutelle/famille tutrice subventionnés ont progressé. Selon les données du </w:t>
      </w:r>
      <w:proofErr w:type="spellStart"/>
      <w:r>
        <w:t>CensoSUAS</w:t>
      </w:r>
      <w:proofErr w:type="spellEnd"/>
      <w:r>
        <w:t> 2023, 1 683 enfants et adolescents bénéficient actuellement de programmes de tutelle subventionnés, répartis entre 918 familles.</w:t>
      </w:r>
    </w:p>
    <w:p w14:paraId="64AD7201" w14:textId="77777777" w:rsidR="00EB5903" w:rsidRPr="00BE2E8F" w:rsidRDefault="00EB5903" w:rsidP="00EB5903">
      <w:pPr>
        <w:pStyle w:val="SingleTxtG"/>
      </w:pPr>
      <w:r>
        <w:t>41.</w:t>
      </w:r>
      <w:r>
        <w:tab/>
        <w:t>Il convient de souligner les initiatives suivantes menées sous l’égide du Ministère des droits de l’homme et de la citoyenneté entre 2023 et 2024 :</w:t>
      </w:r>
    </w:p>
    <w:p w14:paraId="6CFB8E04" w14:textId="77777777" w:rsidR="00EB5903" w:rsidRPr="00BE2E8F" w:rsidRDefault="00EB5903" w:rsidP="00EB5903">
      <w:pPr>
        <w:pStyle w:val="SingleTxtG"/>
      </w:pPr>
      <w:r>
        <w:tab/>
        <w:t>a)</w:t>
      </w:r>
      <w:r>
        <w:tab/>
        <w:t>Élaboration d’une recommandation conjointe relative aux services de placement en famille d’accueil ;</w:t>
      </w:r>
    </w:p>
    <w:p w14:paraId="098420C0" w14:textId="77777777" w:rsidR="00EB5903" w:rsidRPr="00BE2E8F" w:rsidRDefault="00EB5903" w:rsidP="00EB5903">
      <w:pPr>
        <w:pStyle w:val="SingleTxtG"/>
      </w:pPr>
      <w:r>
        <w:lastRenderedPageBreak/>
        <w:tab/>
        <w:t>b)</w:t>
      </w:r>
      <w:r>
        <w:tab/>
        <w:t>Approbation du Pacte national pour la petite enfance ;</w:t>
      </w:r>
    </w:p>
    <w:p w14:paraId="2CE90B71" w14:textId="77777777" w:rsidR="00EB5903" w:rsidRPr="00BE2E8F" w:rsidRDefault="00EB5903" w:rsidP="00EB5903">
      <w:pPr>
        <w:pStyle w:val="SingleTxtG"/>
      </w:pPr>
      <w:r>
        <w:tab/>
        <w:t>c)</w:t>
      </w:r>
      <w:r>
        <w:tab/>
        <w:t>Formation de spécialisation à la petite enfance pour le Système de garantie des droits de l’enfant et de l’adolescent, dispensée par l’École nationale des droits de l’homme et de la citoyenneté (ENDICA) ;</w:t>
      </w:r>
    </w:p>
    <w:p w14:paraId="0368AF8B" w14:textId="77777777" w:rsidR="00EB5903" w:rsidRPr="00BE2E8F" w:rsidRDefault="00EB5903" w:rsidP="00EB5903">
      <w:pPr>
        <w:pStyle w:val="SingleTxtG"/>
      </w:pPr>
      <w:r>
        <w:tab/>
        <w:t>d)</w:t>
      </w:r>
      <w:r>
        <w:tab/>
        <w:t>Organisation d’un webinaire et d’une consultation publique en vue d’actualiser le Plan national en faveur de la vie dans la famille et dans la communauté.</w:t>
      </w:r>
    </w:p>
    <w:p w14:paraId="62231187" w14:textId="77777777" w:rsidR="00EB5903" w:rsidRPr="00BE2E8F" w:rsidRDefault="00EB5903" w:rsidP="00EB5903">
      <w:pPr>
        <w:pStyle w:val="H1G"/>
      </w:pPr>
      <w:r>
        <w:tab/>
      </w:r>
      <w:r>
        <w:tab/>
        <w:t xml:space="preserve">Réponse au paragraphe 7 de la liste de points </w:t>
      </w:r>
    </w:p>
    <w:p w14:paraId="7664646C" w14:textId="2552BEE3" w:rsidR="00EB5903" w:rsidRPr="00BE2E8F" w:rsidRDefault="00EB5903" w:rsidP="00EB5903">
      <w:pPr>
        <w:pStyle w:val="SingleTxtG"/>
      </w:pPr>
      <w:r>
        <w:t>42.</w:t>
      </w:r>
      <w:r>
        <w:tab/>
        <w:t>Le recensement scolaire montre que des progrès considérables ont été réalisés entre 2018 et 2023. Les inscriptions dans l’éducation répondant à des besoins particuliers sont passées de 1,18 million à 1,77 million, ce qui représente 3,7 % du nombre total d’élèves en 2023. L’intégration dans des classes conventionnelles est passée de 85,9 % à 91,3 %, tandis que l’aide éducative spécialisée est passée de 19,4 % (2009) à 38,2 % (2023). La</w:t>
      </w:r>
      <w:r w:rsidR="008D5E7F">
        <w:t> </w:t>
      </w:r>
      <w:r>
        <w:t>persévérance scolaire s’est améliorée, passant de 72,4 % (2009) à 85,8 % (2022), et le taux d’échec est passé de 23,8 % (2008) à 12,8 % (2022). En outre, le taux d’abandon est passé de 3,3 % (2010) à 1,4 % (2022), et le décalage entre l’âge et le niveau suivi est passé de 67,5 % (2010) à 31 % (2022).</w:t>
      </w:r>
    </w:p>
    <w:p w14:paraId="046D7128" w14:textId="6EBDB6A1" w:rsidR="00EB5903" w:rsidRPr="00BE2E8F" w:rsidRDefault="00EB5903" w:rsidP="00EB5903">
      <w:pPr>
        <w:pStyle w:val="SingleTxtG"/>
      </w:pPr>
      <w:r>
        <w:t>43.</w:t>
      </w:r>
      <w:r>
        <w:tab/>
        <w:t>Parmi les mesures prises, on peut citer la mise en place de 27 observatoires de suivi des politiques d’éducation répondant à des besoins particuliers, la formation de 8 250 enseignants à l’éducation inclusive et la formation dispensée par REFANOR à 63 000 enseignants et à 106 000 administrateurs d’école. De plus, 3 500 professionnels ont été formés à l’enseignement bilingue et 1 000 enseignants ont été formés aux sports paralympiques. Les investissements réalisés dans les infrastructures ont permis d’équiper 38 000 écoles de salles de ressources, de mettre à disposition</w:t>
      </w:r>
      <w:r w:rsidR="008D5E7F">
        <w:t xml:space="preserve"> </w:t>
      </w:r>
      <w:r>
        <w:t xml:space="preserve">1 500 bus scolaires accessibles et de distribuer 95 000 appareils fonctionnels et 72 000 livres en </w:t>
      </w:r>
      <w:r w:rsidR="008D5E7F">
        <w:t>b</w:t>
      </w:r>
      <w:r>
        <w:t xml:space="preserve">raille aux élèves atteints de déficience visuelle. En outre, 1 250 écoles à temps plein et 2 500 crèches ont été rendues pleinement accessibles. Sur le plan financier, les écoles accueillant des élèves handicapés reçoivent des financements supplémentaires du Programme de financement direct des écoles, et 425 000 élèves ont bénéficié du </w:t>
      </w:r>
      <w:r w:rsidR="008D5E7F">
        <w:t>P</w:t>
      </w:r>
      <w:r>
        <w:t>rogramme d’allocation sociale permanente à l’école.</w:t>
      </w:r>
    </w:p>
    <w:p w14:paraId="759AD0FD" w14:textId="77777777" w:rsidR="00EB5903" w:rsidRPr="00BE2E8F" w:rsidRDefault="00EB5903" w:rsidP="00EB5903">
      <w:pPr>
        <w:pStyle w:val="SingleTxtG"/>
      </w:pPr>
      <w:r>
        <w:t>44.</w:t>
      </w:r>
      <w:r>
        <w:tab/>
        <w:t>L’aide financière octroyée par le programme « Retour à la maison » institué par la loi n</w:t>
      </w:r>
      <w:r>
        <w:rPr>
          <w:vertAlign w:val="superscript"/>
        </w:rPr>
        <w:t>o</w:t>
      </w:r>
      <w:r>
        <w:t xml:space="preserve"> 10 708/2003, qui encourage la réadaptation </w:t>
      </w:r>
      <w:proofErr w:type="spellStart"/>
      <w:r>
        <w:t>psychosociale</w:t>
      </w:r>
      <w:proofErr w:type="spellEnd"/>
      <w:r>
        <w:t>, est passée de 500 </w:t>
      </w:r>
      <w:proofErr w:type="spellStart"/>
      <w:r>
        <w:t>reals</w:t>
      </w:r>
      <w:proofErr w:type="spellEnd"/>
      <w:r>
        <w:t xml:space="preserve"> à 755 </w:t>
      </w:r>
      <w:proofErr w:type="spellStart"/>
      <w:r>
        <w:t>reals</w:t>
      </w:r>
      <w:proofErr w:type="spellEnd"/>
      <w:r>
        <w:t xml:space="preserve"> (juin 2024). Le Service de placement en famille d’accueil joue un rôle essentiel dans la transition des enfants handicapés d’une prise en charge institutionnelle à une prise en charge dans un cadre familial.</w:t>
      </w:r>
    </w:p>
    <w:p w14:paraId="4F50625C" w14:textId="77777777" w:rsidR="00EB5903" w:rsidRPr="00BE2E8F" w:rsidRDefault="00EB5903" w:rsidP="00EB5903">
      <w:pPr>
        <w:pStyle w:val="H1G"/>
      </w:pPr>
      <w:r>
        <w:tab/>
      </w:r>
      <w:r>
        <w:tab/>
        <w:t xml:space="preserve">Réponse au paragraphe 8 a) de la liste de points </w:t>
      </w:r>
    </w:p>
    <w:p w14:paraId="59DA455A" w14:textId="42439143" w:rsidR="00EB5903" w:rsidRPr="00BE2E8F" w:rsidRDefault="00EB5903" w:rsidP="00EB5903">
      <w:pPr>
        <w:pStyle w:val="SingleTxtG"/>
      </w:pPr>
      <w:r>
        <w:t>45.</w:t>
      </w:r>
      <w:r>
        <w:tab/>
        <w:t>La Stratégie de santé familiale a été élargie, et le nombre d’équipes cofinancées est passé de 48 817 (décembre 2022) à 50 804 (janvier 2024), ce qui a renforcé l’accès aux soins de santé primaires</w:t>
      </w:r>
      <w:r w:rsidR="008D5E7F">
        <w:t>.</w:t>
      </w:r>
    </w:p>
    <w:p w14:paraId="25A3770C" w14:textId="7A2FA390" w:rsidR="00EB5903" w:rsidRPr="00BE2E8F" w:rsidRDefault="00EB5903" w:rsidP="00EB5903">
      <w:pPr>
        <w:pStyle w:val="SingleTxtG"/>
      </w:pPr>
      <w:r>
        <w:t>46.</w:t>
      </w:r>
      <w:r>
        <w:tab/>
        <w:t xml:space="preserve">Le réseau </w:t>
      </w:r>
      <w:proofErr w:type="spellStart"/>
      <w:r>
        <w:t>Alyne</w:t>
      </w:r>
      <w:proofErr w:type="spellEnd"/>
      <w:r>
        <w:t xml:space="preserve"> (ordonnance n</w:t>
      </w:r>
      <w:r>
        <w:rPr>
          <w:vertAlign w:val="superscript"/>
        </w:rPr>
        <w:t>o</w:t>
      </w:r>
      <w:r w:rsidRPr="008D5E7F">
        <w:t> </w:t>
      </w:r>
      <w:r>
        <w:t xml:space="preserve">5 350/2024 du </w:t>
      </w:r>
      <w:r w:rsidR="008D5E7F">
        <w:t>C</w:t>
      </w:r>
      <w:r>
        <w:t>abinet du ministre du Ministère de la santé) renforce le réseau Cigogne (</w:t>
      </w:r>
      <w:proofErr w:type="spellStart"/>
      <w:r>
        <w:rPr>
          <w:i/>
          <w:iCs/>
        </w:rPr>
        <w:t>Rede</w:t>
      </w:r>
      <w:proofErr w:type="spellEnd"/>
      <w:r>
        <w:rPr>
          <w:i/>
          <w:iCs/>
        </w:rPr>
        <w:t xml:space="preserve"> </w:t>
      </w:r>
      <w:proofErr w:type="spellStart"/>
      <w:r>
        <w:rPr>
          <w:i/>
          <w:iCs/>
        </w:rPr>
        <w:t>Cegonha</w:t>
      </w:r>
      <w:proofErr w:type="spellEnd"/>
      <w:r>
        <w:t xml:space="preserve">) en vue de réduire la mortalité maternelle et d’améliorer les soins </w:t>
      </w:r>
      <w:proofErr w:type="spellStart"/>
      <w:r>
        <w:t>néonatals</w:t>
      </w:r>
      <w:proofErr w:type="spellEnd"/>
      <w:r>
        <w:t xml:space="preserve">. Parmi les principales initiatives, on peut citer la </w:t>
      </w:r>
      <w:r w:rsidR="008D5E7F">
        <w:t>S</w:t>
      </w:r>
      <w:r>
        <w:t xml:space="preserve">tratégie </w:t>
      </w:r>
      <w:proofErr w:type="spellStart"/>
      <w:r>
        <w:t>Qualineo</w:t>
      </w:r>
      <w:proofErr w:type="spellEnd"/>
      <w:r>
        <w:t xml:space="preserve">, qui a permis de former 159 professionnels de soins </w:t>
      </w:r>
      <w:proofErr w:type="spellStart"/>
      <w:r>
        <w:t>néonatals</w:t>
      </w:r>
      <w:proofErr w:type="spellEnd"/>
      <w:r>
        <w:t xml:space="preserve">, et la méthode Kangourou, qui couvre les soins prénatals et </w:t>
      </w:r>
      <w:proofErr w:type="spellStart"/>
      <w:r>
        <w:t>postnatals</w:t>
      </w:r>
      <w:proofErr w:type="spellEnd"/>
      <w:r>
        <w:t>, à laquelle 1 825 professionnels ont été formés. En ce qui concerne la promotion de l’allaitement maternel, 96 618 professionnels ont été formés, 317 hôpitaux ont obtenu la certification de l’initiative Hôpitaux amis des bébés (BFHI) et 233 lactariums sont opérationnels. En outre, 6,5 millions de carnets de santé de l’enfant ont été distribués, et une formation à la prise en charge du développement de l’enfant a été dispensée à 20 000 professionnels en collaboration avec 27 centres d’aide des États.</w:t>
      </w:r>
    </w:p>
    <w:p w14:paraId="0B1AC9AD" w14:textId="77777777" w:rsidR="00EB5903" w:rsidRPr="00BE2E8F" w:rsidRDefault="00EB5903" w:rsidP="00EB5903">
      <w:pPr>
        <w:pStyle w:val="SingleTxtG"/>
      </w:pPr>
      <w:r>
        <w:t>47.</w:t>
      </w:r>
      <w:r>
        <w:tab/>
        <w:t xml:space="preserve">Le Programme national d’immunisation fournit 47 produits immunobiologiques, dont 30 vaccins, et garantit la couverture vaccinale à toutes les étapes de la vie, en prévoyant des stratégies particulières pour les populations vulnérables. Le Brésil reste à l’avant-garde en </w:t>
      </w:r>
      <w:r>
        <w:lastRenderedPageBreak/>
        <w:t>matière d’élimination des maladies. Il a de nouveau obtenu la certification relative à l’élimination de la rougeole en 2024, la rubéole est sous contrôle depuis 2015 et la poliomyélite a été éradiquée en 1994. Le pays est également à la pointe en matière de contrôle de la méningite et dispose d’un programme public pionnier de vaccination contre la dengue. Le Mouvement national de vaccination continue de promouvoir l’immunisation en menant des campagnes de sensibilisation du public.</w:t>
      </w:r>
    </w:p>
    <w:p w14:paraId="1DB79BCF" w14:textId="77777777" w:rsidR="00EB5903" w:rsidRPr="00BE2E8F" w:rsidRDefault="00EB5903" w:rsidP="00EB5903">
      <w:pPr>
        <w:pStyle w:val="H1G"/>
      </w:pPr>
      <w:r>
        <w:tab/>
      </w:r>
      <w:r>
        <w:tab/>
        <w:t xml:space="preserve">Réponse au paragraphe 8 b) de la liste de points </w:t>
      </w:r>
    </w:p>
    <w:p w14:paraId="27E12340" w14:textId="77777777" w:rsidR="00EB5903" w:rsidRPr="00BE2E8F" w:rsidRDefault="00EB5903" w:rsidP="00EB5903">
      <w:pPr>
        <w:pStyle w:val="SingleTxtG"/>
      </w:pPr>
      <w:r>
        <w:t>48.</w:t>
      </w:r>
      <w:r>
        <w:tab/>
        <w:t>Le Gouvernement brésilien a pris plusieurs mesures pour doter le Secrétariat spécial à la santé des peuples autochtones (SESAI) de ressources humaines, techniques et financières suffisantes. Le SESAI emploie plus de 20 000 professionnels, et plus de 50 % de ses professionnels de santé certifiés sont eux-mêmes autochtones, ce qui permet de garantir une approche des prestations de santé adaptée à leur culture. Le SESAI est responsable de tous les aspects liés à la santé des peuples autochtones, tels que les examens de routine, les vaccinations, les soins prénatals, les soins pédiatriques, les soins dentaires et le traitement des maladies cliniques. Il est également chargé des infrastructures médicales et des mesures d’assainissement.</w:t>
      </w:r>
    </w:p>
    <w:p w14:paraId="031219EE" w14:textId="4334E106" w:rsidR="00EB5903" w:rsidRPr="00BE2E8F" w:rsidRDefault="00EB5903" w:rsidP="00EB5903">
      <w:pPr>
        <w:pStyle w:val="SingleTxtG"/>
      </w:pPr>
      <w:r>
        <w:t>49.</w:t>
      </w:r>
      <w:r>
        <w:tab/>
        <w:t xml:space="preserve">En 2024, le Gouvernement brésilien a alloué un budget de 1,2 milliard de </w:t>
      </w:r>
      <w:proofErr w:type="spellStart"/>
      <w:r>
        <w:t>reals</w:t>
      </w:r>
      <w:proofErr w:type="spellEnd"/>
      <w:r>
        <w:t xml:space="preserve"> au soutien à des initiatives en faveur du peuple autochtone </w:t>
      </w:r>
      <w:proofErr w:type="spellStart"/>
      <w:r>
        <w:t>yanomani</w:t>
      </w:r>
      <w:proofErr w:type="spellEnd"/>
      <w:r>
        <w:t xml:space="preserve">, portant notamment sur l’amélioration des services de santé. En outre, le nombre de professionnels de santé sur le territoire </w:t>
      </w:r>
      <w:proofErr w:type="spellStart"/>
      <w:r>
        <w:t>yanomani</w:t>
      </w:r>
      <w:proofErr w:type="spellEnd"/>
      <w:r>
        <w:t xml:space="preserve"> a considérablement augmenté, enregistrant une hausse de 155 %. Le</w:t>
      </w:r>
      <w:r w:rsidR="008D5E7F">
        <w:t> </w:t>
      </w:r>
      <w:r>
        <w:t xml:space="preserve">Gouvernement a réouvert les 37 centres de santé existants sur le territoire </w:t>
      </w:r>
      <w:proofErr w:type="spellStart"/>
      <w:r>
        <w:t>yanomani</w:t>
      </w:r>
      <w:proofErr w:type="spellEnd"/>
      <w:r>
        <w:t xml:space="preserve"> et a construit six nouvelles unités de santé autochtone de base, portant leur nombre total à 40. Un</w:t>
      </w:r>
      <w:r w:rsidR="008D5E7F">
        <w:t> </w:t>
      </w:r>
      <w:r>
        <w:t xml:space="preserve">centre de référence est actuellement en construction à </w:t>
      </w:r>
      <w:proofErr w:type="spellStart"/>
      <w:r>
        <w:t>Surucucu</w:t>
      </w:r>
      <w:proofErr w:type="spellEnd"/>
      <w:r>
        <w:t xml:space="preserve"> afin de fournir des soins médicaux de complexité moyenne.</w:t>
      </w:r>
    </w:p>
    <w:p w14:paraId="68798478" w14:textId="77777777" w:rsidR="00EB5903" w:rsidRPr="00BE2E8F" w:rsidRDefault="00EB5903" w:rsidP="00EB5903">
      <w:pPr>
        <w:pStyle w:val="H1G"/>
      </w:pPr>
      <w:r>
        <w:tab/>
      </w:r>
      <w:r>
        <w:tab/>
        <w:t xml:space="preserve">Réponse au paragraphe 8 c) de la liste de points </w:t>
      </w:r>
    </w:p>
    <w:p w14:paraId="18DBD49A" w14:textId="25A42C35" w:rsidR="00EB5903" w:rsidRPr="00BE2E8F" w:rsidRDefault="00EB5903" w:rsidP="00EB5903">
      <w:pPr>
        <w:pStyle w:val="SingleTxtG"/>
      </w:pPr>
      <w:r>
        <w:t>50.</w:t>
      </w:r>
      <w:r>
        <w:tab/>
        <w:t xml:space="preserve">La Politique nationale de promotion de la sécurité alimentaire et nutritionnelle, mise en œuvre par l’intermédiaire du Système national de promotion de la sécurité alimentaire et nutritionnelle, garantit le droit à une alimentation adéquate au Brésil. En 2024, la Politique nationale d’alimentation et de nutrition (PNAN) a fêté ses 25 ans. Cent pour cent des municipalités bénéficient d’incitations financières et les financements ont augmenté pour atteindre 140 millions de </w:t>
      </w:r>
      <w:proofErr w:type="spellStart"/>
      <w:r>
        <w:t>reals</w:t>
      </w:r>
      <w:proofErr w:type="spellEnd"/>
      <w:r>
        <w:t xml:space="preserve"> (ordonnance n</w:t>
      </w:r>
      <w:r>
        <w:rPr>
          <w:vertAlign w:val="superscript"/>
        </w:rPr>
        <w:t>o</w:t>
      </w:r>
      <w:r>
        <w:t xml:space="preserve"> 5 836/2024 du </w:t>
      </w:r>
      <w:r w:rsidR="008D5E7F">
        <w:t>C</w:t>
      </w:r>
      <w:r>
        <w:t>abinet du ministre du Ministère de la santé). La répartition des ressources prend désormais en compte la taille de la population, l’indice de vulnérabilité sociale et la prévalence de la malnutrition en s’appuyant sur les données du Réseau de coopération technique sur les systèmes de surveillance de l’alimentation et de la nutrition (SISVAN).</w:t>
      </w:r>
    </w:p>
    <w:p w14:paraId="4477DCBB" w14:textId="77777777" w:rsidR="00EB5903" w:rsidRPr="00BE2E8F" w:rsidRDefault="00EB5903" w:rsidP="00EB5903">
      <w:pPr>
        <w:pStyle w:val="SingleTxtG"/>
      </w:pPr>
      <w:r>
        <w:t>51.</w:t>
      </w:r>
      <w:r>
        <w:tab/>
        <w:t xml:space="preserve">Les principales initiatives en matière de nutrition de l’enfant et de l’adolescent comprennent la mise à jour des guides alimentaires et la publication d’orientations techniques sur les soins nutritionnels dans les soins de santé primaires. Grâce aux activités de formation organisées par l’Université ouverte du Système unique de santé, près de 120 000 personnes ont suivi des formations qualifiantes sur la nutrition des jeunes enfants, les enfants en surpoids et souffrant de malnutrition et l’utilisation des protocoles définis dans les guides alimentaires. En outre, la stratégie </w:t>
      </w:r>
      <w:proofErr w:type="spellStart"/>
      <w:r>
        <w:rPr>
          <w:i/>
          <w:iCs/>
        </w:rPr>
        <w:t>Amamenta</w:t>
      </w:r>
      <w:proofErr w:type="spellEnd"/>
      <w:r>
        <w:rPr>
          <w:i/>
          <w:iCs/>
        </w:rPr>
        <w:t xml:space="preserve"> e Alimenta</w:t>
      </w:r>
      <w:r>
        <w:t xml:space="preserve"> a été révisée afin de renforcer le soutien à l’allaitement maternel et l’alimentation complémentaire saine dans les services de soins de santé primaires.</w:t>
      </w:r>
    </w:p>
    <w:p w14:paraId="455BC208" w14:textId="77777777" w:rsidR="00EB5903" w:rsidRPr="00BE2E8F" w:rsidRDefault="00EB5903" w:rsidP="00EB5903">
      <w:pPr>
        <w:pStyle w:val="H1G"/>
      </w:pPr>
      <w:r>
        <w:tab/>
      </w:r>
      <w:r>
        <w:tab/>
        <w:t xml:space="preserve">Réponse au paragraphe 8 d) de la liste de points </w:t>
      </w:r>
    </w:p>
    <w:p w14:paraId="6C2F8D69" w14:textId="77777777" w:rsidR="00EB5903" w:rsidRPr="00BE2E8F" w:rsidRDefault="00EB5903" w:rsidP="00EB5903">
      <w:pPr>
        <w:pStyle w:val="SingleTxtG"/>
      </w:pPr>
      <w:r>
        <w:t>52.</w:t>
      </w:r>
      <w:r>
        <w:tab/>
        <w:t>En décembre 2024, le Conseil national des droits de l’enfant et de l’adolescent (CONANDA) a approuvé la résolution n</w:t>
      </w:r>
      <w:r>
        <w:rPr>
          <w:vertAlign w:val="superscript"/>
        </w:rPr>
        <w:t>o</w:t>
      </w:r>
      <w:r>
        <w:t> 25 811 relative à la prise en charge des enfants et des adolescents victimes de violence sexuelle et à la garantie de leurs droits, y compris l’accès à l’avortement.</w:t>
      </w:r>
    </w:p>
    <w:p w14:paraId="7750F38C" w14:textId="77777777" w:rsidR="00EB5903" w:rsidRPr="00BE2E8F" w:rsidRDefault="00EB5903" w:rsidP="00EB5903">
      <w:pPr>
        <w:pStyle w:val="SingleTxtG"/>
      </w:pPr>
      <w:r>
        <w:lastRenderedPageBreak/>
        <w:t>53.</w:t>
      </w:r>
      <w:r>
        <w:tab/>
        <w:t>Parmi les initiatives des bureaux d’aide juridique, il convient de mentionner la publication de la brochure « Confier volontairement son enfant à l’adoption : promouvoir les droits des femmes et des enfants » par le bureau d’aide juridique du Paraná, ainsi que des initiatives pédagogiques traitant de sujets tels que la prévention des grossesses.</w:t>
      </w:r>
    </w:p>
    <w:p w14:paraId="779C2C2E" w14:textId="77777777" w:rsidR="00EB5903" w:rsidRPr="00BE2E8F" w:rsidRDefault="00EB5903" w:rsidP="00EB5903">
      <w:pPr>
        <w:pStyle w:val="H1G"/>
      </w:pPr>
      <w:r>
        <w:tab/>
      </w:r>
      <w:r>
        <w:tab/>
        <w:t xml:space="preserve">Réponse au paragraphe 8 e) de la liste de points </w:t>
      </w:r>
    </w:p>
    <w:p w14:paraId="3D57D753" w14:textId="1C70A8EC" w:rsidR="00EB5903" w:rsidRPr="00BE2E8F" w:rsidRDefault="00EB5903" w:rsidP="00EB5903">
      <w:pPr>
        <w:pStyle w:val="SingleTxtG"/>
      </w:pPr>
      <w:r>
        <w:t>54.</w:t>
      </w:r>
      <w:r>
        <w:tab/>
        <w:t>Le Brésil a pris des mesures globales pour améliorer l’accès des enfants et des adolescents aux soins de santé sexuelle et procréative, notamment en ce qui concerne la prévention du VIH/sida et des infections sexuellement transmissibles. En tant que signataire des objectifs de l’Organisation panaméricaine de la Santé (OPS)/Organisation mondiale de la Santé (OMS) et du Programme commun des Nations</w:t>
      </w:r>
      <w:r w:rsidR="008D5E7F">
        <w:t> </w:t>
      </w:r>
      <w:r>
        <w:t>Unies sur le VIH/sida (ONUSIDA), le pays a pour priorité d’éradiquer la transmission mère-enfant (TME) et de développer les stratégies de prévention.</w:t>
      </w:r>
    </w:p>
    <w:p w14:paraId="6DEC534E" w14:textId="77777777" w:rsidR="00EB5903" w:rsidRPr="00BE2E8F" w:rsidRDefault="00EB5903" w:rsidP="00EB5903">
      <w:pPr>
        <w:pStyle w:val="SingleTxtG"/>
      </w:pPr>
      <w:r>
        <w:t>55.</w:t>
      </w:r>
      <w:r>
        <w:tab/>
        <w:t xml:space="preserve">La certification infranationale relative à l’élimination de la TME du VIH, de la syphilis, de l’hépatite B et de la maladie de </w:t>
      </w:r>
      <w:proofErr w:type="spellStart"/>
      <w:r>
        <w:t>Chagas</w:t>
      </w:r>
      <w:proofErr w:type="spellEnd"/>
      <w:r>
        <w:t xml:space="preserve"> mise en place par le Brésil constitue une réussite majeure. Les directives nationales mettent l’accent sur le diagnostic et le traitement précoces lors des soins prénatals, obstétricaux et </w:t>
      </w:r>
      <w:proofErr w:type="spellStart"/>
      <w:r>
        <w:t>postnatals</w:t>
      </w:r>
      <w:proofErr w:type="spellEnd"/>
      <w:r>
        <w:t>, tandis que les protocoles cliniques et les directives thérapeutiques garantissent des soins spécialisés aux enfants nés de mères séropositives, et prévoient notamment la fourniture de préparations pour nourrissons et la contre-indication de l’allaitement maternel.</w:t>
      </w:r>
    </w:p>
    <w:p w14:paraId="1E44D478" w14:textId="77777777" w:rsidR="00EB5903" w:rsidRPr="00BE2E8F" w:rsidRDefault="00EB5903" w:rsidP="00EB5903">
      <w:pPr>
        <w:pStyle w:val="SingleTxtG"/>
      </w:pPr>
      <w:r>
        <w:t>56.</w:t>
      </w:r>
      <w:r>
        <w:tab/>
        <w:t xml:space="preserve">Les victimes d’abus sexuels ont un accès prioritaire à la vaccination contre le papillomavirus humain (HPV), tandis que la prophylaxie </w:t>
      </w:r>
      <w:proofErr w:type="spellStart"/>
      <w:r>
        <w:t>postexposition</w:t>
      </w:r>
      <w:proofErr w:type="spellEnd"/>
      <w:r>
        <w:t xml:space="preserve"> (PPE) est proposée par le Service unique de santé depuis 1999, et joue un rôle crucial dans la prévention du VIH, de l’hépatite B/C et d’autres IST. Les mises à jour des protocoles cliniques et des directives thérapeutiques en matière de PPE renforcent les soins de santé maternelle et infantile, et le Label de bonnes pratiques (2024) a étendu la certification à l’hépatite B et à la maladie de </w:t>
      </w:r>
      <w:proofErr w:type="spellStart"/>
      <w:r>
        <w:t>Chagas</w:t>
      </w:r>
      <w:proofErr w:type="spellEnd"/>
      <w:r>
        <w:t>.</w:t>
      </w:r>
    </w:p>
    <w:p w14:paraId="5197C042" w14:textId="77777777" w:rsidR="00EB5903" w:rsidRPr="00BE2E8F" w:rsidRDefault="00EB5903" w:rsidP="00EB5903">
      <w:pPr>
        <w:pStyle w:val="SingleTxtG"/>
      </w:pPr>
      <w:r>
        <w:t>57.</w:t>
      </w:r>
      <w:r>
        <w:tab/>
        <w:t>Dans l’objectif de renforcer les efforts de prévention, 151 municipalités ont obtenu la certification pour avoir éliminé la TME du VIH entre 2017 et 2024, ce qui a bénéficié à plus de 106 millions de personnes dans tout le pays. Une consultation publique est en cours concernant le guide 2024 afin d’améliorer encore les politiques nationales.</w:t>
      </w:r>
    </w:p>
    <w:p w14:paraId="45B77473" w14:textId="77777777" w:rsidR="00EB5903" w:rsidRPr="00BE2E8F" w:rsidRDefault="00EB5903" w:rsidP="00EB5903">
      <w:pPr>
        <w:pStyle w:val="H1G"/>
      </w:pPr>
      <w:r>
        <w:tab/>
      </w:r>
      <w:r>
        <w:tab/>
        <w:t xml:space="preserve">Réponse au paragraphe 8 f) de la liste de points </w:t>
      </w:r>
    </w:p>
    <w:p w14:paraId="29FB3CC4" w14:textId="0A71C500" w:rsidR="00EB5903" w:rsidRPr="00BE2E8F" w:rsidRDefault="00EB5903" w:rsidP="00EB5903">
      <w:pPr>
        <w:pStyle w:val="SingleTxtG"/>
      </w:pPr>
      <w:r>
        <w:t>58.</w:t>
      </w:r>
      <w:r>
        <w:tab/>
        <w:t xml:space="preserve">Le </w:t>
      </w:r>
      <w:r w:rsidR="00574B4D">
        <w:t>c</w:t>
      </w:r>
      <w:r>
        <w:t>omité de gestion de cette politique nationale a été institué par le décret n</w:t>
      </w:r>
      <w:r>
        <w:rPr>
          <w:vertAlign w:val="superscript"/>
        </w:rPr>
        <w:t>o</w:t>
      </w:r>
      <w:r>
        <w:t> 10 225/2020. Il a pour objectifs de mettre en œuvre la politique nationale (loi n</w:t>
      </w:r>
      <w:r>
        <w:rPr>
          <w:vertAlign w:val="superscript"/>
        </w:rPr>
        <w:t>o</w:t>
      </w:r>
      <w:r>
        <w:t> 13 819/2019) et de renforcer les stratégies permanentes en matière d’éducation et de santé, en particulier dans les domaines de la communication, de la prévention et de la prise en charge. En juillet 2021, le comité a adopté son plan de travail.</w:t>
      </w:r>
    </w:p>
    <w:p w14:paraId="2656EEA4" w14:textId="7CD3BC58" w:rsidR="00EB5903" w:rsidRPr="00BE2E8F" w:rsidRDefault="00EB5903" w:rsidP="00EB5903">
      <w:pPr>
        <w:pStyle w:val="SingleTxtG"/>
      </w:pPr>
      <w:r>
        <w:t>59.</w:t>
      </w:r>
      <w:r>
        <w:tab/>
        <w:t xml:space="preserve">Le groupe de travail sur la santé mentale des enfants, des adolescents et des jeunes a été créé sous l’égide du Ministère de la santé afin de formuler des recommandations concernant la mise à jour du </w:t>
      </w:r>
      <w:r w:rsidR="00574B4D">
        <w:t>P</w:t>
      </w:r>
      <w:r>
        <w:t xml:space="preserve">rogramme de santé mentale dédié à ce groupe dans le cadre du Réseau de soins </w:t>
      </w:r>
      <w:proofErr w:type="spellStart"/>
      <w:r>
        <w:t>psychosociaux</w:t>
      </w:r>
      <w:proofErr w:type="spellEnd"/>
      <w:r>
        <w:t xml:space="preserve"> du Système unique de santé.</w:t>
      </w:r>
    </w:p>
    <w:p w14:paraId="700DCF55" w14:textId="77777777" w:rsidR="00EB5903" w:rsidRPr="00BE2E8F" w:rsidRDefault="00EB5903" w:rsidP="00EB5903">
      <w:pPr>
        <w:pStyle w:val="H1G"/>
      </w:pPr>
      <w:r>
        <w:tab/>
      </w:r>
      <w:r>
        <w:tab/>
        <w:t xml:space="preserve">Réponse au paragraphe 8 g) de la liste de points </w:t>
      </w:r>
    </w:p>
    <w:p w14:paraId="5CD7F433" w14:textId="6E401BA0" w:rsidR="00EB5903" w:rsidRPr="00BE2E8F" w:rsidRDefault="00EB5903" w:rsidP="00EB5903">
      <w:pPr>
        <w:pStyle w:val="SingleTxtG"/>
      </w:pPr>
      <w:r>
        <w:t>60.</w:t>
      </w:r>
      <w:r>
        <w:tab/>
        <w:t xml:space="preserve">Le Réseau de soins </w:t>
      </w:r>
      <w:proofErr w:type="spellStart"/>
      <w:r>
        <w:t>psychosociaux</w:t>
      </w:r>
      <w:proofErr w:type="spellEnd"/>
      <w:r>
        <w:t xml:space="preserve"> est essentiel pour apporter des soins de santé aux enfants et aux adolescents vulnérables consommant des substances psychoactives. Ses</w:t>
      </w:r>
      <w:r w:rsidR="00574B4D">
        <w:t> </w:t>
      </w:r>
      <w:r>
        <w:t xml:space="preserve">centres de soins </w:t>
      </w:r>
      <w:proofErr w:type="spellStart"/>
      <w:r>
        <w:t>psychosociaux</w:t>
      </w:r>
      <w:proofErr w:type="spellEnd"/>
      <w:r>
        <w:t xml:space="preserve"> (CAPS) et ses centres de soins </w:t>
      </w:r>
      <w:proofErr w:type="spellStart"/>
      <w:r>
        <w:t>psychosociaux</w:t>
      </w:r>
      <w:proofErr w:type="spellEnd"/>
      <w:r>
        <w:t xml:space="preserve"> pour enfants (CAPS i) sont spécialisés dans le traitement de la détresse psychologique grave liée à la consommation d’alcool et de drogues. Il existe actuellement 324 centres CAPS i et 1 522 centres CAPS de type 1 accrédités, qui renforcent les soins de santé mentale de proximité.</w:t>
      </w:r>
    </w:p>
    <w:p w14:paraId="63C04056" w14:textId="7BF38E4D" w:rsidR="00EB5903" w:rsidRPr="00BE2E8F" w:rsidRDefault="00EB5903" w:rsidP="00EB5903">
      <w:pPr>
        <w:pStyle w:val="SingleTxtG"/>
      </w:pPr>
      <w:r>
        <w:lastRenderedPageBreak/>
        <w:t>61.</w:t>
      </w:r>
      <w:r>
        <w:tab/>
        <w:t xml:space="preserve">Ces efforts sont étayés par plusieurs initiatives nationales. La Stratégie nationale pour l’accès aux droits des populations noires et périphériques dans la politique relative aux drogues (2023) étend les réseaux de justice et de soins aux zones marginalisées, avec des projets à Fortaleza, Barra Mansa et Salvador. Le Programme CRIA </w:t>
      </w:r>
      <w:r w:rsidR="00574B4D">
        <w:t>− </w:t>
      </w:r>
      <w:r>
        <w:t>Prévention et citoyenneté (2024)</w:t>
      </w:r>
      <w:r w:rsidR="00574B4D">
        <w:t> −</w:t>
      </w:r>
      <w:r>
        <w:t xml:space="preserve"> porte sur la prévention de la consommation de substances psychoactives et de la violence, s’appuyant sur des méthodes fondées sur des données factuelles telles qu’</w:t>
      </w:r>
      <w:proofErr w:type="spellStart"/>
      <w:r>
        <w:rPr>
          <w:i/>
          <w:iCs/>
        </w:rPr>
        <w:t>Elos</w:t>
      </w:r>
      <w:proofErr w:type="spellEnd"/>
      <w:r>
        <w:t xml:space="preserve">, </w:t>
      </w:r>
      <w:r>
        <w:rPr>
          <w:i/>
          <w:iCs/>
        </w:rPr>
        <w:t>#Tamojunto</w:t>
      </w:r>
      <w:r>
        <w:t xml:space="preserve"> et « Familles fortes », et vise à toucher 66 000 enfants et 67 000 familles. En outre, PRONASCI Jeunesse, qui fait partie du programme PRONASCI II (décret n</w:t>
      </w:r>
      <w:r>
        <w:rPr>
          <w:vertAlign w:val="superscript"/>
        </w:rPr>
        <w:t>o</w:t>
      </w:r>
      <w:r>
        <w:t> 11 436/2023), mène des activités à Rio de Janeiro et à Salvador, et cible les jeunes âgés de 15 à 24 ans dans les communautés à haut risque.</w:t>
      </w:r>
    </w:p>
    <w:p w14:paraId="61710E17" w14:textId="2A341F69" w:rsidR="00EB5903" w:rsidRPr="00BE2E8F" w:rsidRDefault="00EB5903" w:rsidP="00EB5903">
      <w:pPr>
        <w:pStyle w:val="SingleTxtG"/>
      </w:pPr>
      <w:r>
        <w:t>62.</w:t>
      </w:r>
      <w:r>
        <w:tab/>
        <w:t>La résolution n</w:t>
      </w:r>
      <w:r>
        <w:rPr>
          <w:vertAlign w:val="superscript"/>
        </w:rPr>
        <w:t>o</w:t>
      </w:r>
      <w:r w:rsidR="00574B4D">
        <w:t> </w:t>
      </w:r>
      <w:r>
        <w:t>249/2024 du CONANDA, qui constitue une avancée réglementaire majeure, interdit le placement d’enfants dans des communautés thérapeutiques et privilégie la prise en charge familiale et communautaire. Cette mesure renforce les réseaux d’assistance sociale et sanitaire, conformément aux normes internationales relatives aux droits de l’homme visant à favoriser la réinsertion et le bien-être.</w:t>
      </w:r>
    </w:p>
    <w:p w14:paraId="493662F2" w14:textId="77777777" w:rsidR="00EB5903" w:rsidRPr="00BE2E8F" w:rsidRDefault="00EB5903" w:rsidP="00EB5903">
      <w:pPr>
        <w:pStyle w:val="H1G"/>
      </w:pPr>
      <w:r>
        <w:tab/>
      </w:r>
      <w:r>
        <w:tab/>
        <w:t xml:space="preserve">Réponse au paragraphe 8 h) de la liste de points </w:t>
      </w:r>
    </w:p>
    <w:p w14:paraId="467EA88B" w14:textId="77777777" w:rsidR="00EB5903" w:rsidRPr="00BE2E8F" w:rsidRDefault="00EB5903" w:rsidP="00EB5903">
      <w:pPr>
        <w:pStyle w:val="SingleTxtG"/>
      </w:pPr>
      <w:r>
        <w:t>63.</w:t>
      </w:r>
      <w:r>
        <w:tab/>
        <w:t xml:space="preserve">Le Centre de soins </w:t>
      </w:r>
      <w:proofErr w:type="spellStart"/>
      <w:r>
        <w:t>psychosociaux</w:t>
      </w:r>
      <w:proofErr w:type="spellEnd"/>
      <w:r>
        <w:t xml:space="preserve"> pour enfants (CAPS i) se démarque en tant que service spécialisé pour les enfants et les adolescents souffrant de détresse psychologique intense et persistante, notamment ceux qui consomment de l’alcool et des drogues ou qui souffrent d’autres troubles cliniques qui entravent leur capacité à établir des liens sociaux et à mener des projets de vie.</w:t>
      </w:r>
    </w:p>
    <w:p w14:paraId="0414B30B" w14:textId="77777777" w:rsidR="00EB5903" w:rsidRPr="00BE2E8F" w:rsidRDefault="00EB5903" w:rsidP="00EB5903">
      <w:pPr>
        <w:pStyle w:val="SingleTxtG"/>
      </w:pPr>
      <w:r>
        <w:t>64.</w:t>
      </w:r>
      <w:r>
        <w:tab/>
        <w:t>Après une période de stagnation et de reculs en matière de politiques de santé mentale, 2023 a marqué une reprise de la mise en œuvre et du développement des services. Le Brésil dispose actuellement de 324 centres CAPS i et de 1 522 centres CAPS de type 1.</w:t>
      </w:r>
    </w:p>
    <w:p w14:paraId="2925589B" w14:textId="77777777" w:rsidR="00EB5903" w:rsidRPr="00BE2E8F" w:rsidRDefault="00EB5903" w:rsidP="00EB5903">
      <w:pPr>
        <w:pStyle w:val="SingleTxtG"/>
      </w:pPr>
      <w:r>
        <w:t>65.</w:t>
      </w:r>
      <w:r>
        <w:tab/>
        <w:t>Les CAPS ne se limitent pas à une approche centrée sur la maladie, mais assurent une prise en charge globale centrée sur les enfants et les adolescents, apportent un soutien aux familles et aux personnes ayant la charge d’enfants et tiennent compte des déterminants sociaux en jeu ainsi que des besoins particuliers de chaque cas.</w:t>
      </w:r>
    </w:p>
    <w:p w14:paraId="18C50136" w14:textId="77777777" w:rsidR="00EB5903" w:rsidRPr="00BE2E8F" w:rsidRDefault="00EB5903" w:rsidP="00EB5903">
      <w:pPr>
        <w:pStyle w:val="SingleTxtG"/>
      </w:pPr>
      <w:r>
        <w:t>66.</w:t>
      </w:r>
      <w:r>
        <w:tab/>
        <w:t>En outre, la création du groupe de travail sur la santé mentale des enfants, des adolescents et des jeunes conforte l’engagement à renforcer les politiques en faveur de cette population.</w:t>
      </w:r>
    </w:p>
    <w:p w14:paraId="58CC325B" w14:textId="77777777" w:rsidR="00EB5903" w:rsidRPr="00BE2E8F" w:rsidRDefault="00EB5903" w:rsidP="00EB5903">
      <w:pPr>
        <w:pStyle w:val="H1G"/>
      </w:pPr>
      <w:r>
        <w:tab/>
      </w:r>
      <w:r>
        <w:tab/>
        <w:t xml:space="preserve">Réponse au paragraphe 8 i) de la liste de points </w:t>
      </w:r>
    </w:p>
    <w:p w14:paraId="2CB4C0AD" w14:textId="19E389DC" w:rsidR="00EB5903" w:rsidRPr="00BE2E8F" w:rsidRDefault="00EB5903" w:rsidP="00EB5903">
      <w:pPr>
        <w:pStyle w:val="SingleTxtG"/>
      </w:pPr>
      <w:r>
        <w:t>67.</w:t>
      </w:r>
      <w:r>
        <w:tab/>
        <w:t xml:space="preserve">Les personnes ayant des troubles du spectre autistique sont légalement reconnues comme des personnes handicapées au Brésil et sont couvertes par la Politique nationale générale de soins de santé pour les personnes handicapées (PNAISPD) et par le Réseau de soins pour les personnes handicapées (RCPD), actualisé en 2023 (ordonnance du </w:t>
      </w:r>
      <w:r w:rsidR="00574B4D">
        <w:t>C</w:t>
      </w:r>
      <w:r>
        <w:t>abinet du ministre du Ministère de la santé n</w:t>
      </w:r>
      <w:r>
        <w:rPr>
          <w:vertAlign w:val="superscript"/>
        </w:rPr>
        <w:t>o</w:t>
      </w:r>
      <w:r>
        <w:t xml:space="preserve"> 1 526). Les unités de soins de santé primaires constituent le premier point de contact, mais les cas plus complexes sont orientés vers des services de soins ambulatoires et des centres de réadaptation spécialisés (CER). Il existe 325 CER homologués dans tout le pays. Le Réseau de soins pour les personnes handicapées fait également partie du Plan national pour les droits des personnes handicapées </w:t>
      </w:r>
      <w:r w:rsidR="00574B4D">
        <w:t>− </w:t>
      </w:r>
      <w:r>
        <w:t>« Une nouvelle vie sans limites »</w:t>
      </w:r>
      <w:r w:rsidR="00574B4D">
        <w:t> −</w:t>
      </w:r>
      <w:r>
        <w:t xml:space="preserve">, qui comprend des initiatives telles que l’accréditation des centres de référence pour la réadaptation au sein du Système unifié de santé, un nouveau financement mensuel de la prise en charge des troubles du spectre autistique, des orientations portant spécifiquement sur les troubles du spectre autistique et 27 centres du programme </w:t>
      </w:r>
      <w:proofErr w:type="spellStart"/>
      <w:r>
        <w:t>TEAtivo</w:t>
      </w:r>
      <w:proofErr w:type="spellEnd"/>
      <w:r>
        <w:t xml:space="preserve"> dans chaque unité fédérale, ce qui assure un accès plus large à une prise en charge spécialisée.</w:t>
      </w:r>
    </w:p>
    <w:p w14:paraId="2D506ABD" w14:textId="77777777" w:rsidR="00EB5903" w:rsidRPr="00BE2E8F" w:rsidRDefault="00EB5903" w:rsidP="00EB5903">
      <w:pPr>
        <w:pStyle w:val="SingleTxtG"/>
      </w:pPr>
      <w:r>
        <w:t>68.</w:t>
      </w:r>
      <w:r>
        <w:tab/>
        <w:t xml:space="preserve">En outre, le Programme de soins de santé spécialisés à l’intention de la population transgenre vise à renforcer les services de santé proposés aux enfants et aux adolescents transgenres dans le cadre du Service unique de santé. Ce programme, qui adopte une approche intersectorielle, définit des parcours de soins structurés et propose la création de deux types de services ambulatoires et de trois types de services chirurgicaux. Ces mesures </w:t>
      </w:r>
      <w:r>
        <w:lastRenderedPageBreak/>
        <w:t>visent à élargir l’accessibilité de ces services et à apporter une aide spécialisée complète aux jeunes transgenres, renforçant ainsi l’engagement du Brésil à fournir des soins de santé inclusifs.</w:t>
      </w:r>
    </w:p>
    <w:p w14:paraId="011BAFDA" w14:textId="77777777" w:rsidR="00EB5903" w:rsidRPr="00BE2E8F" w:rsidRDefault="00EB5903" w:rsidP="00EB5903">
      <w:pPr>
        <w:pStyle w:val="H1G"/>
      </w:pPr>
      <w:r>
        <w:tab/>
      </w:r>
      <w:r>
        <w:tab/>
        <w:t xml:space="preserve">Réponse au paragraphe 9 a) de la liste de points </w:t>
      </w:r>
    </w:p>
    <w:p w14:paraId="1E35F3D9" w14:textId="46109563" w:rsidR="00EB5903" w:rsidRPr="00BE2E8F" w:rsidRDefault="00EB5903" w:rsidP="00EB5903">
      <w:pPr>
        <w:pStyle w:val="SingleTxtG"/>
      </w:pPr>
      <w:r>
        <w:t>69.</w:t>
      </w:r>
      <w:r>
        <w:tab/>
        <w:t xml:space="preserve">Le Programme </w:t>
      </w:r>
      <w:r w:rsidR="00574B4D">
        <w:t>« </w:t>
      </w:r>
      <w:proofErr w:type="spellStart"/>
      <w:r w:rsidRPr="00531608">
        <w:rPr>
          <w:i/>
          <w:iCs/>
        </w:rPr>
        <w:t>Bolsa</w:t>
      </w:r>
      <w:proofErr w:type="spellEnd"/>
      <w:r w:rsidRPr="00531608">
        <w:rPr>
          <w:i/>
          <w:iCs/>
        </w:rPr>
        <w:t xml:space="preserve"> </w:t>
      </w:r>
      <w:proofErr w:type="spellStart"/>
      <w:r w:rsidRPr="00531608">
        <w:rPr>
          <w:i/>
          <w:iCs/>
        </w:rPr>
        <w:t>Família</w:t>
      </w:r>
      <w:proofErr w:type="spellEnd"/>
      <w:r w:rsidR="00574B4D">
        <w:t> »</w:t>
      </w:r>
      <w:r>
        <w:t>, établi par la loi n</w:t>
      </w:r>
      <w:r>
        <w:rPr>
          <w:vertAlign w:val="superscript"/>
        </w:rPr>
        <w:t>o</w:t>
      </w:r>
      <w:r>
        <w:t xml:space="preserve"> 14 601/2023, est la principale initiative de transfert de revenus du Brésil. Il est salué au niveau international pour son rôle dans la réduction de la pauvreté touchant les enfants et la promotion de l’inclusion sociale. Au-delà de l’aide financière, ce programme comprend des politiques de santé, d’éducation et d’assistance sociale visant à rompre le cycle de pauvreté intergénérationnelle et à protéger les enfants de la malnutrition, du travail des enfants et de la violence. Cette aide est conditionnée à la fréquentation scolaire, à des suivis nutritionnels et à des vaccinations, ce qui garantit une participation active des familles au bien-être de leurs enfants. De plus, le modèle d’allocations personnalisées ajuste les paiements en fonction de la composition de la famille et privilégie le développement du jeune enfant pour améliorer les résultats éducatifs et </w:t>
      </w:r>
      <w:proofErr w:type="spellStart"/>
      <w:r>
        <w:t>socioémotionnels</w:t>
      </w:r>
      <w:proofErr w:type="spellEnd"/>
      <w:r>
        <w:t xml:space="preserve"> à long terme. En décembre 2024, 20,8 millions de familles recevaient des allocations pour un total de 14,08 milliards de </w:t>
      </w:r>
      <w:proofErr w:type="spellStart"/>
      <w:r>
        <w:t>reals</w:t>
      </w:r>
      <w:proofErr w:type="spellEnd"/>
      <w:r>
        <w:t>, soit un transfert d’en moyenne 678,</w:t>
      </w:r>
      <w:r w:rsidR="00574B4D">
        <w:t>3</w:t>
      </w:r>
      <w:r>
        <w:t>6 </w:t>
      </w:r>
      <w:proofErr w:type="spellStart"/>
      <w:r>
        <w:t>reals</w:t>
      </w:r>
      <w:proofErr w:type="spellEnd"/>
      <w:r>
        <w:t xml:space="preserve"> par famille. Les investissements ciblés comprennent 1,30 milliard de </w:t>
      </w:r>
      <w:proofErr w:type="spellStart"/>
      <w:r>
        <w:t>reals</w:t>
      </w:r>
      <w:proofErr w:type="spellEnd"/>
      <w:r>
        <w:t xml:space="preserve"> bénéficiant à 9,2 millions d’enfants de moins de 7 ans ainsi qu’une aide destinée aux femmes enceintes, aux mères allaitantes et aux adolescents, ce qui renforce la capacité du programme à réduire les inégalités et à garantir une protection sociale.</w:t>
      </w:r>
    </w:p>
    <w:p w14:paraId="16D88169" w14:textId="46027D1B" w:rsidR="00EB5903" w:rsidRPr="00BE2E8F" w:rsidRDefault="00EB5903" w:rsidP="00EB5903">
      <w:pPr>
        <w:pStyle w:val="SingleTxtG"/>
      </w:pPr>
      <w:r>
        <w:t>70.</w:t>
      </w:r>
      <w:r>
        <w:tab/>
        <w:t xml:space="preserve">En complément de </w:t>
      </w:r>
      <w:r w:rsidR="00574B4D">
        <w:t>« </w:t>
      </w:r>
      <w:proofErr w:type="spellStart"/>
      <w:r w:rsidRPr="008329F0">
        <w:rPr>
          <w:i/>
          <w:iCs/>
        </w:rPr>
        <w:t>Bolsa</w:t>
      </w:r>
      <w:proofErr w:type="spellEnd"/>
      <w:r w:rsidRPr="008329F0">
        <w:rPr>
          <w:i/>
          <w:iCs/>
        </w:rPr>
        <w:t xml:space="preserve"> </w:t>
      </w:r>
      <w:proofErr w:type="spellStart"/>
      <w:r w:rsidRPr="008329F0">
        <w:rPr>
          <w:i/>
          <w:iCs/>
        </w:rPr>
        <w:t>Família</w:t>
      </w:r>
      <w:proofErr w:type="spellEnd"/>
      <w:r w:rsidR="00574B4D">
        <w:t> »</w:t>
      </w:r>
      <w:r>
        <w:t>, le Ministère du travail et de l’emploi a redoublé d’efforts pour mettre un terme au travail des enfants et intégrer les enfants concernés à des réseaux de protection. En 2024, l’inspection du travail a réalisé plus de 22 000 contrôles, ce qui a permis de soustraire 9 000 enfants et adolescents à des situations d’exploitation. Les</w:t>
      </w:r>
      <w:r w:rsidR="00574B4D">
        <w:t> </w:t>
      </w:r>
      <w:r>
        <w:t xml:space="preserve">enfants secourus ont été orientés vers les conseils de protection de l’enfance, le ministère public, des programmes d’assistance sociale, des services éducatifs, des services de santé et des programmes d’apprentissage pour les adolescents de plus de 14 ans. Cette approche </w:t>
      </w:r>
      <w:proofErr w:type="spellStart"/>
      <w:r>
        <w:t>intersectionnelle</w:t>
      </w:r>
      <w:proofErr w:type="spellEnd"/>
      <w:r>
        <w:t xml:space="preserve"> permet de s’assurer que les enfants et adolescents vulnérables reçoivent non seulement une aide financière, mais également une protection sociale complète, ce qui favorise leur développement et leur donne des possibilités à long terme.</w:t>
      </w:r>
    </w:p>
    <w:p w14:paraId="0AE95341" w14:textId="77777777" w:rsidR="00EB5903" w:rsidRPr="00BE2E8F" w:rsidRDefault="00EB5903" w:rsidP="00EB5903">
      <w:pPr>
        <w:pStyle w:val="H1G"/>
      </w:pPr>
      <w:r>
        <w:tab/>
      </w:r>
      <w:r>
        <w:tab/>
        <w:t xml:space="preserve">Réponse au paragraphe 9 b) de la liste de points </w:t>
      </w:r>
    </w:p>
    <w:p w14:paraId="342BA5FD" w14:textId="26B621C2" w:rsidR="00EB5903" w:rsidRPr="00BE2E8F" w:rsidRDefault="00EB5903" w:rsidP="00EB5903">
      <w:pPr>
        <w:pStyle w:val="SingleTxtG"/>
      </w:pPr>
      <w:r>
        <w:t>71.</w:t>
      </w:r>
      <w:r>
        <w:tab/>
        <w:t xml:space="preserve">Le Programme </w:t>
      </w:r>
      <w:r w:rsidR="00574B4D">
        <w:t>« </w:t>
      </w:r>
      <w:proofErr w:type="spellStart"/>
      <w:r w:rsidRPr="00531608">
        <w:rPr>
          <w:i/>
          <w:iCs/>
        </w:rPr>
        <w:t>Água</w:t>
      </w:r>
      <w:proofErr w:type="spellEnd"/>
      <w:r w:rsidRPr="00531608">
        <w:rPr>
          <w:i/>
          <w:iCs/>
        </w:rPr>
        <w:t xml:space="preserve"> </w:t>
      </w:r>
      <w:proofErr w:type="spellStart"/>
      <w:r w:rsidRPr="00531608">
        <w:rPr>
          <w:i/>
          <w:iCs/>
        </w:rPr>
        <w:t>Doce</w:t>
      </w:r>
      <w:proofErr w:type="spellEnd"/>
      <w:r w:rsidR="00574B4D">
        <w:t> »</w:t>
      </w:r>
      <w:r>
        <w:t xml:space="preserve"> est une initiative qui vise à étendre l’accès à l’eau potable dans les zones rurales ou reculées grâce à la mise en place de systèmes de dessalement. Fin</w:t>
      </w:r>
      <w:r w:rsidR="00574B4D">
        <w:t xml:space="preserve"> </w:t>
      </w:r>
      <w:r>
        <w:t>2024, plus de 1 000 systèmes avaient été installés, bénéficiant à environ 260 000 personnes.</w:t>
      </w:r>
    </w:p>
    <w:p w14:paraId="098BB40A" w14:textId="77777777" w:rsidR="00EB5903" w:rsidRPr="00BE2E8F" w:rsidRDefault="00EB5903" w:rsidP="00EB5903">
      <w:pPr>
        <w:pStyle w:val="SingleTxtG"/>
      </w:pPr>
      <w:r>
        <w:t>72.</w:t>
      </w:r>
      <w:r>
        <w:tab/>
        <w:t>Ce programme est mené en partenariat avec les États et les municipalités et joue un rôle fondamental pour assurer la sécurité hydrique dans les régions confrontées à une raréfaction de l’eau potable. La participation active de jeunes et de femmes dans les comités de gestion permet d’assurer la durabilité de ces actions et de promouvoir un accès équitable aux ressources hydriques.</w:t>
      </w:r>
    </w:p>
    <w:p w14:paraId="4F86ACA6" w14:textId="77777777" w:rsidR="00EB5903" w:rsidRPr="00BE2E8F" w:rsidRDefault="00EB5903" w:rsidP="00EB5903">
      <w:pPr>
        <w:pStyle w:val="H1G"/>
      </w:pPr>
      <w:r>
        <w:tab/>
      </w:r>
      <w:r>
        <w:tab/>
        <w:t xml:space="preserve">Réponse au paragraphe 10 a) de la liste de points </w:t>
      </w:r>
    </w:p>
    <w:p w14:paraId="7C9A49A9" w14:textId="77777777" w:rsidR="00EB5903" w:rsidRPr="00BE2E8F" w:rsidRDefault="00EB5903" w:rsidP="00EB5903">
      <w:pPr>
        <w:pStyle w:val="SingleTxtG"/>
      </w:pPr>
      <w:r>
        <w:t>73.</w:t>
      </w:r>
      <w:r>
        <w:tab/>
        <w:t>Le Brésil s’attache particulièrement à protéger les enfants contre les dangers environnementaux, notamment la pollution de l’air, de l’eau et du sol, la contamination des aliments et les catastrophes naturelles. Les inondations de 2024 dans l’État du Rio Grande do Sul ont montré qu’il était nécessaire de disposer d’un système de protection des enfants en cas d’urgence. La Politique nationale de protection et de défense civile (loi n</w:t>
      </w:r>
      <w:r>
        <w:rPr>
          <w:vertAlign w:val="superscript"/>
        </w:rPr>
        <w:t>o</w:t>
      </w:r>
      <w:r>
        <w:t xml:space="preserve"> 12 608/12) permet d’assurer une réponse coordonnée, et intègre une surveillance de la situation des droits de l’homme. Le Ministère des droits de l’homme et de la citoyenneté a activé le service d’assistance téléphonique « Composez le 100 », qui permet de signaler les cas de </w:t>
      </w:r>
      <w:r>
        <w:lastRenderedPageBreak/>
        <w:t>maltraitance et de violation des droits dans les centres d’accueil, renforçant ainsi la surveillance pendant les crises.</w:t>
      </w:r>
    </w:p>
    <w:p w14:paraId="4608C963" w14:textId="77777777" w:rsidR="00EB5903" w:rsidRPr="00BE2E8F" w:rsidRDefault="00EB5903" w:rsidP="00EB5903">
      <w:pPr>
        <w:pStyle w:val="SingleTxtG"/>
      </w:pPr>
      <w:r>
        <w:t>74.</w:t>
      </w:r>
      <w:r>
        <w:tab/>
        <w:t>Le Gouvernement fédéral a mis en place des mesures décisives, telles que le Programme étatique relatif aux bassins hydrographiques, qui améliorent la gestion des inondations. Le Système de protection de l’Amazone (CENSIPAM) a fourni plus de 100 rapports relatifs aux risques, ce qui a permis d’améliorer les interventions en cas de catastrophe. Le Secrétariat national des droits de l’enfant et de l’adolescent du Ministère des droits de l’homme et de la citoyenneté a déployé dix fonctionnaires pour évaluer les centres d’accueil. En outre, le Ministère de l’agriculture et de l’élevage a soutenu la reprise économique en adoptant les ordonnances n</w:t>
      </w:r>
      <w:r>
        <w:rPr>
          <w:vertAlign w:val="superscript"/>
        </w:rPr>
        <w:t>o</w:t>
      </w:r>
      <w:r>
        <w:t> 1 108/2024 et n</w:t>
      </w:r>
      <w:r>
        <w:rPr>
          <w:vertAlign w:val="superscript"/>
        </w:rPr>
        <w:t>o</w:t>
      </w:r>
      <w:r>
        <w:t> 1 114/2024, qui simplifient la réglementation des exploitations agricoles.</w:t>
      </w:r>
    </w:p>
    <w:p w14:paraId="5A22B181" w14:textId="294E6571" w:rsidR="00EB5903" w:rsidRPr="00BE2E8F" w:rsidRDefault="00EB5903" w:rsidP="00EB5903">
      <w:pPr>
        <w:pStyle w:val="SingleTxtG"/>
      </w:pPr>
      <w:r>
        <w:t>75.</w:t>
      </w:r>
      <w:r>
        <w:tab/>
        <w:t>Parmi les autres initiatives de protection de l’enfance, il convient de citer la recommandation de mai 2024 du CONANDA relative à la protection des enfants lors des catastrophes climatiques et l’ordonnance n</w:t>
      </w:r>
      <w:r>
        <w:rPr>
          <w:vertAlign w:val="superscript"/>
        </w:rPr>
        <w:t>o</w:t>
      </w:r>
      <w:r w:rsidR="00574B4D">
        <w:t> </w:t>
      </w:r>
      <w:r>
        <w:t>218/2023, portant création du protocole d’intervention en cas de catastrophe du Ministère des droits de l’homme et de la citoyenneté. Le Gouvernement a également lancé le Plan climat et publié le guide « Situations d’urgence dans le Système unifié d’assistance sociale : Que faire ? » (2023). Les recommandations relatives à l’hébergement des enfants non accompagnés sont conformes au Protocole national conjoint de protection des groupes vulnérables en cas de catastrophe (2012), qui permet d’assurer des interventions d’urgence structurées et inclusives.</w:t>
      </w:r>
    </w:p>
    <w:p w14:paraId="00009A34" w14:textId="77777777" w:rsidR="00EB5903" w:rsidRPr="00BE2E8F" w:rsidRDefault="00EB5903" w:rsidP="001F2294">
      <w:pPr>
        <w:pStyle w:val="H1G"/>
        <w:spacing w:before="320" w:after="200"/>
      </w:pPr>
      <w:r>
        <w:tab/>
      </w:r>
      <w:r>
        <w:tab/>
        <w:t xml:space="preserve">Réponse au paragraphe 10 b) de la liste de points </w:t>
      </w:r>
    </w:p>
    <w:p w14:paraId="3228656E" w14:textId="061917C2" w:rsidR="00EB5903" w:rsidRPr="00BE2E8F" w:rsidRDefault="00EB5903" w:rsidP="00EB5903">
      <w:pPr>
        <w:pStyle w:val="SingleTxtG"/>
      </w:pPr>
      <w:r>
        <w:t>76.</w:t>
      </w:r>
      <w:r>
        <w:tab/>
        <w:t>L’ordonnance interministérielle n</w:t>
      </w:r>
      <w:r>
        <w:rPr>
          <w:vertAlign w:val="superscript"/>
        </w:rPr>
        <w:t>o</w:t>
      </w:r>
      <w:r w:rsidR="00574B4D">
        <w:t> </w:t>
      </w:r>
      <w:r>
        <w:t>11/2024, convoquant la 6</w:t>
      </w:r>
      <w:r>
        <w:rPr>
          <w:vertAlign w:val="superscript"/>
        </w:rPr>
        <w:t>e</w:t>
      </w:r>
      <w:r>
        <w:t> Conférence nationale des enfants et des jeunes sur l’environnement, prévue en 2025, a été publiée. Cette conférence vise à encourager les jeunes à s’informer sur les actions de justice climatique et à y participer dans leurs contextes locaux.</w:t>
      </w:r>
    </w:p>
    <w:p w14:paraId="52C7EAB4" w14:textId="77777777" w:rsidR="00EB5903" w:rsidRPr="00BE2E8F" w:rsidRDefault="00EB5903" w:rsidP="00EB5903">
      <w:pPr>
        <w:pStyle w:val="SingleTxtG"/>
      </w:pPr>
      <w:r>
        <w:t>77.</w:t>
      </w:r>
      <w:r>
        <w:tab/>
        <w:t>Principales initiatives du CONANDA :</w:t>
      </w:r>
    </w:p>
    <w:p w14:paraId="5A83D66D" w14:textId="55267953" w:rsidR="00EB5903" w:rsidRPr="00BE2E8F" w:rsidRDefault="00EB5903" w:rsidP="00EB5903">
      <w:pPr>
        <w:pStyle w:val="SingleTxtG"/>
      </w:pPr>
      <w:r>
        <w:tab/>
        <w:t>a)</w:t>
      </w:r>
      <w:r>
        <w:tab/>
        <w:t>La résolution n</w:t>
      </w:r>
      <w:r>
        <w:rPr>
          <w:vertAlign w:val="superscript"/>
        </w:rPr>
        <w:t>o</w:t>
      </w:r>
      <w:r w:rsidR="00EA1E5F">
        <w:t> </w:t>
      </w:r>
      <w:r>
        <w:t>159/2013 met en avant l’importance de la participation des enfants et des adolescents et le principe de diversité dans les espaces où leurs droits sont débattus ;</w:t>
      </w:r>
    </w:p>
    <w:p w14:paraId="0EC6080A" w14:textId="3ED93B67" w:rsidR="00EB5903" w:rsidRPr="00BE2E8F" w:rsidRDefault="00EB5903" w:rsidP="00EB5903">
      <w:pPr>
        <w:pStyle w:val="SingleTxtG"/>
      </w:pPr>
      <w:r>
        <w:tab/>
        <w:t>b)</w:t>
      </w:r>
      <w:r>
        <w:tab/>
        <w:t>La résolution n</w:t>
      </w:r>
      <w:r>
        <w:rPr>
          <w:vertAlign w:val="superscript"/>
        </w:rPr>
        <w:t>o</w:t>
      </w:r>
      <w:r w:rsidR="00EA1E5F">
        <w:t> </w:t>
      </w:r>
      <w:r>
        <w:t>191/2017 a institué le Comité de participation des adolescents (CPA) en tant qu’organe consultatif permanent au sein du CONANDA ;</w:t>
      </w:r>
    </w:p>
    <w:p w14:paraId="5E2F2572" w14:textId="77777777" w:rsidR="00EB5903" w:rsidRPr="00BE2E8F" w:rsidRDefault="00EB5903" w:rsidP="00EB5903">
      <w:pPr>
        <w:pStyle w:val="SingleTxtG"/>
      </w:pPr>
      <w:r>
        <w:tab/>
        <w:t>c)</w:t>
      </w:r>
      <w:r>
        <w:tab/>
        <w:t>Lors des inondations dans l’État de Rio Grande do Sul, le CPA a pris part aux discussions sur la recommandation relative à la protection complète des enfants et des adolescents dans les situations de risques climatiques et de catastrophes.</w:t>
      </w:r>
    </w:p>
    <w:p w14:paraId="51BC80FF" w14:textId="77777777" w:rsidR="00EB5903" w:rsidRPr="00BE2E8F" w:rsidRDefault="00EB5903" w:rsidP="00EB5903">
      <w:pPr>
        <w:pStyle w:val="SingleTxtG"/>
      </w:pPr>
      <w:r>
        <w:t>78.</w:t>
      </w:r>
      <w:r>
        <w:tab/>
        <w:t>En partenariat avec le Secrétariat national des droits de l’enfant et de l’adolescent du Ministère des droits de l’homme et de la citoyenneté et la Faculté latino-américaine des sciences sociales (FLACSO Brésil), le CONANDA soutient ce projet afin d’assurer une réelle participation des jeunes à la COP 30, qui se tiendra au Brésil en 2025.</w:t>
      </w:r>
    </w:p>
    <w:p w14:paraId="47AD96C5" w14:textId="77777777" w:rsidR="00EB5903" w:rsidRPr="00BE2E8F" w:rsidRDefault="00EB5903" w:rsidP="001F2294">
      <w:pPr>
        <w:pStyle w:val="H1G"/>
        <w:spacing w:before="320" w:after="200"/>
      </w:pPr>
      <w:r>
        <w:tab/>
      </w:r>
      <w:r>
        <w:tab/>
        <w:t xml:space="preserve">Réponse au paragraphe 11 a) de la liste de points </w:t>
      </w:r>
    </w:p>
    <w:p w14:paraId="697DDF20" w14:textId="77777777" w:rsidR="00EB5903" w:rsidRPr="00BE2E8F" w:rsidRDefault="00EB5903" w:rsidP="00EB5903">
      <w:pPr>
        <w:pStyle w:val="SingleTxtG"/>
      </w:pPr>
      <w:r>
        <w:t>79.</w:t>
      </w:r>
      <w:r>
        <w:tab/>
        <w:t>Le décret n</w:t>
      </w:r>
      <w:r>
        <w:rPr>
          <w:vertAlign w:val="superscript"/>
        </w:rPr>
        <w:t>o</w:t>
      </w:r>
      <w:r>
        <w:t> 11 611/2023 abrogeant le décret n</w:t>
      </w:r>
      <w:r>
        <w:rPr>
          <w:vertAlign w:val="superscript"/>
        </w:rPr>
        <w:t>o</w:t>
      </w:r>
      <w:r>
        <w:t> 10 004/2019, qui avait institué le Programme national d’écoles militaires civiques, a été publié. À la suite de la publication de ce décret, un Plan de démobilisation devant être mis en œuvre au plus tard le 29 décembre 2023 a été élaboré.</w:t>
      </w:r>
    </w:p>
    <w:p w14:paraId="1CE5CD7B" w14:textId="77777777" w:rsidR="00EB5903" w:rsidRPr="00BE2E8F" w:rsidRDefault="00EB5903" w:rsidP="00EB5903">
      <w:pPr>
        <w:pStyle w:val="SingleTxtG"/>
      </w:pPr>
      <w:r>
        <w:t>80.</w:t>
      </w:r>
      <w:r>
        <w:tab/>
        <w:t>Actuellement, les politiques d’éducation publique entreprises par l’État doivent s’appuyer sur la loi établissant les directives et les bases de l’éducation nationale (loi n</w:t>
      </w:r>
      <w:r>
        <w:rPr>
          <w:vertAlign w:val="superscript"/>
        </w:rPr>
        <w:t>o</w:t>
      </w:r>
      <w:r>
        <w:t> 9 394/96) et sur le Plan national d’éducation 2014-2024 (loi n</w:t>
      </w:r>
      <w:r>
        <w:rPr>
          <w:vertAlign w:val="superscript"/>
        </w:rPr>
        <w:t>o</w:t>
      </w:r>
      <w:r>
        <w:t> 13 005/2014), qui ne prévoient pas la participation des forces armées au système éducatif.</w:t>
      </w:r>
    </w:p>
    <w:p w14:paraId="3708AF04" w14:textId="77777777" w:rsidR="00EB5903" w:rsidRPr="00BE2E8F" w:rsidRDefault="00EB5903" w:rsidP="001F2294">
      <w:pPr>
        <w:pStyle w:val="H1G"/>
        <w:spacing w:before="320" w:after="200"/>
      </w:pPr>
      <w:r>
        <w:lastRenderedPageBreak/>
        <w:tab/>
      </w:r>
      <w:r>
        <w:tab/>
        <w:t xml:space="preserve">Réponse au paragraphe 11 b) de la liste de points </w:t>
      </w:r>
    </w:p>
    <w:p w14:paraId="632F034B" w14:textId="77777777" w:rsidR="00EB5903" w:rsidRPr="00BE2E8F" w:rsidRDefault="00EB5903" w:rsidP="001F2294">
      <w:pPr>
        <w:pStyle w:val="SingleTxtG"/>
        <w:widowControl w:val="0"/>
      </w:pPr>
      <w:r>
        <w:t>81.</w:t>
      </w:r>
      <w:r>
        <w:tab/>
        <w:t>Le Programme national d’alimentation scolaire (PNAE) est un élément essentiel de la stratégie de sécurité alimentaire du Brésil. Il fournit plus de 50 millions de repas par jour à plus de 40 millions d’élèves dans les 5 570 municipalités du pays, y compris dans les communautés urbaines, rurales, autochtones et quilombolas. Reconnu au niveau mondial, ce programme intègre des stratégies juridiques, nutritionnelles et financières et des stratégies de développement local visant à garantir des repas sains dans les écoles.</w:t>
      </w:r>
    </w:p>
    <w:p w14:paraId="1D9E4218" w14:textId="62D64A3A" w:rsidR="00EB5903" w:rsidRPr="00BE2E8F" w:rsidRDefault="00EB5903" w:rsidP="00EB5903">
      <w:pPr>
        <w:pStyle w:val="SingleTxtG"/>
      </w:pPr>
      <w:r>
        <w:t>82.</w:t>
      </w:r>
      <w:r>
        <w:tab/>
        <w:t>Les mesures juridiques et politiques prises récemment comprennent le décret n</w:t>
      </w:r>
      <w:r>
        <w:rPr>
          <w:vertAlign w:val="superscript"/>
        </w:rPr>
        <w:t>o</w:t>
      </w:r>
      <w:r>
        <w:t> 11 821/2023, établissant des directives relatives à l’alimentation saine dans les écoles, et la loi n</w:t>
      </w:r>
      <w:r>
        <w:rPr>
          <w:vertAlign w:val="superscript"/>
        </w:rPr>
        <w:t>o</w:t>
      </w:r>
      <w:r>
        <w:t xml:space="preserve"> 14 660/2023, qui privilégie les groupements agricoles familiaux dirigés par des femmes lors des achats de produits alimentaires. Les normes nutritionnelles ont été renforcées : les aliments ultra-transformés ont été interdits pour les enfants de moins de </w:t>
      </w:r>
      <w:r w:rsidR="00EA1E5F">
        <w:t>3</w:t>
      </w:r>
      <w:r>
        <w:t> ans et la part de produits frais obligatoire a été portée à 520 g par semaine pour les élèves à plein temps et à 280 g pour les élèves à temps partiel.</w:t>
      </w:r>
    </w:p>
    <w:p w14:paraId="5B5A5122" w14:textId="08797EAA" w:rsidR="00EB5903" w:rsidRPr="00BE2E8F" w:rsidRDefault="00EB5903" w:rsidP="00EB5903">
      <w:pPr>
        <w:pStyle w:val="SingleTxtG"/>
      </w:pPr>
      <w:r>
        <w:t>83.</w:t>
      </w:r>
      <w:r>
        <w:tab/>
        <w:t xml:space="preserve">En 2023, le financement fédéral du PNAE a augmenté de 39 %, passant de 4 milliards de </w:t>
      </w:r>
      <w:proofErr w:type="spellStart"/>
      <w:r>
        <w:t>reals</w:t>
      </w:r>
      <w:proofErr w:type="spellEnd"/>
      <w:r>
        <w:t xml:space="preserve"> à 5,5 milliards de </w:t>
      </w:r>
      <w:proofErr w:type="spellStart"/>
      <w:r>
        <w:t>reals</w:t>
      </w:r>
      <w:proofErr w:type="spellEnd"/>
      <w:r>
        <w:t xml:space="preserve">. Il s’agissait de la première augmentation du budget en cinq ans. Les fonds sont alloués aux États, aux municipalités et aux écoles fédérales, et couvrent </w:t>
      </w:r>
      <w:r w:rsidR="00EA1E5F">
        <w:t>deux cents</w:t>
      </w:r>
      <w:r>
        <w:t> jours de cours par an. Par ailleurs, le PNAE soutient les économies locales en privilégiant l’achat de produits alimentaires auprès d’exploitations familiales, ce qui favorise l’inclusion sociale et l’approvisionnement en produits frais.</w:t>
      </w:r>
    </w:p>
    <w:p w14:paraId="32E76AF5" w14:textId="44C4A47A" w:rsidR="00EB5903" w:rsidRPr="00BE2E8F" w:rsidRDefault="00EB5903" w:rsidP="00EB5903">
      <w:pPr>
        <w:pStyle w:val="SingleTxtG"/>
      </w:pPr>
      <w:r>
        <w:t>84.</w:t>
      </w:r>
      <w:r>
        <w:tab/>
        <w:t>Le Brésil joue un rôle moteur dans les initiatives internationales relatives à l’alimentation scolaire : il copréside la Coalition pour l’alimentation scolaire (99 pays) et travaille en partenariat avec l’Organisation des Nations</w:t>
      </w:r>
      <w:r w:rsidR="00EA1E5F">
        <w:t> </w:t>
      </w:r>
      <w:r>
        <w:t>Unies pour l’alimentation et l’agriculture (FAO), le Programme alimentaire mondial (PAM) et le Réseau pour une alimentation scolaire durable (RAES) afin de promouvoir des politiques d’alimentation scolaire durables. Un nouvel accord de coopération internationale entre le Brésil et la FAO, signé en novembre 2023, vient renforcer cet engagement.</w:t>
      </w:r>
    </w:p>
    <w:p w14:paraId="72FEF82A" w14:textId="77777777" w:rsidR="00EB5903" w:rsidRPr="00BE2E8F" w:rsidRDefault="00EB5903" w:rsidP="00EB5903">
      <w:pPr>
        <w:pStyle w:val="H1G"/>
      </w:pPr>
      <w:r>
        <w:tab/>
      </w:r>
      <w:r>
        <w:tab/>
        <w:t xml:space="preserve">Réponse au paragraphe 11 c) de la liste de points </w:t>
      </w:r>
    </w:p>
    <w:p w14:paraId="3A83682E" w14:textId="77777777" w:rsidR="00EB5903" w:rsidRPr="00BE2E8F" w:rsidRDefault="00EB5903" w:rsidP="00EB5903">
      <w:pPr>
        <w:pStyle w:val="SingleTxtG"/>
      </w:pPr>
      <w:r>
        <w:t>85.</w:t>
      </w:r>
      <w:r>
        <w:tab/>
        <w:t>La Commission nationale pour l’élimination du travail des enfants (CONAETI) est en train d’élaborer le IV</w:t>
      </w:r>
      <w:r>
        <w:rPr>
          <w:vertAlign w:val="superscript"/>
        </w:rPr>
        <w:t>e</w:t>
      </w:r>
      <w:r>
        <w:t> Plan national et de créer un nouveau système national de prise en charge des victimes du travail des enfants. Dans le cadre de ces efforts, la Commission évalue le III</w:t>
      </w:r>
      <w:r>
        <w:rPr>
          <w:vertAlign w:val="superscript"/>
        </w:rPr>
        <w:t>e</w:t>
      </w:r>
      <w:r>
        <w:t> Plan national (2019-2022) en recueillant des données auprès des institutions concernées. Les conclusions préliminaires indiquent que des progrès ont été accomplis en matière de réduction du travail des enfants.</w:t>
      </w:r>
    </w:p>
    <w:p w14:paraId="5E408F8A" w14:textId="1CB04B84" w:rsidR="00EB5903" w:rsidRPr="00BE2E8F" w:rsidRDefault="00EB5903" w:rsidP="00EB5903">
      <w:pPr>
        <w:pStyle w:val="SingleTxtG"/>
      </w:pPr>
      <w:r>
        <w:t>86.</w:t>
      </w:r>
      <w:r>
        <w:tab/>
        <w:t>Selon l’Enquête nationale continue par sondage auprès des ménages (</w:t>
      </w:r>
      <w:proofErr w:type="spellStart"/>
      <w:r>
        <w:t>PNADc</w:t>
      </w:r>
      <w:proofErr w:type="spellEnd"/>
      <w:r>
        <w:t>) de 2023, 1,607 million d’enfants et d’adolescents (âgés de 5 à 17 ans) travaillaient, ce qui représente une diminution de 14,6 % par rapport à 2022 et de 23,9 % par rapport à 2016. Le</w:t>
      </w:r>
      <w:r w:rsidR="00EA1E5F">
        <w:t> </w:t>
      </w:r>
      <w:r>
        <w:t>taux d’emploi de ce groupe est passé de 4,9 % en 2022 à 4,2 % en 2023, son niveau le plus bas depuis 2016. En outre, le nombre d’enfants engagés dans les pires formes de travail des enfants a chuté de 22,5 %, et s’élevait à 586 000 en 2023.</w:t>
      </w:r>
    </w:p>
    <w:p w14:paraId="6DCF915F" w14:textId="77777777" w:rsidR="00EB5903" w:rsidRPr="00BE2E8F" w:rsidRDefault="00EB5903" w:rsidP="00EB5903">
      <w:pPr>
        <w:pStyle w:val="H1G"/>
      </w:pPr>
      <w:bookmarkStart w:id="3" w:name="_Hlk192081566"/>
      <w:r>
        <w:tab/>
      </w:r>
      <w:r>
        <w:tab/>
        <w:t xml:space="preserve">Réponse au paragraphe 12 a) de la liste de points </w:t>
      </w:r>
    </w:p>
    <w:bookmarkEnd w:id="3"/>
    <w:p w14:paraId="4F08ED76" w14:textId="6DA7C098" w:rsidR="00EB5903" w:rsidRPr="00BE2E8F" w:rsidRDefault="00EB5903" w:rsidP="00EB5903">
      <w:pPr>
        <w:pStyle w:val="SingleTxtG"/>
      </w:pPr>
      <w:r>
        <w:t>87.</w:t>
      </w:r>
      <w:r>
        <w:tab/>
        <w:t>Le Ministère du développement social et le Ministère de la justice et de la sécurité publique collaborent pour faciliter la régularisation des migrations au Brésil et garantir l’inclusion des migrants dans le Registre unifié des programmes sociaux (</w:t>
      </w:r>
      <w:proofErr w:type="spellStart"/>
      <w:r>
        <w:rPr>
          <w:i/>
          <w:iCs/>
        </w:rPr>
        <w:t>Cadastro</w:t>
      </w:r>
      <w:proofErr w:type="spellEnd"/>
      <w:r>
        <w:rPr>
          <w:i/>
          <w:iCs/>
        </w:rPr>
        <w:t xml:space="preserve"> </w:t>
      </w:r>
      <w:proofErr w:type="spellStart"/>
      <w:r>
        <w:rPr>
          <w:i/>
          <w:iCs/>
        </w:rPr>
        <w:t>Único</w:t>
      </w:r>
      <w:proofErr w:type="spellEnd"/>
      <w:r>
        <w:t>). Les migrants bénéficient de services dans le cadre du Système unifié d’assistance sociale, y</w:t>
      </w:r>
      <w:r w:rsidR="00EA1E5F">
        <w:t> </w:t>
      </w:r>
      <w:r>
        <w:t>compris d’une aide juridique grâce à des partenariats avec le système judiciaire et le système de protection des droits. En outre, plusieurs agences fédérales ont contribué au Guide de protection des enfants et adolescents non accompagnés, séparés et sans papiers, qui renforce les politiques existantes afin de prévenir la séparation familiale, d’assurer la sécurité et de garantir l’accès aux droits au Brésil.</w:t>
      </w:r>
    </w:p>
    <w:p w14:paraId="248A9CC3" w14:textId="77777777" w:rsidR="00EB5903" w:rsidRPr="00BE2E8F" w:rsidRDefault="00EB5903" w:rsidP="00EB5903">
      <w:pPr>
        <w:pStyle w:val="SingleTxtG"/>
      </w:pPr>
      <w:r>
        <w:lastRenderedPageBreak/>
        <w:t>88.</w:t>
      </w:r>
      <w:r>
        <w:tab/>
        <w:t>Les bureaux d’aide juridique jouent un rôle essentiel pour garantir l’accès des migrants aux droits grâce à plusieurs initiatives, telles que la participation à des actions publiques civiles devant la Cour fédérale en faveur des peuples autochtones vénézuéliens, la mise en place de réseaux pour protéger les droits des migrants, la fourniture d’une aide juridique pour régulariser les tutelles et la réalisation de tests ADN gratuits pour confirmer les liens familiaux. Ces actions renforcent l’engagement du Brésil à aider les migrants, en particulier les enfants et les adolescents vulnérables.</w:t>
      </w:r>
    </w:p>
    <w:p w14:paraId="74ACB6F5" w14:textId="77777777" w:rsidR="00EB5903" w:rsidRPr="00BE2E8F" w:rsidRDefault="00EB5903" w:rsidP="00EB5903">
      <w:pPr>
        <w:pStyle w:val="H1G"/>
      </w:pPr>
      <w:r>
        <w:tab/>
      </w:r>
      <w:r>
        <w:tab/>
        <w:t xml:space="preserve">Réponse au paragraphe 12 b) de la liste de points </w:t>
      </w:r>
    </w:p>
    <w:p w14:paraId="20F3D835" w14:textId="77777777" w:rsidR="00EB5903" w:rsidRPr="00BE2E8F" w:rsidRDefault="00EB5903" w:rsidP="00EB5903">
      <w:pPr>
        <w:pStyle w:val="SingleTxtG"/>
      </w:pPr>
      <w:r>
        <w:t>89.</w:t>
      </w:r>
      <w:r>
        <w:tab/>
        <w:t>Le Brésil met en œuvre plusieurs mesures visant à réduire l’apatridie, conformément à ses engagements internationaux. Le pays applique les principes du</w:t>
      </w:r>
      <w:r>
        <w:rPr>
          <w:i/>
          <w:iCs/>
        </w:rPr>
        <w:t xml:space="preserve"> jus soli </w:t>
      </w:r>
      <w:r>
        <w:t xml:space="preserve">et du </w:t>
      </w:r>
      <w:r>
        <w:rPr>
          <w:i/>
          <w:iCs/>
        </w:rPr>
        <w:t>jus sanguinis</w:t>
      </w:r>
      <w:r>
        <w:t xml:space="preserve"> pour reconnaître la nationalité, ce qui permet de garantir qu’aucun enfant né sur le territoire brésilien ne se voit refuser le droit à la nationalité.</w:t>
      </w:r>
    </w:p>
    <w:p w14:paraId="45BA1ED4" w14:textId="77777777" w:rsidR="00EB5903" w:rsidRPr="00BE2E8F" w:rsidRDefault="00EB5903" w:rsidP="00EB5903">
      <w:pPr>
        <w:pStyle w:val="SingleTxtG"/>
      </w:pPr>
      <w:r>
        <w:t>90.</w:t>
      </w:r>
      <w:r>
        <w:tab/>
        <w:t>La procédure de demande de reconnaissance du statut d’apatride permet aux enfants nés à l’étranger qui résident au Brésil d’obtenir la reconnaissance de leur statut d’apatride, puis de demander la naturalisation brésilienne au moyen d’une procédure simplifiée. Ces dispositions garantissent leur droit à la nationalité et leur donnent accès à un ensemble d’autres droits.</w:t>
      </w:r>
    </w:p>
    <w:p w14:paraId="103D7FFD" w14:textId="77237846" w:rsidR="00EB5903" w:rsidRPr="00BE2E8F" w:rsidRDefault="00EB5903" w:rsidP="00EB5903">
      <w:pPr>
        <w:pStyle w:val="SingleTxtG"/>
      </w:pPr>
      <w:r>
        <w:t>91.</w:t>
      </w:r>
      <w:r>
        <w:tab/>
        <w:t xml:space="preserve">En outre, le Ministère des droits de l’homme et de la citoyenneté met à disposition l’application mobile </w:t>
      </w:r>
      <w:r>
        <w:rPr>
          <w:i/>
          <w:iCs/>
        </w:rPr>
        <w:t xml:space="preserve">Clique </w:t>
      </w:r>
      <w:proofErr w:type="spellStart"/>
      <w:r>
        <w:rPr>
          <w:i/>
          <w:iCs/>
        </w:rPr>
        <w:t>Cidadania</w:t>
      </w:r>
      <w:proofErr w:type="spellEnd"/>
      <w:r>
        <w:t>, qui fournit des informations sur la procédure de reconnaissance de l’apatridie, les documents requis et d’autres informations utiles sur ce sujet.</w:t>
      </w:r>
    </w:p>
    <w:p w14:paraId="2263BFA4" w14:textId="77777777" w:rsidR="00EB5903" w:rsidRPr="00BE2E8F" w:rsidRDefault="00EB5903" w:rsidP="00EB5903">
      <w:pPr>
        <w:pStyle w:val="H1G"/>
      </w:pPr>
      <w:r>
        <w:tab/>
      </w:r>
      <w:r>
        <w:tab/>
        <w:t xml:space="preserve">Réponse au paragraphe 12 c) de la liste de points </w:t>
      </w:r>
    </w:p>
    <w:p w14:paraId="67BBA8EE" w14:textId="312B5F7F" w:rsidR="00EB5903" w:rsidRPr="00BE2E8F" w:rsidRDefault="00EB5903" w:rsidP="00EB5903">
      <w:pPr>
        <w:pStyle w:val="SingleTxtG"/>
      </w:pPr>
      <w:r>
        <w:t>92.</w:t>
      </w:r>
      <w:r>
        <w:tab/>
        <w:t>Le retrait d’enfants et d’adolescents autochtones de leur famille dans le contexte de revendications territoriales formulées par leurs communautés a constitué une violation fréquente du droit à une vie familiale et communautaire, tel que garanti par la législation brésilienne et les traités internationaux relatifs aux droits de l’homme.</w:t>
      </w:r>
    </w:p>
    <w:p w14:paraId="254C8EB3" w14:textId="2DAEF26C" w:rsidR="00EB5903" w:rsidRPr="00BE2E8F" w:rsidRDefault="00EB5903" w:rsidP="00EB5903">
      <w:pPr>
        <w:pStyle w:val="SingleTxtG"/>
      </w:pPr>
      <w:r>
        <w:t>93.</w:t>
      </w:r>
      <w:r>
        <w:tab/>
        <w:t>Pour prévenir ces violations, la Fondation nationale des peuples autochtones (FUNAI) surveille les cas de placement en institution et les demandes de suspension de l’autorité parentale, et s’efforce de garantir les droits des enfants autochtones et de leurs communautés tout en préservant leurs liens culturels et ancestraux, conformément à la directive n</w:t>
      </w:r>
      <w:r>
        <w:rPr>
          <w:vertAlign w:val="superscript"/>
        </w:rPr>
        <w:t>o</w:t>
      </w:r>
      <w:r w:rsidR="00EA1E5F">
        <w:t> </w:t>
      </w:r>
      <w:r>
        <w:t>1/2026.</w:t>
      </w:r>
    </w:p>
    <w:p w14:paraId="050B3383" w14:textId="77777777" w:rsidR="00EB5903" w:rsidRPr="00BE2E8F" w:rsidRDefault="00EB5903" w:rsidP="00EB5903">
      <w:pPr>
        <w:pStyle w:val="SingleTxtG"/>
      </w:pPr>
      <w:r>
        <w:t>94.</w:t>
      </w:r>
      <w:r>
        <w:tab/>
        <w:t>En outre, le Conseil national des droits de l’homme a adopté la résolution n</w:t>
      </w:r>
      <w:r>
        <w:rPr>
          <w:vertAlign w:val="superscript"/>
        </w:rPr>
        <w:t>o</w:t>
      </w:r>
      <w:r>
        <w:t> 10/2018, qui établit des mesures de protection des droits de l’homme et des actions préventives dans les conflits portant sur des terres collectives dans les zones rurales et urbaines. Cette résolution comprend des directives visant à protéger certains groupes, comme les peuples autochtones, les enfants et les adolescents.</w:t>
      </w:r>
    </w:p>
    <w:p w14:paraId="19C3CAD6" w14:textId="77777777" w:rsidR="00EB5903" w:rsidRPr="00BE2E8F" w:rsidRDefault="00EB5903" w:rsidP="00EB5903">
      <w:pPr>
        <w:pStyle w:val="H1G"/>
      </w:pPr>
      <w:r>
        <w:tab/>
      </w:r>
      <w:r>
        <w:tab/>
        <w:t xml:space="preserve">Réponse au paragraphe 12 d) de la liste de points </w:t>
      </w:r>
    </w:p>
    <w:p w14:paraId="07492799" w14:textId="77777777" w:rsidR="00EB5903" w:rsidRPr="00BE2E8F" w:rsidRDefault="00EB5903" w:rsidP="00EB5903">
      <w:pPr>
        <w:pStyle w:val="SingleTxtG"/>
      </w:pPr>
      <w:r>
        <w:t>95.</w:t>
      </w:r>
      <w:r>
        <w:tab/>
        <w:t>La Commission nationale pour l’élimination du travail des enfants (CONAETI) est en train d’élaborer le IV</w:t>
      </w:r>
      <w:r>
        <w:rPr>
          <w:vertAlign w:val="superscript"/>
        </w:rPr>
        <w:t>e</w:t>
      </w:r>
      <w:r>
        <w:t> Plan national et de créer un nouveau système national de prise en charge des enfants et adolescents victimes du travail des enfants. Dans le cadre de ces efforts, la Commission évalue le III</w:t>
      </w:r>
      <w:r>
        <w:rPr>
          <w:vertAlign w:val="superscript"/>
        </w:rPr>
        <w:t>e</w:t>
      </w:r>
      <w:r>
        <w:t> Plan national (2019-2022) en recueillant des données auprès des institutions concernées. L’évaluation est encore en cours, mais les conclusions préliminaires indiquent que les efforts déployés par le Brésil pour lutter contre le travail des enfants ont eu des résultats positifs.</w:t>
      </w:r>
    </w:p>
    <w:p w14:paraId="1C80C05F" w14:textId="77777777" w:rsidR="00EB5903" w:rsidRPr="00BE2E8F" w:rsidRDefault="00EB5903" w:rsidP="00EB5903">
      <w:pPr>
        <w:pStyle w:val="SingleTxtG"/>
      </w:pPr>
      <w:r>
        <w:t>96.</w:t>
      </w:r>
      <w:r>
        <w:tab/>
        <w:t>Selon l’Enquête nationale continue par sondage auprès des ménages (</w:t>
      </w:r>
      <w:proofErr w:type="spellStart"/>
      <w:r>
        <w:t>PNADc</w:t>
      </w:r>
      <w:proofErr w:type="spellEnd"/>
      <w:r>
        <w:t xml:space="preserve">) de 2023, 1,607 million d’enfants et d’adolescents (âgés de 5 à 17 ans) travaillaient au Brésil, ce qui représente une diminution de 14,6 % par rapport à 2022 (1,881 million) et de 23,9 % par rapport à 2016 (2,112 millions). Par ailleurs, le taux d’emploi des enfants et des adolescents est passé de 4,9 % en 2022 à 4,2 % en 2023, son niveau le plus bas depuis 2016. En outre, le </w:t>
      </w:r>
      <w:r>
        <w:lastRenderedPageBreak/>
        <w:t>nombre d’enfants engagés dans les pires formes de travail des enfants a chuté de 22,5 %, passant de 756 000 en 2022 à 586 000 en 2023.</w:t>
      </w:r>
    </w:p>
    <w:p w14:paraId="1260C14D" w14:textId="77777777" w:rsidR="00EB5903" w:rsidRPr="00BE2E8F" w:rsidRDefault="00EB5903" w:rsidP="00EB5903">
      <w:pPr>
        <w:pStyle w:val="H1G"/>
      </w:pPr>
      <w:r>
        <w:tab/>
      </w:r>
      <w:r>
        <w:tab/>
        <w:t xml:space="preserve">Réponse au paragraphe 12 e) de la liste de points </w:t>
      </w:r>
    </w:p>
    <w:p w14:paraId="24E450B6" w14:textId="18665BB5" w:rsidR="00EB5903" w:rsidRPr="00BE2E8F" w:rsidRDefault="00EB5903" w:rsidP="00EB5903">
      <w:pPr>
        <w:pStyle w:val="SingleTxtG"/>
      </w:pPr>
      <w:r>
        <w:t>97.</w:t>
      </w:r>
      <w:r>
        <w:tab/>
        <w:t>En réponse à la décision de la Cour suprême fédérale (action pour violation d’un principe fondamental n</w:t>
      </w:r>
      <w:r>
        <w:rPr>
          <w:vertAlign w:val="superscript"/>
        </w:rPr>
        <w:t>o</w:t>
      </w:r>
      <w:r>
        <w:t xml:space="preserve"> 976), le Ministère des droits de l’homme et de la citoyenneté a lancé le Plan </w:t>
      </w:r>
      <w:r w:rsidR="00465ADD">
        <w:t>« </w:t>
      </w:r>
      <w:r w:rsidRPr="00531608">
        <w:rPr>
          <w:i/>
          <w:iCs/>
        </w:rPr>
        <w:t xml:space="preserve">Ruas </w:t>
      </w:r>
      <w:proofErr w:type="spellStart"/>
      <w:r w:rsidRPr="00531608">
        <w:rPr>
          <w:i/>
          <w:iCs/>
        </w:rPr>
        <w:t>Visíveis</w:t>
      </w:r>
      <w:proofErr w:type="spellEnd"/>
      <w:r w:rsidR="00465ADD">
        <w:t> »</w:t>
      </w:r>
      <w:r>
        <w:t xml:space="preserve"> en décembre</w:t>
      </w:r>
      <w:r w:rsidR="00465ADD">
        <w:t xml:space="preserve"> </w:t>
      </w:r>
      <w:r>
        <w:t xml:space="preserve">2023 pour protéger les droits des enfants et des adolescents en situation de rue. Cette initiative comprend un nouveau modèle de service adapté à leurs besoins, un accompagnement pour permettre leur scolarisation et un projet pilote en matière de logement dans le cadre du Programme </w:t>
      </w:r>
      <w:r w:rsidR="00465ADD">
        <w:t>« </w:t>
      </w:r>
      <w:proofErr w:type="spellStart"/>
      <w:r w:rsidRPr="00531608">
        <w:rPr>
          <w:i/>
          <w:iCs/>
        </w:rPr>
        <w:t>Moradia</w:t>
      </w:r>
      <w:proofErr w:type="spellEnd"/>
      <w:r w:rsidRPr="00531608">
        <w:rPr>
          <w:i/>
          <w:iCs/>
        </w:rPr>
        <w:t xml:space="preserve"> </w:t>
      </w:r>
      <w:proofErr w:type="spellStart"/>
      <w:r w:rsidRPr="00531608">
        <w:rPr>
          <w:i/>
          <w:iCs/>
        </w:rPr>
        <w:t>Cidadã</w:t>
      </w:r>
      <w:proofErr w:type="spellEnd"/>
      <w:r w:rsidR="00465ADD">
        <w:t> »</w:t>
      </w:r>
      <w:r>
        <w:t>, qui offre 150 unités d’habitation destinées en priorité aux familles avec enfants et aux femmes enceintes. De plus, le Ministère des droits de l’homme et de la citoyenneté améliore la collecte de données et l’élaboration d’indicateurs afin d’étayer les politiques fondées sur des données factuelles. La politique d’assistance sociale s’appuie sur la résolution conjointe n</w:t>
      </w:r>
      <w:r>
        <w:rPr>
          <w:vertAlign w:val="superscript"/>
        </w:rPr>
        <w:t>o</w:t>
      </w:r>
      <w:r>
        <w:t> 1/2017 (Conseil national des droits de l’enfant et de l’adolescent et Conseil national de l’assistance sociale), qui établit les lignes directrices politiques et méthodologiques concernant l’aide aux enfants en situation de rue.</w:t>
      </w:r>
    </w:p>
    <w:p w14:paraId="65F91042" w14:textId="2B6323C0" w:rsidR="00EB5903" w:rsidRPr="00BE2E8F" w:rsidRDefault="00EB5903" w:rsidP="00EB5903">
      <w:pPr>
        <w:pStyle w:val="SingleTxtG"/>
      </w:pPr>
      <w:r>
        <w:t>98.</w:t>
      </w:r>
      <w:r>
        <w:tab/>
        <w:t xml:space="preserve">Dans le cadre du Système unifié d’assistance sociale, les efforts se concentrent sur un travail de terrain proactif, un engagement permanent et des programmes d’assistance personnalisés, qui garantissent une coordination avec les services locaux et les réseaux de soutien familiaux. Les mesures de protection comprennent des campagnes de sensibilisation, un accompagnement et l’orientation vers des services spécialisés. Pour renforcer ces initiatives, le Gouvernement fédéral a alloué 160,9 millions de </w:t>
      </w:r>
      <w:proofErr w:type="spellStart"/>
      <w:r>
        <w:t>reals</w:t>
      </w:r>
      <w:proofErr w:type="spellEnd"/>
      <w:r>
        <w:t xml:space="preserve"> aux municipalités, aux États et aux districts fédéraux entre janvier et septembre</w:t>
      </w:r>
      <w:r w:rsidR="00465ADD">
        <w:t xml:space="preserve"> </w:t>
      </w:r>
      <w:r>
        <w:t xml:space="preserve">2024. Il s’agit d’un </w:t>
      </w:r>
      <w:proofErr w:type="spellStart"/>
      <w:r>
        <w:t>cofinancement</w:t>
      </w:r>
      <w:proofErr w:type="spellEnd"/>
      <w:r>
        <w:t xml:space="preserve"> de services de complexité moyenne, tels que le Service de protection spéciale des individus et des familles et le Service de protection sociale spécialisée pour les personnes en situation de rue.</w:t>
      </w:r>
    </w:p>
    <w:p w14:paraId="1EF1B262" w14:textId="77777777" w:rsidR="00EB5903" w:rsidRPr="00BE2E8F" w:rsidRDefault="00EB5903" w:rsidP="00EB5903">
      <w:pPr>
        <w:pStyle w:val="H1G"/>
      </w:pPr>
      <w:r>
        <w:tab/>
      </w:r>
      <w:r>
        <w:tab/>
        <w:t xml:space="preserve">Réponse au paragraphe 12 f) de la liste de points </w:t>
      </w:r>
    </w:p>
    <w:p w14:paraId="39551D7D" w14:textId="015C6C24" w:rsidR="00EB5903" w:rsidRPr="00BE2E8F" w:rsidRDefault="00EB5903" w:rsidP="00EB5903">
      <w:pPr>
        <w:pStyle w:val="SingleTxtG"/>
      </w:pPr>
      <w:r>
        <w:t>99.</w:t>
      </w:r>
      <w:r>
        <w:tab/>
        <w:t>Le ministère public supervise la détention des jeunes et les infrastructures de semi</w:t>
      </w:r>
      <w:r w:rsidR="00465ADD">
        <w:noBreakHyphen/>
      </w:r>
      <w:r>
        <w:t>liberté ainsi que la situation des jeunes privés de liberté dans les prisons publiques, conformément à la résolution n</w:t>
      </w:r>
      <w:r>
        <w:rPr>
          <w:vertAlign w:val="superscript"/>
        </w:rPr>
        <w:t>o</w:t>
      </w:r>
      <w:r>
        <w:t> 67/2011. Les données sur les activités de suivi menées conformément à la résolution n</w:t>
      </w:r>
      <w:r>
        <w:rPr>
          <w:vertAlign w:val="superscript"/>
        </w:rPr>
        <w:t>o</w:t>
      </w:r>
      <w:r>
        <w:t> 293/2024 et à la résolution n</w:t>
      </w:r>
      <w:r>
        <w:rPr>
          <w:vertAlign w:val="superscript"/>
        </w:rPr>
        <w:t>o</w:t>
      </w:r>
      <w:r>
        <w:t> 67/2011 ainsi que les mesures correspondantes sont disponibles sur Tableau.</w:t>
      </w:r>
    </w:p>
    <w:p w14:paraId="11590D9E" w14:textId="77777777" w:rsidR="00EB5903" w:rsidRPr="00BE2E8F" w:rsidRDefault="00EB5903" w:rsidP="00EB5903">
      <w:pPr>
        <w:pStyle w:val="SingleTxtG"/>
      </w:pPr>
      <w:r>
        <w:t>100.</w:t>
      </w:r>
      <w:r>
        <w:tab/>
        <w:t>Le Conseil national des droits de l’enfant et de l’adolescent (CONANDA) a adopté la résolution n</w:t>
      </w:r>
      <w:r>
        <w:rPr>
          <w:vertAlign w:val="superscript"/>
        </w:rPr>
        <w:t>o</w:t>
      </w:r>
      <w:r>
        <w:t xml:space="preserve"> 252/2024, qui établit des directives nationales relatives à la sécurité et à la protection complète des adolescents et des jeunes faisant l’objet de mesures de privation ou de restriction de liberté au sein du Système national d’assistance </w:t>
      </w:r>
      <w:proofErr w:type="spellStart"/>
      <w:r>
        <w:t>socioéducative</w:t>
      </w:r>
      <w:proofErr w:type="spellEnd"/>
      <w:r>
        <w:t>.</w:t>
      </w:r>
    </w:p>
    <w:p w14:paraId="206C2BA2" w14:textId="77777777" w:rsidR="00EB5903" w:rsidRPr="00BE2E8F" w:rsidRDefault="00EB5903" w:rsidP="00EB5903">
      <w:pPr>
        <w:pStyle w:val="H1G"/>
      </w:pPr>
      <w:r>
        <w:tab/>
      </w:r>
      <w:r>
        <w:tab/>
        <w:t xml:space="preserve">Réponse au paragraphe 13 de la liste de points </w:t>
      </w:r>
    </w:p>
    <w:p w14:paraId="70D2B965" w14:textId="76561204" w:rsidR="00EB5903" w:rsidRPr="00BE2E8F" w:rsidRDefault="00EB5903" w:rsidP="00EB5903">
      <w:pPr>
        <w:pStyle w:val="SingleTxtG"/>
      </w:pPr>
      <w:r>
        <w:t>101.</w:t>
      </w:r>
      <w:r>
        <w:tab/>
        <w:t xml:space="preserve">Le Brésil a adopté la loi sur le désarmement et appliqué les dispositions du Protocole facultatif, ce qui engage légalement le pays à prévenir la participation d’enfants dans les conflits armés. Cela fait plus de </w:t>
      </w:r>
      <w:r w:rsidR="00465ADD">
        <w:t>cent trente</w:t>
      </w:r>
      <w:r>
        <w:t> ans que le Brésil n’a pas été engagé dans un conflit armé avec ses pays voisins, et il ne rencontre donc actuellement pas de problèmes liés à la participation d’enfants dans les conflits armés à l’intérieur de ses frontières. Cependant, le pays a joué un rôle fondamental dans les discussions internationales sur les enfants et les conflits armés, et a notamment présidé les débats du Conseil de sécurité de l’ONU sur ce sujet.</w:t>
      </w:r>
    </w:p>
    <w:p w14:paraId="5F1F45D6" w14:textId="77777777" w:rsidR="00EB5903" w:rsidRPr="00BE2E8F" w:rsidRDefault="00EB5903" w:rsidP="00EB5903">
      <w:pPr>
        <w:pStyle w:val="HChG"/>
      </w:pPr>
      <w:r>
        <w:lastRenderedPageBreak/>
        <w:tab/>
      </w:r>
      <w:r>
        <w:tab/>
        <w:t>Deuxième partie</w:t>
      </w:r>
    </w:p>
    <w:p w14:paraId="4DC6FD2E" w14:textId="77777777" w:rsidR="00EB5903" w:rsidRPr="00BE2E8F" w:rsidRDefault="00EB5903" w:rsidP="00EB5903">
      <w:pPr>
        <w:pStyle w:val="H1G"/>
      </w:pPr>
      <w:r>
        <w:tab/>
      </w:r>
      <w:r>
        <w:tab/>
        <w:t xml:space="preserve">Réponse au paragraphe 14 a) de la liste de points </w:t>
      </w:r>
    </w:p>
    <w:p w14:paraId="65EBB0C4" w14:textId="52E7C107" w:rsidR="00EB5903" w:rsidRPr="00BE2E8F" w:rsidRDefault="00EB5903" w:rsidP="00EB5903">
      <w:pPr>
        <w:pStyle w:val="Bullet1G"/>
        <w:numPr>
          <w:ilvl w:val="0"/>
          <w:numId w:val="0"/>
        </w:numPr>
        <w:tabs>
          <w:tab w:val="left" w:pos="1701"/>
        </w:tabs>
        <w:ind w:left="1701" w:hanging="170"/>
      </w:pPr>
      <w:r w:rsidRPr="00BE2E8F">
        <w:t>•</w:t>
      </w:r>
      <w:r w:rsidRPr="00BE2E8F">
        <w:tab/>
      </w:r>
      <w:r>
        <w:t>Projet de loi n</w:t>
      </w:r>
      <w:r>
        <w:rPr>
          <w:vertAlign w:val="superscript"/>
        </w:rPr>
        <w:t>o</w:t>
      </w:r>
      <w:r>
        <w:t xml:space="preserve"> 2 710/2019 </w:t>
      </w:r>
      <w:r w:rsidR="00465ADD">
        <w:t>−</w:t>
      </w:r>
      <w:r>
        <w:t xml:space="preserve"> Prévoit des amendes pour les hôtels, les motels ou les établissements similaires qui accueillent des enfants ou des adolescents qui ne sont pas accompagnés de leurs parents ou de leurs tuteurs légaux, ou qui n’ont pas d’autorisation écrite de ces derniers ou d’une autorité judiciaire.</w:t>
      </w:r>
    </w:p>
    <w:p w14:paraId="1DE92DFD" w14:textId="2F9A39F5" w:rsidR="00EB5903" w:rsidRPr="00BE2E8F" w:rsidRDefault="00EB5903" w:rsidP="00EB5903">
      <w:pPr>
        <w:pStyle w:val="Bullet1G"/>
        <w:numPr>
          <w:ilvl w:val="0"/>
          <w:numId w:val="0"/>
        </w:numPr>
        <w:tabs>
          <w:tab w:val="left" w:pos="1701"/>
        </w:tabs>
        <w:ind w:left="1701" w:hanging="170"/>
      </w:pPr>
      <w:r w:rsidRPr="00BE2E8F">
        <w:t>•</w:t>
      </w:r>
      <w:r w:rsidRPr="00BE2E8F">
        <w:tab/>
      </w:r>
      <w:r>
        <w:t>Projet de loi n</w:t>
      </w:r>
      <w:r>
        <w:rPr>
          <w:vertAlign w:val="superscript"/>
        </w:rPr>
        <w:t>o</w:t>
      </w:r>
      <w:r>
        <w:t xml:space="preserve"> 2 892/2019 </w:t>
      </w:r>
      <w:r w:rsidR="00465ADD">
        <w:t>−</w:t>
      </w:r>
      <w:r>
        <w:t xml:space="preserve"> Établit la Politique nationale de lutte contre la violence sexuelle à l’égard des enfants et des adolescents et modifie la loi n</w:t>
      </w:r>
      <w:r>
        <w:rPr>
          <w:vertAlign w:val="superscript"/>
        </w:rPr>
        <w:t>o</w:t>
      </w:r>
      <w:r>
        <w:t> 8 069/1990 (Statut de l’enfant et de l’adolescent) afin de définir des mesures de lutte contre la violence sexuelle à l’égard des enfants et des adolescents.</w:t>
      </w:r>
    </w:p>
    <w:p w14:paraId="15961423" w14:textId="73A9A102" w:rsidR="00EB5903" w:rsidRPr="00BE2E8F" w:rsidRDefault="00EB5903" w:rsidP="00EB5903">
      <w:pPr>
        <w:pStyle w:val="Bullet1G"/>
        <w:numPr>
          <w:ilvl w:val="0"/>
          <w:numId w:val="0"/>
        </w:numPr>
        <w:tabs>
          <w:tab w:val="left" w:pos="1701"/>
        </w:tabs>
        <w:ind w:left="1701" w:hanging="170"/>
      </w:pPr>
      <w:r w:rsidRPr="00BE2E8F">
        <w:t>•</w:t>
      </w:r>
      <w:r w:rsidRPr="00BE2E8F">
        <w:tab/>
      </w:r>
      <w:r>
        <w:t>Projet de loi n</w:t>
      </w:r>
      <w:r>
        <w:rPr>
          <w:vertAlign w:val="superscript"/>
        </w:rPr>
        <w:t>o</w:t>
      </w:r>
      <w:r w:rsidR="00465ADD">
        <w:t> </w:t>
      </w:r>
      <w:r>
        <w:t xml:space="preserve">2 891/2020 </w:t>
      </w:r>
      <w:r w:rsidR="007D2EA5">
        <w:t>−</w:t>
      </w:r>
      <w:r>
        <w:t xml:space="preserve"> Élargit le champ d’action des agents des forces de l’ordre pour leur permettre d’infiltrer les environnements en ligne afin d’enquêter sur les infractions d’atteinte à la dignité sexuelle des enfants et des adolescents.</w:t>
      </w:r>
    </w:p>
    <w:p w14:paraId="398F324C" w14:textId="548BFBC9" w:rsidR="00EB5903" w:rsidRPr="00BE2E8F" w:rsidRDefault="00EB5903" w:rsidP="00EB5903">
      <w:pPr>
        <w:pStyle w:val="Bullet1G"/>
        <w:numPr>
          <w:ilvl w:val="0"/>
          <w:numId w:val="0"/>
        </w:numPr>
        <w:tabs>
          <w:tab w:val="left" w:pos="1701"/>
        </w:tabs>
        <w:ind w:left="1701" w:hanging="170"/>
      </w:pPr>
      <w:r w:rsidRPr="00BE2E8F">
        <w:t>•</w:t>
      </w:r>
      <w:r w:rsidRPr="00BE2E8F">
        <w:tab/>
      </w:r>
      <w:r>
        <w:t>Projet de loi n</w:t>
      </w:r>
      <w:r>
        <w:rPr>
          <w:vertAlign w:val="superscript"/>
        </w:rPr>
        <w:t>o</w:t>
      </w:r>
      <w:r w:rsidR="00465ADD">
        <w:t> </w:t>
      </w:r>
      <w:r>
        <w:t xml:space="preserve">76/2020 </w:t>
      </w:r>
      <w:r w:rsidR="007D2EA5">
        <w:t>−</w:t>
      </w:r>
      <w:r>
        <w:t xml:space="preserve"> Crée et </w:t>
      </w:r>
      <w:r w:rsidR="007D2EA5">
        <w:t>réglemente</w:t>
      </w:r>
      <w:r>
        <w:t xml:space="preserve"> la profession d’aidant pour les personnes âgées, les enfants, les personnes handicapées et les personnes atteintes de maladies rares.</w:t>
      </w:r>
    </w:p>
    <w:p w14:paraId="45894E33" w14:textId="5891E2F3" w:rsidR="00EB5903" w:rsidRPr="00BE2E8F" w:rsidRDefault="00EB5903" w:rsidP="00EB5903">
      <w:pPr>
        <w:pStyle w:val="Bullet1G"/>
        <w:numPr>
          <w:ilvl w:val="0"/>
          <w:numId w:val="0"/>
        </w:numPr>
        <w:tabs>
          <w:tab w:val="left" w:pos="1701"/>
        </w:tabs>
        <w:ind w:left="1701" w:hanging="170"/>
      </w:pPr>
      <w:r w:rsidRPr="00BE2E8F">
        <w:t>•</w:t>
      </w:r>
      <w:r w:rsidRPr="00BE2E8F">
        <w:tab/>
      </w:r>
      <w:r>
        <w:t>Projet de loi n</w:t>
      </w:r>
      <w:r>
        <w:rPr>
          <w:vertAlign w:val="superscript"/>
        </w:rPr>
        <w:t>o</w:t>
      </w:r>
      <w:r>
        <w:t xml:space="preserve"> 2 291/2021 </w:t>
      </w:r>
      <w:r w:rsidR="007D2EA5">
        <w:t>−</w:t>
      </w:r>
      <w:r>
        <w:t xml:space="preserve"> Octroie une pension spéciale aux enfants et aux adolescents dont les parents ou les tuteurs légaux sont décédés des suites de la COVID-19.</w:t>
      </w:r>
    </w:p>
    <w:p w14:paraId="3F89C408" w14:textId="27F21C64" w:rsidR="00EB5903" w:rsidRPr="00BE2E8F" w:rsidRDefault="00EB5903" w:rsidP="00EB5903">
      <w:pPr>
        <w:pStyle w:val="Bullet1G"/>
        <w:numPr>
          <w:ilvl w:val="0"/>
          <w:numId w:val="0"/>
        </w:numPr>
        <w:tabs>
          <w:tab w:val="left" w:pos="1701"/>
        </w:tabs>
        <w:ind w:left="1701" w:hanging="170"/>
      </w:pPr>
      <w:r w:rsidRPr="00BE2E8F">
        <w:t>•</w:t>
      </w:r>
      <w:r w:rsidRPr="00BE2E8F">
        <w:tab/>
      </w:r>
      <w:r>
        <w:t>Projet de loi n</w:t>
      </w:r>
      <w:r>
        <w:rPr>
          <w:vertAlign w:val="superscript"/>
        </w:rPr>
        <w:t>o</w:t>
      </w:r>
      <w:r w:rsidR="00465ADD">
        <w:t> </w:t>
      </w:r>
      <w:r>
        <w:t xml:space="preserve">4 272/2024 </w:t>
      </w:r>
      <w:r w:rsidR="007D2EA5">
        <w:t>−</w:t>
      </w:r>
      <w:r>
        <w:t xml:space="preserve"> Incrimine et érige en crime de haine la production, la diffusion et la possession de contenus générés par l’intelligence artificielle ou </w:t>
      </w:r>
      <w:proofErr w:type="spellStart"/>
      <w:r>
        <w:t>hypertruqués</w:t>
      </w:r>
      <w:proofErr w:type="spellEnd"/>
      <w:r>
        <w:t xml:space="preserve"> simulant de la pornographie mettant en scène des enfants.</w:t>
      </w:r>
    </w:p>
    <w:p w14:paraId="23324804" w14:textId="5341A998" w:rsidR="00EB5903" w:rsidRPr="00BE2E8F" w:rsidRDefault="00EB5903" w:rsidP="00EB5903">
      <w:pPr>
        <w:pStyle w:val="Bullet1G"/>
        <w:numPr>
          <w:ilvl w:val="0"/>
          <w:numId w:val="0"/>
        </w:numPr>
        <w:tabs>
          <w:tab w:val="left" w:pos="1701"/>
        </w:tabs>
        <w:ind w:left="1701" w:hanging="170"/>
      </w:pPr>
      <w:r w:rsidRPr="00BE2E8F">
        <w:t>•</w:t>
      </w:r>
      <w:r w:rsidRPr="00BE2E8F">
        <w:tab/>
      </w:r>
      <w:r>
        <w:t>Proposition d’amendement constitutionnel n</w:t>
      </w:r>
      <w:r>
        <w:rPr>
          <w:vertAlign w:val="superscript"/>
        </w:rPr>
        <w:t>o</w:t>
      </w:r>
      <w:r w:rsidR="007D2EA5">
        <w:t> </w:t>
      </w:r>
      <w:r>
        <w:t xml:space="preserve">54/2023 </w:t>
      </w:r>
      <w:r w:rsidR="007D2EA5">
        <w:t>−</w:t>
      </w:r>
      <w:r>
        <w:t>Établit l’imprescriptibilité du crime de traite des personnes.</w:t>
      </w:r>
    </w:p>
    <w:p w14:paraId="5B018483" w14:textId="3019A08C" w:rsidR="00EB5903" w:rsidRPr="00BE2E8F" w:rsidRDefault="00EB5903" w:rsidP="00EB5903">
      <w:pPr>
        <w:pStyle w:val="Bullet1G"/>
        <w:numPr>
          <w:ilvl w:val="0"/>
          <w:numId w:val="0"/>
        </w:numPr>
        <w:tabs>
          <w:tab w:val="left" w:pos="1701"/>
        </w:tabs>
        <w:ind w:left="1701" w:hanging="170"/>
      </w:pPr>
      <w:r w:rsidRPr="00BE2E8F">
        <w:t>•</w:t>
      </w:r>
      <w:r w:rsidRPr="00BE2E8F">
        <w:tab/>
      </w:r>
      <w:r>
        <w:t>Projet de loi n</w:t>
      </w:r>
      <w:r>
        <w:rPr>
          <w:vertAlign w:val="superscript"/>
        </w:rPr>
        <w:t>o</w:t>
      </w:r>
      <w:r w:rsidR="00465ADD" w:rsidRPr="00465ADD">
        <w:t> </w:t>
      </w:r>
      <w:r>
        <w:t xml:space="preserve">1 898/2024 </w:t>
      </w:r>
      <w:r w:rsidR="007D2EA5">
        <w:t>−</w:t>
      </w:r>
      <w:r>
        <w:t xml:space="preserve"> Introduit un facteur aggravant dans le Code pénal afin de renforcer les peines pour les infractions d’atteinte à la dignité sexuelle des enfants, des adolescents, des jeunes, des femmes et des personnes en situation de vulnérabilité en cas de calamité publique déclarée.</w:t>
      </w:r>
    </w:p>
    <w:p w14:paraId="6445853B" w14:textId="06629FAB" w:rsidR="00EB5903" w:rsidRPr="00BE2E8F" w:rsidRDefault="00EB5903" w:rsidP="00EB5903">
      <w:pPr>
        <w:pStyle w:val="Bullet1G"/>
        <w:numPr>
          <w:ilvl w:val="0"/>
          <w:numId w:val="0"/>
        </w:numPr>
        <w:tabs>
          <w:tab w:val="left" w:pos="1701"/>
        </w:tabs>
        <w:ind w:left="1701" w:hanging="170"/>
      </w:pPr>
      <w:r w:rsidRPr="00BE2E8F">
        <w:t>•</w:t>
      </w:r>
      <w:r w:rsidRPr="00BE2E8F">
        <w:tab/>
      </w:r>
      <w:r>
        <w:t>Projet de loi n</w:t>
      </w:r>
      <w:r>
        <w:rPr>
          <w:vertAlign w:val="superscript"/>
        </w:rPr>
        <w:t>o</w:t>
      </w:r>
      <w:r>
        <w:t xml:space="preserve"> 2 464/2021 </w:t>
      </w:r>
      <w:r w:rsidR="007D2EA5">
        <w:t>−</w:t>
      </w:r>
      <w:r>
        <w:t xml:space="preserve"> Oblige les établissements éducatifs publics et privés à signaler les grossesses d’élèves de moins de 14 ans.</w:t>
      </w:r>
    </w:p>
    <w:p w14:paraId="5A151AFF" w14:textId="1A25B4EC" w:rsidR="00EB5903" w:rsidRPr="00BE2E8F" w:rsidRDefault="00EB5903" w:rsidP="00EB5903">
      <w:pPr>
        <w:pStyle w:val="Bullet1G"/>
        <w:numPr>
          <w:ilvl w:val="0"/>
          <w:numId w:val="0"/>
        </w:numPr>
        <w:tabs>
          <w:tab w:val="left" w:pos="1701"/>
        </w:tabs>
        <w:ind w:left="1701" w:hanging="170"/>
      </w:pPr>
      <w:r w:rsidRPr="00BE2E8F">
        <w:t>•</w:t>
      </w:r>
      <w:r w:rsidRPr="00BE2E8F">
        <w:tab/>
      </w:r>
      <w:r>
        <w:t>Projet de loi n</w:t>
      </w:r>
      <w:r>
        <w:rPr>
          <w:vertAlign w:val="superscript"/>
        </w:rPr>
        <w:t>o</w:t>
      </w:r>
      <w:r w:rsidRPr="00465ADD">
        <w:t> </w:t>
      </w:r>
      <w:r>
        <w:t xml:space="preserve">1 888/2023 </w:t>
      </w:r>
      <w:r w:rsidR="007D2EA5">
        <w:t>−</w:t>
      </w:r>
      <w:r>
        <w:t xml:space="preserve"> Prévoie des mesures de lutte contre les infractions sexuelles visant des enfants et des adolescents dans les aéroports, les avions et les entreprises de transport.</w:t>
      </w:r>
    </w:p>
    <w:p w14:paraId="76B99E6C" w14:textId="6AF168C5" w:rsidR="00EB5903" w:rsidRPr="00BE2E8F" w:rsidRDefault="00EB5903" w:rsidP="00EB5903">
      <w:pPr>
        <w:pStyle w:val="Bullet1G"/>
        <w:numPr>
          <w:ilvl w:val="0"/>
          <w:numId w:val="0"/>
        </w:numPr>
        <w:tabs>
          <w:tab w:val="left" w:pos="1701"/>
        </w:tabs>
        <w:ind w:left="1701" w:hanging="170"/>
      </w:pPr>
      <w:r w:rsidRPr="00BE2E8F">
        <w:t>•</w:t>
      </w:r>
      <w:r w:rsidRPr="00BE2E8F">
        <w:tab/>
      </w:r>
      <w:r>
        <w:t>Projet de loi n</w:t>
      </w:r>
      <w:r>
        <w:rPr>
          <w:vertAlign w:val="superscript"/>
        </w:rPr>
        <w:t>o</w:t>
      </w:r>
      <w:r w:rsidRPr="00465ADD">
        <w:t> </w:t>
      </w:r>
      <w:r>
        <w:t xml:space="preserve">2 293/2023 </w:t>
      </w:r>
      <w:r w:rsidR="007D2EA5">
        <w:t>− </w:t>
      </w:r>
      <w:r>
        <w:t>Élargit la définition juridique de l’atteinte sexuelle sur mineur.</w:t>
      </w:r>
    </w:p>
    <w:p w14:paraId="49FF83C1" w14:textId="7F9EC479" w:rsidR="00EB5903" w:rsidRPr="00BE2E8F" w:rsidRDefault="00EB5903" w:rsidP="00EB5903">
      <w:pPr>
        <w:pStyle w:val="Bullet1G"/>
        <w:numPr>
          <w:ilvl w:val="0"/>
          <w:numId w:val="0"/>
        </w:numPr>
        <w:tabs>
          <w:tab w:val="left" w:pos="1701"/>
        </w:tabs>
        <w:ind w:left="1701" w:hanging="170"/>
      </w:pPr>
      <w:r w:rsidRPr="00BE2E8F">
        <w:t>•</w:t>
      </w:r>
      <w:r w:rsidRPr="00BE2E8F">
        <w:tab/>
      </w:r>
      <w:r>
        <w:t>Proposition d’amendement constitutionnel n</w:t>
      </w:r>
      <w:r>
        <w:rPr>
          <w:vertAlign w:val="superscript"/>
        </w:rPr>
        <w:t>o</w:t>
      </w:r>
      <w:r w:rsidR="00465ADD">
        <w:t> </w:t>
      </w:r>
      <w:r>
        <w:t xml:space="preserve">18/2011 </w:t>
      </w:r>
      <w:r w:rsidR="007D2EA5">
        <w:t>− </w:t>
      </w:r>
      <w:r>
        <w:t>Modifie l’article 7 de la Constitution fédérale en vue d’autoriser le travail à temps partiel à partir de 14 ans.</w:t>
      </w:r>
    </w:p>
    <w:p w14:paraId="6A6E59F4" w14:textId="2058B740" w:rsidR="00EB5903" w:rsidRPr="00BE2E8F" w:rsidRDefault="00EB5903" w:rsidP="00EB5903">
      <w:pPr>
        <w:pStyle w:val="Bullet1G"/>
        <w:numPr>
          <w:ilvl w:val="0"/>
          <w:numId w:val="0"/>
        </w:numPr>
        <w:tabs>
          <w:tab w:val="left" w:pos="1701"/>
        </w:tabs>
        <w:ind w:left="1701" w:hanging="170"/>
      </w:pPr>
      <w:r w:rsidRPr="00BE2E8F">
        <w:t>•</w:t>
      </w:r>
      <w:r w:rsidRPr="00BE2E8F">
        <w:tab/>
      </w:r>
      <w:r>
        <w:t>Proposition d’amendement constitutionnel n</w:t>
      </w:r>
      <w:r>
        <w:rPr>
          <w:vertAlign w:val="superscript"/>
        </w:rPr>
        <w:t>o</w:t>
      </w:r>
      <w:r w:rsidR="00465ADD">
        <w:t> </w:t>
      </w:r>
      <w:r>
        <w:t xml:space="preserve">4/2019 </w:t>
      </w:r>
      <w:r w:rsidR="007D2EA5">
        <w:t>− </w:t>
      </w:r>
      <w:r>
        <w:t>Modifie l’article 228 de la Constitution fédérale en vue d’abaisser l’âge de la responsabilité pénale.</w:t>
      </w:r>
    </w:p>
    <w:p w14:paraId="267DD37D" w14:textId="1063BF00" w:rsidR="00EB5903" w:rsidRPr="00BE2E8F" w:rsidRDefault="00EB5903" w:rsidP="00EB5903">
      <w:pPr>
        <w:pStyle w:val="Bullet1G"/>
        <w:numPr>
          <w:ilvl w:val="0"/>
          <w:numId w:val="0"/>
        </w:numPr>
        <w:tabs>
          <w:tab w:val="left" w:pos="1701"/>
        </w:tabs>
        <w:ind w:left="1701" w:hanging="170"/>
      </w:pPr>
      <w:r w:rsidRPr="00BE2E8F">
        <w:t>•</w:t>
      </w:r>
      <w:r w:rsidRPr="00BE2E8F">
        <w:tab/>
      </w:r>
      <w:r>
        <w:t>Proposition de décret législatif n</w:t>
      </w:r>
      <w:r>
        <w:rPr>
          <w:vertAlign w:val="superscript"/>
        </w:rPr>
        <w:t>o</w:t>
      </w:r>
      <w:r w:rsidR="00465ADD">
        <w:t> </w:t>
      </w:r>
      <w:r>
        <w:t xml:space="preserve">322/2024 </w:t>
      </w:r>
      <w:r w:rsidR="007D2EA5">
        <w:t>− </w:t>
      </w:r>
      <w:r>
        <w:t>Suspend la résolution n</w:t>
      </w:r>
      <w:r>
        <w:rPr>
          <w:vertAlign w:val="superscript"/>
        </w:rPr>
        <w:t>o</w:t>
      </w:r>
      <w:r>
        <w:t> 249 du Conseil national des droits de l’enfant et de l’adolescent (CONANDA), qui interdit le placement d’adolescents dans des communautés thérapeutiques.</w:t>
      </w:r>
    </w:p>
    <w:p w14:paraId="442720D3" w14:textId="71B55B3E" w:rsidR="00EB5903" w:rsidRPr="00BE2E8F" w:rsidRDefault="00EB5903" w:rsidP="00EB5903">
      <w:pPr>
        <w:pStyle w:val="Bullet1G"/>
        <w:numPr>
          <w:ilvl w:val="0"/>
          <w:numId w:val="0"/>
        </w:numPr>
        <w:tabs>
          <w:tab w:val="left" w:pos="1701"/>
        </w:tabs>
        <w:ind w:left="1701" w:hanging="170"/>
      </w:pPr>
      <w:r w:rsidRPr="00BE2E8F">
        <w:t>•</w:t>
      </w:r>
      <w:r w:rsidRPr="00BE2E8F">
        <w:tab/>
      </w:r>
      <w:r>
        <w:t>Projet de loi n</w:t>
      </w:r>
      <w:r>
        <w:rPr>
          <w:vertAlign w:val="superscript"/>
        </w:rPr>
        <w:t>o</w:t>
      </w:r>
      <w:r w:rsidR="00465ADD" w:rsidRPr="00465ADD">
        <w:t> </w:t>
      </w:r>
      <w:r>
        <w:t xml:space="preserve">168/2021 </w:t>
      </w:r>
      <w:r w:rsidR="007D2EA5">
        <w:t>− </w:t>
      </w:r>
      <w:r>
        <w:t>Modifie la loi n</w:t>
      </w:r>
      <w:r>
        <w:rPr>
          <w:vertAlign w:val="superscript"/>
        </w:rPr>
        <w:t>o</w:t>
      </w:r>
      <w:r>
        <w:t> 8 242/1991 en vue de révoquer les pouvoirs délibératifs du CONANDA.</w:t>
      </w:r>
    </w:p>
    <w:p w14:paraId="2C232442" w14:textId="7991957C" w:rsidR="00EB5903" w:rsidRPr="00BE2E8F" w:rsidRDefault="00EB5903" w:rsidP="00EB5903">
      <w:pPr>
        <w:pStyle w:val="Bullet1G"/>
        <w:numPr>
          <w:ilvl w:val="0"/>
          <w:numId w:val="0"/>
        </w:numPr>
        <w:tabs>
          <w:tab w:val="left" w:pos="1701"/>
        </w:tabs>
        <w:ind w:left="1701" w:hanging="170"/>
      </w:pPr>
      <w:r w:rsidRPr="00BE2E8F">
        <w:t>•</w:t>
      </w:r>
      <w:r w:rsidRPr="00BE2E8F">
        <w:tab/>
      </w:r>
      <w:r>
        <w:t xml:space="preserve">Projet de loi </w:t>
      </w:r>
      <w:r w:rsidR="00465ADD">
        <w:t>n</w:t>
      </w:r>
      <w:r w:rsidR="00465ADD">
        <w:rPr>
          <w:vertAlign w:val="superscript"/>
        </w:rPr>
        <w:t>o</w:t>
      </w:r>
      <w:r w:rsidR="00465ADD" w:rsidRPr="00465ADD">
        <w:t> </w:t>
      </w:r>
      <w:r>
        <w:t xml:space="preserve">4256/2019 </w:t>
      </w:r>
      <w:r w:rsidR="007D2EA5">
        <w:t>− </w:t>
      </w:r>
      <w:r>
        <w:t xml:space="preserve">Octroie le droit à porter des armes à feu aux agents du système </w:t>
      </w:r>
      <w:proofErr w:type="spellStart"/>
      <w:r>
        <w:t>socioéducatif</w:t>
      </w:r>
      <w:proofErr w:type="spellEnd"/>
      <w:r>
        <w:t>.</w:t>
      </w:r>
    </w:p>
    <w:p w14:paraId="5B32B724" w14:textId="14C0C756" w:rsidR="00EB5903" w:rsidRPr="00BE2E8F" w:rsidRDefault="00EB5903" w:rsidP="00EB5903">
      <w:pPr>
        <w:pStyle w:val="Bullet1G"/>
        <w:numPr>
          <w:ilvl w:val="0"/>
          <w:numId w:val="0"/>
        </w:numPr>
        <w:tabs>
          <w:tab w:val="left" w:pos="1701"/>
        </w:tabs>
        <w:ind w:left="1701" w:hanging="170"/>
      </w:pPr>
      <w:r w:rsidRPr="00BE2E8F">
        <w:t>•</w:t>
      </w:r>
      <w:r w:rsidRPr="00BE2E8F">
        <w:tab/>
      </w:r>
      <w:r>
        <w:t xml:space="preserve">Projet de loi </w:t>
      </w:r>
      <w:r w:rsidR="00465ADD">
        <w:t>n</w:t>
      </w:r>
      <w:r w:rsidR="00465ADD">
        <w:rPr>
          <w:vertAlign w:val="superscript"/>
        </w:rPr>
        <w:t>o</w:t>
      </w:r>
      <w:r w:rsidR="00465ADD" w:rsidRPr="00465ADD">
        <w:t> </w:t>
      </w:r>
      <w:r>
        <w:t xml:space="preserve">2 628/2022 </w:t>
      </w:r>
      <w:r w:rsidR="007D2EA5">
        <w:t>− </w:t>
      </w:r>
      <w:r>
        <w:t>Prévoie des mesures de protection des enfants et des adolescents dans les environnements numériques.</w:t>
      </w:r>
    </w:p>
    <w:p w14:paraId="43A8BEA3" w14:textId="5AFB6EB7" w:rsidR="00EB5903" w:rsidRPr="00BE2E8F" w:rsidRDefault="00EB5903" w:rsidP="00EB5903">
      <w:pPr>
        <w:pStyle w:val="Bullet1G"/>
        <w:numPr>
          <w:ilvl w:val="0"/>
          <w:numId w:val="0"/>
        </w:numPr>
        <w:tabs>
          <w:tab w:val="left" w:pos="1701"/>
        </w:tabs>
        <w:ind w:left="1701" w:hanging="170"/>
      </w:pPr>
      <w:r w:rsidRPr="00BE2E8F">
        <w:lastRenderedPageBreak/>
        <w:t>•</w:t>
      </w:r>
      <w:r w:rsidRPr="00BE2E8F">
        <w:tab/>
      </w:r>
      <w:r>
        <w:t>Loi n</w:t>
      </w:r>
      <w:r>
        <w:rPr>
          <w:vertAlign w:val="superscript"/>
        </w:rPr>
        <w:t>o</w:t>
      </w:r>
      <w:r>
        <w:t xml:space="preserve"> 14 344/2022 </w:t>
      </w:r>
      <w:r w:rsidR="007D2EA5">
        <w:t>− </w:t>
      </w:r>
      <w:r>
        <w:t>Crée des mécanismes de prévention et de répression de la violence domestique et familiale à l’égard des enfants et des adolescents.</w:t>
      </w:r>
    </w:p>
    <w:p w14:paraId="3BA655E5" w14:textId="351326AC" w:rsidR="00EB5903" w:rsidRPr="00BE2E8F" w:rsidRDefault="00EB5903" w:rsidP="00EB5903">
      <w:pPr>
        <w:pStyle w:val="Bullet1G"/>
        <w:numPr>
          <w:ilvl w:val="0"/>
          <w:numId w:val="0"/>
        </w:numPr>
        <w:tabs>
          <w:tab w:val="left" w:pos="1701"/>
        </w:tabs>
        <w:ind w:left="1701" w:hanging="170"/>
      </w:pPr>
      <w:r w:rsidRPr="00BE2E8F">
        <w:t>•</w:t>
      </w:r>
      <w:r w:rsidRPr="00BE2E8F">
        <w:tab/>
      </w:r>
      <w:r>
        <w:t>Loi n</w:t>
      </w:r>
      <w:r>
        <w:rPr>
          <w:vertAlign w:val="superscript"/>
        </w:rPr>
        <w:t>o</w:t>
      </w:r>
      <w:r>
        <w:t xml:space="preserve"> 15 069/2024 </w:t>
      </w:r>
      <w:r w:rsidR="007D2EA5">
        <w:t>−</w:t>
      </w:r>
      <w:r>
        <w:t xml:space="preserve"> Établit la Politique nationale de soins.</w:t>
      </w:r>
    </w:p>
    <w:p w14:paraId="773A147F" w14:textId="54889942" w:rsidR="00EB5903" w:rsidRPr="00BE2E8F" w:rsidRDefault="00EB5903" w:rsidP="00EB5903">
      <w:pPr>
        <w:pStyle w:val="Bullet1G"/>
        <w:numPr>
          <w:ilvl w:val="0"/>
          <w:numId w:val="0"/>
        </w:numPr>
        <w:tabs>
          <w:tab w:val="left" w:pos="1701"/>
        </w:tabs>
        <w:ind w:left="1701" w:hanging="170"/>
      </w:pPr>
      <w:r w:rsidRPr="00BE2E8F">
        <w:t>•</w:t>
      </w:r>
      <w:r w:rsidRPr="00BE2E8F">
        <w:tab/>
      </w:r>
      <w:r>
        <w:t>Loi n</w:t>
      </w:r>
      <w:r>
        <w:rPr>
          <w:vertAlign w:val="superscript"/>
        </w:rPr>
        <w:t>o</w:t>
      </w:r>
      <w:r>
        <w:t xml:space="preserve"> 14 826/2024 </w:t>
      </w:r>
      <w:r w:rsidR="007D2EA5">
        <w:t>−</w:t>
      </w:r>
      <w:r>
        <w:t xml:space="preserve"> Consacre la parentalité positive et le droit au jeu en tant que stratégie intersectorielle de prévention de la violence à l’égard d’enfants.</w:t>
      </w:r>
    </w:p>
    <w:p w14:paraId="0A3131F8" w14:textId="3FCC2CEE" w:rsidR="00EB5903" w:rsidRPr="00BE2E8F" w:rsidRDefault="00EB5903" w:rsidP="00EB5903">
      <w:pPr>
        <w:pStyle w:val="Bullet1G"/>
        <w:numPr>
          <w:ilvl w:val="0"/>
          <w:numId w:val="0"/>
        </w:numPr>
        <w:tabs>
          <w:tab w:val="left" w:pos="1701"/>
        </w:tabs>
        <w:ind w:left="1701" w:hanging="170"/>
      </w:pPr>
      <w:r w:rsidRPr="00BE2E8F">
        <w:t>•</w:t>
      </w:r>
      <w:r w:rsidRPr="00BE2E8F">
        <w:tab/>
      </w:r>
      <w:r>
        <w:t>Loi n</w:t>
      </w:r>
      <w:r>
        <w:rPr>
          <w:vertAlign w:val="superscript"/>
        </w:rPr>
        <w:t>o</w:t>
      </w:r>
      <w:r>
        <w:t xml:space="preserve"> 15 032/2024 </w:t>
      </w:r>
      <w:r w:rsidR="007D2EA5">
        <w:t>−</w:t>
      </w:r>
      <w:r>
        <w:t xml:space="preserve"> Modifie la loi générale sur le sport en vue de soumettre le transfert de fonds publics à des conditions de mise en œuvre de mesures de protection contre les abus sexuels.</w:t>
      </w:r>
    </w:p>
    <w:p w14:paraId="1C56A4E1" w14:textId="5652A946" w:rsidR="00EB5903" w:rsidRPr="00BE2E8F" w:rsidRDefault="00EB5903" w:rsidP="00EB5903">
      <w:pPr>
        <w:pStyle w:val="Bullet1G"/>
        <w:numPr>
          <w:ilvl w:val="0"/>
          <w:numId w:val="0"/>
        </w:numPr>
        <w:tabs>
          <w:tab w:val="left" w:pos="1701"/>
        </w:tabs>
        <w:ind w:left="1701" w:hanging="170"/>
      </w:pPr>
      <w:r w:rsidRPr="00BE2E8F">
        <w:t>•</w:t>
      </w:r>
      <w:r w:rsidRPr="00BE2E8F">
        <w:tab/>
      </w:r>
      <w:r>
        <w:t>Loi n</w:t>
      </w:r>
      <w:r>
        <w:rPr>
          <w:vertAlign w:val="superscript"/>
        </w:rPr>
        <w:t>o</w:t>
      </w:r>
      <w:r>
        <w:t xml:space="preserve"> 14 979/2024 </w:t>
      </w:r>
      <w:r w:rsidR="007D2EA5">
        <w:t>−</w:t>
      </w:r>
      <w:r>
        <w:t xml:space="preserve"> Établit le </w:t>
      </w:r>
      <w:r w:rsidR="007D2EA5">
        <w:t>R</w:t>
      </w:r>
      <w:r>
        <w:t>egistre national des adoptions.</w:t>
      </w:r>
    </w:p>
    <w:p w14:paraId="42FFFE8A" w14:textId="7FB2FA61" w:rsidR="00EB5903" w:rsidRPr="00BE2E8F" w:rsidRDefault="00EB5903" w:rsidP="00EB5903">
      <w:pPr>
        <w:pStyle w:val="Bullet1G"/>
        <w:numPr>
          <w:ilvl w:val="0"/>
          <w:numId w:val="0"/>
        </w:numPr>
        <w:tabs>
          <w:tab w:val="left" w:pos="1701"/>
        </w:tabs>
        <w:ind w:left="1701" w:hanging="170"/>
      </w:pPr>
      <w:r w:rsidRPr="00BE2E8F">
        <w:t>•</w:t>
      </w:r>
      <w:r w:rsidRPr="00BE2E8F">
        <w:tab/>
      </w:r>
      <w:r>
        <w:t>Loi n</w:t>
      </w:r>
      <w:r>
        <w:rPr>
          <w:vertAlign w:val="superscript"/>
        </w:rPr>
        <w:t>o</w:t>
      </w:r>
      <w:r>
        <w:t xml:space="preserve"> 14 880/2024 </w:t>
      </w:r>
      <w:r w:rsidR="007D2EA5">
        <w:t>−</w:t>
      </w:r>
      <w:r>
        <w:t xml:space="preserve"> Établit la Politique nationale de prise en charge de la petite enfance (services éducatifs spécialisés pour les enfants de 0 à 3 ans).</w:t>
      </w:r>
    </w:p>
    <w:p w14:paraId="71D4D3D0" w14:textId="50A59807" w:rsidR="00EB5903" w:rsidRPr="00BE2E8F" w:rsidRDefault="00EB5903" w:rsidP="00EB5903">
      <w:pPr>
        <w:pStyle w:val="Bullet1G"/>
        <w:numPr>
          <w:ilvl w:val="0"/>
          <w:numId w:val="0"/>
        </w:numPr>
        <w:tabs>
          <w:tab w:val="left" w:pos="1701"/>
        </w:tabs>
        <w:ind w:left="1701" w:hanging="170"/>
      </w:pPr>
      <w:r w:rsidRPr="00BE2E8F">
        <w:t>•</w:t>
      </w:r>
      <w:r w:rsidRPr="00BE2E8F">
        <w:tab/>
      </w:r>
      <w:r>
        <w:t>Loi n</w:t>
      </w:r>
      <w:r>
        <w:rPr>
          <w:vertAlign w:val="superscript"/>
        </w:rPr>
        <w:t>o</w:t>
      </w:r>
      <w:r>
        <w:t xml:space="preserve"> 14 811/2024 </w:t>
      </w:r>
      <w:r w:rsidR="007D2EA5">
        <w:t>−</w:t>
      </w:r>
      <w:r>
        <w:t xml:space="preserve"> Prévoit des mesures de protection contre la violence dans les établissements éducatifs, crée la Politique nationale visant à prévenir et combattre les abus sexuels sur enfants et adolescents et l’exploitation sexuelle d’enfants et d’adolescents, et modifie le Code pénal, la loi sur les crimes de haine et le Statut de l’enfant et de l’adolescent.</w:t>
      </w:r>
    </w:p>
    <w:p w14:paraId="0CCED10B" w14:textId="77777777" w:rsidR="00EB5903" w:rsidRPr="00BE2E8F" w:rsidRDefault="00EB5903" w:rsidP="00A04A26">
      <w:pPr>
        <w:pStyle w:val="H1G"/>
        <w:spacing w:before="320" w:after="200"/>
      </w:pPr>
      <w:r>
        <w:tab/>
      </w:r>
      <w:r>
        <w:tab/>
        <w:t xml:space="preserve">Réponse au paragraphe 14 b) de la liste de points </w:t>
      </w:r>
    </w:p>
    <w:p w14:paraId="75365DD9" w14:textId="77777777" w:rsidR="00EB5903" w:rsidRPr="00BE2E8F" w:rsidRDefault="00EB5903" w:rsidP="00EB5903">
      <w:pPr>
        <w:pStyle w:val="SingleTxtG"/>
      </w:pPr>
      <w:r>
        <w:t>102.</w:t>
      </w:r>
      <w:r>
        <w:tab/>
        <w:t>Le Brésil a renforcé ses Conseils des droits de l’enfant, qui, en vertu du Statut de l’enfant et de l’adolescent, sont chargés de veiller à l’application réelle des politiques relatives aux droits de l’enfant dans toutes les municipalités. En outre, le Brésil a collaboré avec l’UNICEF afin d’accorder une attention particulière aux enfants et aux adolescents dans les programmes politiques, notamment grâce à des initiatives telles que le programme « Petite enfance sans racisme ».</w:t>
      </w:r>
    </w:p>
    <w:p w14:paraId="41BB3948" w14:textId="7B575DF5" w:rsidR="00EB5903" w:rsidRPr="00BE2E8F" w:rsidRDefault="00EB5903" w:rsidP="00EB5903">
      <w:pPr>
        <w:pStyle w:val="SingleTxtG"/>
      </w:pPr>
      <w:r>
        <w:t>103.</w:t>
      </w:r>
      <w:r>
        <w:tab/>
        <w:t>Par ailleurs, le CONANDA s’est efforcé de protéger les enfants dans l’environnement numérique en adoptant des résolutions qui sont conformes aux normes internationales et mettent l’accent sur la responsabilité des entreprises. En outre, le Gouvernement a établi un partenariat avec l’Office des Nations</w:t>
      </w:r>
      <w:r w:rsidR="007D2EA5">
        <w:t> </w:t>
      </w:r>
      <w:r>
        <w:t>Unies contre la drogue et le crime pour élaborer des stratégies visant à protéger les enfants de la drogue et du crime, telles que l’expérimentation de l’initiative CHAMPS (</w:t>
      </w:r>
      <w:proofErr w:type="spellStart"/>
      <w:r>
        <w:t>Children</w:t>
      </w:r>
      <w:proofErr w:type="spellEnd"/>
      <w:r>
        <w:t xml:space="preserve"> </w:t>
      </w:r>
      <w:proofErr w:type="spellStart"/>
      <w:r>
        <w:t>Amplified</w:t>
      </w:r>
      <w:proofErr w:type="spellEnd"/>
      <w:r>
        <w:t xml:space="preserve"> Prevention Services) visant à éliminer la violence contre les enfants. Les modifications apportées récemment au Statut de l’enfant et de l’adolescent ont également permis de financer plus efficacement les projets en faveur de l’enfance grâce à des mesures d’incitation fiscale. </w:t>
      </w:r>
    </w:p>
    <w:p w14:paraId="469144EA" w14:textId="77777777" w:rsidR="00EB5903" w:rsidRPr="00BE2E8F" w:rsidRDefault="00EB5903" w:rsidP="00A04A26">
      <w:pPr>
        <w:pStyle w:val="H1G"/>
        <w:spacing w:before="320" w:after="200"/>
      </w:pPr>
      <w:r>
        <w:tab/>
      </w:r>
      <w:r>
        <w:tab/>
        <w:t xml:space="preserve">Réponse au paragraphe 14 c) de la liste de points </w:t>
      </w:r>
    </w:p>
    <w:p w14:paraId="4E0DA2F8" w14:textId="190AB1EF" w:rsidR="00EB5903" w:rsidRPr="00BE2E8F" w:rsidRDefault="00EB5903" w:rsidP="00EB5903">
      <w:pPr>
        <w:pStyle w:val="Bullet1G"/>
        <w:numPr>
          <w:ilvl w:val="0"/>
          <w:numId w:val="0"/>
        </w:numPr>
        <w:tabs>
          <w:tab w:val="left" w:pos="1701"/>
        </w:tabs>
        <w:ind w:left="1701" w:hanging="170"/>
      </w:pPr>
      <w:r w:rsidRPr="00BE2E8F">
        <w:t>•</w:t>
      </w:r>
      <w:r w:rsidRPr="00BE2E8F">
        <w:tab/>
      </w:r>
      <w:r>
        <w:t xml:space="preserve">Plan national pour la petite enfance 2020-2030 </w:t>
      </w:r>
      <w:r w:rsidR="007D2EA5">
        <w:t>−</w:t>
      </w:r>
      <w:r>
        <w:t xml:space="preserve"> Définit des orientations stratégiques et des priorités en matière de politiques publiques visant à favoriser le plein développement des enfants de 0 à 6 ans.</w:t>
      </w:r>
    </w:p>
    <w:p w14:paraId="7C31D563" w14:textId="3D1554C2" w:rsidR="00EB5903" w:rsidRPr="00BE2E8F" w:rsidRDefault="00EB5903" w:rsidP="00EB5903">
      <w:pPr>
        <w:pStyle w:val="Bullet1G"/>
        <w:numPr>
          <w:ilvl w:val="0"/>
          <w:numId w:val="0"/>
        </w:numPr>
        <w:tabs>
          <w:tab w:val="left" w:pos="1701"/>
        </w:tabs>
        <w:ind w:left="1701" w:hanging="170"/>
      </w:pPr>
      <w:r w:rsidRPr="00BE2E8F">
        <w:t>•</w:t>
      </w:r>
      <w:r w:rsidRPr="00BE2E8F">
        <w:tab/>
      </w:r>
      <w:r>
        <w:t>Plan national de lutte contre la violence à l’égard des enfants et des adolescents (2022</w:t>
      </w:r>
      <w:r w:rsidR="00A04A26">
        <w:noBreakHyphen/>
      </w:r>
      <w:r>
        <w:t xml:space="preserve">2025) </w:t>
      </w:r>
      <w:r w:rsidR="00A04A26">
        <w:t>−</w:t>
      </w:r>
      <w:r>
        <w:t xml:space="preserve"> Définit des actions et des stratégies intersectorielles visant à prévenir et combattre la violence à l’égard des enfants et des adolescents au Brésil.</w:t>
      </w:r>
    </w:p>
    <w:p w14:paraId="1ED43A3E" w14:textId="11B19586" w:rsidR="00EB5903" w:rsidRPr="00BE2E8F" w:rsidRDefault="00EB5903" w:rsidP="00EB5903">
      <w:pPr>
        <w:pStyle w:val="Bullet1G"/>
        <w:numPr>
          <w:ilvl w:val="0"/>
          <w:numId w:val="0"/>
        </w:numPr>
        <w:tabs>
          <w:tab w:val="left" w:pos="1701"/>
        </w:tabs>
        <w:ind w:left="1701" w:hanging="170"/>
      </w:pPr>
      <w:r w:rsidRPr="00BE2E8F">
        <w:t>•</w:t>
      </w:r>
      <w:r w:rsidRPr="00BE2E8F">
        <w:tab/>
      </w:r>
      <w:r>
        <w:t xml:space="preserve">Plan national de prévention des rapports sexuels précoces à risque et des grossesses à l’adolescence (2022-2025) </w:t>
      </w:r>
      <w:r w:rsidR="00A04A26">
        <w:t>−</w:t>
      </w:r>
      <w:r>
        <w:t xml:space="preserve"> Met en place des mesures de prévention et des campagnes de sensibilisation visant à réduire l’exposition à des rapports sexuels précoces à risque et les grossesses à l’adolescence.</w:t>
      </w:r>
    </w:p>
    <w:p w14:paraId="4ECB18FD" w14:textId="77777777" w:rsidR="00EB5903" w:rsidRPr="00BE2E8F" w:rsidRDefault="00EB5903" w:rsidP="00A04A26">
      <w:pPr>
        <w:pStyle w:val="H1G"/>
        <w:spacing w:before="320" w:after="200"/>
      </w:pPr>
      <w:r>
        <w:tab/>
      </w:r>
      <w:r>
        <w:tab/>
        <w:t xml:space="preserve">Réponse au paragraphe 14 d) de la liste de points </w:t>
      </w:r>
    </w:p>
    <w:p w14:paraId="608A9227" w14:textId="01BDCB4E" w:rsidR="00EB5903" w:rsidRPr="00BE2E8F" w:rsidRDefault="00EB5903" w:rsidP="00EB5903">
      <w:pPr>
        <w:pStyle w:val="SingleTxtG"/>
      </w:pPr>
      <w:r>
        <w:t>104.</w:t>
      </w:r>
      <w:r>
        <w:tab/>
        <w:t>Le Brésil a déjà ratifié la plupart des principaux traités internationaux relatifs aux droits de l’homme. En outre, le fait que le Brésil ait été réélu membre du Conseil des droits de l’homme des Nations</w:t>
      </w:r>
      <w:r w:rsidR="00A04A26">
        <w:t> </w:t>
      </w:r>
      <w:r>
        <w:t>Unies pour la période 2024-2026 montre son attachement général aux droits de l’homme, qu’il continue de promouvoir dans le cadre de sa politique étrangère, en participant aux débats mondiaux et en plaidant en faveur de l’extension des droits.</w:t>
      </w:r>
    </w:p>
    <w:p w14:paraId="3F15BFC1" w14:textId="77777777" w:rsidR="00EB5903" w:rsidRPr="00BE2E8F" w:rsidRDefault="00EB5903" w:rsidP="00A04A26">
      <w:pPr>
        <w:pStyle w:val="HChG"/>
        <w:spacing w:before="320" w:after="200"/>
      </w:pPr>
      <w:r>
        <w:tab/>
      </w:r>
      <w:r>
        <w:tab/>
        <w:t>Troisième partie</w:t>
      </w:r>
    </w:p>
    <w:p w14:paraId="406A23EF" w14:textId="77777777" w:rsidR="00EB5903" w:rsidRPr="00BE2E8F" w:rsidRDefault="00EB5903" w:rsidP="00A04A26">
      <w:pPr>
        <w:pStyle w:val="H1G"/>
        <w:spacing w:before="320" w:after="200"/>
      </w:pPr>
      <w:r>
        <w:tab/>
      </w:r>
      <w:r>
        <w:tab/>
        <w:t xml:space="preserve">Réponse au paragraphe 15 de la liste de points </w:t>
      </w:r>
    </w:p>
    <w:p w14:paraId="42F152FA" w14:textId="77777777" w:rsidR="00EB5903" w:rsidRPr="00BE2E8F" w:rsidRDefault="00EB5903" w:rsidP="00A04A26">
      <w:pPr>
        <w:pStyle w:val="SingleTxtG"/>
        <w:widowControl w:val="0"/>
      </w:pPr>
      <w:r>
        <w:t>105.</w:t>
      </w:r>
      <w:r>
        <w:tab/>
        <w:t xml:space="preserve">Selon le rapport de la deuxième étude sur le financement de la petite enfance dans le budget fédéral, les allocations budgétaires consacrées à la petite enfance en 2022 dans le budget fiscal et le budget de sécurité sociale de l’Union se sont élevées à 19,5 milliards de </w:t>
      </w:r>
      <w:proofErr w:type="spellStart"/>
      <w:r>
        <w:t>reals</w:t>
      </w:r>
      <w:proofErr w:type="spellEnd"/>
      <w:r>
        <w:t xml:space="preserve"> (fonds engagés), ce qui représente 0,19 % du PIB national de 2022. Selon le rapport de la troisième étude, les dépenses consacrées à la petite enfance en 2023 se sont élevées à 56,1 milliards de </w:t>
      </w:r>
      <w:proofErr w:type="spellStart"/>
      <w:r>
        <w:t>reals</w:t>
      </w:r>
      <w:proofErr w:type="spellEnd"/>
      <w:r>
        <w:t xml:space="preserve"> (fonds engagés), soit 0,52 % du PIB national de 2023.</w:t>
      </w:r>
    </w:p>
    <w:p w14:paraId="3F0921C7" w14:textId="77777777" w:rsidR="00EB5903" w:rsidRPr="00BE2E8F" w:rsidRDefault="00EB5903" w:rsidP="00EB5903">
      <w:pPr>
        <w:pStyle w:val="SingleTxtG"/>
      </w:pPr>
      <w:r>
        <w:t>106.</w:t>
      </w:r>
      <w:r>
        <w:tab/>
        <w:t>Il convient de noter que ces montants :</w:t>
      </w:r>
    </w:p>
    <w:p w14:paraId="5C61AAC7" w14:textId="2EC9A5A4" w:rsidR="00EB5903" w:rsidRPr="00BE2E8F" w:rsidRDefault="00EB5903" w:rsidP="00EB5903">
      <w:pPr>
        <w:pStyle w:val="SingleTxtG"/>
      </w:pPr>
      <w:r>
        <w:tab/>
        <w:t>a)</w:t>
      </w:r>
      <w:r>
        <w:tab/>
      </w:r>
      <w:r w:rsidR="00EB41A0">
        <w:t>N</w:t>
      </w:r>
      <w:r>
        <w:t>e couvrent pas l’ensemble des enfants au Brésil, mais se réfèrent exclusivement aux dépenses consacrées aux enfants de 0 à 6 ans (petite enfance) ;</w:t>
      </w:r>
    </w:p>
    <w:p w14:paraId="29E18C2E" w14:textId="37C5918F" w:rsidR="00EB5903" w:rsidRPr="00BE2E8F" w:rsidRDefault="00EB5903" w:rsidP="00EB5903">
      <w:pPr>
        <w:pStyle w:val="SingleTxtG"/>
      </w:pPr>
      <w:r>
        <w:tab/>
        <w:t>b)</w:t>
      </w:r>
      <w:r>
        <w:tab/>
      </w:r>
      <w:r w:rsidR="00EB41A0">
        <w:t>N</w:t>
      </w:r>
      <w:r>
        <w:t>’intègrent pas la totalité du budget de l’Union, qui comprend également le Budget d’investissement des entreprises publiques ;</w:t>
      </w:r>
    </w:p>
    <w:p w14:paraId="4CCB8C2A" w14:textId="609CEED7" w:rsidR="00EB5903" w:rsidRPr="00BE2E8F" w:rsidRDefault="00EB5903" w:rsidP="00EB5903">
      <w:pPr>
        <w:pStyle w:val="SingleTxtG"/>
      </w:pPr>
      <w:r>
        <w:tab/>
        <w:t>c)</w:t>
      </w:r>
      <w:r>
        <w:tab/>
      </w:r>
      <w:r w:rsidR="00EB41A0">
        <w:t>I</w:t>
      </w:r>
      <w:r>
        <w:t>ntègrent les dépenses des ministères mentionnés en tant que participants au Programme intersectoriel et multisectoriel pour la petite enfance dans le décret n</w:t>
      </w:r>
      <w:r>
        <w:rPr>
          <w:vertAlign w:val="superscript"/>
        </w:rPr>
        <w:t>o</w:t>
      </w:r>
      <w:r>
        <w:t> 10 770/2021.</w:t>
      </w:r>
    </w:p>
    <w:p w14:paraId="37CCFDBA" w14:textId="77777777" w:rsidR="00EB5903" w:rsidRPr="00BE2E8F" w:rsidRDefault="00EB5903" w:rsidP="00EB5903">
      <w:pPr>
        <w:pStyle w:val="H1G"/>
      </w:pPr>
      <w:r>
        <w:tab/>
      </w:r>
      <w:r>
        <w:tab/>
        <w:t xml:space="preserve">Réponse au paragraphe 16 a) de la liste de points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823"/>
        <w:gridCol w:w="1471"/>
        <w:gridCol w:w="1471"/>
        <w:gridCol w:w="1471"/>
      </w:tblGrid>
      <w:tr w:rsidR="00EB5903" w:rsidRPr="00BE2E8F" w14:paraId="70FB723A" w14:textId="77777777" w:rsidTr="008B4897">
        <w:trPr>
          <w:tblHeader/>
        </w:trPr>
        <w:tc>
          <w:tcPr>
            <w:tcW w:w="2957" w:type="dxa"/>
            <w:gridSpan w:val="2"/>
            <w:tcBorders>
              <w:top w:val="single" w:sz="4" w:space="0" w:color="auto"/>
              <w:bottom w:val="single" w:sz="12" w:space="0" w:color="auto"/>
            </w:tcBorders>
            <w:shd w:val="clear" w:color="auto" w:fill="auto"/>
            <w:vAlign w:val="bottom"/>
            <w:hideMark/>
          </w:tcPr>
          <w:p w14:paraId="4E2E9393"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  </w:t>
            </w:r>
          </w:p>
        </w:tc>
        <w:tc>
          <w:tcPr>
            <w:tcW w:w="1471" w:type="dxa"/>
            <w:tcBorders>
              <w:top w:val="single" w:sz="4" w:space="0" w:color="auto"/>
              <w:bottom w:val="single" w:sz="12" w:space="0" w:color="auto"/>
            </w:tcBorders>
            <w:shd w:val="clear" w:color="auto" w:fill="auto"/>
            <w:vAlign w:val="bottom"/>
            <w:hideMark/>
          </w:tcPr>
          <w:p w14:paraId="6BE0416C" w14:textId="0A2086B1"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 xml:space="preserve">Signalements </w:t>
            </w:r>
            <w:r w:rsidR="001F2294">
              <w:rPr>
                <w:i/>
                <w:sz w:val="16"/>
              </w:rPr>
              <w:br/>
            </w:r>
            <w:r>
              <w:rPr>
                <w:i/>
                <w:sz w:val="16"/>
              </w:rPr>
              <w:t xml:space="preserve">de violence </w:t>
            </w:r>
            <w:r w:rsidR="001F2294">
              <w:rPr>
                <w:i/>
                <w:sz w:val="16"/>
              </w:rPr>
              <w:br/>
            </w:r>
            <w:r>
              <w:rPr>
                <w:i/>
                <w:sz w:val="16"/>
              </w:rPr>
              <w:t xml:space="preserve">à l’égard d’enfants </w:t>
            </w:r>
            <w:r w:rsidR="001F2294">
              <w:rPr>
                <w:i/>
                <w:sz w:val="16"/>
              </w:rPr>
              <w:br/>
            </w:r>
            <w:r>
              <w:rPr>
                <w:i/>
                <w:sz w:val="16"/>
              </w:rPr>
              <w:t>et d’adolescents</w:t>
            </w:r>
          </w:p>
        </w:tc>
        <w:tc>
          <w:tcPr>
            <w:tcW w:w="1471" w:type="dxa"/>
            <w:tcBorders>
              <w:top w:val="single" w:sz="4" w:space="0" w:color="auto"/>
              <w:bottom w:val="single" w:sz="12" w:space="0" w:color="auto"/>
            </w:tcBorders>
            <w:shd w:val="clear" w:color="auto" w:fill="auto"/>
            <w:vAlign w:val="bottom"/>
            <w:hideMark/>
          </w:tcPr>
          <w:p w14:paraId="153AAFF8" w14:textId="0C667CF4"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 xml:space="preserve">Signalements </w:t>
            </w:r>
            <w:r w:rsidR="001F2294">
              <w:rPr>
                <w:i/>
                <w:sz w:val="16"/>
              </w:rPr>
              <w:br/>
            </w:r>
            <w:r>
              <w:rPr>
                <w:i/>
                <w:sz w:val="16"/>
              </w:rPr>
              <w:t xml:space="preserve">de violence sexuelle </w:t>
            </w:r>
            <w:r w:rsidR="001F2294">
              <w:rPr>
                <w:i/>
                <w:sz w:val="16"/>
              </w:rPr>
              <w:br/>
            </w:r>
            <w:r>
              <w:rPr>
                <w:i/>
                <w:sz w:val="16"/>
              </w:rPr>
              <w:t xml:space="preserve">à l’égard d’enfants </w:t>
            </w:r>
            <w:r w:rsidR="001F2294">
              <w:rPr>
                <w:i/>
                <w:sz w:val="16"/>
              </w:rPr>
              <w:br/>
            </w:r>
            <w:r>
              <w:rPr>
                <w:i/>
                <w:sz w:val="16"/>
              </w:rPr>
              <w:t>et d’adolescents</w:t>
            </w:r>
          </w:p>
        </w:tc>
        <w:tc>
          <w:tcPr>
            <w:tcW w:w="1471" w:type="dxa"/>
            <w:tcBorders>
              <w:top w:val="single" w:sz="4" w:space="0" w:color="auto"/>
              <w:bottom w:val="single" w:sz="12" w:space="0" w:color="auto"/>
            </w:tcBorders>
            <w:shd w:val="clear" w:color="auto" w:fill="auto"/>
            <w:vAlign w:val="bottom"/>
            <w:hideMark/>
          </w:tcPr>
          <w:p w14:paraId="077D6795" w14:textId="2A032AD8"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 xml:space="preserve">Pourcentage </w:t>
            </w:r>
            <w:r w:rsidR="001F2294">
              <w:rPr>
                <w:i/>
                <w:sz w:val="16"/>
              </w:rPr>
              <w:br/>
            </w:r>
            <w:r>
              <w:rPr>
                <w:i/>
                <w:sz w:val="16"/>
              </w:rPr>
              <w:t xml:space="preserve">de signalements </w:t>
            </w:r>
            <w:r w:rsidR="001F2294">
              <w:rPr>
                <w:i/>
                <w:sz w:val="16"/>
              </w:rPr>
              <w:br/>
            </w:r>
            <w:r>
              <w:rPr>
                <w:i/>
                <w:sz w:val="16"/>
              </w:rPr>
              <w:t xml:space="preserve">de violence sexuelle </w:t>
            </w:r>
            <w:r w:rsidR="001F2294">
              <w:rPr>
                <w:i/>
                <w:sz w:val="16"/>
              </w:rPr>
              <w:br/>
            </w:r>
            <w:r>
              <w:rPr>
                <w:i/>
                <w:sz w:val="16"/>
              </w:rPr>
              <w:t xml:space="preserve">à l’égard d’enfants </w:t>
            </w:r>
            <w:r w:rsidR="001F2294">
              <w:rPr>
                <w:i/>
                <w:sz w:val="16"/>
              </w:rPr>
              <w:br/>
            </w:r>
            <w:r>
              <w:rPr>
                <w:i/>
                <w:sz w:val="16"/>
              </w:rPr>
              <w:t>et d’adolescents</w:t>
            </w:r>
          </w:p>
        </w:tc>
      </w:tr>
      <w:tr w:rsidR="00EB5903" w:rsidRPr="00BE2E8F" w14:paraId="328B9042" w14:textId="77777777" w:rsidTr="008B4897">
        <w:tc>
          <w:tcPr>
            <w:tcW w:w="1134" w:type="dxa"/>
            <w:vMerge w:val="restart"/>
            <w:tcBorders>
              <w:top w:val="single" w:sz="12" w:space="0" w:color="auto"/>
            </w:tcBorders>
            <w:shd w:val="clear" w:color="auto" w:fill="auto"/>
            <w:hideMark/>
          </w:tcPr>
          <w:p w14:paraId="795A16A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Unité fédérative</w:t>
            </w:r>
          </w:p>
        </w:tc>
        <w:tc>
          <w:tcPr>
            <w:tcW w:w="1823" w:type="dxa"/>
            <w:tcBorders>
              <w:top w:val="single" w:sz="12" w:space="0" w:color="auto"/>
            </w:tcBorders>
            <w:shd w:val="clear" w:color="auto" w:fill="auto"/>
            <w:hideMark/>
          </w:tcPr>
          <w:p w14:paraId="1022E63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Rondônia </w:t>
            </w:r>
          </w:p>
        </w:tc>
        <w:tc>
          <w:tcPr>
            <w:tcW w:w="1471" w:type="dxa"/>
            <w:tcBorders>
              <w:top w:val="single" w:sz="12" w:space="0" w:color="auto"/>
            </w:tcBorders>
            <w:shd w:val="clear" w:color="auto" w:fill="auto"/>
            <w:vAlign w:val="bottom"/>
            <w:hideMark/>
          </w:tcPr>
          <w:p w14:paraId="25E5DF9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405</w:t>
            </w:r>
          </w:p>
        </w:tc>
        <w:tc>
          <w:tcPr>
            <w:tcW w:w="1471" w:type="dxa"/>
            <w:tcBorders>
              <w:top w:val="single" w:sz="12" w:space="0" w:color="auto"/>
            </w:tcBorders>
            <w:shd w:val="clear" w:color="auto" w:fill="auto"/>
            <w:vAlign w:val="bottom"/>
            <w:hideMark/>
          </w:tcPr>
          <w:p w14:paraId="7EBE512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230</w:t>
            </w:r>
          </w:p>
        </w:tc>
        <w:tc>
          <w:tcPr>
            <w:tcW w:w="1471" w:type="dxa"/>
            <w:tcBorders>
              <w:top w:val="single" w:sz="12" w:space="0" w:color="auto"/>
            </w:tcBorders>
            <w:shd w:val="clear" w:color="auto" w:fill="auto"/>
            <w:vAlign w:val="bottom"/>
            <w:hideMark/>
          </w:tcPr>
          <w:p w14:paraId="663C4E0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56,8 %</w:t>
            </w:r>
          </w:p>
        </w:tc>
      </w:tr>
      <w:tr w:rsidR="00EB5903" w:rsidRPr="00BE2E8F" w14:paraId="3AF94A6F" w14:textId="77777777" w:rsidTr="008B4897">
        <w:tc>
          <w:tcPr>
            <w:tcW w:w="1134" w:type="dxa"/>
            <w:vMerge/>
            <w:shd w:val="clear" w:color="auto" w:fill="auto"/>
            <w:hideMark/>
          </w:tcPr>
          <w:p w14:paraId="2F2A02A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79B48FD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Acre </w:t>
            </w:r>
          </w:p>
        </w:tc>
        <w:tc>
          <w:tcPr>
            <w:tcW w:w="1471" w:type="dxa"/>
            <w:shd w:val="clear" w:color="auto" w:fill="auto"/>
            <w:vAlign w:val="bottom"/>
            <w:hideMark/>
          </w:tcPr>
          <w:p w14:paraId="1F00114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560</w:t>
            </w:r>
          </w:p>
        </w:tc>
        <w:tc>
          <w:tcPr>
            <w:tcW w:w="1471" w:type="dxa"/>
            <w:shd w:val="clear" w:color="auto" w:fill="auto"/>
            <w:vAlign w:val="bottom"/>
            <w:hideMark/>
          </w:tcPr>
          <w:p w14:paraId="60A31A7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438</w:t>
            </w:r>
          </w:p>
        </w:tc>
        <w:tc>
          <w:tcPr>
            <w:tcW w:w="1471" w:type="dxa"/>
            <w:shd w:val="clear" w:color="auto" w:fill="auto"/>
            <w:vAlign w:val="bottom"/>
            <w:hideMark/>
          </w:tcPr>
          <w:p w14:paraId="6C3B535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78,2 %</w:t>
            </w:r>
          </w:p>
        </w:tc>
      </w:tr>
      <w:tr w:rsidR="00EB5903" w:rsidRPr="00BE2E8F" w14:paraId="6B80B3EE" w14:textId="77777777" w:rsidTr="008B4897">
        <w:tc>
          <w:tcPr>
            <w:tcW w:w="1134" w:type="dxa"/>
            <w:vMerge/>
            <w:shd w:val="clear" w:color="auto" w:fill="auto"/>
            <w:hideMark/>
          </w:tcPr>
          <w:p w14:paraId="08A95AB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640A08E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Amazonas </w:t>
            </w:r>
          </w:p>
        </w:tc>
        <w:tc>
          <w:tcPr>
            <w:tcW w:w="1471" w:type="dxa"/>
            <w:shd w:val="clear" w:color="auto" w:fill="auto"/>
            <w:vAlign w:val="bottom"/>
            <w:hideMark/>
          </w:tcPr>
          <w:p w14:paraId="700376E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3 432</w:t>
            </w:r>
          </w:p>
        </w:tc>
        <w:tc>
          <w:tcPr>
            <w:tcW w:w="1471" w:type="dxa"/>
            <w:shd w:val="clear" w:color="auto" w:fill="auto"/>
            <w:vAlign w:val="bottom"/>
            <w:hideMark/>
          </w:tcPr>
          <w:p w14:paraId="4FF4791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2 041</w:t>
            </w:r>
          </w:p>
        </w:tc>
        <w:tc>
          <w:tcPr>
            <w:tcW w:w="1471" w:type="dxa"/>
            <w:shd w:val="clear" w:color="auto" w:fill="auto"/>
            <w:vAlign w:val="bottom"/>
            <w:hideMark/>
          </w:tcPr>
          <w:p w14:paraId="70D6622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59,5 %</w:t>
            </w:r>
          </w:p>
        </w:tc>
      </w:tr>
      <w:tr w:rsidR="00EB5903" w:rsidRPr="00BE2E8F" w14:paraId="6F0087DA" w14:textId="77777777" w:rsidTr="008B4897">
        <w:tc>
          <w:tcPr>
            <w:tcW w:w="1134" w:type="dxa"/>
            <w:vMerge/>
            <w:shd w:val="clear" w:color="auto" w:fill="auto"/>
            <w:hideMark/>
          </w:tcPr>
          <w:p w14:paraId="4383A72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2CB12A9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Roraima </w:t>
            </w:r>
          </w:p>
        </w:tc>
        <w:tc>
          <w:tcPr>
            <w:tcW w:w="1471" w:type="dxa"/>
            <w:shd w:val="clear" w:color="auto" w:fill="auto"/>
            <w:vAlign w:val="bottom"/>
            <w:hideMark/>
          </w:tcPr>
          <w:p w14:paraId="23BC848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547</w:t>
            </w:r>
          </w:p>
        </w:tc>
        <w:tc>
          <w:tcPr>
            <w:tcW w:w="1471" w:type="dxa"/>
            <w:shd w:val="clear" w:color="auto" w:fill="auto"/>
            <w:vAlign w:val="bottom"/>
            <w:hideMark/>
          </w:tcPr>
          <w:p w14:paraId="1235116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318</w:t>
            </w:r>
          </w:p>
        </w:tc>
        <w:tc>
          <w:tcPr>
            <w:tcW w:w="1471" w:type="dxa"/>
            <w:shd w:val="clear" w:color="auto" w:fill="auto"/>
            <w:vAlign w:val="bottom"/>
            <w:hideMark/>
          </w:tcPr>
          <w:p w14:paraId="18EA490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58,1 %</w:t>
            </w:r>
          </w:p>
        </w:tc>
      </w:tr>
      <w:tr w:rsidR="00EB5903" w:rsidRPr="00BE2E8F" w14:paraId="2CBD2992" w14:textId="77777777" w:rsidTr="008B4897">
        <w:tc>
          <w:tcPr>
            <w:tcW w:w="1134" w:type="dxa"/>
            <w:vMerge/>
            <w:shd w:val="clear" w:color="auto" w:fill="auto"/>
            <w:hideMark/>
          </w:tcPr>
          <w:p w14:paraId="0268AF2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0513656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Pará </w:t>
            </w:r>
          </w:p>
        </w:tc>
        <w:tc>
          <w:tcPr>
            <w:tcW w:w="1471" w:type="dxa"/>
            <w:shd w:val="clear" w:color="auto" w:fill="auto"/>
            <w:vAlign w:val="bottom"/>
            <w:hideMark/>
          </w:tcPr>
          <w:p w14:paraId="5426B14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4 904</w:t>
            </w:r>
          </w:p>
        </w:tc>
        <w:tc>
          <w:tcPr>
            <w:tcW w:w="1471" w:type="dxa"/>
            <w:shd w:val="clear" w:color="auto" w:fill="auto"/>
            <w:vAlign w:val="bottom"/>
            <w:hideMark/>
          </w:tcPr>
          <w:p w14:paraId="6B6D02B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3 113</w:t>
            </w:r>
          </w:p>
        </w:tc>
        <w:tc>
          <w:tcPr>
            <w:tcW w:w="1471" w:type="dxa"/>
            <w:shd w:val="clear" w:color="auto" w:fill="auto"/>
            <w:vAlign w:val="bottom"/>
            <w:hideMark/>
          </w:tcPr>
          <w:p w14:paraId="500D63D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63,5 %</w:t>
            </w:r>
          </w:p>
        </w:tc>
      </w:tr>
      <w:tr w:rsidR="00EB5903" w:rsidRPr="00BE2E8F" w14:paraId="3CFF74D0" w14:textId="77777777" w:rsidTr="008B4897">
        <w:tc>
          <w:tcPr>
            <w:tcW w:w="1134" w:type="dxa"/>
            <w:vMerge/>
            <w:shd w:val="clear" w:color="auto" w:fill="auto"/>
            <w:hideMark/>
          </w:tcPr>
          <w:p w14:paraId="6FF08B6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7A218FB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Amapá </w:t>
            </w:r>
          </w:p>
        </w:tc>
        <w:tc>
          <w:tcPr>
            <w:tcW w:w="1471" w:type="dxa"/>
            <w:shd w:val="clear" w:color="auto" w:fill="auto"/>
            <w:vAlign w:val="bottom"/>
            <w:hideMark/>
          </w:tcPr>
          <w:p w14:paraId="7493457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293</w:t>
            </w:r>
          </w:p>
        </w:tc>
        <w:tc>
          <w:tcPr>
            <w:tcW w:w="1471" w:type="dxa"/>
            <w:shd w:val="clear" w:color="auto" w:fill="auto"/>
            <w:vAlign w:val="bottom"/>
            <w:hideMark/>
          </w:tcPr>
          <w:p w14:paraId="50DC7B9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209</w:t>
            </w:r>
          </w:p>
        </w:tc>
        <w:tc>
          <w:tcPr>
            <w:tcW w:w="1471" w:type="dxa"/>
            <w:shd w:val="clear" w:color="auto" w:fill="auto"/>
            <w:vAlign w:val="bottom"/>
            <w:hideMark/>
          </w:tcPr>
          <w:p w14:paraId="357DFA7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71,3 %</w:t>
            </w:r>
          </w:p>
        </w:tc>
      </w:tr>
      <w:tr w:rsidR="00EB5903" w:rsidRPr="00BE2E8F" w14:paraId="4E93F974" w14:textId="77777777" w:rsidTr="008B4897">
        <w:tc>
          <w:tcPr>
            <w:tcW w:w="1134" w:type="dxa"/>
            <w:vMerge/>
            <w:shd w:val="clear" w:color="auto" w:fill="auto"/>
            <w:hideMark/>
          </w:tcPr>
          <w:p w14:paraId="2F311C8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0A1FBC5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Tocantins </w:t>
            </w:r>
          </w:p>
        </w:tc>
        <w:tc>
          <w:tcPr>
            <w:tcW w:w="1471" w:type="dxa"/>
            <w:shd w:val="clear" w:color="auto" w:fill="auto"/>
            <w:vAlign w:val="bottom"/>
            <w:hideMark/>
          </w:tcPr>
          <w:p w14:paraId="7E88F48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2 571</w:t>
            </w:r>
          </w:p>
        </w:tc>
        <w:tc>
          <w:tcPr>
            <w:tcW w:w="1471" w:type="dxa"/>
            <w:shd w:val="clear" w:color="auto" w:fill="auto"/>
            <w:vAlign w:val="bottom"/>
            <w:hideMark/>
          </w:tcPr>
          <w:p w14:paraId="671A9FB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769</w:t>
            </w:r>
          </w:p>
        </w:tc>
        <w:tc>
          <w:tcPr>
            <w:tcW w:w="1471" w:type="dxa"/>
            <w:shd w:val="clear" w:color="auto" w:fill="auto"/>
            <w:vAlign w:val="bottom"/>
            <w:hideMark/>
          </w:tcPr>
          <w:p w14:paraId="036ED95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29,9 %</w:t>
            </w:r>
          </w:p>
        </w:tc>
      </w:tr>
      <w:tr w:rsidR="00EB5903" w:rsidRPr="00BE2E8F" w14:paraId="53D261AB" w14:textId="77777777" w:rsidTr="008B4897">
        <w:tc>
          <w:tcPr>
            <w:tcW w:w="1134" w:type="dxa"/>
            <w:vMerge/>
            <w:shd w:val="clear" w:color="auto" w:fill="auto"/>
            <w:hideMark/>
          </w:tcPr>
          <w:p w14:paraId="1DD5A8B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28B72D1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Maranhão </w:t>
            </w:r>
          </w:p>
        </w:tc>
        <w:tc>
          <w:tcPr>
            <w:tcW w:w="1471" w:type="dxa"/>
            <w:shd w:val="clear" w:color="auto" w:fill="auto"/>
            <w:vAlign w:val="bottom"/>
            <w:hideMark/>
          </w:tcPr>
          <w:p w14:paraId="164950F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1 209</w:t>
            </w:r>
          </w:p>
        </w:tc>
        <w:tc>
          <w:tcPr>
            <w:tcW w:w="1471" w:type="dxa"/>
            <w:shd w:val="clear" w:color="auto" w:fill="auto"/>
            <w:vAlign w:val="bottom"/>
            <w:hideMark/>
          </w:tcPr>
          <w:p w14:paraId="15B4523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674</w:t>
            </w:r>
          </w:p>
        </w:tc>
        <w:tc>
          <w:tcPr>
            <w:tcW w:w="1471" w:type="dxa"/>
            <w:shd w:val="clear" w:color="auto" w:fill="auto"/>
            <w:vAlign w:val="bottom"/>
            <w:hideMark/>
          </w:tcPr>
          <w:p w14:paraId="41C23E0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55,7 %</w:t>
            </w:r>
          </w:p>
        </w:tc>
      </w:tr>
      <w:tr w:rsidR="00EB5903" w:rsidRPr="00BE2E8F" w14:paraId="79C1E7CD" w14:textId="77777777" w:rsidTr="008B4897">
        <w:tc>
          <w:tcPr>
            <w:tcW w:w="1134" w:type="dxa"/>
            <w:vMerge/>
            <w:shd w:val="clear" w:color="auto" w:fill="auto"/>
            <w:hideMark/>
          </w:tcPr>
          <w:p w14:paraId="48F9AFC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2DD8D97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Piauí </w:t>
            </w:r>
          </w:p>
        </w:tc>
        <w:tc>
          <w:tcPr>
            <w:tcW w:w="1471" w:type="dxa"/>
            <w:shd w:val="clear" w:color="auto" w:fill="auto"/>
            <w:vAlign w:val="bottom"/>
            <w:hideMark/>
          </w:tcPr>
          <w:p w14:paraId="731B1C8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1 629</w:t>
            </w:r>
          </w:p>
        </w:tc>
        <w:tc>
          <w:tcPr>
            <w:tcW w:w="1471" w:type="dxa"/>
            <w:shd w:val="clear" w:color="auto" w:fill="auto"/>
            <w:vAlign w:val="bottom"/>
            <w:hideMark/>
          </w:tcPr>
          <w:p w14:paraId="7221EAF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729</w:t>
            </w:r>
          </w:p>
        </w:tc>
        <w:tc>
          <w:tcPr>
            <w:tcW w:w="1471" w:type="dxa"/>
            <w:shd w:val="clear" w:color="auto" w:fill="auto"/>
            <w:vAlign w:val="bottom"/>
            <w:hideMark/>
          </w:tcPr>
          <w:p w14:paraId="1A3EE41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44,8 %</w:t>
            </w:r>
          </w:p>
        </w:tc>
      </w:tr>
      <w:tr w:rsidR="00EB5903" w:rsidRPr="00BE2E8F" w14:paraId="69031756" w14:textId="77777777" w:rsidTr="008B4897">
        <w:tc>
          <w:tcPr>
            <w:tcW w:w="1134" w:type="dxa"/>
            <w:vMerge/>
            <w:shd w:val="clear" w:color="auto" w:fill="auto"/>
            <w:hideMark/>
          </w:tcPr>
          <w:p w14:paraId="1EE6975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0F47AB0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Ceará </w:t>
            </w:r>
          </w:p>
        </w:tc>
        <w:tc>
          <w:tcPr>
            <w:tcW w:w="1471" w:type="dxa"/>
            <w:shd w:val="clear" w:color="auto" w:fill="auto"/>
            <w:vAlign w:val="bottom"/>
            <w:hideMark/>
          </w:tcPr>
          <w:p w14:paraId="4B78487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7 865</w:t>
            </w:r>
          </w:p>
        </w:tc>
        <w:tc>
          <w:tcPr>
            <w:tcW w:w="1471" w:type="dxa"/>
            <w:shd w:val="clear" w:color="auto" w:fill="auto"/>
            <w:vAlign w:val="bottom"/>
            <w:hideMark/>
          </w:tcPr>
          <w:p w14:paraId="6081B84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1 600</w:t>
            </w:r>
          </w:p>
        </w:tc>
        <w:tc>
          <w:tcPr>
            <w:tcW w:w="1471" w:type="dxa"/>
            <w:shd w:val="clear" w:color="auto" w:fill="auto"/>
            <w:vAlign w:val="bottom"/>
            <w:hideMark/>
          </w:tcPr>
          <w:p w14:paraId="6B885A7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20,3 %</w:t>
            </w:r>
          </w:p>
        </w:tc>
      </w:tr>
      <w:tr w:rsidR="00EB5903" w:rsidRPr="00BE2E8F" w14:paraId="2303CDED" w14:textId="77777777" w:rsidTr="008B4897">
        <w:tc>
          <w:tcPr>
            <w:tcW w:w="1134" w:type="dxa"/>
            <w:vMerge/>
            <w:shd w:val="clear" w:color="auto" w:fill="auto"/>
            <w:hideMark/>
          </w:tcPr>
          <w:p w14:paraId="36A3408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2FEFE97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Grande do Norte </w:t>
            </w:r>
          </w:p>
        </w:tc>
        <w:tc>
          <w:tcPr>
            <w:tcW w:w="1471" w:type="dxa"/>
            <w:shd w:val="clear" w:color="auto" w:fill="auto"/>
            <w:vAlign w:val="bottom"/>
            <w:hideMark/>
          </w:tcPr>
          <w:p w14:paraId="21DC535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883</w:t>
            </w:r>
          </w:p>
        </w:tc>
        <w:tc>
          <w:tcPr>
            <w:tcW w:w="1471" w:type="dxa"/>
            <w:shd w:val="clear" w:color="auto" w:fill="auto"/>
            <w:vAlign w:val="bottom"/>
            <w:hideMark/>
          </w:tcPr>
          <w:p w14:paraId="1C75498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395</w:t>
            </w:r>
          </w:p>
        </w:tc>
        <w:tc>
          <w:tcPr>
            <w:tcW w:w="1471" w:type="dxa"/>
            <w:shd w:val="clear" w:color="auto" w:fill="auto"/>
            <w:vAlign w:val="bottom"/>
            <w:hideMark/>
          </w:tcPr>
          <w:p w14:paraId="5A91B61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44,7 %</w:t>
            </w:r>
          </w:p>
        </w:tc>
      </w:tr>
      <w:tr w:rsidR="00EB5903" w:rsidRPr="00BE2E8F" w14:paraId="4E4E14B6" w14:textId="77777777" w:rsidTr="008B4897">
        <w:tc>
          <w:tcPr>
            <w:tcW w:w="1134" w:type="dxa"/>
            <w:vMerge/>
            <w:shd w:val="clear" w:color="auto" w:fill="auto"/>
            <w:hideMark/>
          </w:tcPr>
          <w:p w14:paraId="63FFC5B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6650649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Paraíba </w:t>
            </w:r>
          </w:p>
        </w:tc>
        <w:tc>
          <w:tcPr>
            <w:tcW w:w="1471" w:type="dxa"/>
            <w:shd w:val="clear" w:color="auto" w:fill="auto"/>
            <w:vAlign w:val="bottom"/>
            <w:hideMark/>
          </w:tcPr>
          <w:p w14:paraId="35305C7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934</w:t>
            </w:r>
          </w:p>
        </w:tc>
        <w:tc>
          <w:tcPr>
            <w:tcW w:w="1471" w:type="dxa"/>
            <w:shd w:val="clear" w:color="auto" w:fill="auto"/>
            <w:vAlign w:val="bottom"/>
            <w:hideMark/>
          </w:tcPr>
          <w:p w14:paraId="1B57DFA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423</w:t>
            </w:r>
          </w:p>
        </w:tc>
        <w:tc>
          <w:tcPr>
            <w:tcW w:w="1471" w:type="dxa"/>
            <w:shd w:val="clear" w:color="auto" w:fill="auto"/>
            <w:vAlign w:val="bottom"/>
            <w:hideMark/>
          </w:tcPr>
          <w:p w14:paraId="152BD9C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45,3 %</w:t>
            </w:r>
          </w:p>
        </w:tc>
      </w:tr>
      <w:tr w:rsidR="00EB5903" w:rsidRPr="00BE2E8F" w14:paraId="050F8EF6" w14:textId="77777777" w:rsidTr="008B4897">
        <w:tc>
          <w:tcPr>
            <w:tcW w:w="1134" w:type="dxa"/>
            <w:vMerge/>
            <w:shd w:val="clear" w:color="auto" w:fill="auto"/>
            <w:hideMark/>
          </w:tcPr>
          <w:p w14:paraId="247D622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792B82C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Pernambuco </w:t>
            </w:r>
          </w:p>
        </w:tc>
        <w:tc>
          <w:tcPr>
            <w:tcW w:w="1471" w:type="dxa"/>
            <w:shd w:val="clear" w:color="auto" w:fill="auto"/>
            <w:vAlign w:val="bottom"/>
            <w:hideMark/>
          </w:tcPr>
          <w:p w14:paraId="1544FBD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7 266</w:t>
            </w:r>
          </w:p>
        </w:tc>
        <w:tc>
          <w:tcPr>
            <w:tcW w:w="1471" w:type="dxa"/>
            <w:shd w:val="clear" w:color="auto" w:fill="auto"/>
            <w:vAlign w:val="bottom"/>
            <w:hideMark/>
          </w:tcPr>
          <w:p w14:paraId="127F129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1 423</w:t>
            </w:r>
          </w:p>
        </w:tc>
        <w:tc>
          <w:tcPr>
            <w:tcW w:w="1471" w:type="dxa"/>
            <w:shd w:val="clear" w:color="auto" w:fill="auto"/>
            <w:vAlign w:val="bottom"/>
            <w:hideMark/>
          </w:tcPr>
          <w:p w14:paraId="2FF92BB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19,6 %</w:t>
            </w:r>
          </w:p>
        </w:tc>
      </w:tr>
      <w:tr w:rsidR="00EB5903" w:rsidRPr="00BE2E8F" w14:paraId="3FB76AF2" w14:textId="77777777" w:rsidTr="008B4897">
        <w:tc>
          <w:tcPr>
            <w:tcW w:w="1134" w:type="dxa"/>
            <w:vMerge/>
            <w:shd w:val="clear" w:color="auto" w:fill="auto"/>
            <w:hideMark/>
          </w:tcPr>
          <w:p w14:paraId="40EC27A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3EBA9CB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Alagoas </w:t>
            </w:r>
          </w:p>
        </w:tc>
        <w:tc>
          <w:tcPr>
            <w:tcW w:w="1471" w:type="dxa"/>
            <w:shd w:val="clear" w:color="auto" w:fill="auto"/>
            <w:vAlign w:val="bottom"/>
            <w:hideMark/>
          </w:tcPr>
          <w:p w14:paraId="181B114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1 812</w:t>
            </w:r>
          </w:p>
        </w:tc>
        <w:tc>
          <w:tcPr>
            <w:tcW w:w="1471" w:type="dxa"/>
            <w:shd w:val="clear" w:color="auto" w:fill="auto"/>
            <w:vAlign w:val="bottom"/>
            <w:hideMark/>
          </w:tcPr>
          <w:p w14:paraId="6172300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1 185</w:t>
            </w:r>
          </w:p>
        </w:tc>
        <w:tc>
          <w:tcPr>
            <w:tcW w:w="1471" w:type="dxa"/>
            <w:shd w:val="clear" w:color="auto" w:fill="auto"/>
            <w:vAlign w:val="bottom"/>
            <w:hideMark/>
          </w:tcPr>
          <w:p w14:paraId="74AA2E1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65,4 %</w:t>
            </w:r>
          </w:p>
        </w:tc>
      </w:tr>
      <w:tr w:rsidR="00EB5903" w:rsidRPr="00BE2E8F" w14:paraId="7E2C79F6" w14:textId="77777777" w:rsidTr="008B4897">
        <w:tc>
          <w:tcPr>
            <w:tcW w:w="1134" w:type="dxa"/>
            <w:vMerge/>
            <w:shd w:val="clear" w:color="auto" w:fill="auto"/>
            <w:hideMark/>
          </w:tcPr>
          <w:p w14:paraId="7A8E951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4AFB532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Sergipe </w:t>
            </w:r>
          </w:p>
        </w:tc>
        <w:tc>
          <w:tcPr>
            <w:tcW w:w="1471" w:type="dxa"/>
            <w:shd w:val="clear" w:color="auto" w:fill="auto"/>
            <w:vAlign w:val="bottom"/>
            <w:hideMark/>
          </w:tcPr>
          <w:p w14:paraId="26B1BBF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819</w:t>
            </w:r>
          </w:p>
        </w:tc>
        <w:tc>
          <w:tcPr>
            <w:tcW w:w="1471" w:type="dxa"/>
            <w:shd w:val="clear" w:color="auto" w:fill="auto"/>
            <w:vAlign w:val="bottom"/>
            <w:hideMark/>
          </w:tcPr>
          <w:p w14:paraId="0B83A59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525</w:t>
            </w:r>
          </w:p>
        </w:tc>
        <w:tc>
          <w:tcPr>
            <w:tcW w:w="1471" w:type="dxa"/>
            <w:shd w:val="clear" w:color="auto" w:fill="auto"/>
            <w:vAlign w:val="bottom"/>
            <w:hideMark/>
          </w:tcPr>
          <w:p w14:paraId="5473EBD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64,1 %</w:t>
            </w:r>
          </w:p>
        </w:tc>
      </w:tr>
      <w:tr w:rsidR="00EB5903" w:rsidRPr="00BE2E8F" w14:paraId="5FE3698F" w14:textId="77777777" w:rsidTr="008B4897">
        <w:tc>
          <w:tcPr>
            <w:tcW w:w="1134" w:type="dxa"/>
            <w:vMerge/>
            <w:shd w:val="clear" w:color="auto" w:fill="auto"/>
            <w:hideMark/>
          </w:tcPr>
          <w:p w14:paraId="0B4FDC2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11BDEC3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Bahia </w:t>
            </w:r>
          </w:p>
        </w:tc>
        <w:tc>
          <w:tcPr>
            <w:tcW w:w="1471" w:type="dxa"/>
            <w:shd w:val="clear" w:color="auto" w:fill="auto"/>
            <w:vAlign w:val="bottom"/>
            <w:hideMark/>
          </w:tcPr>
          <w:p w14:paraId="3E1C7D6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3 647</w:t>
            </w:r>
          </w:p>
        </w:tc>
        <w:tc>
          <w:tcPr>
            <w:tcW w:w="1471" w:type="dxa"/>
            <w:shd w:val="clear" w:color="auto" w:fill="auto"/>
            <w:vAlign w:val="bottom"/>
            <w:hideMark/>
          </w:tcPr>
          <w:p w14:paraId="6602EC4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1 136</w:t>
            </w:r>
          </w:p>
        </w:tc>
        <w:tc>
          <w:tcPr>
            <w:tcW w:w="1471" w:type="dxa"/>
            <w:shd w:val="clear" w:color="auto" w:fill="auto"/>
            <w:vAlign w:val="bottom"/>
            <w:hideMark/>
          </w:tcPr>
          <w:p w14:paraId="192FF55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31,1 %</w:t>
            </w:r>
          </w:p>
        </w:tc>
      </w:tr>
      <w:tr w:rsidR="00EB5903" w:rsidRPr="00BE2E8F" w14:paraId="3CFBFA12" w14:textId="77777777" w:rsidTr="008B4897">
        <w:tc>
          <w:tcPr>
            <w:tcW w:w="1134" w:type="dxa"/>
            <w:vMerge/>
            <w:shd w:val="clear" w:color="auto" w:fill="auto"/>
            <w:hideMark/>
          </w:tcPr>
          <w:p w14:paraId="32558F2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1762B7B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Minas Gerais </w:t>
            </w:r>
          </w:p>
        </w:tc>
        <w:tc>
          <w:tcPr>
            <w:tcW w:w="1471" w:type="dxa"/>
            <w:shd w:val="clear" w:color="auto" w:fill="auto"/>
            <w:vAlign w:val="bottom"/>
            <w:hideMark/>
          </w:tcPr>
          <w:p w14:paraId="412DF54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9 279</w:t>
            </w:r>
          </w:p>
        </w:tc>
        <w:tc>
          <w:tcPr>
            <w:tcW w:w="1471" w:type="dxa"/>
            <w:shd w:val="clear" w:color="auto" w:fill="auto"/>
            <w:vAlign w:val="bottom"/>
            <w:hideMark/>
          </w:tcPr>
          <w:p w14:paraId="1B27F89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4 501</w:t>
            </w:r>
          </w:p>
        </w:tc>
        <w:tc>
          <w:tcPr>
            <w:tcW w:w="1471" w:type="dxa"/>
            <w:shd w:val="clear" w:color="auto" w:fill="auto"/>
            <w:vAlign w:val="bottom"/>
            <w:hideMark/>
          </w:tcPr>
          <w:p w14:paraId="67798BF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48,5 %</w:t>
            </w:r>
          </w:p>
        </w:tc>
      </w:tr>
      <w:tr w:rsidR="00EB5903" w:rsidRPr="00BE2E8F" w14:paraId="67D1772C" w14:textId="77777777" w:rsidTr="008B4897">
        <w:tc>
          <w:tcPr>
            <w:tcW w:w="1134" w:type="dxa"/>
            <w:vMerge/>
            <w:shd w:val="clear" w:color="auto" w:fill="auto"/>
            <w:hideMark/>
          </w:tcPr>
          <w:p w14:paraId="29B54ED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2B9F7BA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Espírito</w:t>
            </w:r>
            <w:proofErr w:type="spellEnd"/>
            <w:r>
              <w:rPr>
                <w:sz w:val="18"/>
              </w:rPr>
              <w:t xml:space="preserve"> Santo </w:t>
            </w:r>
          </w:p>
        </w:tc>
        <w:tc>
          <w:tcPr>
            <w:tcW w:w="1471" w:type="dxa"/>
            <w:shd w:val="clear" w:color="auto" w:fill="auto"/>
            <w:vAlign w:val="bottom"/>
            <w:hideMark/>
          </w:tcPr>
          <w:p w14:paraId="2058A4A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3 879</w:t>
            </w:r>
          </w:p>
        </w:tc>
        <w:tc>
          <w:tcPr>
            <w:tcW w:w="1471" w:type="dxa"/>
            <w:shd w:val="clear" w:color="auto" w:fill="auto"/>
            <w:vAlign w:val="bottom"/>
            <w:hideMark/>
          </w:tcPr>
          <w:p w14:paraId="03B2018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1 495</w:t>
            </w:r>
          </w:p>
        </w:tc>
        <w:tc>
          <w:tcPr>
            <w:tcW w:w="1471" w:type="dxa"/>
            <w:shd w:val="clear" w:color="auto" w:fill="auto"/>
            <w:vAlign w:val="bottom"/>
            <w:hideMark/>
          </w:tcPr>
          <w:p w14:paraId="5EF13D8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38,5 %</w:t>
            </w:r>
          </w:p>
        </w:tc>
      </w:tr>
      <w:tr w:rsidR="00EB5903" w:rsidRPr="00BE2E8F" w14:paraId="551619B2" w14:textId="77777777" w:rsidTr="008B4897">
        <w:tc>
          <w:tcPr>
            <w:tcW w:w="1134" w:type="dxa"/>
            <w:vMerge/>
            <w:shd w:val="clear" w:color="auto" w:fill="auto"/>
            <w:hideMark/>
          </w:tcPr>
          <w:p w14:paraId="69D5AFB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45C4074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de Janeiro </w:t>
            </w:r>
          </w:p>
        </w:tc>
        <w:tc>
          <w:tcPr>
            <w:tcW w:w="1471" w:type="dxa"/>
            <w:shd w:val="clear" w:color="auto" w:fill="auto"/>
            <w:vAlign w:val="bottom"/>
            <w:hideMark/>
          </w:tcPr>
          <w:p w14:paraId="0C58274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17 408</w:t>
            </w:r>
          </w:p>
        </w:tc>
        <w:tc>
          <w:tcPr>
            <w:tcW w:w="1471" w:type="dxa"/>
            <w:shd w:val="clear" w:color="auto" w:fill="auto"/>
            <w:vAlign w:val="bottom"/>
            <w:hideMark/>
          </w:tcPr>
          <w:p w14:paraId="2CE7ABA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4 044</w:t>
            </w:r>
          </w:p>
        </w:tc>
        <w:tc>
          <w:tcPr>
            <w:tcW w:w="1471" w:type="dxa"/>
            <w:shd w:val="clear" w:color="auto" w:fill="auto"/>
            <w:vAlign w:val="bottom"/>
            <w:hideMark/>
          </w:tcPr>
          <w:p w14:paraId="4EB01B5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23,2 %</w:t>
            </w:r>
          </w:p>
        </w:tc>
      </w:tr>
      <w:tr w:rsidR="00EB5903" w:rsidRPr="00BE2E8F" w14:paraId="2EDA6A39" w14:textId="77777777" w:rsidTr="008B4897">
        <w:tc>
          <w:tcPr>
            <w:tcW w:w="1134" w:type="dxa"/>
            <w:vMerge/>
            <w:shd w:val="clear" w:color="auto" w:fill="auto"/>
            <w:hideMark/>
          </w:tcPr>
          <w:p w14:paraId="4BE49EE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1CAFCFB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São Paulo </w:t>
            </w:r>
          </w:p>
        </w:tc>
        <w:tc>
          <w:tcPr>
            <w:tcW w:w="1471" w:type="dxa"/>
            <w:shd w:val="clear" w:color="auto" w:fill="auto"/>
            <w:vAlign w:val="bottom"/>
            <w:hideMark/>
          </w:tcPr>
          <w:p w14:paraId="1FC07F3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32 836</w:t>
            </w:r>
          </w:p>
        </w:tc>
        <w:tc>
          <w:tcPr>
            <w:tcW w:w="1471" w:type="dxa"/>
            <w:shd w:val="clear" w:color="auto" w:fill="auto"/>
            <w:vAlign w:val="bottom"/>
            <w:hideMark/>
          </w:tcPr>
          <w:p w14:paraId="36DE263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13 670</w:t>
            </w:r>
          </w:p>
        </w:tc>
        <w:tc>
          <w:tcPr>
            <w:tcW w:w="1471" w:type="dxa"/>
            <w:shd w:val="clear" w:color="auto" w:fill="auto"/>
            <w:vAlign w:val="bottom"/>
            <w:hideMark/>
          </w:tcPr>
          <w:p w14:paraId="036E05A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41,6 %</w:t>
            </w:r>
          </w:p>
        </w:tc>
      </w:tr>
      <w:tr w:rsidR="00EB5903" w:rsidRPr="00BE2E8F" w14:paraId="7DFC7246" w14:textId="77777777" w:rsidTr="008B4897">
        <w:tc>
          <w:tcPr>
            <w:tcW w:w="1134" w:type="dxa"/>
            <w:vMerge/>
            <w:shd w:val="clear" w:color="auto" w:fill="auto"/>
            <w:hideMark/>
          </w:tcPr>
          <w:p w14:paraId="0C29CEC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3AEF238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Paraná </w:t>
            </w:r>
          </w:p>
        </w:tc>
        <w:tc>
          <w:tcPr>
            <w:tcW w:w="1471" w:type="dxa"/>
            <w:shd w:val="clear" w:color="auto" w:fill="auto"/>
            <w:vAlign w:val="bottom"/>
            <w:hideMark/>
          </w:tcPr>
          <w:p w14:paraId="0332CD7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18 366</w:t>
            </w:r>
          </w:p>
        </w:tc>
        <w:tc>
          <w:tcPr>
            <w:tcW w:w="1471" w:type="dxa"/>
            <w:shd w:val="clear" w:color="auto" w:fill="auto"/>
            <w:vAlign w:val="bottom"/>
            <w:hideMark/>
          </w:tcPr>
          <w:p w14:paraId="4F00CC0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4 532</w:t>
            </w:r>
          </w:p>
        </w:tc>
        <w:tc>
          <w:tcPr>
            <w:tcW w:w="1471" w:type="dxa"/>
            <w:shd w:val="clear" w:color="auto" w:fill="auto"/>
            <w:vAlign w:val="bottom"/>
            <w:hideMark/>
          </w:tcPr>
          <w:p w14:paraId="6CA12B0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24,7 %</w:t>
            </w:r>
          </w:p>
        </w:tc>
      </w:tr>
      <w:tr w:rsidR="00EB5903" w:rsidRPr="00BE2E8F" w14:paraId="76BB1ECC" w14:textId="77777777" w:rsidTr="008B4897">
        <w:tc>
          <w:tcPr>
            <w:tcW w:w="1134" w:type="dxa"/>
            <w:vMerge/>
            <w:shd w:val="clear" w:color="auto" w:fill="auto"/>
            <w:hideMark/>
          </w:tcPr>
          <w:p w14:paraId="58B8D34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458D26C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Santa Catarina </w:t>
            </w:r>
          </w:p>
        </w:tc>
        <w:tc>
          <w:tcPr>
            <w:tcW w:w="1471" w:type="dxa"/>
            <w:shd w:val="clear" w:color="auto" w:fill="auto"/>
            <w:vAlign w:val="bottom"/>
            <w:hideMark/>
          </w:tcPr>
          <w:p w14:paraId="531562A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6 190</w:t>
            </w:r>
          </w:p>
        </w:tc>
        <w:tc>
          <w:tcPr>
            <w:tcW w:w="1471" w:type="dxa"/>
            <w:shd w:val="clear" w:color="auto" w:fill="auto"/>
            <w:vAlign w:val="bottom"/>
            <w:hideMark/>
          </w:tcPr>
          <w:p w14:paraId="7677848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2 203</w:t>
            </w:r>
          </w:p>
        </w:tc>
        <w:tc>
          <w:tcPr>
            <w:tcW w:w="1471" w:type="dxa"/>
            <w:shd w:val="clear" w:color="auto" w:fill="auto"/>
            <w:vAlign w:val="bottom"/>
            <w:hideMark/>
          </w:tcPr>
          <w:p w14:paraId="622313C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35,6 %</w:t>
            </w:r>
          </w:p>
        </w:tc>
      </w:tr>
      <w:tr w:rsidR="00EB5903" w:rsidRPr="00BE2E8F" w14:paraId="2099D537" w14:textId="77777777" w:rsidTr="008B4897">
        <w:tc>
          <w:tcPr>
            <w:tcW w:w="1134" w:type="dxa"/>
            <w:vMerge/>
            <w:shd w:val="clear" w:color="auto" w:fill="auto"/>
            <w:hideMark/>
          </w:tcPr>
          <w:p w14:paraId="03995FF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2E0330E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Grande do Sul </w:t>
            </w:r>
          </w:p>
        </w:tc>
        <w:tc>
          <w:tcPr>
            <w:tcW w:w="1471" w:type="dxa"/>
            <w:shd w:val="clear" w:color="auto" w:fill="auto"/>
            <w:vAlign w:val="bottom"/>
            <w:hideMark/>
          </w:tcPr>
          <w:p w14:paraId="4B7864F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8 407</w:t>
            </w:r>
          </w:p>
        </w:tc>
        <w:tc>
          <w:tcPr>
            <w:tcW w:w="1471" w:type="dxa"/>
            <w:shd w:val="clear" w:color="auto" w:fill="auto"/>
            <w:vAlign w:val="bottom"/>
            <w:hideMark/>
          </w:tcPr>
          <w:p w14:paraId="64C6170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3 519</w:t>
            </w:r>
          </w:p>
        </w:tc>
        <w:tc>
          <w:tcPr>
            <w:tcW w:w="1471" w:type="dxa"/>
            <w:shd w:val="clear" w:color="auto" w:fill="auto"/>
            <w:vAlign w:val="bottom"/>
            <w:hideMark/>
          </w:tcPr>
          <w:p w14:paraId="1E6EED7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41,9 %</w:t>
            </w:r>
          </w:p>
        </w:tc>
      </w:tr>
      <w:tr w:rsidR="00EB5903" w:rsidRPr="00BE2E8F" w14:paraId="41CF5CF7" w14:textId="77777777" w:rsidTr="008B4897">
        <w:tc>
          <w:tcPr>
            <w:tcW w:w="1134" w:type="dxa"/>
            <w:vMerge/>
            <w:shd w:val="clear" w:color="auto" w:fill="auto"/>
            <w:hideMark/>
          </w:tcPr>
          <w:p w14:paraId="48955BA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24EAB44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Mato Grosso do Sul </w:t>
            </w:r>
          </w:p>
        </w:tc>
        <w:tc>
          <w:tcPr>
            <w:tcW w:w="1471" w:type="dxa"/>
            <w:shd w:val="clear" w:color="auto" w:fill="auto"/>
            <w:vAlign w:val="bottom"/>
            <w:hideMark/>
          </w:tcPr>
          <w:p w14:paraId="5B128C4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3 973</w:t>
            </w:r>
          </w:p>
        </w:tc>
        <w:tc>
          <w:tcPr>
            <w:tcW w:w="1471" w:type="dxa"/>
            <w:shd w:val="clear" w:color="auto" w:fill="auto"/>
            <w:vAlign w:val="bottom"/>
            <w:hideMark/>
          </w:tcPr>
          <w:p w14:paraId="719CC8D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616</w:t>
            </w:r>
          </w:p>
        </w:tc>
        <w:tc>
          <w:tcPr>
            <w:tcW w:w="1471" w:type="dxa"/>
            <w:shd w:val="clear" w:color="auto" w:fill="auto"/>
            <w:vAlign w:val="bottom"/>
            <w:hideMark/>
          </w:tcPr>
          <w:p w14:paraId="26D12D9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15,5 %</w:t>
            </w:r>
          </w:p>
        </w:tc>
      </w:tr>
      <w:tr w:rsidR="00EB5903" w:rsidRPr="00BE2E8F" w14:paraId="44FF6FBE" w14:textId="77777777" w:rsidTr="008B4897">
        <w:tc>
          <w:tcPr>
            <w:tcW w:w="1134" w:type="dxa"/>
            <w:vMerge/>
            <w:shd w:val="clear" w:color="auto" w:fill="auto"/>
            <w:hideMark/>
          </w:tcPr>
          <w:p w14:paraId="4B2E386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4736F55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Mato Grosso </w:t>
            </w:r>
          </w:p>
        </w:tc>
        <w:tc>
          <w:tcPr>
            <w:tcW w:w="1471" w:type="dxa"/>
            <w:shd w:val="clear" w:color="auto" w:fill="auto"/>
            <w:vAlign w:val="bottom"/>
            <w:hideMark/>
          </w:tcPr>
          <w:p w14:paraId="226E618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1 035</w:t>
            </w:r>
          </w:p>
        </w:tc>
        <w:tc>
          <w:tcPr>
            <w:tcW w:w="1471" w:type="dxa"/>
            <w:shd w:val="clear" w:color="auto" w:fill="auto"/>
            <w:vAlign w:val="bottom"/>
            <w:hideMark/>
          </w:tcPr>
          <w:p w14:paraId="7FA0FD0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648</w:t>
            </w:r>
          </w:p>
        </w:tc>
        <w:tc>
          <w:tcPr>
            <w:tcW w:w="1471" w:type="dxa"/>
            <w:shd w:val="clear" w:color="auto" w:fill="auto"/>
            <w:vAlign w:val="bottom"/>
            <w:hideMark/>
          </w:tcPr>
          <w:p w14:paraId="5E17756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62,6 %</w:t>
            </w:r>
          </w:p>
        </w:tc>
      </w:tr>
      <w:tr w:rsidR="00EB5903" w:rsidRPr="00BE2E8F" w14:paraId="1F82AE1C" w14:textId="77777777" w:rsidTr="008B4897">
        <w:tc>
          <w:tcPr>
            <w:tcW w:w="1134" w:type="dxa"/>
            <w:vMerge/>
            <w:shd w:val="clear" w:color="auto" w:fill="auto"/>
            <w:hideMark/>
          </w:tcPr>
          <w:p w14:paraId="166EB3E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2FF768C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Goiás </w:t>
            </w:r>
          </w:p>
        </w:tc>
        <w:tc>
          <w:tcPr>
            <w:tcW w:w="1471" w:type="dxa"/>
            <w:shd w:val="clear" w:color="auto" w:fill="auto"/>
            <w:vAlign w:val="bottom"/>
            <w:hideMark/>
          </w:tcPr>
          <w:p w14:paraId="417B49F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7 222</w:t>
            </w:r>
          </w:p>
        </w:tc>
        <w:tc>
          <w:tcPr>
            <w:tcW w:w="1471" w:type="dxa"/>
            <w:shd w:val="clear" w:color="auto" w:fill="auto"/>
            <w:vAlign w:val="bottom"/>
            <w:hideMark/>
          </w:tcPr>
          <w:p w14:paraId="31D0B6D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2 559</w:t>
            </w:r>
          </w:p>
        </w:tc>
        <w:tc>
          <w:tcPr>
            <w:tcW w:w="1471" w:type="dxa"/>
            <w:shd w:val="clear" w:color="auto" w:fill="auto"/>
            <w:vAlign w:val="bottom"/>
            <w:hideMark/>
          </w:tcPr>
          <w:p w14:paraId="2F02F52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35,4 %</w:t>
            </w:r>
          </w:p>
        </w:tc>
      </w:tr>
      <w:tr w:rsidR="00EB5903" w:rsidRPr="00BE2E8F" w14:paraId="328043B7" w14:textId="77777777" w:rsidTr="008B4897">
        <w:tc>
          <w:tcPr>
            <w:tcW w:w="1134" w:type="dxa"/>
            <w:vMerge/>
            <w:shd w:val="clear" w:color="auto" w:fill="auto"/>
            <w:hideMark/>
          </w:tcPr>
          <w:p w14:paraId="735E27B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7E264C2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Distrito</w:t>
            </w:r>
            <w:proofErr w:type="spellEnd"/>
            <w:r>
              <w:rPr>
                <w:sz w:val="18"/>
              </w:rPr>
              <w:t xml:space="preserve"> </w:t>
            </w:r>
            <w:proofErr w:type="spellStart"/>
            <w:r>
              <w:rPr>
                <w:sz w:val="18"/>
              </w:rPr>
              <w:t>Federal</w:t>
            </w:r>
            <w:proofErr w:type="spellEnd"/>
            <w:r>
              <w:rPr>
                <w:sz w:val="18"/>
              </w:rPr>
              <w:t> </w:t>
            </w:r>
          </w:p>
        </w:tc>
        <w:tc>
          <w:tcPr>
            <w:tcW w:w="1471" w:type="dxa"/>
            <w:shd w:val="clear" w:color="auto" w:fill="auto"/>
            <w:vAlign w:val="bottom"/>
            <w:hideMark/>
          </w:tcPr>
          <w:p w14:paraId="1E4468A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1 850</w:t>
            </w:r>
          </w:p>
        </w:tc>
        <w:tc>
          <w:tcPr>
            <w:tcW w:w="1471" w:type="dxa"/>
            <w:shd w:val="clear" w:color="auto" w:fill="auto"/>
            <w:vAlign w:val="bottom"/>
            <w:hideMark/>
          </w:tcPr>
          <w:p w14:paraId="4170C66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1 102</w:t>
            </w:r>
          </w:p>
        </w:tc>
        <w:tc>
          <w:tcPr>
            <w:tcW w:w="1471" w:type="dxa"/>
            <w:shd w:val="clear" w:color="auto" w:fill="auto"/>
            <w:vAlign w:val="bottom"/>
            <w:hideMark/>
          </w:tcPr>
          <w:p w14:paraId="1E79676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59,6 %</w:t>
            </w:r>
          </w:p>
        </w:tc>
      </w:tr>
      <w:tr w:rsidR="00EB5903" w:rsidRPr="00BE2E8F" w14:paraId="4AB12AE6" w14:textId="77777777" w:rsidTr="008B4897">
        <w:tc>
          <w:tcPr>
            <w:tcW w:w="1134" w:type="dxa"/>
            <w:vMerge/>
            <w:shd w:val="clear" w:color="auto" w:fill="auto"/>
            <w:hideMark/>
          </w:tcPr>
          <w:p w14:paraId="7DB29BE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481386EB" w14:textId="77777777" w:rsidR="00EB5903" w:rsidRPr="003E2235"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Brésil </w:t>
            </w:r>
          </w:p>
        </w:tc>
        <w:tc>
          <w:tcPr>
            <w:tcW w:w="1471" w:type="dxa"/>
            <w:shd w:val="clear" w:color="auto" w:fill="auto"/>
            <w:vAlign w:val="bottom"/>
            <w:hideMark/>
          </w:tcPr>
          <w:p w14:paraId="302BC069" w14:textId="77777777" w:rsidR="00EB5903" w:rsidRPr="003E2235"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149 221</w:t>
            </w:r>
          </w:p>
        </w:tc>
        <w:tc>
          <w:tcPr>
            <w:tcW w:w="1471" w:type="dxa"/>
            <w:shd w:val="clear" w:color="auto" w:fill="auto"/>
            <w:vAlign w:val="bottom"/>
            <w:hideMark/>
          </w:tcPr>
          <w:p w14:paraId="19814A39" w14:textId="77777777" w:rsidR="00EB5903" w:rsidRPr="003E2235"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54 097</w:t>
            </w:r>
          </w:p>
        </w:tc>
        <w:tc>
          <w:tcPr>
            <w:tcW w:w="1471" w:type="dxa"/>
            <w:shd w:val="clear" w:color="auto" w:fill="auto"/>
            <w:vAlign w:val="bottom"/>
            <w:hideMark/>
          </w:tcPr>
          <w:p w14:paraId="10092A87" w14:textId="77777777" w:rsidR="00EB5903" w:rsidRPr="003E2235"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36,3 %</w:t>
            </w:r>
          </w:p>
        </w:tc>
      </w:tr>
    </w:tbl>
    <w:p w14:paraId="09C799B1" w14:textId="7F839833" w:rsidR="00EB5903" w:rsidRPr="00BE2E8F" w:rsidRDefault="00EB5903" w:rsidP="001F2294">
      <w:pPr>
        <w:spacing w:before="120" w:after="240"/>
        <w:ind w:left="1134" w:right="1134" w:firstLine="170"/>
        <w:rPr>
          <w:sz w:val="18"/>
        </w:rPr>
      </w:pPr>
      <w:r>
        <w:rPr>
          <w:i/>
          <w:sz w:val="18"/>
        </w:rPr>
        <w:t>Source </w:t>
      </w:r>
      <w:r>
        <w:rPr>
          <w:sz w:val="18"/>
        </w:rPr>
        <w:t>: Système d’information sur les maladies à déclaration obligatoire (SINAN), Ministère de la santé</w:t>
      </w:r>
      <w:r w:rsidR="00EB41A0">
        <w:rPr>
          <w:sz w:val="18"/>
        </w:rPr>
        <w:t>.</w:t>
      </w:r>
    </w:p>
    <w:p w14:paraId="495FD080" w14:textId="77777777" w:rsidR="00EB5903" w:rsidRPr="00BE2E8F" w:rsidRDefault="00EB5903" w:rsidP="00EB5903">
      <w:pPr>
        <w:pStyle w:val="H1G"/>
      </w:pPr>
      <w:bookmarkStart w:id="4" w:name="_Hlk192067993"/>
      <w:r>
        <w:tab/>
      </w:r>
      <w:r>
        <w:tab/>
        <w:t xml:space="preserve">Réponse aux paragraphes 16 b), c), d), e), f) et g) de la liste de points </w:t>
      </w:r>
    </w:p>
    <w:p w14:paraId="7BCE96FD" w14:textId="77777777" w:rsidR="00EB5903" w:rsidRPr="00BE2E8F" w:rsidRDefault="00EB5903" w:rsidP="00EB5903">
      <w:pPr>
        <w:pStyle w:val="SingleTxtG"/>
      </w:pPr>
      <w:r>
        <w:t>107.</w:t>
      </w:r>
      <w:r>
        <w:tab/>
        <w:t>Voir l’annexe.</w:t>
      </w:r>
    </w:p>
    <w:p w14:paraId="3F83559B" w14:textId="77777777" w:rsidR="00EB5903" w:rsidRPr="00BE2E8F" w:rsidRDefault="00EB5903" w:rsidP="00EB5903">
      <w:pPr>
        <w:pStyle w:val="H1G"/>
      </w:pPr>
      <w:bookmarkStart w:id="5" w:name="_Hlk192068811"/>
      <w:bookmarkEnd w:id="4"/>
      <w:r>
        <w:tab/>
      </w:r>
      <w:r>
        <w:tab/>
        <w:t xml:space="preserve">Réponse au paragraphe 16 h) de la liste de points </w:t>
      </w:r>
    </w:p>
    <w:bookmarkEnd w:id="5"/>
    <w:p w14:paraId="2C77F227" w14:textId="77777777" w:rsidR="00EB5903" w:rsidRPr="00BE2E8F" w:rsidRDefault="00EB5903" w:rsidP="00EB5903">
      <w:pPr>
        <w:pStyle w:val="SingleTxtG"/>
        <w:keepNext/>
        <w:spacing w:after="240"/>
      </w:pPr>
      <w:r>
        <w:t>108.</w:t>
      </w:r>
      <w:r>
        <w:tab/>
        <w:t>Nombre de cas d’enfants exposés au VIH signalés, par région de résidence et année de diagnostic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661"/>
        <w:gridCol w:w="661"/>
        <w:gridCol w:w="662"/>
        <w:gridCol w:w="661"/>
        <w:gridCol w:w="661"/>
        <w:gridCol w:w="662"/>
        <w:gridCol w:w="661"/>
        <w:gridCol w:w="661"/>
        <w:gridCol w:w="662"/>
      </w:tblGrid>
      <w:tr w:rsidR="00EB5903" w:rsidRPr="00BE2E8F" w14:paraId="6993CEB9" w14:textId="77777777" w:rsidTr="008B4897">
        <w:trPr>
          <w:tblHeader/>
        </w:trPr>
        <w:tc>
          <w:tcPr>
            <w:tcW w:w="1418" w:type="dxa"/>
            <w:tcBorders>
              <w:top w:val="single" w:sz="4" w:space="0" w:color="auto"/>
              <w:bottom w:val="single" w:sz="12" w:space="0" w:color="auto"/>
            </w:tcBorders>
            <w:shd w:val="clear" w:color="auto" w:fill="auto"/>
            <w:vAlign w:val="bottom"/>
            <w:hideMark/>
          </w:tcPr>
          <w:p w14:paraId="109189A7"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Région de résidence</w:t>
            </w:r>
          </w:p>
        </w:tc>
        <w:tc>
          <w:tcPr>
            <w:tcW w:w="661" w:type="dxa"/>
            <w:tcBorders>
              <w:top w:val="single" w:sz="4" w:space="0" w:color="auto"/>
              <w:bottom w:val="single" w:sz="12" w:space="0" w:color="auto"/>
            </w:tcBorders>
            <w:shd w:val="clear" w:color="auto" w:fill="auto"/>
            <w:vAlign w:val="bottom"/>
            <w:hideMark/>
          </w:tcPr>
          <w:p w14:paraId="3A5A8A15"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2015</w:t>
            </w:r>
          </w:p>
        </w:tc>
        <w:tc>
          <w:tcPr>
            <w:tcW w:w="661" w:type="dxa"/>
            <w:tcBorders>
              <w:top w:val="single" w:sz="4" w:space="0" w:color="auto"/>
              <w:bottom w:val="single" w:sz="12" w:space="0" w:color="auto"/>
            </w:tcBorders>
            <w:shd w:val="clear" w:color="auto" w:fill="auto"/>
            <w:vAlign w:val="bottom"/>
            <w:hideMark/>
          </w:tcPr>
          <w:p w14:paraId="3E702D3B"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2016</w:t>
            </w:r>
          </w:p>
        </w:tc>
        <w:tc>
          <w:tcPr>
            <w:tcW w:w="662" w:type="dxa"/>
            <w:tcBorders>
              <w:top w:val="single" w:sz="4" w:space="0" w:color="auto"/>
              <w:bottom w:val="single" w:sz="12" w:space="0" w:color="auto"/>
            </w:tcBorders>
            <w:shd w:val="clear" w:color="auto" w:fill="auto"/>
            <w:vAlign w:val="bottom"/>
            <w:hideMark/>
          </w:tcPr>
          <w:p w14:paraId="708415F5"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2017</w:t>
            </w:r>
          </w:p>
        </w:tc>
        <w:tc>
          <w:tcPr>
            <w:tcW w:w="661" w:type="dxa"/>
            <w:tcBorders>
              <w:top w:val="single" w:sz="4" w:space="0" w:color="auto"/>
              <w:bottom w:val="single" w:sz="12" w:space="0" w:color="auto"/>
            </w:tcBorders>
            <w:shd w:val="clear" w:color="auto" w:fill="auto"/>
            <w:vAlign w:val="bottom"/>
            <w:hideMark/>
          </w:tcPr>
          <w:p w14:paraId="164B5CEE"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2018</w:t>
            </w:r>
          </w:p>
        </w:tc>
        <w:tc>
          <w:tcPr>
            <w:tcW w:w="661" w:type="dxa"/>
            <w:tcBorders>
              <w:top w:val="single" w:sz="4" w:space="0" w:color="auto"/>
              <w:bottom w:val="single" w:sz="12" w:space="0" w:color="auto"/>
            </w:tcBorders>
            <w:shd w:val="clear" w:color="auto" w:fill="auto"/>
            <w:vAlign w:val="bottom"/>
            <w:hideMark/>
          </w:tcPr>
          <w:p w14:paraId="6438D2ED"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2019</w:t>
            </w:r>
          </w:p>
        </w:tc>
        <w:tc>
          <w:tcPr>
            <w:tcW w:w="662" w:type="dxa"/>
            <w:tcBorders>
              <w:top w:val="single" w:sz="4" w:space="0" w:color="auto"/>
              <w:bottom w:val="single" w:sz="12" w:space="0" w:color="auto"/>
            </w:tcBorders>
            <w:shd w:val="clear" w:color="auto" w:fill="auto"/>
            <w:vAlign w:val="bottom"/>
            <w:hideMark/>
          </w:tcPr>
          <w:p w14:paraId="7300BE56"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2020</w:t>
            </w:r>
          </w:p>
        </w:tc>
        <w:tc>
          <w:tcPr>
            <w:tcW w:w="661" w:type="dxa"/>
            <w:tcBorders>
              <w:top w:val="single" w:sz="4" w:space="0" w:color="auto"/>
              <w:bottom w:val="single" w:sz="12" w:space="0" w:color="auto"/>
            </w:tcBorders>
            <w:shd w:val="clear" w:color="auto" w:fill="auto"/>
            <w:vAlign w:val="bottom"/>
            <w:hideMark/>
          </w:tcPr>
          <w:p w14:paraId="7E92ED30"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2021</w:t>
            </w:r>
          </w:p>
        </w:tc>
        <w:tc>
          <w:tcPr>
            <w:tcW w:w="661" w:type="dxa"/>
            <w:tcBorders>
              <w:top w:val="single" w:sz="4" w:space="0" w:color="auto"/>
              <w:bottom w:val="single" w:sz="12" w:space="0" w:color="auto"/>
            </w:tcBorders>
            <w:shd w:val="clear" w:color="auto" w:fill="auto"/>
            <w:vAlign w:val="bottom"/>
            <w:hideMark/>
          </w:tcPr>
          <w:p w14:paraId="65A245B1"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2022</w:t>
            </w:r>
          </w:p>
        </w:tc>
        <w:tc>
          <w:tcPr>
            <w:tcW w:w="662" w:type="dxa"/>
            <w:tcBorders>
              <w:top w:val="single" w:sz="4" w:space="0" w:color="auto"/>
              <w:bottom w:val="single" w:sz="12" w:space="0" w:color="auto"/>
            </w:tcBorders>
            <w:shd w:val="clear" w:color="auto" w:fill="auto"/>
            <w:vAlign w:val="bottom"/>
            <w:hideMark/>
          </w:tcPr>
          <w:p w14:paraId="1D588FDD"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2023</w:t>
            </w:r>
          </w:p>
        </w:tc>
      </w:tr>
      <w:tr w:rsidR="00EB5903" w:rsidRPr="00BE2E8F" w14:paraId="0CDE2603" w14:textId="77777777" w:rsidTr="008B4897">
        <w:trPr>
          <w:trHeight w:hRule="exact" w:val="113"/>
          <w:tblHeader/>
        </w:trPr>
        <w:tc>
          <w:tcPr>
            <w:tcW w:w="1418" w:type="dxa"/>
            <w:tcBorders>
              <w:top w:val="single" w:sz="12" w:space="0" w:color="auto"/>
              <w:bottom w:val="nil"/>
            </w:tcBorders>
            <w:shd w:val="clear" w:color="auto" w:fill="auto"/>
            <w:vAlign w:val="bottom"/>
          </w:tcPr>
          <w:p w14:paraId="666E8D4F"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p>
        </w:tc>
        <w:tc>
          <w:tcPr>
            <w:tcW w:w="661" w:type="dxa"/>
            <w:tcBorders>
              <w:top w:val="single" w:sz="12" w:space="0" w:color="auto"/>
              <w:bottom w:val="nil"/>
            </w:tcBorders>
            <w:shd w:val="clear" w:color="auto" w:fill="auto"/>
            <w:vAlign w:val="bottom"/>
          </w:tcPr>
          <w:p w14:paraId="3A300470"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p>
        </w:tc>
        <w:tc>
          <w:tcPr>
            <w:tcW w:w="661" w:type="dxa"/>
            <w:tcBorders>
              <w:top w:val="single" w:sz="12" w:space="0" w:color="auto"/>
              <w:bottom w:val="nil"/>
            </w:tcBorders>
            <w:shd w:val="clear" w:color="auto" w:fill="auto"/>
            <w:vAlign w:val="bottom"/>
          </w:tcPr>
          <w:p w14:paraId="5F271660"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p>
        </w:tc>
        <w:tc>
          <w:tcPr>
            <w:tcW w:w="662" w:type="dxa"/>
            <w:tcBorders>
              <w:top w:val="single" w:sz="12" w:space="0" w:color="auto"/>
              <w:bottom w:val="nil"/>
            </w:tcBorders>
            <w:shd w:val="clear" w:color="auto" w:fill="auto"/>
            <w:vAlign w:val="bottom"/>
          </w:tcPr>
          <w:p w14:paraId="79924AF8"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p>
        </w:tc>
        <w:tc>
          <w:tcPr>
            <w:tcW w:w="661" w:type="dxa"/>
            <w:tcBorders>
              <w:top w:val="single" w:sz="12" w:space="0" w:color="auto"/>
              <w:bottom w:val="nil"/>
            </w:tcBorders>
            <w:shd w:val="clear" w:color="auto" w:fill="auto"/>
            <w:vAlign w:val="bottom"/>
          </w:tcPr>
          <w:p w14:paraId="7C531416"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p>
        </w:tc>
        <w:tc>
          <w:tcPr>
            <w:tcW w:w="661" w:type="dxa"/>
            <w:tcBorders>
              <w:top w:val="single" w:sz="12" w:space="0" w:color="auto"/>
              <w:bottom w:val="nil"/>
            </w:tcBorders>
            <w:shd w:val="clear" w:color="auto" w:fill="auto"/>
            <w:vAlign w:val="bottom"/>
          </w:tcPr>
          <w:p w14:paraId="1A3683E9"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p>
        </w:tc>
        <w:tc>
          <w:tcPr>
            <w:tcW w:w="662" w:type="dxa"/>
            <w:tcBorders>
              <w:top w:val="single" w:sz="12" w:space="0" w:color="auto"/>
              <w:bottom w:val="nil"/>
            </w:tcBorders>
            <w:shd w:val="clear" w:color="auto" w:fill="auto"/>
            <w:vAlign w:val="bottom"/>
          </w:tcPr>
          <w:p w14:paraId="386F351F"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p>
        </w:tc>
        <w:tc>
          <w:tcPr>
            <w:tcW w:w="661" w:type="dxa"/>
            <w:tcBorders>
              <w:top w:val="single" w:sz="12" w:space="0" w:color="auto"/>
              <w:bottom w:val="nil"/>
            </w:tcBorders>
            <w:shd w:val="clear" w:color="auto" w:fill="auto"/>
            <w:vAlign w:val="bottom"/>
          </w:tcPr>
          <w:p w14:paraId="1D55B7F0"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p>
        </w:tc>
        <w:tc>
          <w:tcPr>
            <w:tcW w:w="661" w:type="dxa"/>
            <w:tcBorders>
              <w:top w:val="single" w:sz="12" w:space="0" w:color="auto"/>
              <w:bottom w:val="nil"/>
            </w:tcBorders>
            <w:shd w:val="clear" w:color="auto" w:fill="auto"/>
            <w:vAlign w:val="bottom"/>
          </w:tcPr>
          <w:p w14:paraId="7C7E2536"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p>
        </w:tc>
        <w:tc>
          <w:tcPr>
            <w:tcW w:w="662" w:type="dxa"/>
            <w:tcBorders>
              <w:top w:val="single" w:sz="12" w:space="0" w:color="auto"/>
              <w:bottom w:val="nil"/>
            </w:tcBorders>
            <w:shd w:val="clear" w:color="auto" w:fill="auto"/>
            <w:vAlign w:val="bottom"/>
          </w:tcPr>
          <w:p w14:paraId="0E667D35"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p>
        </w:tc>
      </w:tr>
      <w:tr w:rsidR="00EB5903" w:rsidRPr="00BE2E8F" w14:paraId="1CFA70FD" w14:textId="77777777" w:rsidTr="008B4897">
        <w:tc>
          <w:tcPr>
            <w:tcW w:w="1418" w:type="dxa"/>
            <w:tcBorders>
              <w:top w:val="nil"/>
              <w:bottom w:val="nil"/>
            </w:tcBorders>
            <w:shd w:val="clear" w:color="auto" w:fill="auto"/>
            <w:hideMark/>
          </w:tcPr>
          <w:p w14:paraId="4164E6B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Brésil </w:t>
            </w:r>
          </w:p>
        </w:tc>
        <w:tc>
          <w:tcPr>
            <w:tcW w:w="661" w:type="dxa"/>
            <w:tcBorders>
              <w:top w:val="nil"/>
              <w:bottom w:val="nil"/>
            </w:tcBorders>
            <w:shd w:val="clear" w:color="auto" w:fill="auto"/>
            <w:vAlign w:val="bottom"/>
            <w:hideMark/>
          </w:tcPr>
          <w:p w14:paraId="56F3684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7 307</w:t>
            </w:r>
          </w:p>
        </w:tc>
        <w:tc>
          <w:tcPr>
            <w:tcW w:w="661" w:type="dxa"/>
            <w:tcBorders>
              <w:top w:val="nil"/>
              <w:bottom w:val="nil"/>
            </w:tcBorders>
            <w:shd w:val="clear" w:color="auto" w:fill="auto"/>
            <w:vAlign w:val="bottom"/>
            <w:hideMark/>
          </w:tcPr>
          <w:p w14:paraId="52F419F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7 218</w:t>
            </w:r>
          </w:p>
        </w:tc>
        <w:tc>
          <w:tcPr>
            <w:tcW w:w="662" w:type="dxa"/>
            <w:tcBorders>
              <w:top w:val="nil"/>
              <w:bottom w:val="nil"/>
            </w:tcBorders>
            <w:shd w:val="clear" w:color="auto" w:fill="auto"/>
            <w:vAlign w:val="bottom"/>
            <w:hideMark/>
          </w:tcPr>
          <w:p w14:paraId="799454E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7 471</w:t>
            </w:r>
          </w:p>
        </w:tc>
        <w:tc>
          <w:tcPr>
            <w:tcW w:w="661" w:type="dxa"/>
            <w:tcBorders>
              <w:top w:val="nil"/>
              <w:bottom w:val="nil"/>
            </w:tcBorders>
            <w:shd w:val="clear" w:color="auto" w:fill="auto"/>
            <w:vAlign w:val="bottom"/>
            <w:hideMark/>
          </w:tcPr>
          <w:p w14:paraId="4A8AACD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7 871</w:t>
            </w:r>
          </w:p>
        </w:tc>
        <w:tc>
          <w:tcPr>
            <w:tcW w:w="661" w:type="dxa"/>
            <w:tcBorders>
              <w:top w:val="nil"/>
              <w:bottom w:val="nil"/>
            </w:tcBorders>
            <w:shd w:val="clear" w:color="auto" w:fill="auto"/>
            <w:vAlign w:val="bottom"/>
            <w:hideMark/>
          </w:tcPr>
          <w:p w14:paraId="451481B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8 099</w:t>
            </w:r>
          </w:p>
        </w:tc>
        <w:tc>
          <w:tcPr>
            <w:tcW w:w="662" w:type="dxa"/>
            <w:tcBorders>
              <w:top w:val="nil"/>
              <w:bottom w:val="nil"/>
            </w:tcBorders>
            <w:shd w:val="clear" w:color="auto" w:fill="auto"/>
            <w:vAlign w:val="bottom"/>
            <w:hideMark/>
          </w:tcPr>
          <w:p w14:paraId="3EC09D9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7 651 </w:t>
            </w:r>
          </w:p>
        </w:tc>
        <w:tc>
          <w:tcPr>
            <w:tcW w:w="661" w:type="dxa"/>
            <w:tcBorders>
              <w:top w:val="nil"/>
              <w:bottom w:val="nil"/>
            </w:tcBorders>
            <w:shd w:val="clear" w:color="auto" w:fill="auto"/>
            <w:vAlign w:val="bottom"/>
            <w:hideMark/>
          </w:tcPr>
          <w:p w14:paraId="7E69D94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7 862 </w:t>
            </w:r>
          </w:p>
        </w:tc>
        <w:tc>
          <w:tcPr>
            <w:tcW w:w="661" w:type="dxa"/>
            <w:tcBorders>
              <w:top w:val="nil"/>
              <w:bottom w:val="nil"/>
            </w:tcBorders>
            <w:shd w:val="clear" w:color="auto" w:fill="auto"/>
            <w:vAlign w:val="bottom"/>
            <w:hideMark/>
          </w:tcPr>
          <w:p w14:paraId="3DC27B6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7 173 </w:t>
            </w:r>
          </w:p>
        </w:tc>
        <w:tc>
          <w:tcPr>
            <w:tcW w:w="662" w:type="dxa"/>
            <w:tcBorders>
              <w:top w:val="nil"/>
              <w:bottom w:val="nil"/>
            </w:tcBorders>
            <w:shd w:val="clear" w:color="auto" w:fill="auto"/>
            <w:vAlign w:val="bottom"/>
            <w:hideMark/>
          </w:tcPr>
          <w:p w14:paraId="6905C24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6 732 </w:t>
            </w:r>
          </w:p>
        </w:tc>
      </w:tr>
      <w:tr w:rsidR="00EB5903" w:rsidRPr="00BE2E8F" w14:paraId="7BFE74A1" w14:textId="77777777" w:rsidTr="008B4897">
        <w:tc>
          <w:tcPr>
            <w:tcW w:w="1418" w:type="dxa"/>
            <w:tcBorders>
              <w:top w:val="nil"/>
            </w:tcBorders>
            <w:shd w:val="clear" w:color="auto" w:fill="auto"/>
            <w:hideMark/>
          </w:tcPr>
          <w:p w14:paraId="4ECD5BE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Nord </w:t>
            </w:r>
          </w:p>
        </w:tc>
        <w:tc>
          <w:tcPr>
            <w:tcW w:w="661" w:type="dxa"/>
            <w:tcBorders>
              <w:top w:val="nil"/>
            </w:tcBorders>
            <w:shd w:val="clear" w:color="auto" w:fill="auto"/>
            <w:vAlign w:val="bottom"/>
            <w:hideMark/>
          </w:tcPr>
          <w:p w14:paraId="374C478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741</w:t>
            </w:r>
          </w:p>
        </w:tc>
        <w:tc>
          <w:tcPr>
            <w:tcW w:w="661" w:type="dxa"/>
            <w:tcBorders>
              <w:top w:val="nil"/>
            </w:tcBorders>
            <w:shd w:val="clear" w:color="auto" w:fill="auto"/>
            <w:vAlign w:val="bottom"/>
            <w:hideMark/>
          </w:tcPr>
          <w:p w14:paraId="0461A56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815</w:t>
            </w:r>
          </w:p>
        </w:tc>
        <w:tc>
          <w:tcPr>
            <w:tcW w:w="662" w:type="dxa"/>
            <w:tcBorders>
              <w:top w:val="nil"/>
            </w:tcBorders>
            <w:shd w:val="clear" w:color="auto" w:fill="auto"/>
            <w:vAlign w:val="bottom"/>
            <w:hideMark/>
          </w:tcPr>
          <w:p w14:paraId="3112DDD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914</w:t>
            </w:r>
          </w:p>
        </w:tc>
        <w:tc>
          <w:tcPr>
            <w:tcW w:w="661" w:type="dxa"/>
            <w:tcBorders>
              <w:top w:val="nil"/>
            </w:tcBorders>
            <w:shd w:val="clear" w:color="auto" w:fill="auto"/>
            <w:vAlign w:val="bottom"/>
            <w:hideMark/>
          </w:tcPr>
          <w:p w14:paraId="3BD6871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975</w:t>
            </w:r>
          </w:p>
        </w:tc>
        <w:tc>
          <w:tcPr>
            <w:tcW w:w="661" w:type="dxa"/>
            <w:tcBorders>
              <w:top w:val="nil"/>
            </w:tcBorders>
            <w:shd w:val="clear" w:color="auto" w:fill="auto"/>
            <w:vAlign w:val="bottom"/>
            <w:hideMark/>
          </w:tcPr>
          <w:p w14:paraId="300A018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905</w:t>
            </w:r>
          </w:p>
        </w:tc>
        <w:tc>
          <w:tcPr>
            <w:tcW w:w="662" w:type="dxa"/>
            <w:tcBorders>
              <w:top w:val="nil"/>
            </w:tcBorders>
            <w:shd w:val="clear" w:color="auto" w:fill="auto"/>
            <w:vAlign w:val="bottom"/>
            <w:hideMark/>
          </w:tcPr>
          <w:p w14:paraId="0AE8A4E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819</w:t>
            </w:r>
          </w:p>
        </w:tc>
        <w:tc>
          <w:tcPr>
            <w:tcW w:w="661" w:type="dxa"/>
            <w:tcBorders>
              <w:top w:val="nil"/>
            </w:tcBorders>
            <w:shd w:val="clear" w:color="auto" w:fill="auto"/>
            <w:vAlign w:val="bottom"/>
            <w:hideMark/>
          </w:tcPr>
          <w:p w14:paraId="1A0A1E9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953</w:t>
            </w:r>
          </w:p>
        </w:tc>
        <w:tc>
          <w:tcPr>
            <w:tcW w:w="661" w:type="dxa"/>
            <w:tcBorders>
              <w:top w:val="nil"/>
            </w:tcBorders>
            <w:shd w:val="clear" w:color="auto" w:fill="auto"/>
            <w:vAlign w:val="bottom"/>
            <w:hideMark/>
          </w:tcPr>
          <w:p w14:paraId="11451C7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946</w:t>
            </w:r>
          </w:p>
        </w:tc>
        <w:tc>
          <w:tcPr>
            <w:tcW w:w="662" w:type="dxa"/>
            <w:tcBorders>
              <w:top w:val="nil"/>
            </w:tcBorders>
            <w:shd w:val="clear" w:color="auto" w:fill="auto"/>
            <w:vAlign w:val="bottom"/>
            <w:hideMark/>
          </w:tcPr>
          <w:p w14:paraId="2361DA3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950</w:t>
            </w:r>
          </w:p>
        </w:tc>
      </w:tr>
      <w:tr w:rsidR="00EB5903" w:rsidRPr="00BE2E8F" w14:paraId="6EAB1896" w14:textId="77777777" w:rsidTr="008B4897">
        <w:tc>
          <w:tcPr>
            <w:tcW w:w="1418" w:type="dxa"/>
            <w:shd w:val="clear" w:color="auto" w:fill="auto"/>
            <w:hideMark/>
          </w:tcPr>
          <w:p w14:paraId="6BCD4B35" w14:textId="3F453768"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Nord-</w:t>
            </w:r>
            <w:r w:rsidR="008329F0">
              <w:rPr>
                <w:sz w:val="18"/>
              </w:rPr>
              <w:t>E</w:t>
            </w:r>
            <w:r>
              <w:rPr>
                <w:sz w:val="18"/>
              </w:rPr>
              <w:t>st </w:t>
            </w:r>
          </w:p>
        </w:tc>
        <w:tc>
          <w:tcPr>
            <w:tcW w:w="661" w:type="dxa"/>
            <w:shd w:val="clear" w:color="auto" w:fill="auto"/>
            <w:vAlign w:val="bottom"/>
            <w:hideMark/>
          </w:tcPr>
          <w:p w14:paraId="3DCB20D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1 903</w:t>
            </w:r>
          </w:p>
        </w:tc>
        <w:tc>
          <w:tcPr>
            <w:tcW w:w="661" w:type="dxa"/>
            <w:shd w:val="clear" w:color="auto" w:fill="auto"/>
            <w:vAlign w:val="bottom"/>
            <w:hideMark/>
          </w:tcPr>
          <w:p w14:paraId="34B8E52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1 626</w:t>
            </w:r>
          </w:p>
        </w:tc>
        <w:tc>
          <w:tcPr>
            <w:tcW w:w="662" w:type="dxa"/>
            <w:shd w:val="clear" w:color="auto" w:fill="auto"/>
            <w:vAlign w:val="bottom"/>
            <w:hideMark/>
          </w:tcPr>
          <w:p w14:paraId="343BD05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1 754</w:t>
            </w:r>
          </w:p>
        </w:tc>
        <w:tc>
          <w:tcPr>
            <w:tcW w:w="661" w:type="dxa"/>
            <w:shd w:val="clear" w:color="auto" w:fill="auto"/>
            <w:vAlign w:val="bottom"/>
            <w:hideMark/>
          </w:tcPr>
          <w:p w14:paraId="75B4D59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1 926</w:t>
            </w:r>
          </w:p>
        </w:tc>
        <w:tc>
          <w:tcPr>
            <w:tcW w:w="661" w:type="dxa"/>
            <w:shd w:val="clear" w:color="auto" w:fill="auto"/>
            <w:vAlign w:val="bottom"/>
            <w:hideMark/>
          </w:tcPr>
          <w:p w14:paraId="357344A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1 852</w:t>
            </w:r>
          </w:p>
        </w:tc>
        <w:tc>
          <w:tcPr>
            <w:tcW w:w="662" w:type="dxa"/>
            <w:shd w:val="clear" w:color="auto" w:fill="auto"/>
            <w:vAlign w:val="bottom"/>
            <w:hideMark/>
          </w:tcPr>
          <w:p w14:paraId="221E382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1 786</w:t>
            </w:r>
          </w:p>
        </w:tc>
        <w:tc>
          <w:tcPr>
            <w:tcW w:w="661" w:type="dxa"/>
            <w:shd w:val="clear" w:color="auto" w:fill="auto"/>
            <w:vAlign w:val="bottom"/>
            <w:hideMark/>
          </w:tcPr>
          <w:p w14:paraId="7C5CF67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1 868</w:t>
            </w:r>
          </w:p>
        </w:tc>
        <w:tc>
          <w:tcPr>
            <w:tcW w:w="661" w:type="dxa"/>
            <w:shd w:val="clear" w:color="auto" w:fill="auto"/>
            <w:vAlign w:val="bottom"/>
            <w:hideMark/>
          </w:tcPr>
          <w:p w14:paraId="1567822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1 674</w:t>
            </w:r>
          </w:p>
        </w:tc>
        <w:tc>
          <w:tcPr>
            <w:tcW w:w="662" w:type="dxa"/>
            <w:shd w:val="clear" w:color="auto" w:fill="auto"/>
            <w:vAlign w:val="bottom"/>
            <w:hideMark/>
          </w:tcPr>
          <w:p w14:paraId="3EF8ED0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1 581</w:t>
            </w:r>
          </w:p>
        </w:tc>
      </w:tr>
      <w:tr w:rsidR="00EB5903" w:rsidRPr="00BE2E8F" w14:paraId="18887897" w14:textId="77777777" w:rsidTr="008B4897">
        <w:tc>
          <w:tcPr>
            <w:tcW w:w="1418" w:type="dxa"/>
            <w:shd w:val="clear" w:color="auto" w:fill="auto"/>
            <w:hideMark/>
          </w:tcPr>
          <w:p w14:paraId="34DB1EEA" w14:textId="7A0368AB"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Sud-</w:t>
            </w:r>
            <w:r w:rsidR="008329F0">
              <w:rPr>
                <w:sz w:val="18"/>
              </w:rPr>
              <w:t>E</w:t>
            </w:r>
            <w:r>
              <w:rPr>
                <w:sz w:val="18"/>
              </w:rPr>
              <w:t>st</w:t>
            </w:r>
          </w:p>
        </w:tc>
        <w:tc>
          <w:tcPr>
            <w:tcW w:w="661" w:type="dxa"/>
            <w:shd w:val="clear" w:color="auto" w:fill="auto"/>
            <w:vAlign w:val="bottom"/>
            <w:hideMark/>
          </w:tcPr>
          <w:p w14:paraId="553DCA8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2 654</w:t>
            </w:r>
          </w:p>
        </w:tc>
        <w:tc>
          <w:tcPr>
            <w:tcW w:w="661" w:type="dxa"/>
            <w:shd w:val="clear" w:color="auto" w:fill="auto"/>
            <w:vAlign w:val="bottom"/>
            <w:hideMark/>
          </w:tcPr>
          <w:p w14:paraId="3E90715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2 747</w:t>
            </w:r>
          </w:p>
        </w:tc>
        <w:tc>
          <w:tcPr>
            <w:tcW w:w="662" w:type="dxa"/>
            <w:shd w:val="clear" w:color="auto" w:fill="auto"/>
            <w:vAlign w:val="bottom"/>
            <w:hideMark/>
          </w:tcPr>
          <w:p w14:paraId="4659FD7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2 790</w:t>
            </w:r>
          </w:p>
        </w:tc>
        <w:tc>
          <w:tcPr>
            <w:tcW w:w="661" w:type="dxa"/>
            <w:shd w:val="clear" w:color="auto" w:fill="auto"/>
            <w:vAlign w:val="bottom"/>
            <w:hideMark/>
          </w:tcPr>
          <w:p w14:paraId="055C86C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2 903</w:t>
            </w:r>
          </w:p>
        </w:tc>
        <w:tc>
          <w:tcPr>
            <w:tcW w:w="661" w:type="dxa"/>
            <w:shd w:val="clear" w:color="auto" w:fill="auto"/>
            <w:vAlign w:val="bottom"/>
            <w:hideMark/>
          </w:tcPr>
          <w:p w14:paraId="49AC73D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2 922</w:t>
            </w:r>
          </w:p>
        </w:tc>
        <w:tc>
          <w:tcPr>
            <w:tcW w:w="662" w:type="dxa"/>
            <w:shd w:val="clear" w:color="auto" w:fill="auto"/>
            <w:vAlign w:val="bottom"/>
            <w:hideMark/>
          </w:tcPr>
          <w:p w14:paraId="77E5B5C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2 601</w:t>
            </w:r>
          </w:p>
        </w:tc>
        <w:tc>
          <w:tcPr>
            <w:tcW w:w="661" w:type="dxa"/>
            <w:shd w:val="clear" w:color="auto" w:fill="auto"/>
            <w:vAlign w:val="bottom"/>
            <w:hideMark/>
          </w:tcPr>
          <w:p w14:paraId="427AB07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2 711</w:t>
            </w:r>
          </w:p>
        </w:tc>
        <w:tc>
          <w:tcPr>
            <w:tcW w:w="661" w:type="dxa"/>
            <w:shd w:val="clear" w:color="auto" w:fill="auto"/>
            <w:vAlign w:val="bottom"/>
            <w:hideMark/>
          </w:tcPr>
          <w:p w14:paraId="77D088B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2 483</w:t>
            </w:r>
          </w:p>
        </w:tc>
        <w:tc>
          <w:tcPr>
            <w:tcW w:w="662" w:type="dxa"/>
            <w:shd w:val="clear" w:color="auto" w:fill="auto"/>
            <w:vAlign w:val="bottom"/>
            <w:hideMark/>
          </w:tcPr>
          <w:p w14:paraId="161AADC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2 206</w:t>
            </w:r>
          </w:p>
        </w:tc>
      </w:tr>
      <w:tr w:rsidR="00EB5903" w:rsidRPr="00BE2E8F" w14:paraId="15E27038" w14:textId="77777777" w:rsidTr="008B4897">
        <w:tc>
          <w:tcPr>
            <w:tcW w:w="1418" w:type="dxa"/>
            <w:shd w:val="clear" w:color="auto" w:fill="auto"/>
            <w:hideMark/>
          </w:tcPr>
          <w:p w14:paraId="46870A8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Sud</w:t>
            </w:r>
          </w:p>
        </w:tc>
        <w:tc>
          <w:tcPr>
            <w:tcW w:w="661" w:type="dxa"/>
            <w:shd w:val="clear" w:color="auto" w:fill="auto"/>
            <w:vAlign w:val="bottom"/>
            <w:hideMark/>
          </w:tcPr>
          <w:p w14:paraId="45ABB66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1 607</w:t>
            </w:r>
          </w:p>
        </w:tc>
        <w:tc>
          <w:tcPr>
            <w:tcW w:w="661" w:type="dxa"/>
            <w:shd w:val="clear" w:color="auto" w:fill="auto"/>
            <w:vAlign w:val="bottom"/>
            <w:hideMark/>
          </w:tcPr>
          <w:p w14:paraId="67828E8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1 644</w:t>
            </w:r>
          </w:p>
        </w:tc>
        <w:tc>
          <w:tcPr>
            <w:tcW w:w="662" w:type="dxa"/>
            <w:shd w:val="clear" w:color="auto" w:fill="auto"/>
            <w:vAlign w:val="bottom"/>
            <w:hideMark/>
          </w:tcPr>
          <w:p w14:paraId="16A382F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1 600</w:t>
            </w:r>
          </w:p>
        </w:tc>
        <w:tc>
          <w:tcPr>
            <w:tcW w:w="661" w:type="dxa"/>
            <w:shd w:val="clear" w:color="auto" w:fill="auto"/>
            <w:vAlign w:val="bottom"/>
            <w:hideMark/>
          </w:tcPr>
          <w:p w14:paraId="19E47CC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1 675</w:t>
            </w:r>
          </w:p>
        </w:tc>
        <w:tc>
          <w:tcPr>
            <w:tcW w:w="661" w:type="dxa"/>
            <w:shd w:val="clear" w:color="auto" w:fill="auto"/>
            <w:vAlign w:val="bottom"/>
            <w:hideMark/>
          </w:tcPr>
          <w:p w14:paraId="6D947EF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1 960</w:t>
            </w:r>
          </w:p>
        </w:tc>
        <w:tc>
          <w:tcPr>
            <w:tcW w:w="662" w:type="dxa"/>
            <w:shd w:val="clear" w:color="auto" w:fill="auto"/>
            <w:vAlign w:val="bottom"/>
            <w:hideMark/>
          </w:tcPr>
          <w:p w14:paraId="74D8AAC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1 960</w:t>
            </w:r>
          </w:p>
        </w:tc>
        <w:tc>
          <w:tcPr>
            <w:tcW w:w="661" w:type="dxa"/>
            <w:shd w:val="clear" w:color="auto" w:fill="auto"/>
            <w:vAlign w:val="bottom"/>
            <w:hideMark/>
          </w:tcPr>
          <w:p w14:paraId="371D036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1 852</w:t>
            </w:r>
          </w:p>
        </w:tc>
        <w:tc>
          <w:tcPr>
            <w:tcW w:w="661" w:type="dxa"/>
            <w:shd w:val="clear" w:color="auto" w:fill="auto"/>
            <w:vAlign w:val="bottom"/>
            <w:hideMark/>
          </w:tcPr>
          <w:p w14:paraId="6F17DE7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1 562</w:t>
            </w:r>
          </w:p>
        </w:tc>
        <w:tc>
          <w:tcPr>
            <w:tcW w:w="662" w:type="dxa"/>
            <w:shd w:val="clear" w:color="auto" w:fill="auto"/>
            <w:vAlign w:val="bottom"/>
            <w:hideMark/>
          </w:tcPr>
          <w:p w14:paraId="01BEF5A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1 555</w:t>
            </w:r>
          </w:p>
        </w:tc>
      </w:tr>
      <w:tr w:rsidR="00EB5903" w:rsidRPr="00BE2E8F" w14:paraId="300E8490" w14:textId="77777777" w:rsidTr="008B4897">
        <w:tc>
          <w:tcPr>
            <w:tcW w:w="1418" w:type="dxa"/>
            <w:shd w:val="clear" w:color="auto" w:fill="auto"/>
            <w:hideMark/>
          </w:tcPr>
          <w:p w14:paraId="2AF7CD71" w14:textId="1A030499"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Centre-</w:t>
            </w:r>
            <w:r w:rsidR="008329F0">
              <w:rPr>
                <w:sz w:val="18"/>
              </w:rPr>
              <w:t>O</w:t>
            </w:r>
            <w:r>
              <w:rPr>
                <w:sz w:val="18"/>
              </w:rPr>
              <w:t>uest</w:t>
            </w:r>
          </w:p>
        </w:tc>
        <w:tc>
          <w:tcPr>
            <w:tcW w:w="661" w:type="dxa"/>
            <w:shd w:val="clear" w:color="auto" w:fill="auto"/>
            <w:vAlign w:val="bottom"/>
            <w:hideMark/>
          </w:tcPr>
          <w:p w14:paraId="7F91424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400</w:t>
            </w:r>
          </w:p>
        </w:tc>
        <w:tc>
          <w:tcPr>
            <w:tcW w:w="661" w:type="dxa"/>
            <w:shd w:val="clear" w:color="auto" w:fill="auto"/>
            <w:vAlign w:val="bottom"/>
            <w:hideMark/>
          </w:tcPr>
          <w:p w14:paraId="02A7F8D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385</w:t>
            </w:r>
          </w:p>
        </w:tc>
        <w:tc>
          <w:tcPr>
            <w:tcW w:w="662" w:type="dxa"/>
            <w:shd w:val="clear" w:color="auto" w:fill="auto"/>
            <w:vAlign w:val="bottom"/>
            <w:hideMark/>
          </w:tcPr>
          <w:p w14:paraId="0102AE6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412</w:t>
            </w:r>
          </w:p>
        </w:tc>
        <w:tc>
          <w:tcPr>
            <w:tcW w:w="661" w:type="dxa"/>
            <w:shd w:val="clear" w:color="auto" w:fill="auto"/>
            <w:vAlign w:val="bottom"/>
            <w:hideMark/>
          </w:tcPr>
          <w:p w14:paraId="5EEA15F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389</w:t>
            </w:r>
          </w:p>
        </w:tc>
        <w:tc>
          <w:tcPr>
            <w:tcW w:w="661" w:type="dxa"/>
            <w:shd w:val="clear" w:color="auto" w:fill="auto"/>
            <w:vAlign w:val="bottom"/>
            <w:hideMark/>
          </w:tcPr>
          <w:p w14:paraId="55588B9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457</w:t>
            </w:r>
          </w:p>
        </w:tc>
        <w:tc>
          <w:tcPr>
            <w:tcW w:w="662" w:type="dxa"/>
            <w:shd w:val="clear" w:color="auto" w:fill="auto"/>
            <w:vAlign w:val="bottom"/>
            <w:hideMark/>
          </w:tcPr>
          <w:p w14:paraId="40EF42A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485</w:t>
            </w:r>
          </w:p>
        </w:tc>
        <w:tc>
          <w:tcPr>
            <w:tcW w:w="661" w:type="dxa"/>
            <w:shd w:val="clear" w:color="auto" w:fill="auto"/>
            <w:vAlign w:val="bottom"/>
            <w:hideMark/>
          </w:tcPr>
          <w:p w14:paraId="35DC8F4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477</w:t>
            </w:r>
          </w:p>
        </w:tc>
        <w:tc>
          <w:tcPr>
            <w:tcW w:w="661" w:type="dxa"/>
            <w:shd w:val="clear" w:color="auto" w:fill="auto"/>
            <w:vAlign w:val="bottom"/>
            <w:hideMark/>
          </w:tcPr>
          <w:p w14:paraId="697180B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508</w:t>
            </w:r>
          </w:p>
        </w:tc>
        <w:tc>
          <w:tcPr>
            <w:tcW w:w="662" w:type="dxa"/>
            <w:shd w:val="clear" w:color="auto" w:fill="auto"/>
            <w:vAlign w:val="bottom"/>
            <w:hideMark/>
          </w:tcPr>
          <w:p w14:paraId="4264CCB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439</w:t>
            </w:r>
          </w:p>
        </w:tc>
      </w:tr>
    </w:tbl>
    <w:p w14:paraId="38005A5C" w14:textId="7C6933B4" w:rsidR="00EB5903" w:rsidRPr="00BE2E8F" w:rsidRDefault="00EB5903" w:rsidP="001F2294">
      <w:pPr>
        <w:spacing w:before="120"/>
        <w:ind w:left="1134" w:right="1134" w:firstLine="170"/>
        <w:rPr>
          <w:sz w:val="18"/>
        </w:rPr>
      </w:pPr>
      <w:r>
        <w:rPr>
          <w:i/>
          <w:sz w:val="18"/>
        </w:rPr>
        <w:t>Source </w:t>
      </w:r>
      <w:r>
        <w:rPr>
          <w:sz w:val="18"/>
        </w:rPr>
        <w:t xml:space="preserve">: Système d’information sur les maladies à déclaration obligatoire </w:t>
      </w:r>
      <w:r w:rsidR="001F2294">
        <w:rPr>
          <w:sz w:val="18"/>
        </w:rPr>
        <w:t>−</w:t>
      </w:r>
      <w:r>
        <w:rPr>
          <w:sz w:val="18"/>
        </w:rPr>
        <w:t xml:space="preserve"> SINAN.</w:t>
      </w:r>
    </w:p>
    <w:p w14:paraId="0097514B" w14:textId="77777777" w:rsidR="00EB5903" w:rsidRPr="00BE2E8F" w:rsidRDefault="00EB5903" w:rsidP="00EB5903">
      <w:pPr>
        <w:pStyle w:val="H1G"/>
      </w:pPr>
      <w:r>
        <w:tab/>
      </w:r>
      <w:r>
        <w:tab/>
        <w:t xml:space="preserve">Réponse au paragraphe 16 j) de la liste de points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2"/>
        <w:gridCol w:w="1276"/>
        <w:gridCol w:w="1134"/>
        <w:gridCol w:w="992"/>
        <w:gridCol w:w="1133"/>
      </w:tblGrid>
      <w:tr w:rsidR="00EB5903" w:rsidRPr="00BE2E8F" w14:paraId="6D868742" w14:textId="77777777" w:rsidTr="008B4897">
        <w:trPr>
          <w:tblHeader/>
        </w:trPr>
        <w:tc>
          <w:tcPr>
            <w:tcW w:w="2835" w:type="dxa"/>
            <w:gridSpan w:val="2"/>
            <w:vMerge w:val="restart"/>
            <w:tcBorders>
              <w:top w:val="single" w:sz="4" w:space="0" w:color="auto"/>
              <w:bottom w:val="single" w:sz="12" w:space="0" w:color="auto"/>
            </w:tcBorders>
            <w:shd w:val="clear" w:color="auto" w:fill="auto"/>
            <w:vAlign w:val="bottom"/>
            <w:hideMark/>
          </w:tcPr>
          <w:p w14:paraId="481663DE"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  </w:t>
            </w:r>
          </w:p>
        </w:tc>
        <w:tc>
          <w:tcPr>
            <w:tcW w:w="2410" w:type="dxa"/>
            <w:gridSpan w:val="2"/>
            <w:tcBorders>
              <w:top w:val="single" w:sz="4" w:space="0" w:color="auto"/>
              <w:bottom w:val="single" w:sz="4" w:space="0" w:color="auto"/>
            </w:tcBorders>
            <w:shd w:val="clear" w:color="auto" w:fill="auto"/>
            <w:vAlign w:val="bottom"/>
            <w:hideMark/>
          </w:tcPr>
          <w:p w14:paraId="1E020947" w14:textId="77777777" w:rsidR="00EB5903" w:rsidRPr="00BE2E8F" w:rsidRDefault="00EB5903" w:rsidP="00EB41A0">
            <w:pPr>
              <w:pStyle w:val="SingleTxtG"/>
              <w:tabs>
                <w:tab w:val="clear" w:pos="1701"/>
                <w:tab w:val="clear" w:pos="2268"/>
              </w:tabs>
              <w:suppressAutoHyphens w:val="0"/>
              <w:spacing w:before="80" w:after="80" w:line="200" w:lineRule="exact"/>
              <w:ind w:left="0" w:right="0"/>
              <w:jc w:val="center"/>
              <w:rPr>
                <w:i/>
                <w:sz w:val="16"/>
              </w:rPr>
            </w:pPr>
            <w:r>
              <w:rPr>
                <w:i/>
                <w:sz w:val="16"/>
              </w:rPr>
              <w:t>… va à l’école ?</w:t>
            </w:r>
          </w:p>
        </w:tc>
        <w:tc>
          <w:tcPr>
            <w:tcW w:w="992" w:type="dxa"/>
            <w:vMerge w:val="restart"/>
            <w:tcBorders>
              <w:top w:val="single" w:sz="4" w:space="0" w:color="auto"/>
              <w:bottom w:val="single" w:sz="12" w:space="0" w:color="auto"/>
            </w:tcBorders>
            <w:shd w:val="clear" w:color="auto" w:fill="auto"/>
            <w:vAlign w:val="bottom"/>
            <w:hideMark/>
          </w:tcPr>
          <w:p w14:paraId="4F2AAEA0"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Total</w:t>
            </w:r>
          </w:p>
        </w:tc>
        <w:tc>
          <w:tcPr>
            <w:tcW w:w="1133" w:type="dxa"/>
            <w:vMerge w:val="restart"/>
            <w:tcBorders>
              <w:top w:val="single" w:sz="4" w:space="0" w:color="auto"/>
              <w:bottom w:val="single" w:sz="12" w:space="0" w:color="auto"/>
            </w:tcBorders>
            <w:shd w:val="clear" w:color="auto" w:fill="auto"/>
            <w:vAlign w:val="bottom"/>
            <w:hideMark/>
          </w:tcPr>
          <w:p w14:paraId="337A150E"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Pourcentage</w:t>
            </w:r>
          </w:p>
        </w:tc>
      </w:tr>
      <w:tr w:rsidR="00EB5903" w:rsidRPr="00BE2E8F" w14:paraId="3239E79A" w14:textId="77777777" w:rsidTr="008B4897">
        <w:trPr>
          <w:tblHeader/>
        </w:trPr>
        <w:tc>
          <w:tcPr>
            <w:tcW w:w="2835" w:type="dxa"/>
            <w:gridSpan w:val="2"/>
            <w:vMerge/>
            <w:tcBorders>
              <w:top w:val="single" w:sz="12" w:space="0" w:color="auto"/>
              <w:bottom w:val="single" w:sz="12" w:space="0" w:color="auto"/>
            </w:tcBorders>
            <w:shd w:val="clear" w:color="auto" w:fill="auto"/>
            <w:vAlign w:val="bottom"/>
            <w:hideMark/>
          </w:tcPr>
          <w:p w14:paraId="5CFFF2A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276" w:type="dxa"/>
            <w:tcBorders>
              <w:top w:val="single" w:sz="4" w:space="0" w:color="auto"/>
              <w:bottom w:val="single" w:sz="12" w:space="0" w:color="auto"/>
            </w:tcBorders>
            <w:shd w:val="clear" w:color="auto" w:fill="auto"/>
            <w:vAlign w:val="bottom"/>
            <w:hideMark/>
          </w:tcPr>
          <w:p w14:paraId="620BC382" w14:textId="77777777" w:rsidR="00EB5903" w:rsidRPr="00BE2E8F" w:rsidRDefault="00EB5903" w:rsidP="00EB41A0">
            <w:pPr>
              <w:pStyle w:val="SingleTxtG"/>
              <w:tabs>
                <w:tab w:val="clear" w:pos="1701"/>
                <w:tab w:val="clear" w:pos="2268"/>
              </w:tabs>
              <w:suppressAutoHyphens w:val="0"/>
              <w:spacing w:before="80" w:after="80" w:line="220" w:lineRule="exact"/>
              <w:ind w:left="0" w:right="0"/>
              <w:jc w:val="right"/>
              <w:rPr>
                <w:i/>
                <w:sz w:val="16"/>
              </w:rPr>
            </w:pPr>
            <w:r>
              <w:rPr>
                <w:i/>
                <w:sz w:val="16"/>
              </w:rPr>
              <w:t>oui</w:t>
            </w:r>
          </w:p>
        </w:tc>
        <w:tc>
          <w:tcPr>
            <w:tcW w:w="1134" w:type="dxa"/>
            <w:tcBorders>
              <w:top w:val="single" w:sz="4" w:space="0" w:color="auto"/>
              <w:bottom w:val="single" w:sz="12" w:space="0" w:color="auto"/>
            </w:tcBorders>
            <w:shd w:val="clear" w:color="auto" w:fill="auto"/>
            <w:vAlign w:val="bottom"/>
            <w:hideMark/>
          </w:tcPr>
          <w:p w14:paraId="785834D4" w14:textId="77777777" w:rsidR="00EB5903" w:rsidRPr="00BE2E8F" w:rsidRDefault="00EB5903" w:rsidP="00EB41A0">
            <w:pPr>
              <w:pStyle w:val="SingleTxtG"/>
              <w:tabs>
                <w:tab w:val="clear" w:pos="1701"/>
                <w:tab w:val="clear" w:pos="2268"/>
              </w:tabs>
              <w:suppressAutoHyphens w:val="0"/>
              <w:spacing w:before="80" w:after="80" w:line="220" w:lineRule="exact"/>
              <w:ind w:left="0" w:right="0"/>
              <w:jc w:val="right"/>
              <w:rPr>
                <w:i/>
                <w:sz w:val="16"/>
              </w:rPr>
            </w:pPr>
            <w:r>
              <w:rPr>
                <w:i/>
                <w:sz w:val="16"/>
              </w:rPr>
              <w:t>non</w:t>
            </w:r>
          </w:p>
        </w:tc>
        <w:tc>
          <w:tcPr>
            <w:tcW w:w="992" w:type="dxa"/>
            <w:vMerge/>
            <w:tcBorders>
              <w:top w:val="nil"/>
              <w:bottom w:val="single" w:sz="12" w:space="0" w:color="auto"/>
            </w:tcBorders>
            <w:shd w:val="clear" w:color="auto" w:fill="auto"/>
            <w:vAlign w:val="bottom"/>
            <w:hideMark/>
          </w:tcPr>
          <w:p w14:paraId="6AEFAAB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p>
        </w:tc>
        <w:tc>
          <w:tcPr>
            <w:tcW w:w="1133" w:type="dxa"/>
            <w:vMerge/>
            <w:tcBorders>
              <w:top w:val="nil"/>
              <w:bottom w:val="single" w:sz="12" w:space="0" w:color="auto"/>
            </w:tcBorders>
            <w:shd w:val="clear" w:color="auto" w:fill="auto"/>
            <w:vAlign w:val="bottom"/>
            <w:hideMark/>
          </w:tcPr>
          <w:p w14:paraId="0775188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p>
        </w:tc>
      </w:tr>
      <w:tr w:rsidR="00EB5903" w:rsidRPr="00BE2E8F" w14:paraId="103E989F" w14:textId="77777777" w:rsidTr="001F2294">
        <w:tc>
          <w:tcPr>
            <w:tcW w:w="993" w:type="dxa"/>
            <w:vMerge w:val="restart"/>
            <w:tcBorders>
              <w:top w:val="single" w:sz="12" w:space="0" w:color="auto"/>
              <w:bottom w:val="nil"/>
            </w:tcBorders>
            <w:shd w:val="clear" w:color="auto" w:fill="auto"/>
            <w:hideMark/>
          </w:tcPr>
          <w:p w14:paraId="7276D78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Unité fédérative</w:t>
            </w:r>
          </w:p>
        </w:tc>
        <w:tc>
          <w:tcPr>
            <w:tcW w:w="1842" w:type="dxa"/>
            <w:tcBorders>
              <w:top w:val="single" w:sz="12" w:space="0" w:color="auto"/>
            </w:tcBorders>
            <w:shd w:val="clear" w:color="auto" w:fill="auto"/>
            <w:hideMark/>
          </w:tcPr>
          <w:p w14:paraId="54368AE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Rondônia </w:t>
            </w:r>
          </w:p>
        </w:tc>
        <w:tc>
          <w:tcPr>
            <w:tcW w:w="1276" w:type="dxa"/>
            <w:tcBorders>
              <w:top w:val="single" w:sz="12" w:space="0" w:color="auto"/>
            </w:tcBorders>
            <w:shd w:val="clear" w:color="auto" w:fill="auto"/>
            <w:vAlign w:val="bottom"/>
            <w:hideMark/>
          </w:tcPr>
          <w:p w14:paraId="4B7B1FA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307 732</w:t>
            </w:r>
          </w:p>
        </w:tc>
        <w:tc>
          <w:tcPr>
            <w:tcW w:w="1134" w:type="dxa"/>
            <w:tcBorders>
              <w:top w:val="single" w:sz="12" w:space="0" w:color="auto"/>
            </w:tcBorders>
            <w:shd w:val="clear" w:color="auto" w:fill="auto"/>
            <w:vAlign w:val="bottom"/>
            <w:hideMark/>
          </w:tcPr>
          <w:p w14:paraId="4D790BF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7 176</w:t>
            </w:r>
          </w:p>
        </w:tc>
        <w:tc>
          <w:tcPr>
            <w:tcW w:w="992" w:type="dxa"/>
            <w:tcBorders>
              <w:top w:val="single" w:sz="12" w:space="0" w:color="auto"/>
            </w:tcBorders>
            <w:shd w:val="clear" w:color="auto" w:fill="auto"/>
            <w:vAlign w:val="bottom"/>
            <w:hideMark/>
          </w:tcPr>
          <w:p w14:paraId="37CC466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314 908</w:t>
            </w:r>
          </w:p>
        </w:tc>
        <w:tc>
          <w:tcPr>
            <w:tcW w:w="1133" w:type="dxa"/>
            <w:tcBorders>
              <w:top w:val="single" w:sz="12" w:space="0" w:color="auto"/>
            </w:tcBorders>
            <w:shd w:val="clear" w:color="auto" w:fill="auto"/>
            <w:vAlign w:val="bottom"/>
            <w:hideMark/>
          </w:tcPr>
          <w:p w14:paraId="32B621E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97,7 %</w:t>
            </w:r>
          </w:p>
        </w:tc>
      </w:tr>
      <w:tr w:rsidR="00EB5903" w:rsidRPr="00BE2E8F" w14:paraId="45460F3E" w14:textId="77777777" w:rsidTr="001F2294">
        <w:tc>
          <w:tcPr>
            <w:tcW w:w="993" w:type="dxa"/>
            <w:vMerge/>
            <w:tcBorders>
              <w:top w:val="nil"/>
              <w:bottom w:val="nil"/>
            </w:tcBorders>
            <w:shd w:val="clear" w:color="auto" w:fill="auto"/>
            <w:hideMark/>
          </w:tcPr>
          <w:p w14:paraId="4C71C41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437D306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Acre </w:t>
            </w:r>
          </w:p>
        </w:tc>
        <w:tc>
          <w:tcPr>
            <w:tcW w:w="1276" w:type="dxa"/>
            <w:shd w:val="clear" w:color="auto" w:fill="auto"/>
            <w:vAlign w:val="bottom"/>
            <w:hideMark/>
          </w:tcPr>
          <w:p w14:paraId="34B79FA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189 524</w:t>
            </w:r>
          </w:p>
        </w:tc>
        <w:tc>
          <w:tcPr>
            <w:tcW w:w="1134" w:type="dxa"/>
            <w:shd w:val="clear" w:color="auto" w:fill="auto"/>
            <w:vAlign w:val="bottom"/>
            <w:hideMark/>
          </w:tcPr>
          <w:p w14:paraId="0374FCF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6 943</w:t>
            </w:r>
          </w:p>
        </w:tc>
        <w:tc>
          <w:tcPr>
            <w:tcW w:w="992" w:type="dxa"/>
            <w:shd w:val="clear" w:color="auto" w:fill="auto"/>
            <w:vAlign w:val="bottom"/>
            <w:hideMark/>
          </w:tcPr>
          <w:p w14:paraId="3A19A97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196 467</w:t>
            </w:r>
          </w:p>
        </w:tc>
        <w:tc>
          <w:tcPr>
            <w:tcW w:w="1133" w:type="dxa"/>
            <w:shd w:val="clear" w:color="auto" w:fill="auto"/>
            <w:vAlign w:val="bottom"/>
            <w:hideMark/>
          </w:tcPr>
          <w:p w14:paraId="0587C96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96,5 %</w:t>
            </w:r>
          </w:p>
        </w:tc>
      </w:tr>
      <w:tr w:rsidR="00EB5903" w:rsidRPr="00BE2E8F" w14:paraId="575BE27D" w14:textId="77777777" w:rsidTr="001F2294">
        <w:tc>
          <w:tcPr>
            <w:tcW w:w="993" w:type="dxa"/>
            <w:vMerge/>
            <w:tcBorders>
              <w:top w:val="nil"/>
              <w:bottom w:val="nil"/>
            </w:tcBorders>
            <w:shd w:val="clear" w:color="auto" w:fill="auto"/>
            <w:hideMark/>
          </w:tcPr>
          <w:p w14:paraId="2BC3986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09BADAA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Amazonas </w:t>
            </w:r>
          </w:p>
        </w:tc>
        <w:tc>
          <w:tcPr>
            <w:tcW w:w="1276" w:type="dxa"/>
            <w:shd w:val="clear" w:color="auto" w:fill="auto"/>
            <w:vAlign w:val="bottom"/>
            <w:hideMark/>
          </w:tcPr>
          <w:p w14:paraId="6062D85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876 466</w:t>
            </w:r>
          </w:p>
        </w:tc>
        <w:tc>
          <w:tcPr>
            <w:tcW w:w="1134" w:type="dxa"/>
            <w:shd w:val="clear" w:color="auto" w:fill="auto"/>
            <w:vAlign w:val="bottom"/>
            <w:hideMark/>
          </w:tcPr>
          <w:p w14:paraId="4B133B4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22 994</w:t>
            </w:r>
          </w:p>
        </w:tc>
        <w:tc>
          <w:tcPr>
            <w:tcW w:w="992" w:type="dxa"/>
            <w:shd w:val="clear" w:color="auto" w:fill="auto"/>
            <w:vAlign w:val="bottom"/>
            <w:hideMark/>
          </w:tcPr>
          <w:p w14:paraId="3BD513C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899 460</w:t>
            </w:r>
          </w:p>
        </w:tc>
        <w:tc>
          <w:tcPr>
            <w:tcW w:w="1133" w:type="dxa"/>
            <w:shd w:val="clear" w:color="auto" w:fill="auto"/>
            <w:vAlign w:val="bottom"/>
            <w:hideMark/>
          </w:tcPr>
          <w:p w14:paraId="78650AC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97,4 %</w:t>
            </w:r>
          </w:p>
        </w:tc>
      </w:tr>
      <w:tr w:rsidR="00EB5903" w:rsidRPr="00BE2E8F" w14:paraId="4A20D6B4" w14:textId="77777777" w:rsidTr="001F2294">
        <w:tc>
          <w:tcPr>
            <w:tcW w:w="993" w:type="dxa"/>
            <w:vMerge/>
            <w:tcBorders>
              <w:top w:val="nil"/>
              <w:bottom w:val="nil"/>
            </w:tcBorders>
            <w:shd w:val="clear" w:color="auto" w:fill="auto"/>
            <w:hideMark/>
          </w:tcPr>
          <w:p w14:paraId="7B0CC00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332FDEF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Roraima </w:t>
            </w:r>
          </w:p>
        </w:tc>
        <w:tc>
          <w:tcPr>
            <w:tcW w:w="1276" w:type="dxa"/>
            <w:shd w:val="clear" w:color="auto" w:fill="auto"/>
            <w:vAlign w:val="bottom"/>
            <w:hideMark/>
          </w:tcPr>
          <w:p w14:paraId="4E890DC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136 133</w:t>
            </w:r>
          </w:p>
        </w:tc>
        <w:tc>
          <w:tcPr>
            <w:tcW w:w="1134" w:type="dxa"/>
            <w:shd w:val="clear" w:color="auto" w:fill="auto"/>
            <w:vAlign w:val="bottom"/>
            <w:hideMark/>
          </w:tcPr>
          <w:p w14:paraId="7AE2950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5 855</w:t>
            </w:r>
          </w:p>
        </w:tc>
        <w:tc>
          <w:tcPr>
            <w:tcW w:w="992" w:type="dxa"/>
            <w:shd w:val="clear" w:color="auto" w:fill="auto"/>
            <w:vAlign w:val="bottom"/>
            <w:hideMark/>
          </w:tcPr>
          <w:p w14:paraId="617B686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141 988</w:t>
            </w:r>
          </w:p>
        </w:tc>
        <w:tc>
          <w:tcPr>
            <w:tcW w:w="1133" w:type="dxa"/>
            <w:shd w:val="clear" w:color="auto" w:fill="auto"/>
            <w:vAlign w:val="bottom"/>
            <w:hideMark/>
          </w:tcPr>
          <w:p w14:paraId="56605EC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95,9 %</w:t>
            </w:r>
          </w:p>
        </w:tc>
      </w:tr>
      <w:tr w:rsidR="00EB5903" w:rsidRPr="00BE2E8F" w14:paraId="7AAA53E0" w14:textId="77777777" w:rsidTr="001F2294">
        <w:tc>
          <w:tcPr>
            <w:tcW w:w="993" w:type="dxa"/>
            <w:vMerge/>
            <w:tcBorders>
              <w:top w:val="nil"/>
              <w:bottom w:val="nil"/>
            </w:tcBorders>
            <w:shd w:val="clear" w:color="auto" w:fill="auto"/>
            <w:hideMark/>
          </w:tcPr>
          <w:p w14:paraId="68D98C2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7CE1DEE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Pará </w:t>
            </w:r>
          </w:p>
        </w:tc>
        <w:tc>
          <w:tcPr>
            <w:tcW w:w="1276" w:type="dxa"/>
            <w:shd w:val="clear" w:color="auto" w:fill="auto"/>
            <w:vAlign w:val="bottom"/>
            <w:hideMark/>
          </w:tcPr>
          <w:p w14:paraId="003102A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1 738 074</w:t>
            </w:r>
          </w:p>
        </w:tc>
        <w:tc>
          <w:tcPr>
            <w:tcW w:w="1134" w:type="dxa"/>
            <w:shd w:val="clear" w:color="auto" w:fill="auto"/>
            <w:vAlign w:val="bottom"/>
            <w:hideMark/>
          </w:tcPr>
          <w:p w14:paraId="733EDC0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52 850</w:t>
            </w:r>
          </w:p>
        </w:tc>
        <w:tc>
          <w:tcPr>
            <w:tcW w:w="992" w:type="dxa"/>
            <w:shd w:val="clear" w:color="auto" w:fill="auto"/>
            <w:vAlign w:val="bottom"/>
            <w:hideMark/>
          </w:tcPr>
          <w:p w14:paraId="4D8C47A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1 790 924</w:t>
            </w:r>
          </w:p>
        </w:tc>
        <w:tc>
          <w:tcPr>
            <w:tcW w:w="1133" w:type="dxa"/>
            <w:shd w:val="clear" w:color="auto" w:fill="auto"/>
            <w:vAlign w:val="bottom"/>
            <w:hideMark/>
          </w:tcPr>
          <w:p w14:paraId="19A56F4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97,0 %</w:t>
            </w:r>
          </w:p>
        </w:tc>
      </w:tr>
      <w:tr w:rsidR="00EB5903" w:rsidRPr="00BE2E8F" w14:paraId="0168B602" w14:textId="77777777" w:rsidTr="001F2294">
        <w:tc>
          <w:tcPr>
            <w:tcW w:w="993" w:type="dxa"/>
            <w:vMerge/>
            <w:tcBorders>
              <w:top w:val="nil"/>
              <w:bottom w:val="nil"/>
            </w:tcBorders>
            <w:shd w:val="clear" w:color="auto" w:fill="auto"/>
            <w:hideMark/>
          </w:tcPr>
          <w:p w14:paraId="73609FD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5CE1423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Amapá </w:t>
            </w:r>
          </w:p>
        </w:tc>
        <w:tc>
          <w:tcPr>
            <w:tcW w:w="1276" w:type="dxa"/>
            <w:shd w:val="clear" w:color="auto" w:fill="auto"/>
            <w:vAlign w:val="bottom"/>
            <w:hideMark/>
          </w:tcPr>
          <w:p w14:paraId="48B51D1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171 152</w:t>
            </w:r>
          </w:p>
        </w:tc>
        <w:tc>
          <w:tcPr>
            <w:tcW w:w="1134" w:type="dxa"/>
            <w:shd w:val="clear" w:color="auto" w:fill="auto"/>
            <w:vAlign w:val="bottom"/>
            <w:hideMark/>
          </w:tcPr>
          <w:p w14:paraId="672A5D5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5 108</w:t>
            </w:r>
          </w:p>
        </w:tc>
        <w:tc>
          <w:tcPr>
            <w:tcW w:w="992" w:type="dxa"/>
            <w:shd w:val="clear" w:color="auto" w:fill="auto"/>
            <w:vAlign w:val="bottom"/>
            <w:hideMark/>
          </w:tcPr>
          <w:p w14:paraId="5F4BA5D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176 260</w:t>
            </w:r>
          </w:p>
        </w:tc>
        <w:tc>
          <w:tcPr>
            <w:tcW w:w="1133" w:type="dxa"/>
            <w:shd w:val="clear" w:color="auto" w:fill="auto"/>
            <w:vAlign w:val="bottom"/>
            <w:hideMark/>
          </w:tcPr>
          <w:p w14:paraId="74266E7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97,1 %</w:t>
            </w:r>
          </w:p>
        </w:tc>
      </w:tr>
      <w:tr w:rsidR="00EB5903" w:rsidRPr="00BE2E8F" w14:paraId="2EAF9CDB" w14:textId="77777777" w:rsidTr="001F2294">
        <w:tc>
          <w:tcPr>
            <w:tcW w:w="993" w:type="dxa"/>
            <w:vMerge/>
            <w:tcBorders>
              <w:top w:val="nil"/>
              <w:bottom w:val="nil"/>
            </w:tcBorders>
            <w:shd w:val="clear" w:color="auto" w:fill="auto"/>
            <w:hideMark/>
          </w:tcPr>
          <w:p w14:paraId="291B180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0F76CD2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Tocantins </w:t>
            </w:r>
          </w:p>
        </w:tc>
        <w:tc>
          <w:tcPr>
            <w:tcW w:w="1276" w:type="dxa"/>
            <w:shd w:val="clear" w:color="auto" w:fill="auto"/>
            <w:vAlign w:val="bottom"/>
            <w:hideMark/>
          </w:tcPr>
          <w:p w14:paraId="5BA9C82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289 314</w:t>
            </w:r>
          </w:p>
        </w:tc>
        <w:tc>
          <w:tcPr>
            <w:tcW w:w="1134" w:type="dxa"/>
            <w:shd w:val="clear" w:color="auto" w:fill="auto"/>
            <w:vAlign w:val="bottom"/>
            <w:hideMark/>
          </w:tcPr>
          <w:p w14:paraId="1B70FE2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6 520</w:t>
            </w:r>
          </w:p>
        </w:tc>
        <w:tc>
          <w:tcPr>
            <w:tcW w:w="992" w:type="dxa"/>
            <w:shd w:val="clear" w:color="auto" w:fill="auto"/>
            <w:vAlign w:val="bottom"/>
            <w:hideMark/>
          </w:tcPr>
          <w:p w14:paraId="58D2651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295 834</w:t>
            </w:r>
          </w:p>
        </w:tc>
        <w:tc>
          <w:tcPr>
            <w:tcW w:w="1133" w:type="dxa"/>
            <w:shd w:val="clear" w:color="auto" w:fill="auto"/>
            <w:vAlign w:val="bottom"/>
            <w:hideMark/>
          </w:tcPr>
          <w:p w14:paraId="1A7C540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97,8 %</w:t>
            </w:r>
          </w:p>
        </w:tc>
      </w:tr>
      <w:tr w:rsidR="00EB5903" w:rsidRPr="00BE2E8F" w14:paraId="440615DF" w14:textId="77777777" w:rsidTr="001F2294">
        <w:tc>
          <w:tcPr>
            <w:tcW w:w="993" w:type="dxa"/>
            <w:vMerge/>
            <w:tcBorders>
              <w:top w:val="nil"/>
              <w:bottom w:val="nil"/>
            </w:tcBorders>
            <w:shd w:val="clear" w:color="auto" w:fill="auto"/>
            <w:hideMark/>
          </w:tcPr>
          <w:p w14:paraId="2221460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7187D3B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Maranhão </w:t>
            </w:r>
          </w:p>
        </w:tc>
        <w:tc>
          <w:tcPr>
            <w:tcW w:w="1276" w:type="dxa"/>
            <w:shd w:val="clear" w:color="auto" w:fill="auto"/>
            <w:vAlign w:val="bottom"/>
            <w:hideMark/>
          </w:tcPr>
          <w:p w14:paraId="02D2835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1 424 026</w:t>
            </w:r>
          </w:p>
        </w:tc>
        <w:tc>
          <w:tcPr>
            <w:tcW w:w="1134" w:type="dxa"/>
            <w:shd w:val="clear" w:color="auto" w:fill="auto"/>
            <w:vAlign w:val="bottom"/>
            <w:hideMark/>
          </w:tcPr>
          <w:p w14:paraId="6104F1A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39 445</w:t>
            </w:r>
          </w:p>
        </w:tc>
        <w:tc>
          <w:tcPr>
            <w:tcW w:w="992" w:type="dxa"/>
            <w:shd w:val="clear" w:color="auto" w:fill="auto"/>
            <w:vAlign w:val="bottom"/>
            <w:hideMark/>
          </w:tcPr>
          <w:p w14:paraId="15B6653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1 463 471</w:t>
            </w:r>
          </w:p>
        </w:tc>
        <w:tc>
          <w:tcPr>
            <w:tcW w:w="1133" w:type="dxa"/>
            <w:shd w:val="clear" w:color="auto" w:fill="auto"/>
            <w:vAlign w:val="bottom"/>
            <w:hideMark/>
          </w:tcPr>
          <w:p w14:paraId="1156A50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97,3 %</w:t>
            </w:r>
          </w:p>
        </w:tc>
      </w:tr>
      <w:tr w:rsidR="00EB5903" w:rsidRPr="00BE2E8F" w14:paraId="2E8C10B8" w14:textId="77777777" w:rsidTr="001F2294">
        <w:tc>
          <w:tcPr>
            <w:tcW w:w="993" w:type="dxa"/>
            <w:vMerge/>
            <w:tcBorders>
              <w:top w:val="nil"/>
              <w:bottom w:val="nil"/>
            </w:tcBorders>
            <w:shd w:val="clear" w:color="auto" w:fill="auto"/>
            <w:hideMark/>
          </w:tcPr>
          <w:p w14:paraId="3881F06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6BF0FBA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Piauí </w:t>
            </w:r>
          </w:p>
        </w:tc>
        <w:tc>
          <w:tcPr>
            <w:tcW w:w="1276" w:type="dxa"/>
            <w:shd w:val="clear" w:color="auto" w:fill="auto"/>
            <w:vAlign w:val="bottom"/>
            <w:hideMark/>
          </w:tcPr>
          <w:p w14:paraId="16F249A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557 310</w:t>
            </w:r>
          </w:p>
        </w:tc>
        <w:tc>
          <w:tcPr>
            <w:tcW w:w="1134" w:type="dxa"/>
            <w:shd w:val="clear" w:color="auto" w:fill="auto"/>
            <w:vAlign w:val="bottom"/>
            <w:hideMark/>
          </w:tcPr>
          <w:p w14:paraId="67FF359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12 133</w:t>
            </w:r>
          </w:p>
        </w:tc>
        <w:tc>
          <w:tcPr>
            <w:tcW w:w="992" w:type="dxa"/>
            <w:shd w:val="clear" w:color="auto" w:fill="auto"/>
            <w:vAlign w:val="bottom"/>
            <w:hideMark/>
          </w:tcPr>
          <w:p w14:paraId="44B80A7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569 443</w:t>
            </w:r>
          </w:p>
        </w:tc>
        <w:tc>
          <w:tcPr>
            <w:tcW w:w="1133" w:type="dxa"/>
            <w:shd w:val="clear" w:color="auto" w:fill="auto"/>
            <w:vAlign w:val="bottom"/>
            <w:hideMark/>
          </w:tcPr>
          <w:p w14:paraId="6375856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97,9 %</w:t>
            </w:r>
          </w:p>
        </w:tc>
      </w:tr>
      <w:tr w:rsidR="00EB5903" w:rsidRPr="00BE2E8F" w14:paraId="02CD2240" w14:textId="77777777" w:rsidTr="001F2294">
        <w:tc>
          <w:tcPr>
            <w:tcW w:w="993" w:type="dxa"/>
            <w:vMerge/>
            <w:tcBorders>
              <w:top w:val="nil"/>
              <w:bottom w:val="nil"/>
            </w:tcBorders>
            <w:shd w:val="clear" w:color="auto" w:fill="auto"/>
            <w:hideMark/>
          </w:tcPr>
          <w:p w14:paraId="4E6A3B2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5C6D59D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Ceará </w:t>
            </w:r>
          </w:p>
        </w:tc>
        <w:tc>
          <w:tcPr>
            <w:tcW w:w="1276" w:type="dxa"/>
            <w:shd w:val="clear" w:color="auto" w:fill="auto"/>
            <w:vAlign w:val="bottom"/>
            <w:hideMark/>
          </w:tcPr>
          <w:p w14:paraId="6A1C1F7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1 564 943</w:t>
            </w:r>
          </w:p>
        </w:tc>
        <w:tc>
          <w:tcPr>
            <w:tcW w:w="1134" w:type="dxa"/>
            <w:shd w:val="clear" w:color="auto" w:fill="auto"/>
            <w:vAlign w:val="bottom"/>
            <w:hideMark/>
          </w:tcPr>
          <w:p w14:paraId="53EFDEF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31 280</w:t>
            </w:r>
          </w:p>
        </w:tc>
        <w:tc>
          <w:tcPr>
            <w:tcW w:w="992" w:type="dxa"/>
            <w:shd w:val="clear" w:color="auto" w:fill="auto"/>
            <w:vAlign w:val="bottom"/>
            <w:hideMark/>
          </w:tcPr>
          <w:p w14:paraId="34496F3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1 596 223</w:t>
            </w:r>
          </w:p>
        </w:tc>
        <w:tc>
          <w:tcPr>
            <w:tcW w:w="1133" w:type="dxa"/>
            <w:shd w:val="clear" w:color="auto" w:fill="auto"/>
            <w:vAlign w:val="bottom"/>
            <w:hideMark/>
          </w:tcPr>
          <w:p w14:paraId="003B6CE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98,0 %</w:t>
            </w:r>
          </w:p>
        </w:tc>
      </w:tr>
      <w:tr w:rsidR="00EB5903" w:rsidRPr="00BE2E8F" w14:paraId="695013DD" w14:textId="77777777" w:rsidTr="001F2294">
        <w:tc>
          <w:tcPr>
            <w:tcW w:w="993" w:type="dxa"/>
            <w:vMerge/>
            <w:tcBorders>
              <w:top w:val="nil"/>
              <w:bottom w:val="nil"/>
            </w:tcBorders>
            <w:shd w:val="clear" w:color="auto" w:fill="auto"/>
            <w:hideMark/>
          </w:tcPr>
          <w:p w14:paraId="12A7A64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44A3B0E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Grande do Norte </w:t>
            </w:r>
          </w:p>
        </w:tc>
        <w:tc>
          <w:tcPr>
            <w:tcW w:w="1276" w:type="dxa"/>
            <w:shd w:val="clear" w:color="auto" w:fill="auto"/>
            <w:vAlign w:val="bottom"/>
            <w:hideMark/>
          </w:tcPr>
          <w:p w14:paraId="56C658C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605 064</w:t>
            </w:r>
          </w:p>
        </w:tc>
        <w:tc>
          <w:tcPr>
            <w:tcW w:w="1134" w:type="dxa"/>
            <w:shd w:val="clear" w:color="auto" w:fill="auto"/>
            <w:vAlign w:val="bottom"/>
            <w:hideMark/>
          </w:tcPr>
          <w:p w14:paraId="1249D8E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10 809</w:t>
            </w:r>
          </w:p>
        </w:tc>
        <w:tc>
          <w:tcPr>
            <w:tcW w:w="992" w:type="dxa"/>
            <w:shd w:val="clear" w:color="auto" w:fill="auto"/>
            <w:vAlign w:val="bottom"/>
            <w:hideMark/>
          </w:tcPr>
          <w:p w14:paraId="3613491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615 873</w:t>
            </w:r>
          </w:p>
        </w:tc>
        <w:tc>
          <w:tcPr>
            <w:tcW w:w="1133" w:type="dxa"/>
            <w:shd w:val="clear" w:color="auto" w:fill="auto"/>
            <w:vAlign w:val="bottom"/>
            <w:hideMark/>
          </w:tcPr>
          <w:p w14:paraId="1CE71CF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98,2 %</w:t>
            </w:r>
          </w:p>
        </w:tc>
      </w:tr>
      <w:tr w:rsidR="00EB5903" w:rsidRPr="00BE2E8F" w14:paraId="1BFEAD18" w14:textId="77777777" w:rsidTr="001F2294">
        <w:tc>
          <w:tcPr>
            <w:tcW w:w="993" w:type="dxa"/>
            <w:vMerge/>
            <w:tcBorders>
              <w:top w:val="nil"/>
              <w:bottom w:val="nil"/>
            </w:tcBorders>
            <w:shd w:val="clear" w:color="auto" w:fill="auto"/>
            <w:hideMark/>
          </w:tcPr>
          <w:p w14:paraId="4016EC1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4A6BE9E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Paraíba </w:t>
            </w:r>
          </w:p>
        </w:tc>
        <w:tc>
          <w:tcPr>
            <w:tcW w:w="1276" w:type="dxa"/>
            <w:shd w:val="clear" w:color="auto" w:fill="auto"/>
            <w:vAlign w:val="bottom"/>
            <w:hideMark/>
          </w:tcPr>
          <w:p w14:paraId="28F9EC1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674 823</w:t>
            </w:r>
          </w:p>
        </w:tc>
        <w:tc>
          <w:tcPr>
            <w:tcW w:w="1134" w:type="dxa"/>
            <w:shd w:val="clear" w:color="auto" w:fill="auto"/>
            <w:vAlign w:val="bottom"/>
            <w:hideMark/>
          </w:tcPr>
          <w:p w14:paraId="16E2CA4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22 577</w:t>
            </w:r>
          </w:p>
        </w:tc>
        <w:tc>
          <w:tcPr>
            <w:tcW w:w="992" w:type="dxa"/>
            <w:shd w:val="clear" w:color="auto" w:fill="auto"/>
            <w:vAlign w:val="bottom"/>
            <w:hideMark/>
          </w:tcPr>
          <w:p w14:paraId="1577E2A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697 400</w:t>
            </w:r>
          </w:p>
        </w:tc>
        <w:tc>
          <w:tcPr>
            <w:tcW w:w="1133" w:type="dxa"/>
            <w:shd w:val="clear" w:color="auto" w:fill="auto"/>
            <w:vAlign w:val="bottom"/>
            <w:hideMark/>
          </w:tcPr>
          <w:p w14:paraId="333F3C7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96,8 %</w:t>
            </w:r>
          </w:p>
        </w:tc>
      </w:tr>
      <w:tr w:rsidR="00EB5903" w:rsidRPr="00BE2E8F" w14:paraId="63D83E79" w14:textId="77777777" w:rsidTr="001F2294">
        <w:tc>
          <w:tcPr>
            <w:tcW w:w="993" w:type="dxa"/>
            <w:vMerge/>
            <w:tcBorders>
              <w:top w:val="nil"/>
              <w:bottom w:val="nil"/>
            </w:tcBorders>
            <w:shd w:val="clear" w:color="auto" w:fill="auto"/>
            <w:hideMark/>
          </w:tcPr>
          <w:p w14:paraId="144336B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7197629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Pernambuco </w:t>
            </w:r>
          </w:p>
        </w:tc>
        <w:tc>
          <w:tcPr>
            <w:tcW w:w="1276" w:type="dxa"/>
            <w:shd w:val="clear" w:color="auto" w:fill="auto"/>
            <w:vAlign w:val="bottom"/>
            <w:hideMark/>
          </w:tcPr>
          <w:p w14:paraId="57AD758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1 674 041</w:t>
            </w:r>
          </w:p>
        </w:tc>
        <w:tc>
          <w:tcPr>
            <w:tcW w:w="1134" w:type="dxa"/>
            <w:shd w:val="clear" w:color="auto" w:fill="auto"/>
            <w:vAlign w:val="bottom"/>
            <w:hideMark/>
          </w:tcPr>
          <w:p w14:paraId="3483551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40 967</w:t>
            </w:r>
          </w:p>
        </w:tc>
        <w:tc>
          <w:tcPr>
            <w:tcW w:w="992" w:type="dxa"/>
            <w:shd w:val="clear" w:color="auto" w:fill="auto"/>
            <w:vAlign w:val="bottom"/>
            <w:hideMark/>
          </w:tcPr>
          <w:p w14:paraId="2D6486B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1 715 008</w:t>
            </w:r>
          </w:p>
        </w:tc>
        <w:tc>
          <w:tcPr>
            <w:tcW w:w="1133" w:type="dxa"/>
            <w:shd w:val="clear" w:color="auto" w:fill="auto"/>
            <w:vAlign w:val="bottom"/>
            <w:hideMark/>
          </w:tcPr>
          <w:p w14:paraId="0491AE4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97,6 %</w:t>
            </w:r>
          </w:p>
        </w:tc>
      </w:tr>
      <w:tr w:rsidR="00EB5903" w:rsidRPr="00BE2E8F" w14:paraId="3BC940F2" w14:textId="77777777" w:rsidTr="001F2294">
        <w:tc>
          <w:tcPr>
            <w:tcW w:w="993" w:type="dxa"/>
            <w:vMerge/>
            <w:tcBorders>
              <w:top w:val="nil"/>
              <w:bottom w:val="nil"/>
            </w:tcBorders>
            <w:shd w:val="clear" w:color="auto" w:fill="auto"/>
            <w:hideMark/>
          </w:tcPr>
          <w:p w14:paraId="79E18FE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5D59A87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Alagoas </w:t>
            </w:r>
          </w:p>
        </w:tc>
        <w:tc>
          <w:tcPr>
            <w:tcW w:w="1276" w:type="dxa"/>
            <w:shd w:val="clear" w:color="auto" w:fill="auto"/>
            <w:vAlign w:val="bottom"/>
            <w:hideMark/>
          </w:tcPr>
          <w:p w14:paraId="53A0D5A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593 962</w:t>
            </w:r>
          </w:p>
        </w:tc>
        <w:tc>
          <w:tcPr>
            <w:tcW w:w="1134" w:type="dxa"/>
            <w:shd w:val="clear" w:color="auto" w:fill="auto"/>
            <w:vAlign w:val="bottom"/>
            <w:hideMark/>
          </w:tcPr>
          <w:p w14:paraId="5C30CA7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20 730</w:t>
            </w:r>
          </w:p>
        </w:tc>
        <w:tc>
          <w:tcPr>
            <w:tcW w:w="992" w:type="dxa"/>
            <w:shd w:val="clear" w:color="auto" w:fill="auto"/>
            <w:vAlign w:val="bottom"/>
            <w:hideMark/>
          </w:tcPr>
          <w:p w14:paraId="56D3576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614 692</w:t>
            </w:r>
          </w:p>
        </w:tc>
        <w:tc>
          <w:tcPr>
            <w:tcW w:w="1133" w:type="dxa"/>
            <w:shd w:val="clear" w:color="auto" w:fill="auto"/>
            <w:vAlign w:val="bottom"/>
            <w:hideMark/>
          </w:tcPr>
          <w:p w14:paraId="04CCB1A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96,6 %</w:t>
            </w:r>
          </w:p>
        </w:tc>
      </w:tr>
      <w:tr w:rsidR="00EB5903" w:rsidRPr="00BE2E8F" w14:paraId="6F7E1865" w14:textId="77777777" w:rsidTr="001F2294">
        <w:tc>
          <w:tcPr>
            <w:tcW w:w="993" w:type="dxa"/>
            <w:vMerge/>
            <w:tcBorders>
              <w:top w:val="nil"/>
              <w:bottom w:val="nil"/>
            </w:tcBorders>
            <w:shd w:val="clear" w:color="auto" w:fill="auto"/>
            <w:hideMark/>
          </w:tcPr>
          <w:p w14:paraId="32CD4A7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08AFC80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Sergipe </w:t>
            </w:r>
          </w:p>
        </w:tc>
        <w:tc>
          <w:tcPr>
            <w:tcW w:w="1276" w:type="dxa"/>
            <w:shd w:val="clear" w:color="auto" w:fill="auto"/>
            <w:vAlign w:val="bottom"/>
            <w:hideMark/>
          </w:tcPr>
          <w:p w14:paraId="5A99588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419 743</w:t>
            </w:r>
          </w:p>
        </w:tc>
        <w:tc>
          <w:tcPr>
            <w:tcW w:w="1134" w:type="dxa"/>
            <w:shd w:val="clear" w:color="auto" w:fill="auto"/>
            <w:vAlign w:val="bottom"/>
            <w:hideMark/>
          </w:tcPr>
          <w:p w14:paraId="47E5544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9 648</w:t>
            </w:r>
          </w:p>
        </w:tc>
        <w:tc>
          <w:tcPr>
            <w:tcW w:w="992" w:type="dxa"/>
            <w:shd w:val="clear" w:color="auto" w:fill="auto"/>
            <w:vAlign w:val="bottom"/>
            <w:hideMark/>
          </w:tcPr>
          <w:p w14:paraId="43DE4A6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429 391</w:t>
            </w:r>
          </w:p>
        </w:tc>
        <w:tc>
          <w:tcPr>
            <w:tcW w:w="1133" w:type="dxa"/>
            <w:shd w:val="clear" w:color="auto" w:fill="auto"/>
            <w:vAlign w:val="bottom"/>
            <w:hideMark/>
          </w:tcPr>
          <w:p w14:paraId="41DA51B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97,8 %</w:t>
            </w:r>
          </w:p>
        </w:tc>
      </w:tr>
      <w:tr w:rsidR="00EB5903" w:rsidRPr="00BE2E8F" w14:paraId="6696AD4E" w14:textId="77777777" w:rsidTr="001F2294">
        <w:tc>
          <w:tcPr>
            <w:tcW w:w="993" w:type="dxa"/>
            <w:vMerge/>
            <w:tcBorders>
              <w:top w:val="nil"/>
              <w:bottom w:val="nil"/>
            </w:tcBorders>
            <w:shd w:val="clear" w:color="auto" w:fill="auto"/>
            <w:hideMark/>
          </w:tcPr>
          <w:p w14:paraId="537AD40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2A23E0D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Bahia </w:t>
            </w:r>
          </w:p>
        </w:tc>
        <w:tc>
          <w:tcPr>
            <w:tcW w:w="1276" w:type="dxa"/>
            <w:shd w:val="clear" w:color="auto" w:fill="auto"/>
            <w:vAlign w:val="bottom"/>
            <w:hideMark/>
          </w:tcPr>
          <w:p w14:paraId="3D754D9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2 520 262</w:t>
            </w:r>
          </w:p>
        </w:tc>
        <w:tc>
          <w:tcPr>
            <w:tcW w:w="1134" w:type="dxa"/>
            <w:shd w:val="clear" w:color="auto" w:fill="auto"/>
            <w:vAlign w:val="bottom"/>
            <w:hideMark/>
          </w:tcPr>
          <w:p w14:paraId="582F014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37 449</w:t>
            </w:r>
          </w:p>
        </w:tc>
        <w:tc>
          <w:tcPr>
            <w:tcW w:w="992" w:type="dxa"/>
            <w:shd w:val="clear" w:color="auto" w:fill="auto"/>
            <w:vAlign w:val="bottom"/>
            <w:hideMark/>
          </w:tcPr>
          <w:p w14:paraId="1E5210E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2 557 711</w:t>
            </w:r>
          </w:p>
        </w:tc>
        <w:tc>
          <w:tcPr>
            <w:tcW w:w="1133" w:type="dxa"/>
            <w:shd w:val="clear" w:color="auto" w:fill="auto"/>
            <w:vAlign w:val="bottom"/>
            <w:hideMark/>
          </w:tcPr>
          <w:p w14:paraId="4D5F92F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98,5 %</w:t>
            </w:r>
          </w:p>
        </w:tc>
      </w:tr>
      <w:tr w:rsidR="00EB5903" w:rsidRPr="00BE2E8F" w14:paraId="7B9BE265" w14:textId="77777777" w:rsidTr="001F2294">
        <w:tc>
          <w:tcPr>
            <w:tcW w:w="993" w:type="dxa"/>
            <w:vMerge/>
            <w:tcBorders>
              <w:top w:val="nil"/>
              <w:bottom w:val="nil"/>
            </w:tcBorders>
            <w:shd w:val="clear" w:color="auto" w:fill="auto"/>
            <w:hideMark/>
          </w:tcPr>
          <w:p w14:paraId="3D83686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7549BDF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Minas Gerais </w:t>
            </w:r>
          </w:p>
        </w:tc>
        <w:tc>
          <w:tcPr>
            <w:tcW w:w="1276" w:type="dxa"/>
            <w:shd w:val="clear" w:color="auto" w:fill="auto"/>
            <w:vAlign w:val="bottom"/>
            <w:hideMark/>
          </w:tcPr>
          <w:p w14:paraId="2909988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3 232 400</w:t>
            </w:r>
          </w:p>
        </w:tc>
        <w:tc>
          <w:tcPr>
            <w:tcW w:w="1134" w:type="dxa"/>
            <w:shd w:val="clear" w:color="auto" w:fill="auto"/>
            <w:vAlign w:val="bottom"/>
            <w:hideMark/>
          </w:tcPr>
          <w:p w14:paraId="702E41B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66 176</w:t>
            </w:r>
          </w:p>
        </w:tc>
        <w:tc>
          <w:tcPr>
            <w:tcW w:w="992" w:type="dxa"/>
            <w:shd w:val="clear" w:color="auto" w:fill="auto"/>
            <w:vAlign w:val="bottom"/>
            <w:hideMark/>
          </w:tcPr>
          <w:p w14:paraId="399D252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3 298 576</w:t>
            </w:r>
          </w:p>
        </w:tc>
        <w:tc>
          <w:tcPr>
            <w:tcW w:w="1133" w:type="dxa"/>
            <w:shd w:val="clear" w:color="auto" w:fill="auto"/>
            <w:vAlign w:val="bottom"/>
            <w:hideMark/>
          </w:tcPr>
          <w:p w14:paraId="5CA6872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98,0 %</w:t>
            </w:r>
          </w:p>
        </w:tc>
      </w:tr>
      <w:tr w:rsidR="00EB5903" w:rsidRPr="00BE2E8F" w14:paraId="77FEA01A" w14:textId="77777777" w:rsidTr="001F2294">
        <w:tc>
          <w:tcPr>
            <w:tcW w:w="993" w:type="dxa"/>
            <w:vMerge/>
            <w:tcBorders>
              <w:top w:val="nil"/>
              <w:bottom w:val="nil"/>
            </w:tcBorders>
            <w:shd w:val="clear" w:color="auto" w:fill="auto"/>
            <w:hideMark/>
          </w:tcPr>
          <w:p w14:paraId="264926D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5F64D4F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Espírito</w:t>
            </w:r>
            <w:proofErr w:type="spellEnd"/>
            <w:r>
              <w:rPr>
                <w:sz w:val="18"/>
              </w:rPr>
              <w:t xml:space="preserve"> Santo </w:t>
            </w:r>
          </w:p>
        </w:tc>
        <w:tc>
          <w:tcPr>
            <w:tcW w:w="1276" w:type="dxa"/>
            <w:shd w:val="clear" w:color="auto" w:fill="auto"/>
            <w:vAlign w:val="bottom"/>
            <w:hideMark/>
          </w:tcPr>
          <w:p w14:paraId="3A4AB1B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661 095</w:t>
            </w:r>
          </w:p>
        </w:tc>
        <w:tc>
          <w:tcPr>
            <w:tcW w:w="1134" w:type="dxa"/>
            <w:shd w:val="clear" w:color="auto" w:fill="auto"/>
            <w:vAlign w:val="bottom"/>
            <w:hideMark/>
          </w:tcPr>
          <w:p w14:paraId="5E8FA25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19 991</w:t>
            </w:r>
          </w:p>
        </w:tc>
        <w:tc>
          <w:tcPr>
            <w:tcW w:w="992" w:type="dxa"/>
            <w:shd w:val="clear" w:color="auto" w:fill="auto"/>
            <w:vAlign w:val="bottom"/>
            <w:hideMark/>
          </w:tcPr>
          <w:p w14:paraId="4754225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681 086</w:t>
            </w:r>
          </w:p>
        </w:tc>
        <w:tc>
          <w:tcPr>
            <w:tcW w:w="1133" w:type="dxa"/>
            <w:shd w:val="clear" w:color="auto" w:fill="auto"/>
            <w:vAlign w:val="bottom"/>
            <w:hideMark/>
          </w:tcPr>
          <w:p w14:paraId="01B781E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97,1 %</w:t>
            </w:r>
          </w:p>
        </w:tc>
      </w:tr>
      <w:tr w:rsidR="00EB5903" w:rsidRPr="00BE2E8F" w14:paraId="5CAB7D5D" w14:textId="77777777" w:rsidTr="001F2294">
        <w:tc>
          <w:tcPr>
            <w:tcW w:w="993" w:type="dxa"/>
            <w:vMerge/>
            <w:tcBorders>
              <w:top w:val="nil"/>
              <w:bottom w:val="nil"/>
            </w:tcBorders>
            <w:shd w:val="clear" w:color="auto" w:fill="auto"/>
            <w:hideMark/>
          </w:tcPr>
          <w:p w14:paraId="7E50FFF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047823D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de Janeiro </w:t>
            </w:r>
          </w:p>
        </w:tc>
        <w:tc>
          <w:tcPr>
            <w:tcW w:w="1276" w:type="dxa"/>
            <w:shd w:val="clear" w:color="auto" w:fill="auto"/>
            <w:vAlign w:val="bottom"/>
            <w:hideMark/>
          </w:tcPr>
          <w:p w14:paraId="100292E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2 527 685</w:t>
            </w:r>
          </w:p>
        </w:tc>
        <w:tc>
          <w:tcPr>
            <w:tcW w:w="1134" w:type="dxa"/>
            <w:shd w:val="clear" w:color="auto" w:fill="auto"/>
            <w:vAlign w:val="bottom"/>
            <w:hideMark/>
          </w:tcPr>
          <w:p w14:paraId="4DCA14B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44 478</w:t>
            </w:r>
          </w:p>
        </w:tc>
        <w:tc>
          <w:tcPr>
            <w:tcW w:w="992" w:type="dxa"/>
            <w:shd w:val="clear" w:color="auto" w:fill="auto"/>
            <w:vAlign w:val="bottom"/>
            <w:hideMark/>
          </w:tcPr>
          <w:p w14:paraId="5C8A5D5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2 572 163</w:t>
            </w:r>
          </w:p>
        </w:tc>
        <w:tc>
          <w:tcPr>
            <w:tcW w:w="1133" w:type="dxa"/>
            <w:shd w:val="clear" w:color="auto" w:fill="auto"/>
            <w:vAlign w:val="bottom"/>
            <w:hideMark/>
          </w:tcPr>
          <w:p w14:paraId="432AD14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98,3 %</w:t>
            </w:r>
          </w:p>
        </w:tc>
      </w:tr>
      <w:tr w:rsidR="00EB5903" w:rsidRPr="00BE2E8F" w14:paraId="6A36C978" w14:textId="77777777" w:rsidTr="001F2294">
        <w:tc>
          <w:tcPr>
            <w:tcW w:w="993" w:type="dxa"/>
            <w:vMerge/>
            <w:tcBorders>
              <w:top w:val="nil"/>
              <w:bottom w:val="nil"/>
            </w:tcBorders>
            <w:shd w:val="clear" w:color="auto" w:fill="auto"/>
            <w:hideMark/>
          </w:tcPr>
          <w:p w14:paraId="39F53A3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0FC648B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São Paulo </w:t>
            </w:r>
          </w:p>
        </w:tc>
        <w:tc>
          <w:tcPr>
            <w:tcW w:w="1276" w:type="dxa"/>
            <w:shd w:val="clear" w:color="auto" w:fill="auto"/>
            <w:vAlign w:val="bottom"/>
            <w:hideMark/>
          </w:tcPr>
          <w:p w14:paraId="44E1337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6 969 657</w:t>
            </w:r>
          </w:p>
        </w:tc>
        <w:tc>
          <w:tcPr>
            <w:tcW w:w="1134" w:type="dxa"/>
            <w:shd w:val="clear" w:color="auto" w:fill="auto"/>
            <w:vAlign w:val="bottom"/>
            <w:hideMark/>
          </w:tcPr>
          <w:p w14:paraId="0E7FDD3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112 334</w:t>
            </w:r>
          </w:p>
        </w:tc>
        <w:tc>
          <w:tcPr>
            <w:tcW w:w="992" w:type="dxa"/>
            <w:shd w:val="clear" w:color="auto" w:fill="auto"/>
            <w:vAlign w:val="bottom"/>
            <w:hideMark/>
          </w:tcPr>
          <w:p w14:paraId="5A55FB9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7 081 991</w:t>
            </w:r>
          </w:p>
        </w:tc>
        <w:tc>
          <w:tcPr>
            <w:tcW w:w="1133" w:type="dxa"/>
            <w:shd w:val="clear" w:color="auto" w:fill="auto"/>
            <w:vAlign w:val="bottom"/>
            <w:hideMark/>
          </w:tcPr>
          <w:p w14:paraId="2FA1B8A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98,4 %</w:t>
            </w:r>
          </w:p>
        </w:tc>
      </w:tr>
      <w:tr w:rsidR="00EB5903" w:rsidRPr="00BE2E8F" w14:paraId="3BE708B8" w14:textId="77777777" w:rsidTr="001F2294">
        <w:tc>
          <w:tcPr>
            <w:tcW w:w="993" w:type="dxa"/>
            <w:vMerge/>
            <w:tcBorders>
              <w:top w:val="nil"/>
              <w:bottom w:val="nil"/>
            </w:tcBorders>
            <w:shd w:val="clear" w:color="auto" w:fill="auto"/>
            <w:hideMark/>
          </w:tcPr>
          <w:p w14:paraId="52DBEDC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5A3D44A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Paraná </w:t>
            </w:r>
          </w:p>
        </w:tc>
        <w:tc>
          <w:tcPr>
            <w:tcW w:w="1276" w:type="dxa"/>
            <w:shd w:val="clear" w:color="auto" w:fill="auto"/>
            <w:vAlign w:val="bottom"/>
            <w:hideMark/>
          </w:tcPr>
          <w:p w14:paraId="7B7EB8D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1 803 522</w:t>
            </w:r>
          </w:p>
        </w:tc>
        <w:tc>
          <w:tcPr>
            <w:tcW w:w="1134" w:type="dxa"/>
            <w:shd w:val="clear" w:color="auto" w:fill="auto"/>
            <w:vAlign w:val="bottom"/>
            <w:hideMark/>
          </w:tcPr>
          <w:p w14:paraId="47850C1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46 422</w:t>
            </w:r>
          </w:p>
        </w:tc>
        <w:tc>
          <w:tcPr>
            <w:tcW w:w="992" w:type="dxa"/>
            <w:shd w:val="clear" w:color="auto" w:fill="auto"/>
            <w:vAlign w:val="bottom"/>
            <w:hideMark/>
          </w:tcPr>
          <w:p w14:paraId="562D59A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1 849 944</w:t>
            </w:r>
          </w:p>
        </w:tc>
        <w:tc>
          <w:tcPr>
            <w:tcW w:w="1133" w:type="dxa"/>
            <w:shd w:val="clear" w:color="auto" w:fill="auto"/>
            <w:vAlign w:val="bottom"/>
            <w:hideMark/>
          </w:tcPr>
          <w:p w14:paraId="24D5DF5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97,5 %</w:t>
            </w:r>
          </w:p>
        </w:tc>
      </w:tr>
      <w:tr w:rsidR="00EB5903" w:rsidRPr="00BE2E8F" w14:paraId="142012DD" w14:textId="77777777" w:rsidTr="001F2294">
        <w:tc>
          <w:tcPr>
            <w:tcW w:w="993" w:type="dxa"/>
            <w:vMerge/>
            <w:tcBorders>
              <w:top w:val="nil"/>
              <w:bottom w:val="nil"/>
            </w:tcBorders>
            <w:shd w:val="clear" w:color="auto" w:fill="auto"/>
            <w:hideMark/>
          </w:tcPr>
          <w:p w14:paraId="2946401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071512D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Santa Catarina </w:t>
            </w:r>
          </w:p>
        </w:tc>
        <w:tc>
          <w:tcPr>
            <w:tcW w:w="1276" w:type="dxa"/>
            <w:shd w:val="clear" w:color="auto" w:fill="auto"/>
            <w:vAlign w:val="bottom"/>
            <w:hideMark/>
          </w:tcPr>
          <w:p w14:paraId="4E7F7D5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1 124 625</w:t>
            </w:r>
          </w:p>
        </w:tc>
        <w:tc>
          <w:tcPr>
            <w:tcW w:w="1134" w:type="dxa"/>
            <w:shd w:val="clear" w:color="auto" w:fill="auto"/>
            <w:vAlign w:val="bottom"/>
            <w:hideMark/>
          </w:tcPr>
          <w:p w14:paraId="0BF8734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21 757</w:t>
            </w:r>
          </w:p>
        </w:tc>
        <w:tc>
          <w:tcPr>
            <w:tcW w:w="992" w:type="dxa"/>
            <w:shd w:val="clear" w:color="auto" w:fill="auto"/>
            <w:vAlign w:val="bottom"/>
            <w:hideMark/>
          </w:tcPr>
          <w:p w14:paraId="556A801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1 146 382</w:t>
            </w:r>
          </w:p>
        </w:tc>
        <w:tc>
          <w:tcPr>
            <w:tcW w:w="1133" w:type="dxa"/>
            <w:shd w:val="clear" w:color="auto" w:fill="auto"/>
            <w:vAlign w:val="bottom"/>
            <w:hideMark/>
          </w:tcPr>
          <w:p w14:paraId="71C0FFB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98,1 %</w:t>
            </w:r>
          </w:p>
        </w:tc>
      </w:tr>
      <w:tr w:rsidR="00EB5903" w:rsidRPr="00BE2E8F" w14:paraId="1FCA7516" w14:textId="77777777" w:rsidTr="001F2294">
        <w:tc>
          <w:tcPr>
            <w:tcW w:w="993" w:type="dxa"/>
            <w:vMerge/>
            <w:tcBorders>
              <w:top w:val="nil"/>
              <w:bottom w:val="nil"/>
            </w:tcBorders>
            <w:shd w:val="clear" w:color="auto" w:fill="auto"/>
            <w:hideMark/>
          </w:tcPr>
          <w:p w14:paraId="2D805F0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30CB93D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Grande do Sul </w:t>
            </w:r>
          </w:p>
        </w:tc>
        <w:tc>
          <w:tcPr>
            <w:tcW w:w="1276" w:type="dxa"/>
            <w:shd w:val="clear" w:color="auto" w:fill="auto"/>
            <w:vAlign w:val="bottom"/>
            <w:hideMark/>
          </w:tcPr>
          <w:p w14:paraId="0CF2C32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1 698 476</w:t>
            </w:r>
          </w:p>
        </w:tc>
        <w:tc>
          <w:tcPr>
            <w:tcW w:w="1134" w:type="dxa"/>
            <w:shd w:val="clear" w:color="auto" w:fill="auto"/>
            <w:vAlign w:val="bottom"/>
            <w:hideMark/>
          </w:tcPr>
          <w:p w14:paraId="5836275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28 819</w:t>
            </w:r>
          </w:p>
        </w:tc>
        <w:tc>
          <w:tcPr>
            <w:tcW w:w="992" w:type="dxa"/>
            <w:shd w:val="clear" w:color="auto" w:fill="auto"/>
            <w:vAlign w:val="bottom"/>
            <w:hideMark/>
          </w:tcPr>
          <w:p w14:paraId="308FB22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1 727 295</w:t>
            </w:r>
          </w:p>
        </w:tc>
        <w:tc>
          <w:tcPr>
            <w:tcW w:w="1133" w:type="dxa"/>
            <w:shd w:val="clear" w:color="auto" w:fill="auto"/>
            <w:vAlign w:val="bottom"/>
            <w:hideMark/>
          </w:tcPr>
          <w:p w14:paraId="13B19C6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98,3 %</w:t>
            </w:r>
          </w:p>
        </w:tc>
      </w:tr>
      <w:tr w:rsidR="00EB5903" w:rsidRPr="00BE2E8F" w14:paraId="1FF05266" w14:textId="77777777" w:rsidTr="001F2294">
        <w:tc>
          <w:tcPr>
            <w:tcW w:w="993" w:type="dxa"/>
            <w:vMerge/>
            <w:tcBorders>
              <w:top w:val="nil"/>
              <w:bottom w:val="nil"/>
            </w:tcBorders>
            <w:shd w:val="clear" w:color="auto" w:fill="auto"/>
            <w:hideMark/>
          </w:tcPr>
          <w:p w14:paraId="34FA9A0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tcBorders>
              <w:bottom w:val="nil"/>
            </w:tcBorders>
            <w:shd w:val="clear" w:color="auto" w:fill="auto"/>
            <w:hideMark/>
          </w:tcPr>
          <w:p w14:paraId="0CF3812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Mato Grosso do Sul </w:t>
            </w:r>
          </w:p>
        </w:tc>
        <w:tc>
          <w:tcPr>
            <w:tcW w:w="1276" w:type="dxa"/>
            <w:tcBorders>
              <w:bottom w:val="nil"/>
            </w:tcBorders>
            <w:shd w:val="clear" w:color="auto" w:fill="auto"/>
            <w:vAlign w:val="bottom"/>
            <w:hideMark/>
          </w:tcPr>
          <w:p w14:paraId="74AF0FC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480 615</w:t>
            </w:r>
          </w:p>
        </w:tc>
        <w:tc>
          <w:tcPr>
            <w:tcW w:w="1134" w:type="dxa"/>
            <w:tcBorders>
              <w:bottom w:val="nil"/>
            </w:tcBorders>
            <w:shd w:val="clear" w:color="auto" w:fill="auto"/>
            <w:vAlign w:val="bottom"/>
            <w:hideMark/>
          </w:tcPr>
          <w:p w14:paraId="7AFE531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12 356</w:t>
            </w:r>
          </w:p>
        </w:tc>
        <w:tc>
          <w:tcPr>
            <w:tcW w:w="992" w:type="dxa"/>
            <w:tcBorders>
              <w:bottom w:val="nil"/>
            </w:tcBorders>
            <w:shd w:val="clear" w:color="auto" w:fill="auto"/>
            <w:vAlign w:val="bottom"/>
            <w:hideMark/>
          </w:tcPr>
          <w:p w14:paraId="09C6599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492 971</w:t>
            </w:r>
          </w:p>
        </w:tc>
        <w:tc>
          <w:tcPr>
            <w:tcW w:w="1133" w:type="dxa"/>
            <w:tcBorders>
              <w:bottom w:val="nil"/>
            </w:tcBorders>
            <w:shd w:val="clear" w:color="auto" w:fill="auto"/>
            <w:vAlign w:val="bottom"/>
            <w:hideMark/>
          </w:tcPr>
          <w:p w14:paraId="1967032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97,5 %</w:t>
            </w:r>
          </w:p>
        </w:tc>
      </w:tr>
      <w:tr w:rsidR="00EB5903" w:rsidRPr="00BE2E8F" w14:paraId="73C9FF4B" w14:textId="77777777" w:rsidTr="001F2294">
        <w:tc>
          <w:tcPr>
            <w:tcW w:w="993" w:type="dxa"/>
            <w:vMerge/>
            <w:tcBorders>
              <w:top w:val="nil"/>
              <w:bottom w:val="nil"/>
            </w:tcBorders>
            <w:shd w:val="clear" w:color="auto" w:fill="auto"/>
            <w:hideMark/>
          </w:tcPr>
          <w:p w14:paraId="6195D01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tcBorders>
              <w:top w:val="nil"/>
              <w:bottom w:val="nil"/>
            </w:tcBorders>
            <w:shd w:val="clear" w:color="auto" w:fill="auto"/>
            <w:hideMark/>
          </w:tcPr>
          <w:p w14:paraId="4B5E108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Mato Grosso </w:t>
            </w:r>
          </w:p>
        </w:tc>
        <w:tc>
          <w:tcPr>
            <w:tcW w:w="1276" w:type="dxa"/>
            <w:tcBorders>
              <w:top w:val="nil"/>
              <w:bottom w:val="nil"/>
            </w:tcBorders>
            <w:shd w:val="clear" w:color="auto" w:fill="auto"/>
            <w:vAlign w:val="bottom"/>
            <w:hideMark/>
          </w:tcPr>
          <w:p w14:paraId="72ACC7A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626 541</w:t>
            </w:r>
          </w:p>
        </w:tc>
        <w:tc>
          <w:tcPr>
            <w:tcW w:w="1134" w:type="dxa"/>
            <w:tcBorders>
              <w:top w:val="nil"/>
              <w:bottom w:val="nil"/>
            </w:tcBorders>
            <w:shd w:val="clear" w:color="auto" w:fill="auto"/>
            <w:vAlign w:val="bottom"/>
            <w:hideMark/>
          </w:tcPr>
          <w:p w14:paraId="6974763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12 868</w:t>
            </w:r>
          </w:p>
        </w:tc>
        <w:tc>
          <w:tcPr>
            <w:tcW w:w="992" w:type="dxa"/>
            <w:tcBorders>
              <w:top w:val="nil"/>
              <w:bottom w:val="nil"/>
            </w:tcBorders>
            <w:shd w:val="clear" w:color="auto" w:fill="auto"/>
            <w:vAlign w:val="bottom"/>
            <w:hideMark/>
          </w:tcPr>
          <w:p w14:paraId="33E7CAF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639 409</w:t>
            </w:r>
          </w:p>
        </w:tc>
        <w:tc>
          <w:tcPr>
            <w:tcW w:w="1133" w:type="dxa"/>
            <w:tcBorders>
              <w:top w:val="nil"/>
              <w:bottom w:val="nil"/>
            </w:tcBorders>
            <w:shd w:val="clear" w:color="auto" w:fill="auto"/>
            <w:vAlign w:val="bottom"/>
            <w:hideMark/>
          </w:tcPr>
          <w:p w14:paraId="5E6214E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98,0 %</w:t>
            </w:r>
          </w:p>
        </w:tc>
      </w:tr>
      <w:tr w:rsidR="00EB5903" w:rsidRPr="00BE2E8F" w14:paraId="50BF2C48" w14:textId="77777777" w:rsidTr="001F2294">
        <w:tc>
          <w:tcPr>
            <w:tcW w:w="993" w:type="dxa"/>
            <w:vMerge/>
            <w:tcBorders>
              <w:top w:val="nil"/>
              <w:bottom w:val="nil"/>
            </w:tcBorders>
            <w:shd w:val="clear" w:color="auto" w:fill="auto"/>
            <w:hideMark/>
          </w:tcPr>
          <w:p w14:paraId="2753E4B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tcBorders>
              <w:top w:val="nil"/>
            </w:tcBorders>
            <w:shd w:val="clear" w:color="auto" w:fill="auto"/>
            <w:hideMark/>
          </w:tcPr>
          <w:p w14:paraId="587A461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Goiás </w:t>
            </w:r>
          </w:p>
        </w:tc>
        <w:tc>
          <w:tcPr>
            <w:tcW w:w="1276" w:type="dxa"/>
            <w:tcBorders>
              <w:top w:val="nil"/>
            </w:tcBorders>
            <w:shd w:val="clear" w:color="auto" w:fill="auto"/>
            <w:vAlign w:val="bottom"/>
            <w:hideMark/>
          </w:tcPr>
          <w:p w14:paraId="65DF41E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1 194 379</w:t>
            </w:r>
          </w:p>
        </w:tc>
        <w:tc>
          <w:tcPr>
            <w:tcW w:w="1134" w:type="dxa"/>
            <w:tcBorders>
              <w:top w:val="nil"/>
            </w:tcBorders>
            <w:shd w:val="clear" w:color="auto" w:fill="auto"/>
            <w:vAlign w:val="bottom"/>
            <w:hideMark/>
          </w:tcPr>
          <w:p w14:paraId="40F1516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32 556</w:t>
            </w:r>
          </w:p>
        </w:tc>
        <w:tc>
          <w:tcPr>
            <w:tcW w:w="992" w:type="dxa"/>
            <w:tcBorders>
              <w:top w:val="nil"/>
            </w:tcBorders>
            <w:shd w:val="clear" w:color="auto" w:fill="auto"/>
            <w:vAlign w:val="bottom"/>
            <w:hideMark/>
          </w:tcPr>
          <w:p w14:paraId="04CCC59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1 226 935</w:t>
            </w:r>
          </w:p>
        </w:tc>
        <w:tc>
          <w:tcPr>
            <w:tcW w:w="1133" w:type="dxa"/>
            <w:tcBorders>
              <w:top w:val="nil"/>
            </w:tcBorders>
            <w:shd w:val="clear" w:color="auto" w:fill="auto"/>
            <w:vAlign w:val="bottom"/>
            <w:hideMark/>
          </w:tcPr>
          <w:p w14:paraId="3EC6192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97,3 %</w:t>
            </w:r>
          </w:p>
        </w:tc>
      </w:tr>
      <w:tr w:rsidR="00EB5903" w:rsidRPr="00BE2E8F" w14:paraId="01A3405E" w14:textId="77777777" w:rsidTr="001F2294">
        <w:tc>
          <w:tcPr>
            <w:tcW w:w="993" w:type="dxa"/>
            <w:vMerge/>
            <w:tcBorders>
              <w:top w:val="nil"/>
              <w:bottom w:val="nil"/>
            </w:tcBorders>
            <w:shd w:val="clear" w:color="auto" w:fill="auto"/>
            <w:hideMark/>
          </w:tcPr>
          <w:p w14:paraId="5112947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50D61F3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Distrito</w:t>
            </w:r>
            <w:proofErr w:type="spellEnd"/>
            <w:r>
              <w:rPr>
                <w:sz w:val="18"/>
              </w:rPr>
              <w:t xml:space="preserve"> </w:t>
            </w:r>
            <w:proofErr w:type="spellStart"/>
            <w:r>
              <w:rPr>
                <w:sz w:val="18"/>
              </w:rPr>
              <w:t>Federal</w:t>
            </w:r>
            <w:proofErr w:type="spellEnd"/>
            <w:r>
              <w:rPr>
                <w:sz w:val="18"/>
              </w:rPr>
              <w:t> </w:t>
            </w:r>
          </w:p>
        </w:tc>
        <w:tc>
          <w:tcPr>
            <w:tcW w:w="1276" w:type="dxa"/>
            <w:shd w:val="clear" w:color="auto" w:fill="auto"/>
            <w:vAlign w:val="bottom"/>
            <w:hideMark/>
          </w:tcPr>
          <w:p w14:paraId="4178BBE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507 908</w:t>
            </w:r>
          </w:p>
        </w:tc>
        <w:tc>
          <w:tcPr>
            <w:tcW w:w="1134" w:type="dxa"/>
            <w:shd w:val="clear" w:color="auto" w:fill="auto"/>
            <w:vAlign w:val="bottom"/>
            <w:hideMark/>
          </w:tcPr>
          <w:p w14:paraId="4FCE545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6 439</w:t>
            </w:r>
          </w:p>
        </w:tc>
        <w:tc>
          <w:tcPr>
            <w:tcW w:w="992" w:type="dxa"/>
            <w:shd w:val="clear" w:color="auto" w:fill="auto"/>
            <w:vAlign w:val="bottom"/>
            <w:hideMark/>
          </w:tcPr>
          <w:p w14:paraId="3986F80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514 347</w:t>
            </w:r>
          </w:p>
        </w:tc>
        <w:tc>
          <w:tcPr>
            <w:tcW w:w="1133" w:type="dxa"/>
            <w:shd w:val="clear" w:color="auto" w:fill="auto"/>
            <w:vAlign w:val="bottom"/>
            <w:hideMark/>
          </w:tcPr>
          <w:p w14:paraId="09E7187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98,7 %</w:t>
            </w:r>
          </w:p>
        </w:tc>
      </w:tr>
      <w:tr w:rsidR="00EB5903" w:rsidRPr="00BE2E8F" w14:paraId="61537240" w14:textId="77777777" w:rsidTr="008B4897">
        <w:tc>
          <w:tcPr>
            <w:tcW w:w="2835" w:type="dxa"/>
            <w:gridSpan w:val="2"/>
            <w:shd w:val="clear" w:color="auto" w:fill="auto"/>
            <w:hideMark/>
          </w:tcPr>
          <w:p w14:paraId="6EE8F82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Brésil </w:t>
            </w:r>
          </w:p>
        </w:tc>
        <w:tc>
          <w:tcPr>
            <w:tcW w:w="1276" w:type="dxa"/>
            <w:shd w:val="clear" w:color="auto" w:fill="auto"/>
            <w:vAlign w:val="bottom"/>
            <w:hideMark/>
          </w:tcPr>
          <w:p w14:paraId="7A854EE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34 569 472</w:t>
            </w:r>
          </w:p>
        </w:tc>
        <w:tc>
          <w:tcPr>
            <w:tcW w:w="1134" w:type="dxa"/>
            <w:shd w:val="clear" w:color="auto" w:fill="auto"/>
            <w:vAlign w:val="bottom"/>
            <w:hideMark/>
          </w:tcPr>
          <w:p w14:paraId="6731E69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736 680</w:t>
            </w:r>
          </w:p>
        </w:tc>
        <w:tc>
          <w:tcPr>
            <w:tcW w:w="992" w:type="dxa"/>
            <w:shd w:val="clear" w:color="auto" w:fill="auto"/>
            <w:vAlign w:val="bottom"/>
            <w:hideMark/>
          </w:tcPr>
          <w:p w14:paraId="0067F88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35 306 152</w:t>
            </w:r>
          </w:p>
        </w:tc>
        <w:tc>
          <w:tcPr>
            <w:tcW w:w="1133" w:type="dxa"/>
            <w:shd w:val="clear" w:color="auto" w:fill="auto"/>
            <w:vAlign w:val="bottom"/>
            <w:hideMark/>
          </w:tcPr>
          <w:p w14:paraId="2FB5824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97,9 %</w:t>
            </w:r>
          </w:p>
        </w:tc>
      </w:tr>
    </w:tbl>
    <w:p w14:paraId="5952D9AA" w14:textId="5F0771AB" w:rsidR="00EB5903" w:rsidRPr="00BE2E8F" w:rsidRDefault="00EB5903" w:rsidP="00EB5903">
      <w:pPr>
        <w:pStyle w:val="SingleTxtG"/>
        <w:spacing w:before="120" w:after="0"/>
        <w:ind w:firstLine="170"/>
        <w:jc w:val="left"/>
      </w:pPr>
      <w:r>
        <w:rPr>
          <w:i/>
          <w:sz w:val="18"/>
        </w:rPr>
        <w:t>Source </w:t>
      </w:r>
      <w:r>
        <w:rPr>
          <w:sz w:val="18"/>
        </w:rPr>
        <w:t xml:space="preserve">: Enquête nationale continue par sondage auprès des ménages (PNAD </w:t>
      </w:r>
      <w:proofErr w:type="spellStart"/>
      <w:r>
        <w:rPr>
          <w:sz w:val="18"/>
        </w:rPr>
        <w:t>Contínua</w:t>
      </w:r>
      <w:proofErr w:type="spellEnd"/>
      <w:r>
        <w:rPr>
          <w:sz w:val="18"/>
        </w:rPr>
        <w:t xml:space="preserve">), </w:t>
      </w:r>
      <w:r w:rsidR="001F2294">
        <w:rPr>
          <w:sz w:val="18"/>
        </w:rPr>
        <w:t>deuxième</w:t>
      </w:r>
      <w:r>
        <w:rPr>
          <w:sz w:val="18"/>
        </w:rPr>
        <w:t> semestre 2024.</w:t>
      </w:r>
    </w:p>
    <w:p w14:paraId="5A75357C" w14:textId="77777777" w:rsidR="00EB5903" w:rsidRPr="00BE2E8F" w:rsidRDefault="00EB5903" w:rsidP="00EB5903">
      <w:pPr>
        <w:pStyle w:val="H1G"/>
      </w:pPr>
      <w:r>
        <w:tab/>
      </w:r>
      <w:r>
        <w:tab/>
        <w:t>Réponse au paragraphe 16 k) de la liste de points</w:t>
      </w:r>
    </w:p>
    <w:p w14:paraId="5D91B102" w14:textId="77777777" w:rsidR="00EB5903" w:rsidRPr="00BE2E8F" w:rsidRDefault="00EB5903" w:rsidP="00EB5903">
      <w:pPr>
        <w:pStyle w:val="H23G"/>
      </w:pPr>
      <w:r>
        <w:tab/>
      </w:r>
      <w:r>
        <w:tab/>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2552"/>
        <w:gridCol w:w="1274"/>
      </w:tblGrid>
      <w:tr w:rsidR="00EB5903" w:rsidRPr="00BE2E8F" w14:paraId="3B55DAA2" w14:textId="77777777" w:rsidTr="008B4897">
        <w:trPr>
          <w:tblHeader/>
        </w:trPr>
        <w:tc>
          <w:tcPr>
            <w:tcW w:w="3544" w:type="dxa"/>
            <w:tcBorders>
              <w:top w:val="single" w:sz="4" w:space="0" w:color="auto"/>
              <w:bottom w:val="single" w:sz="12" w:space="0" w:color="auto"/>
            </w:tcBorders>
            <w:shd w:val="clear" w:color="auto" w:fill="auto"/>
            <w:vAlign w:val="bottom"/>
            <w:hideMark/>
          </w:tcPr>
          <w:p w14:paraId="39408733"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Catégorie</w:t>
            </w:r>
          </w:p>
        </w:tc>
        <w:tc>
          <w:tcPr>
            <w:tcW w:w="2552" w:type="dxa"/>
            <w:tcBorders>
              <w:top w:val="single" w:sz="4" w:space="0" w:color="auto"/>
              <w:bottom w:val="single" w:sz="12" w:space="0" w:color="auto"/>
            </w:tcBorders>
            <w:shd w:val="clear" w:color="auto" w:fill="auto"/>
            <w:vAlign w:val="bottom"/>
            <w:hideMark/>
          </w:tcPr>
          <w:p w14:paraId="7B8F7176"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Nombre d’enfants et d’adolescents</w:t>
            </w:r>
          </w:p>
        </w:tc>
        <w:tc>
          <w:tcPr>
            <w:tcW w:w="1274" w:type="dxa"/>
            <w:tcBorders>
              <w:top w:val="single" w:sz="4" w:space="0" w:color="auto"/>
              <w:bottom w:val="single" w:sz="12" w:space="0" w:color="auto"/>
            </w:tcBorders>
            <w:shd w:val="clear" w:color="auto" w:fill="auto"/>
            <w:vAlign w:val="bottom"/>
            <w:hideMark/>
          </w:tcPr>
          <w:p w14:paraId="4900B613"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Pourcentage (%)</w:t>
            </w:r>
          </w:p>
        </w:tc>
      </w:tr>
      <w:tr w:rsidR="00EB5903" w:rsidRPr="00BE2E8F" w14:paraId="4A0F3886" w14:textId="77777777" w:rsidTr="008B4897">
        <w:tc>
          <w:tcPr>
            <w:tcW w:w="3544" w:type="dxa"/>
            <w:tcBorders>
              <w:top w:val="single" w:sz="12" w:space="0" w:color="auto"/>
            </w:tcBorders>
            <w:shd w:val="clear" w:color="auto" w:fill="auto"/>
            <w:hideMark/>
          </w:tcPr>
          <w:p w14:paraId="67B1499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Groupe d’âge </w:t>
            </w:r>
          </w:p>
        </w:tc>
        <w:tc>
          <w:tcPr>
            <w:tcW w:w="2552" w:type="dxa"/>
            <w:tcBorders>
              <w:top w:val="single" w:sz="12" w:space="0" w:color="auto"/>
            </w:tcBorders>
            <w:shd w:val="clear" w:color="auto" w:fill="auto"/>
            <w:vAlign w:val="bottom"/>
            <w:hideMark/>
          </w:tcPr>
          <w:p w14:paraId="176251A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c>
          <w:tcPr>
            <w:tcW w:w="1274" w:type="dxa"/>
            <w:tcBorders>
              <w:top w:val="single" w:sz="12" w:space="0" w:color="auto"/>
            </w:tcBorders>
            <w:shd w:val="clear" w:color="auto" w:fill="auto"/>
            <w:vAlign w:val="bottom"/>
            <w:hideMark/>
          </w:tcPr>
          <w:p w14:paraId="31E21A1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r>
      <w:tr w:rsidR="00EB5903" w:rsidRPr="00BE2E8F" w14:paraId="4B17D93B" w14:textId="77777777" w:rsidTr="008B4897">
        <w:tc>
          <w:tcPr>
            <w:tcW w:w="3544" w:type="dxa"/>
            <w:shd w:val="clear" w:color="auto" w:fill="auto"/>
            <w:hideMark/>
          </w:tcPr>
          <w:p w14:paraId="44F83C8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5 à 13 ans </w:t>
            </w:r>
          </w:p>
        </w:tc>
        <w:tc>
          <w:tcPr>
            <w:tcW w:w="2552" w:type="dxa"/>
            <w:shd w:val="clear" w:color="auto" w:fill="auto"/>
            <w:vAlign w:val="bottom"/>
            <w:hideMark/>
          </w:tcPr>
          <w:p w14:paraId="0237DF3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449 000</w:t>
            </w:r>
          </w:p>
        </w:tc>
        <w:tc>
          <w:tcPr>
            <w:tcW w:w="1274" w:type="dxa"/>
            <w:shd w:val="clear" w:color="auto" w:fill="auto"/>
            <w:vAlign w:val="bottom"/>
            <w:hideMark/>
          </w:tcPr>
          <w:p w14:paraId="347A18D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23,8 %</w:t>
            </w:r>
          </w:p>
        </w:tc>
      </w:tr>
      <w:tr w:rsidR="00EB5903" w:rsidRPr="00BE2E8F" w14:paraId="24F058CB" w14:textId="77777777" w:rsidTr="008B4897">
        <w:tc>
          <w:tcPr>
            <w:tcW w:w="3544" w:type="dxa"/>
            <w:shd w:val="clear" w:color="auto" w:fill="auto"/>
            <w:hideMark/>
          </w:tcPr>
          <w:p w14:paraId="6CF5973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14 à 15 ans</w:t>
            </w:r>
          </w:p>
        </w:tc>
        <w:tc>
          <w:tcPr>
            <w:tcW w:w="2552" w:type="dxa"/>
            <w:shd w:val="clear" w:color="auto" w:fill="auto"/>
            <w:vAlign w:val="bottom"/>
            <w:hideMark/>
          </w:tcPr>
          <w:p w14:paraId="24B69FE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444 000</w:t>
            </w:r>
          </w:p>
        </w:tc>
        <w:tc>
          <w:tcPr>
            <w:tcW w:w="1274" w:type="dxa"/>
            <w:shd w:val="clear" w:color="auto" w:fill="auto"/>
            <w:vAlign w:val="bottom"/>
            <w:hideMark/>
          </w:tcPr>
          <w:p w14:paraId="0D20232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23,6 %</w:t>
            </w:r>
          </w:p>
        </w:tc>
      </w:tr>
      <w:tr w:rsidR="00EB5903" w:rsidRPr="00BE2E8F" w14:paraId="2B5A73D9" w14:textId="77777777" w:rsidTr="008B4897">
        <w:tc>
          <w:tcPr>
            <w:tcW w:w="3544" w:type="dxa"/>
            <w:shd w:val="clear" w:color="auto" w:fill="auto"/>
            <w:hideMark/>
          </w:tcPr>
          <w:p w14:paraId="338B393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16 à 17 ans</w:t>
            </w:r>
          </w:p>
        </w:tc>
        <w:tc>
          <w:tcPr>
            <w:tcW w:w="2552" w:type="dxa"/>
            <w:shd w:val="clear" w:color="auto" w:fill="auto"/>
            <w:vAlign w:val="bottom"/>
            <w:hideMark/>
          </w:tcPr>
          <w:p w14:paraId="7F1FBCA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988 000</w:t>
            </w:r>
          </w:p>
        </w:tc>
        <w:tc>
          <w:tcPr>
            <w:tcW w:w="1274" w:type="dxa"/>
            <w:shd w:val="clear" w:color="auto" w:fill="auto"/>
            <w:vAlign w:val="bottom"/>
            <w:hideMark/>
          </w:tcPr>
          <w:p w14:paraId="7F95A7F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52,5 %</w:t>
            </w:r>
          </w:p>
        </w:tc>
      </w:tr>
      <w:tr w:rsidR="00EB5903" w:rsidRPr="00BE2E8F" w14:paraId="65BD7EBE" w14:textId="77777777" w:rsidTr="008B4897">
        <w:tc>
          <w:tcPr>
            <w:tcW w:w="3544" w:type="dxa"/>
            <w:shd w:val="clear" w:color="auto" w:fill="auto"/>
            <w:hideMark/>
          </w:tcPr>
          <w:p w14:paraId="481B04B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Sexe </w:t>
            </w:r>
          </w:p>
        </w:tc>
        <w:tc>
          <w:tcPr>
            <w:tcW w:w="2552" w:type="dxa"/>
            <w:shd w:val="clear" w:color="auto" w:fill="auto"/>
            <w:vAlign w:val="bottom"/>
            <w:hideMark/>
          </w:tcPr>
          <w:p w14:paraId="4F90420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c>
          <w:tcPr>
            <w:tcW w:w="1274" w:type="dxa"/>
            <w:shd w:val="clear" w:color="auto" w:fill="auto"/>
            <w:vAlign w:val="bottom"/>
            <w:hideMark/>
          </w:tcPr>
          <w:p w14:paraId="6C431D0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r>
      <w:tr w:rsidR="00EB5903" w:rsidRPr="00BE2E8F" w14:paraId="03D9225B" w14:textId="77777777" w:rsidTr="008B4897">
        <w:tc>
          <w:tcPr>
            <w:tcW w:w="3544" w:type="dxa"/>
            <w:shd w:val="clear" w:color="auto" w:fill="auto"/>
            <w:hideMark/>
          </w:tcPr>
          <w:p w14:paraId="31B419C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 </w:t>
            </w:r>
          </w:p>
        </w:tc>
        <w:tc>
          <w:tcPr>
            <w:tcW w:w="2552" w:type="dxa"/>
            <w:shd w:val="clear" w:color="auto" w:fill="auto"/>
            <w:vAlign w:val="bottom"/>
            <w:hideMark/>
          </w:tcPr>
          <w:p w14:paraId="654D266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1 225 000</w:t>
            </w:r>
          </w:p>
        </w:tc>
        <w:tc>
          <w:tcPr>
            <w:tcW w:w="1274" w:type="dxa"/>
            <w:shd w:val="clear" w:color="auto" w:fill="auto"/>
            <w:vAlign w:val="bottom"/>
            <w:hideMark/>
          </w:tcPr>
          <w:p w14:paraId="5BC7321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65,1 %</w:t>
            </w:r>
          </w:p>
        </w:tc>
      </w:tr>
      <w:tr w:rsidR="00EB5903" w:rsidRPr="00BE2E8F" w14:paraId="599E859C" w14:textId="77777777" w:rsidTr="008B4897">
        <w:tc>
          <w:tcPr>
            <w:tcW w:w="3544" w:type="dxa"/>
            <w:shd w:val="clear" w:color="auto" w:fill="auto"/>
            <w:hideMark/>
          </w:tcPr>
          <w:p w14:paraId="3C079E8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 </w:t>
            </w:r>
          </w:p>
        </w:tc>
        <w:tc>
          <w:tcPr>
            <w:tcW w:w="2552" w:type="dxa"/>
            <w:shd w:val="clear" w:color="auto" w:fill="auto"/>
            <w:vAlign w:val="bottom"/>
            <w:hideMark/>
          </w:tcPr>
          <w:p w14:paraId="0B5A687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656 000</w:t>
            </w:r>
          </w:p>
        </w:tc>
        <w:tc>
          <w:tcPr>
            <w:tcW w:w="1274" w:type="dxa"/>
            <w:shd w:val="clear" w:color="auto" w:fill="auto"/>
            <w:vAlign w:val="bottom"/>
            <w:hideMark/>
          </w:tcPr>
          <w:p w14:paraId="266707A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34,9 %</w:t>
            </w:r>
          </w:p>
        </w:tc>
      </w:tr>
      <w:tr w:rsidR="00EB5903" w:rsidRPr="00BE2E8F" w14:paraId="7CD9D22C" w14:textId="77777777" w:rsidTr="008B4897">
        <w:tc>
          <w:tcPr>
            <w:tcW w:w="3544" w:type="dxa"/>
            <w:shd w:val="clear" w:color="auto" w:fill="auto"/>
            <w:hideMark/>
          </w:tcPr>
          <w:p w14:paraId="3178A4F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Race/couleur </w:t>
            </w:r>
          </w:p>
        </w:tc>
        <w:tc>
          <w:tcPr>
            <w:tcW w:w="2552" w:type="dxa"/>
            <w:shd w:val="clear" w:color="auto" w:fill="auto"/>
            <w:vAlign w:val="bottom"/>
            <w:hideMark/>
          </w:tcPr>
          <w:p w14:paraId="7C5E464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c>
          <w:tcPr>
            <w:tcW w:w="1274" w:type="dxa"/>
            <w:shd w:val="clear" w:color="auto" w:fill="auto"/>
            <w:vAlign w:val="bottom"/>
            <w:hideMark/>
          </w:tcPr>
          <w:p w14:paraId="47BB708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r>
      <w:tr w:rsidR="00EB5903" w:rsidRPr="00BE2E8F" w14:paraId="0FD38D61" w14:textId="77777777" w:rsidTr="008B4897">
        <w:tc>
          <w:tcPr>
            <w:tcW w:w="3544" w:type="dxa"/>
            <w:shd w:val="clear" w:color="auto" w:fill="auto"/>
            <w:hideMark/>
          </w:tcPr>
          <w:p w14:paraId="4B60D2F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Enfants et adolescents noirs</w:t>
            </w:r>
          </w:p>
        </w:tc>
        <w:tc>
          <w:tcPr>
            <w:tcW w:w="2552" w:type="dxa"/>
            <w:shd w:val="clear" w:color="auto" w:fill="auto"/>
            <w:vAlign w:val="bottom"/>
            <w:hideMark/>
          </w:tcPr>
          <w:p w14:paraId="5C8A975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1 200 000</w:t>
            </w:r>
          </w:p>
        </w:tc>
        <w:tc>
          <w:tcPr>
            <w:tcW w:w="1274" w:type="dxa"/>
            <w:shd w:val="clear" w:color="auto" w:fill="auto"/>
            <w:vAlign w:val="bottom"/>
            <w:hideMark/>
          </w:tcPr>
          <w:p w14:paraId="4BDD9CC2"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63,8 %</w:t>
            </w:r>
          </w:p>
        </w:tc>
      </w:tr>
      <w:tr w:rsidR="00EB5903" w:rsidRPr="00BE2E8F" w14:paraId="31416BF4" w14:textId="77777777" w:rsidTr="008B4897">
        <w:tc>
          <w:tcPr>
            <w:tcW w:w="3544" w:type="dxa"/>
            <w:shd w:val="clear" w:color="auto" w:fill="auto"/>
            <w:hideMark/>
          </w:tcPr>
          <w:p w14:paraId="41E37FF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Enfants et adolescents non noirs</w:t>
            </w:r>
          </w:p>
        </w:tc>
        <w:tc>
          <w:tcPr>
            <w:tcW w:w="2552" w:type="dxa"/>
            <w:shd w:val="clear" w:color="auto" w:fill="auto"/>
            <w:vAlign w:val="bottom"/>
            <w:hideMark/>
          </w:tcPr>
          <w:p w14:paraId="4FB18D6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634 000</w:t>
            </w:r>
          </w:p>
        </w:tc>
        <w:tc>
          <w:tcPr>
            <w:tcW w:w="1274" w:type="dxa"/>
            <w:shd w:val="clear" w:color="auto" w:fill="auto"/>
            <w:vAlign w:val="bottom"/>
            <w:hideMark/>
          </w:tcPr>
          <w:p w14:paraId="698BBF9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33,7 %</w:t>
            </w:r>
          </w:p>
        </w:tc>
      </w:tr>
      <w:tr w:rsidR="00EB5903" w:rsidRPr="00BE2E8F" w14:paraId="48CFD8E2" w14:textId="77777777" w:rsidTr="008B4897">
        <w:tc>
          <w:tcPr>
            <w:tcW w:w="3544" w:type="dxa"/>
            <w:shd w:val="clear" w:color="auto" w:fill="auto"/>
            <w:hideMark/>
          </w:tcPr>
          <w:p w14:paraId="35D74BA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Situation géographique</w:t>
            </w:r>
          </w:p>
        </w:tc>
        <w:tc>
          <w:tcPr>
            <w:tcW w:w="2552" w:type="dxa"/>
            <w:shd w:val="clear" w:color="auto" w:fill="auto"/>
            <w:vAlign w:val="bottom"/>
            <w:hideMark/>
          </w:tcPr>
          <w:p w14:paraId="1F7E219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c>
          <w:tcPr>
            <w:tcW w:w="1274" w:type="dxa"/>
            <w:shd w:val="clear" w:color="auto" w:fill="auto"/>
            <w:vAlign w:val="bottom"/>
            <w:hideMark/>
          </w:tcPr>
          <w:p w14:paraId="44DC0C4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r>
      <w:tr w:rsidR="00EB5903" w:rsidRPr="00BE2E8F" w14:paraId="258CC045" w14:textId="77777777" w:rsidTr="008B4897">
        <w:tc>
          <w:tcPr>
            <w:tcW w:w="3544" w:type="dxa"/>
            <w:shd w:val="clear" w:color="auto" w:fill="auto"/>
            <w:hideMark/>
          </w:tcPr>
          <w:p w14:paraId="68C02ED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Zones urbaines </w:t>
            </w:r>
          </w:p>
        </w:tc>
        <w:tc>
          <w:tcPr>
            <w:tcW w:w="2552" w:type="dxa"/>
            <w:shd w:val="clear" w:color="auto" w:fill="auto"/>
            <w:vAlign w:val="bottom"/>
            <w:hideMark/>
          </w:tcPr>
          <w:p w14:paraId="2FD0E42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1 170 000</w:t>
            </w:r>
          </w:p>
        </w:tc>
        <w:tc>
          <w:tcPr>
            <w:tcW w:w="1274" w:type="dxa"/>
            <w:shd w:val="clear" w:color="auto" w:fill="auto"/>
            <w:vAlign w:val="bottom"/>
            <w:hideMark/>
          </w:tcPr>
          <w:p w14:paraId="7BCDE9BC"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62,2 %</w:t>
            </w:r>
          </w:p>
        </w:tc>
      </w:tr>
      <w:tr w:rsidR="00EB5903" w:rsidRPr="00BE2E8F" w14:paraId="6F60A988" w14:textId="77777777" w:rsidTr="001F2294">
        <w:tc>
          <w:tcPr>
            <w:tcW w:w="3544" w:type="dxa"/>
            <w:tcBorders>
              <w:bottom w:val="single" w:sz="4" w:space="0" w:color="auto"/>
            </w:tcBorders>
            <w:shd w:val="clear" w:color="auto" w:fill="auto"/>
            <w:hideMark/>
          </w:tcPr>
          <w:p w14:paraId="23B8CAF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Zones rurales </w:t>
            </w:r>
          </w:p>
        </w:tc>
        <w:tc>
          <w:tcPr>
            <w:tcW w:w="2552" w:type="dxa"/>
            <w:tcBorders>
              <w:bottom w:val="single" w:sz="4" w:space="0" w:color="auto"/>
            </w:tcBorders>
            <w:shd w:val="clear" w:color="auto" w:fill="auto"/>
            <w:vAlign w:val="bottom"/>
            <w:hideMark/>
          </w:tcPr>
          <w:p w14:paraId="0350476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707 000</w:t>
            </w:r>
          </w:p>
        </w:tc>
        <w:tc>
          <w:tcPr>
            <w:tcW w:w="1274" w:type="dxa"/>
            <w:tcBorders>
              <w:bottom w:val="single" w:sz="4" w:space="0" w:color="auto"/>
            </w:tcBorders>
            <w:shd w:val="clear" w:color="auto" w:fill="auto"/>
            <w:vAlign w:val="bottom"/>
            <w:hideMark/>
          </w:tcPr>
          <w:p w14:paraId="39CFAE5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37,8 %</w:t>
            </w:r>
          </w:p>
        </w:tc>
      </w:tr>
      <w:tr w:rsidR="00EB5903" w:rsidRPr="001F2294" w14:paraId="0DFBEB99" w14:textId="77777777" w:rsidTr="001F2294">
        <w:tc>
          <w:tcPr>
            <w:tcW w:w="3544" w:type="dxa"/>
            <w:tcBorders>
              <w:top w:val="single" w:sz="4" w:space="0" w:color="auto"/>
              <w:bottom w:val="single" w:sz="12" w:space="0" w:color="auto"/>
            </w:tcBorders>
            <w:shd w:val="clear" w:color="auto" w:fill="auto"/>
            <w:hideMark/>
          </w:tcPr>
          <w:p w14:paraId="6A54BA65" w14:textId="77777777" w:rsidR="00EB5903" w:rsidRPr="001F2294" w:rsidRDefault="00EB5903" w:rsidP="001F2294">
            <w:pPr>
              <w:pStyle w:val="SingleTxtG"/>
              <w:tabs>
                <w:tab w:val="clear" w:pos="1701"/>
                <w:tab w:val="clear" w:pos="2268"/>
              </w:tabs>
              <w:suppressAutoHyphens w:val="0"/>
              <w:spacing w:before="80" w:after="80" w:line="220" w:lineRule="exact"/>
              <w:ind w:left="283" w:right="0"/>
              <w:jc w:val="left"/>
              <w:rPr>
                <w:b/>
                <w:bCs/>
                <w:sz w:val="18"/>
              </w:rPr>
            </w:pPr>
            <w:r w:rsidRPr="001F2294">
              <w:rPr>
                <w:b/>
                <w:bCs/>
                <w:sz w:val="18"/>
              </w:rPr>
              <w:t>Nombre total d’enfants et d’adolescents</w:t>
            </w:r>
          </w:p>
        </w:tc>
        <w:tc>
          <w:tcPr>
            <w:tcW w:w="2552" w:type="dxa"/>
            <w:tcBorders>
              <w:top w:val="single" w:sz="4" w:space="0" w:color="auto"/>
              <w:bottom w:val="single" w:sz="12" w:space="0" w:color="auto"/>
            </w:tcBorders>
            <w:shd w:val="clear" w:color="auto" w:fill="auto"/>
            <w:vAlign w:val="bottom"/>
            <w:hideMark/>
          </w:tcPr>
          <w:p w14:paraId="4F7F956C" w14:textId="77777777" w:rsidR="00EB5903" w:rsidRPr="001F2294" w:rsidRDefault="00EB5903" w:rsidP="001F2294">
            <w:pPr>
              <w:pStyle w:val="SingleTxtG"/>
              <w:tabs>
                <w:tab w:val="clear" w:pos="1701"/>
                <w:tab w:val="clear" w:pos="2268"/>
              </w:tabs>
              <w:suppressAutoHyphens w:val="0"/>
              <w:spacing w:before="80" w:after="80" w:line="220" w:lineRule="exact"/>
              <w:ind w:left="0" w:right="0"/>
              <w:jc w:val="right"/>
              <w:rPr>
                <w:b/>
                <w:bCs/>
                <w:sz w:val="18"/>
              </w:rPr>
            </w:pPr>
            <w:r w:rsidRPr="001F2294">
              <w:rPr>
                <w:b/>
                <w:bCs/>
                <w:sz w:val="18"/>
              </w:rPr>
              <w:t>1 881 000</w:t>
            </w:r>
          </w:p>
        </w:tc>
        <w:tc>
          <w:tcPr>
            <w:tcW w:w="1274" w:type="dxa"/>
            <w:tcBorders>
              <w:top w:val="single" w:sz="4" w:space="0" w:color="auto"/>
              <w:bottom w:val="single" w:sz="12" w:space="0" w:color="auto"/>
            </w:tcBorders>
            <w:shd w:val="clear" w:color="auto" w:fill="auto"/>
            <w:vAlign w:val="bottom"/>
            <w:hideMark/>
          </w:tcPr>
          <w:p w14:paraId="6C943D2D" w14:textId="77777777" w:rsidR="00EB5903" w:rsidRPr="001F2294" w:rsidRDefault="00EB5903" w:rsidP="001F2294">
            <w:pPr>
              <w:pStyle w:val="SingleTxtG"/>
              <w:tabs>
                <w:tab w:val="clear" w:pos="1701"/>
                <w:tab w:val="clear" w:pos="2268"/>
              </w:tabs>
              <w:suppressAutoHyphens w:val="0"/>
              <w:spacing w:before="80" w:after="80" w:line="220" w:lineRule="exact"/>
              <w:ind w:left="0" w:right="0"/>
              <w:jc w:val="right"/>
              <w:rPr>
                <w:b/>
                <w:bCs/>
                <w:sz w:val="18"/>
              </w:rPr>
            </w:pPr>
            <w:r w:rsidRPr="001F2294">
              <w:rPr>
                <w:b/>
                <w:bCs/>
                <w:sz w:val="18"/>
              </w:rPr>
              <w:t>100 %</w:t>
            </w:r>
          </w:p>
        </w:tc>
      </w:tr>
    </w:tbl>
    <w:p w14:paraId="148A16FD" w14:textId="77777777" w:rsidR="00EB5903" w:rsidRPr="00BE2E8F" w:rsidRDefault="00EB5903" w:rsidP="001F2294">
      <w:pPr>
        <w:pStyle w:val="SingleTxtG"/>
        <w:spacing w:before="120" w:after="0"/>
        <w:ind w:firstLine="170"/>
        <w:jc w:val="left"/>
        <w:rPr>
          <w:sz w:val="18"/>
        </w:rPr>
      </w:pPr>
      <w:r>
        <w:rPr>
          <w:i/>
          <w:sz w:val="18"/>
        </w:rPr>
        <w:t>Source </w:t>
      </w:r>
      <w:r>
        <w:rPr>
          <w:sz w:val="18"/>
        </w:rPr>
        <w:t xml:space="preserve">: Enquête nationale continue par sondage auprès des ménages (PNAD </w:t>
      </w:r>
      <w:proofErr w:type="spellStart"/>
      <w:r>
        <w:rPr>
          <w:sz w:val="18"/>
        </w:rPr>
        <w:t>Contínua</w:t>
      </w:r>
      <w:proofErr w:type="spellEnd"/>
      <w:r>
        <w:rPr>
          <w:sz w:val="18"/>
        </w:rPr>
        <w:t>), 2022.</w:t>
      </w:r>
    </w:p>
    <w:p w14:paraId="10A0A98D" w14:textId="77777777" w:rsidR="00EB5903" w:rsidRPr="00BE2E8F" w:rsidRDefault="00EB5903" w:rsidP="00EB5903">
      <w:pPr>
        <w:pStyle w:val="H23G"/>
      </w:pPr>
      <w:r>
        <w:tab/>
      </w:r>
      <w:r>
        <w:tab/>
        <w:t>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2552"/>
        <w:gridCol w:w="1274"/>
      </w:tblGrid>
      <w:tr w:rsidR="00EB5903" w:rsidRPr="00BE2E8F" w14:paraId="1C9CC002" w14:textId="77777777" w:rsidTr="008B4897">
        <w:trPr>
          <w:tblHeader/>
        </w:trPr>
        <w:tc>
          <w:tcPr>
            <w:tcW w:w="3544" w:type="dxa"/>
            <w:tcBorders>
              <w:top w:val="single" w:sz="4" w:space="0" w:color="auto"/>
              <w:bottom w:val="single" w:sz="12" w:space="0" w:color="auto"/>
            </w:tcBorders>
            <w:shd w:val="clear" w:color="auto" w:fill="auto"/>
            <w:vAlign w:val="bottom"/>
            <w:hideMark/>
          </w:tcPr>
          <w:p w14:paraId="7E953E31"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Catégorie</w:t>
            </w:r>
          </w:p>
        </w:tc>
        <w:tc>
          <w:tcPr>
            <w:tcW w:w="2552" w:type="dxa"/>
            <w:tcBorders>
              <w:top w:val="single" w:sz="4" w:space="0" w:color="auto"/>
              <w:bottom w:val="single" w:sz="12" w:space="0" w:color="auto"/>
            </w:tcBorders>
            <w:shd w:val="clear" w:color="auto" w:fill="auto"/>
            <w:vAlign w:val="bottom"/>
            <w:hideMark/>
          </w:tcPr>
          <w:p w14:paraId="3E7FD1F1"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Nombre d’enfants et d’adolescents</w:t>
            </w:r>
          </w:p>
        </w:tc>
        <w:tc>
          <w:tcPr>
            <w:tcW w:w="1274" w:type="dxa"/>
            <w:tcBorders>
              <w:top w:val="single" w:sz="4" w:space="0" w:color="auto"/>
              <w:bottom w:val="single" w:sz="12" w:space="0" w:color="auto"/>
            </w:tcBorders>
            <w:shd w:val="clear" w:color="auto" w:fill="auto"/>
            <w:vAlign w:val="bottom"/>
            <w:hideMark/>
          </w:tcPr>
          <w:p w14:paraId="48A5D302" w14:textId="77777777" w:rsidR="00EB5903" w:rsidRPr="00BE2E8F" w:rsidRDefault="00EB5903" w:rsidP="001F2294">
            <w:pPr>
              <w:pStyle w:val="SingleTxtG"/>
              <w:tabs>
                <w:tab w:val="clear" w:pos="1701"/>
                <w:tab w:val="clear" w:pos="2268"/>
              </w:tabs>
              <w:suppressAutoHyphens w:val="0"/>
              <w:spacing w:before="80" w:after="80" w:line="200" w:lineRule="exact"/>
              <w:ind w:left="0" w:right="0"/>
              <w:jc w:val="right"/>
              <w:rPr>
                <w:i/>
                <w:sz w:val="16"/>
              </w:rPr>
            </w:pPr>
            <w:r>
              <w:rPr>
                <w:i/>
                <w:sz w:val="16"/>
              </w:rPr>
              <w:t>Pourcentage (%)</w:t>
            </w:r>
          </w:p>
        </w:tc>
      </w:tr>
      <w:tr w:rsidR="00EB5903" w:rsidRPr="00BE2E8F" w14:paraId="75F53349" w14:textId="77777777" w:rsidTr="008B4897">
        <w:tc>
          <w:tcPr>
            <w:tcW w:w="3544" w:type="dxa"/>
            <w:tcBorders>
              <w:top w:val="single" w:sz="12" w:space="0" w:color="auto"/>
            </w:tcBorders>
            <w:shd w:val="clear" w:color="auto" w:fill="auto"/>
            <w:hideMark/>
          </w:tcPr>
          <w:p w14:paraId="447EBCC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Groupe d’âge</w:t>
            </w:r>
          </w:p>
        </w:tc>
        <w:tc>
          <w:tcPr>
            <w:tcW w:w="2552" w:type="dxa"/>
            <w:tcBorders>
              <w:top w:val="single" w:sz="12" w:space="0" w:color="auto"/>
            </w:tcBorders>
            <w:shd w:val="clear" w:color="auto" w:fill="auto"/>
            <w:vAlign w:val="bottom"/>
            <w:hideMark/>
          </w:tcPr>
          <w:p w14:paraId="4D1C228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c>
          <w:tcPr>
            <w:tcW w:w="1274" w:type="dxa"/>
            <w:tcBorders>
              <w:top w:val="single" w:sz="12" w:space="0" w:color="auto"/>
            </w:tcBorders>
            <w:shd w:val="clear" w:color="auto" w:fill="auto"/>
            <w:vAlign w:val="bottom"/>
            <w:hideMark/>
          </w:tcPr>
          <w:p w14:paraId="4B64D2B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r>
      <w:tr w:rsidR="00EB5903" w:rsidRPr="00BE2E8F" w14:paraId="751B5519" w14:textId="77777777" w:rsidTr="008B4897">
        <w:tc>
          <w:tcPr>
            <w:tcW w:w="3544" w:type="dxa"/>
            <w:shd w:val="clear" w:color="auto" w:fill="auto"/>
            <w:hideMark/>
          </w:tcPr>
          <w:p w14:paraId="5ABD722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5 à 13 ans</w:t>
            </w:r>
          </w:p>
        </w:tc>
        <w:tc>
          <w:tcPr>
            <w:tcW w:w="2552" w:type="dxa"/>
            <w:shd w:val="clear" w:color="auto" w:fill="auto"/>
            <w:vAlign w:val="bottom"/>
            <w:hideMark/>
          </w:tcPr>
          <w:p w14:paraId="30D20F86"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346 000 </w:t>
            </w:r>
          </w:p>
        </w:tc>
        <w:tc>
          <w:tcPr>
            <w:tcW w:w="1274" w:type="dxa"/>
            <w:shd w:val="clear" w:color="auto" w:fill="auto"/>
            <w:vAlign w:val="bottom"/>
            <w:hideMark/>
          </w:tcPr>
          <w:p w14:paraId="05AA661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21,5 %</w:t>
            </w:r>
          </w:p>
        </w:tc>
      </w:tr>
      <w:tr w:rsidR="00EB5903" w:rsidRPr="00BE2E8F" w14:paraId="6606AE5B" w14:textId="77777777" w:rsidTr="008B4897">
        <w:tc>
          <w:tcPr>
            <w:tcW w:w="3544" w:type="dxa"/>
            <w:shd w:val="clear" w:color="auto" w:fill="auto"/>
            <w:hideMark/>
          </w:tcPr>
          <w:p w14:paraId="349C8AA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14 à 15 ans</w:t>
            </w:r>
          </w:p>
        </w:tc>
        <w:tc>
          <w:tcPr>
            <w:tcW w:w="2552" w:type="dxa"/>
            <w:shd w:val="clear" w:color="auto" w:fill="auto"/>
            <w:vAlign w:val="bottom"/>
            <w:hideMark/>
          </w:tcPr>
          <w:p w14:paraId="747F27B7"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366 000 </w:t>
            </w:r>
          </w:p>
        </w:tc>
        <w:tc>
          <w:tcPr>
            <w:tcW w:w="1274" w:type="dxa"/>
            <w:shd w:val="clear" w:color="auto" w:fill="auto"/>
            <w:vAlign w:val="bottom"/>
            <w:hideMark/>
          </w:tcPr>
          <w:p w14:paraId="4D23808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22,8 %</w:t>
            </w:r>
          </w:p>
        </w:tc>
      </w:tr>
      <w:tr w:rsidR="00EB5903" w:rsidRPr="00BE2E8F" w14:paraId="1C78D2AB" w14:textId="77777777" w:rsidTr="008B4897">
        <w:tc>
          <w:tcPr>
            <w:tcW w:w="3544" w:type="dxa"/>
            <w:shd w:val="clear" w:color="auto" w:fill="auto"/>
            <w:hideMark/>
          </w:tcPr>
          <w:p w14:paraId="295BC7C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16 à 17 ans</w:t>
            </w:r>
          </w:p>
        </w:tc>
        <w:tc>
          <w:tcPr>
            <w:tcW w:w="2552" w:type="dxa"/>
            <w:shd w:val="clear" w:color="auto" w:fill="auto"/>
            <w:vAlign w:val="bottom"/>
            <w:hideMark/>
          </w:tcPr>
          <w:p w14:paraId="410CEF2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895 000 </w:t>
            </w:r>
          </w:p>
        </w:tc>
        <w:tc>
          <w:tcPr>
            <w:tcW w:w="1274" w:type="dxa"/>
            <w:shd w:val="clear" w:color="auto" w:fill="auto"/>
            <w:vAlign w:val="bottom"/>
            <w:hideMark/>
          </w:tcPr>
          <w:p w14:paraId="283F38F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55,7 %</w:t>
            </w:r>
          </w:p>
        </w:tc>
      </w:tr>
      <w:tr w:rsidR="00EB5903" w:rsidRPr="00BE2E8F" w14:paraId="21C049D2" w14:textId="77777777" w:rsidTr="008B4897">
        <w:tc>
          <w:tcPr>
            <w:tcW w:w="3544" w:type="dxa"/>
            <w:shd w:val="clear" w:color="auto" w:fill="auto"/>
            <w:hideMark/>
          </w:tcPr>
          <w:p w14:paraId="62369E6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Sexe</w:t>
            </w:r>
          </w:p>
        </w:tc>
        <w:tc>
          <w:tcPr>
            <w:tcW w:w="2552" w:type="dxa"/>
            <w:shd w:val="clear" w:color="auto" w:fill="auto"/>
            <w:vAlign w:val="bottom"/>
            <w:hideMark/>
          </w:tcPr>
          <w:p w14:paraId="646866D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c>
          <w:tcPr>
            <w:tcW w:w="1274" w:type="dxa"/>
            <w:shd w:val="clear" w:color="auto" w:fill="auto"/>
            <w:vAlign w:val="bottom"/>
            <w:hideMark/>
          </w:tcPr>
          <w:p w14:paraId="143DCBC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r>
      <w:tr w:rsidR="00EB5903" w:rsidRPr="00BE2E8F" w14:paraId="4A39C01C" w14:textId="77777777" w:rsidTr="008B4897">
        <w:tc>
          <w:tcPr>
            <w:tcW w:w="3544" w:type="dxa"/>
            <w:shd w:val="clear" w:color="auto" w:fill="auto"/>
            <w:hideMark/>
          </w:tcPr>
          <w:p w14:paraId="68DCC8A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 </w:t>
            </w:r>
          </w:p>
        </w:tc>
        <w:tc>
          <w:tcPr>
            <w:tcW w:w="2552" w:type="dxa"/>
            <w:shd w:val="clear" w:color="auto" w:fill="auto"/>
            <w:vAlign w:val="bottom"/>
            <w:hideMark/>
          </w:tcPr>
          <w:p w14:paraId="790B179E"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1 024 000 </w:t>
            </w:r>
          </w:p>
        </w:tc>
        <w:tc>
          <w:tcPr>
            <w:tcW w:w="1274" w:type="dxa"/>
            <w:shd w:val="clear" w:color="auto" w:fill="auto"/>
            <w:vAlign w:val="bottom"/>
            <w:hideMark/>
          </w:tcPr>
          <w:p w14:paraId="3995FDE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63,8 %</w:t>
            </w:r>
          </w:p>
        </w:tc>
      </w:tr>
      <w:tr w:rsidR="00EB5903" w:rsidRPr="00BE2E8F" w14:paraId="5D1FA3F4" w14:textId="77777777" w:rsidTr="008B4897">
        <w:tc>
          <w:tcPr>
            <w:tcW w:w="3544" w:type="dxa"/>
            <w:shd w:val="clear" w:color="auto" w:fill="auto"/>
            <w:hideMark/>
          </w:tcPr>
          <w:p w14:paraId="248BD96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 </w:t>
            </w:r>
          </w:p>
        </w:tc>
        <w:tc>
          <w:tcPr>
            <w:tcW w:w="2552" w:type="dxa"/>
            <w:shd w:val="clear" w:color="auto" w:fill="auto"/>
            <w:vAlign w:val="bottom"/>
            <w:hideMark/>
          </w:tcPr>
          <w:p w14:paraId="2420E99D"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583 000 </w:t>
            </w:r>
          </w:p>
        </w:tc>
        <w:tc>
          <w:tcPr>
            <w:tcW w:w="1274" w:type="dxa"/>
            <w:shd w:val="clear" w:color="auto" w:fill="auto"/>
            <w:vAlign w:val="bottom"/>
            <w:hideMark/>
          </w:tcPr>
          <w:p w14:paraId="1DAEFCA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36,2 %</w:t>
            </w:r>
          </w:p>
        </w:tc>
      </w:tr>
      <w:tr w:rsidR="00EB5903" w:rsidRPr="00BE2E8F" w14:paraId="75D2BFE2" w14:textId="77777777" w:rsidTr="008B4897">
        <w:tc>
          <w:tcPr>
            <w:tcW w:w="3544" w:type="dxa"/>
            <w:shd w:val="clear" w:color="auto" w:fill="auto"/>
            <w:hideMark/>
          </w:tcPr>
          <w:p w14:paraId="21E1A93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Région </w:t>
            </w:r>
          </w:p>
        </w:tc>
        <w:tc>
          <w:tcPr>
            <w:tcW w:w="2552" w:type="dxa"/>
            <w:shd w:val="clear" w:color="auto" w:fill="auto"/>
            <w:vAlign w:val="bottom"/>
            <w:hideMark/>
          </w:tcPr>
          <w:p w14:paraId="6924D00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c>
          <w:tcPr>
            <w:tcW w:w="1274" w:type="dxa"/>
            <w:shd w:val="clear" w:color="auto" w:fill="auto"/>
            <w:vAlign w:val="bottom"/>
            <w:hideMark/>
          </w:tcPr>
          <w:p w14:paraId="444DC030"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r>
      <w:tr w:rsidR="00EB5903" w:rsidRPr="00BE2E8F" w14:paraId="42A2C85B" w14:textId="77777777" w:rsidTr="008B4897">
        <w:tc>
          <w:tcPr>
            <w:tcW w:w="3544" w:type="dxa"/>
            <w:shd w:val="clear" w:color="auto" w:fill="auto"/>
            <w:hideMark/>
          </w:tcPr>
          <w:p w14:paraId="3118482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Nord-est </w:t>
            </w:r>
          </w:p>
        </w:tc>
        <w:tc>
          <w:tcPr>
            <w:tcW w:w="2552" w:type="dxa"/>
            <w:shd w:val="clear" w:color="auto" w:fill="auto"/>
            <w:vAlign w:val="bottom"/>
            <w:hideMark/>
          </w:tcPr>
          <w:p w14:paraId="0B93B364"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506 000 </w:t>
            </w:r>
          </w:p>
        </w:tc>
        <w:tc>
          <w:tcPr>
            <w:tcW w:w="1274" w:type="dxa"/>
            <w:shd w:val="clear" w:color="auto" w:fill="auto"/>
            <w:vAlign w:val="bottom"/>
            <w:hideMark/>
          </w:tcPr>
          <w:p w14:paraId="3C55CCE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31,5 %</w:t>
            </w:r>
          </w:p>
        </w:tc>
      </w:tr>
      <w:tr w:rsidR="00EB5903" w:rsidRPr="00BE2E8F" w14:paraId="26D372FD" w14:textId="77777777" w:rsidTr="008B4897">
        <w:tc>
          <w:tcPr>
            <w:tcW w:w="3544" w:type="dxa"/>
            <w:shd w:val="clear" w:color="auto" w:fill="auto"/>
            <w:hideMark/>
          </w:tcPr>
          <w:p w14:paraId="79ED305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Sud-est </w:t>
            </w:r>
          </w:p>
        </w:tc>
        <w:tc>
          <w:tcPr>
            <w:tcW w:w="2552" w:type="dxa"/>
            <w:shd w:val="clear" w:color="auto" w:fill="auto"/>
            <w:vAlign w:val="bottom"/>
            <w:hideMark/>
          </w:tcPr>
          <w:p w14:paraId="1B652971"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478 000 </w:t>
            </w:r>
          </w:p>
        </w:tc>
        <w:tc>
          <w:tcPr>
            <w:tcW w:w="1274" w:type="dxa"/>
            <w:shd w:val="clear" w:color="auto" w:fill="auto"/>
            <w:vAlign w:val="bottom"/>
            <w:hideMark/>
          </w:tcPr>
          <w:p w14:paraId="12F39CCF"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29,7 %</w:t>
            </w:r>
          </w:p>
        </w:tc>
      </w:tr>
      <w:tr w:rsidR="00EB5903" w:rsidRPr="00BE2E8F" w14:paraId="768BCA69" w14:textId="77777777" w:rsidTr="008B4897">
        <w:tc>
          <w:tcPr>
            <w:tcW w:w="3544" w:type="dxa"/>
            <w:shd w:val="clear" w:color="auto" w:fill="auto"/>
            <w:hideMark/>
          </w:tcPr>
          <w:p w14:paraId="18EF19D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Nord </w:t>
            </w:r>
          </w:p>
        </w:tc>
        <w:tc>
          <w:tcPr>
            <w:tcW w:w="2552" w:type="dxa"/>
            <w:shd w:val="clear" w:color="auto" w:fill="auto"/>
            <w:vAlign w:val="bottom"/>
            <w:hideMark/>
          </w:tcPr>
          <w:p w14:paraId="27BE52D3"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285 000 </w:t>
            </w:r>
          </w:p>
        </w:tc>
        <w:tc>
          <w:tcPr>
            <w:tcW w:w="1274" w:type="dxa"/>
            <w:shd w:val="clear" w:color="auto" w:fill="auto"/>
            <w:vAlign w:val="bottom"/>
            <w:hideMark/>
          </w:tcPr>
          <w:p w14:paraId="4B7C31B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17,7 %</w:t>
            </w:r>
          </w:p>
        </w:tc>
      </w:tr>
      <w:tr w:rsidR="00EB5903" w:rsidRPr="00BE2E8F" w14:paraId="44ACCA5F" w14:textId="77777777" w:rsidTr="008B4897">
        <w:tc>
          <w:tcPr>
            <w:tcW w:w="3544" w:type="dxa"/>
            <w:shd w:val="clear" w:color="auto" w:fill="auto"/>
            <w:hideMark/>
          </w:tcPr>
          <w:p w14:paraId="6BE1204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Sud </w:t>
            </w:r>
          </w:p>
        </w:tc>
        <w:tc>
          <w:tcPr>
            <w:tcW w:w="2552" w:type="dxa"/>
            <w:shd w:val="clear" w:color="auto" w:fill="auto"/>
            <w:vAlign w:val="bottom"/>
            <w:hideMark/>
          </w:tcPr>
          <w:p w14:paraId="36A0CAB8"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193 000 </w:t>
            </w:r>
          </w:p>
        </w:tc>
        <w:tc>
          <w:tcPr>
            <w:tcW w:w="1274" w:type="dxa"/>
            <w:shd w:val="clear" w:color="auto" w:fill="auto"/>
            <w:vAlign w:val="bottom"/>
            <w:hideMark/>
          </w:tcPr>
          <w:p w14:paraId="518DB6D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12,0 %</w:t>
            </w:r>
          </w:p>
        </w:tc>
      </w:tr>
      <w:tr w:rsidR="00EB5903" w:rsidRPr="00BE2E8F" w14:paraId="7C57B4C4" w14:textId="77777777" w:rsidTr="00E22713">
        <w:tc>
          <w:tcPr>
            <w:tcW w:w="3544" w:type="dxa"/>
            <w:tcBorders>
              <w:bottom w:val="nil"/>
            </w:tcBorders>
            <w:shd w:val="clear" w:color="auto" w:fill="auto"/>
            <w:hideMark/>
          </w:tcPr>
          <w:p w14:paraId="33DC7E0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Centre-ouest </w:t>
            </w:r>
          </w:p>
        </w:tc>
        <w:tc>
          <w:tcPr>
            <w:tcW w:w="2552" w:type="dxa"/>
            <w:tcBorders>
              <w:bottom w:val="nil"/>
            </w:tcBorders>
            <w:shd w:val="clear" w:color="auto" w:fill="auto"/>
            <w:vAlign w:val="bottom"/>
            <w:hideMark/>
          </w:tcPr>
          <w:p w14:paraId="2CDC5C8A"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145 000 </w:t>
            </w:r>
          </w:p>
        </w:tc>
        <w:tc>
          <w:tcPr>
            <w:tcW w:w="1274" w:type="dxa"/>
            <w:tcBorders>
              <w:bottom w:val="nil"/>
            </w:tcBorders>
            <w:shd w:val="clear" w:color="auto" w:fill="auto"/>
            <w:vAlign w:val="bottom"/>
            <w:hideMark/>
          </w:tcPr>
          <w:p w14:paraId="1CD6ED3B"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9,0 %</w:t>
            </w:r>
          </w:p>
        </w:tc>
      </w:tr>
      <w:tr w:rsidR="00EB5903" w:rsidRPr="00BE2E8F" w14:paraId="721792FB" w14:textId="77777777" w:rsidTr="00E22713">
        <w:tc>
          <w:tcPr>
            <w:tcW w:w="3544" w:type="dxa"/>
            <w:tcBorders>
              <w:top w:val="nil"/>
              <w:bottom w:val="nil"/>
            </w:tcBorders>
            <w:shd w:val="clear" w:color="auto" w:fill="auto"/>
            <w:hideMark/>
          </w:tcPr>
          <w:p w14:paraId="4BBEB63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Race/couleur </w:t>
            </w:r>
          </w:p>
        </w:tc>
        <w:tc>
          <w:tcPr>
            <w:tcW w:w="2552" w:type="dxa"/>
            <w:tcBorders>
              <w:top w:val="nil"/>
              <w:bottom w:val="nil"/>
            </w:tcBorders>
            <w:shd w:val="clear" w:color="auto" w:fill="auto"/>
            <w:vAlign w:val="bottom"/>
            <w:hideMark/>
          </w:tcPr>
          <w:p w14:paraId="6E615549"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c>
          <w:tcPr>
            <w:tcW w:w="1274" w:type="dxa"/>
            <w:tcBorders>
              <w:top w:val="nil"/>
              <w:bottom w:val="nil"/>
            </w:tcBorders>
            <w:shd w:val="clear" w:color="auto" w:fill="auto"/>
            <w:vAlign w:val="bottom"/>
            <w:hideMark/>
          </w:tcPr>
          <w:p w14:paraId="2711D4A5" w14:textId="77777777" w:rsidR="00EB5903" w:rsidRPr="00BE2E8F" w:rsidRDefault="00EB5903" w:rsidP="001F2294">
            <w:pPr>
              <w:pStyle w:val="SingleTxtG"/>
              <w:tabs>
                <w:tab w:val="clear" w:pos="1701"/>
                <w:tab w:val="clear" w:pos="2268"/>
              </w:tabs>
              <w:suppressAutoHyphens w:val="0"/>
              <w:spacing w:before="40" w:after="40" w:line="220" w:lineRule="exact"/>
              <w:ind w:left="0" w:right="0"/>
              <w:jc w:val="right"/>
              <w:rPr>
                <w:sz w:val="18"/>
              </w:rPr>
            </w:pPr>
            <w:r>
              <w:rPr>
                <w:sz w:val="18"/>
              </w:rPr>
              <w:t xml:space="preserve"> </w:t>
            </w:r>
          </w:p>
        </w:tc>
      </w:tr>
      <w:tr w:rsidR="00EB5903" w:rsidRPr="00BE2E8F" w14:paraId="14FFAD26" w14:textId="77777777" w:rsidTr="00E22713">
        <w:tc>
          <w:tcPr>
            <w:tcW w:w="3544" w:type="dxa"/>
            <w:tcBorders>
              <w:top w:val="nil"/>
            </w:tcBorders>
            <w:shd w:val="clear" w:color="auto" w:fill="auto"/>
            <w:hideMark/>
          </w:tcPr>
          <w:p w14:paraId="0D6EAD9C" w14:textId="77777777" w:rsidR="00EB5903" w:rsidRPr="00BE2E8F" w:rsidRDefault="00EB5903" w:rsidP="00E22713">
            <w:pPr>
              <w:pStyle w:val="SingleTxtG"/>
              <w:keepNext/>
              <w:keepLines/>
              <w:tabs>
                <w:tab w:val="clear" w:pos="1701"/>
                <w:tab w:val="clear" w:pos="2268"/>
              </w:tabs>
              <w:suppressAutoHyphens w:val="0"/>
              <w:spacing w:before="40" w:after="40" w:line="220" w:lineRule="exact"/>
              <w:ind w:left="0" w:right="113"/>
              <w:jc w:val="left"/>
              <w:rPr>
                <w:sz w:val="18"/>
              </w:rPr>
            </w:pPr>
            <w:r>
              <w:rPr>
                <w:sz w:val="18"/>
              </w:rPr>
              <w:t>Enfants et adolescents à la peau blanche </w:t>
            </w:r>
          </w:p>
        </w:tc>
        <w:tc>
          <w:tcPr>
            <w:tcW w:w="2552" w:type="dxa"/>
            <w:tcBorders>
              <w:top w:val="nil"/>
            </w:tcBorders>
            <w:shd w:val="clear" w:color="auto" w:fill="auto"/>
            <w:vAlign w:val="bottom"/>
            <w:hideMark/>
          </w:tcPr>
          <w:p w14:paraId="6A06E80D" w14:textId="77777777" w:rsidR="00EB5903" w:rsidRPr="00BE2E8F" w:rsidRDefault="00EB5903" w:rsidP="00E22713">
            <w:pPr>
              <w:pStyle w:val="SingleTxtG"/>
              <w:keepNext/>
              <w:keepLines/>
              <w:tabs>
                <w:tab w:val="clear" w:pos="1701"/>
                <w:tab w:val="clear" w:pos="2268"/>
              </w:tabs>
              <w:suppressAutoHyphens w:val="0"/>
              <w:spacing w:before="40" w:after="40" w:line="220" w:lineRule="exact"/>
              <w:ind w:left="0" w:right="0"/>
              <w:jc w:val="right"/>
              <w:rPr>
                <w:sz w:val="18"/>
              </w:rPr>
            </w:pPr>
            <w:r>
              <w:rPr>
                <w:sz w:val="18"/>
              </w:rPr>
              <w:t>543 000 </w:t>
            </w:r>
          </w:p>
        </w:tc>
        <w:tc>
          <w:tcPr>
            <w:tcW w:w="1274" w:type="dxa"/>
            <w:tcBorders>
              <w:top w:val="nil"/>
            </w:tcBorders>
            <w:shd w:val="clear" w:color="auto" w:fill="auto"/>
            <w:vAlign w:val="bottom"/>
            <w:hideMark/>
          </w:tcPr>
          <w:p w14:paraId="26012546" w14:textId="77777777" w:rsidR="00EB5903" w:rsidRPr="00BE2E8F" w:rsidRDefault="00EB5903" w:rsidP="00E22713">
            <w:pPr>
              <w:pStyle w:val="SingleTxtG"/>
              <w:keepNext/>
              <w:keepLines/>
              <w:tabs>
                <w:tab w:val="clear" w:pos="1701"/>
                <w:tab w:val="clear" w:pos="2268"/>
              </w:tabs>
              <w:suppressAutoHyphens w:val="0"/>
              <w:spacing w:before="40" w:after="40" w:line="220" w:lineRule="exact"/>
              <w:ind w:left="0" w:right="0"/>
              <w:jc w:val="right"/>
              <w:rPr>
                <w:sz w:val="18"/>
              </w:rPr>
            </w:pPr>
            <w:r>
              <w:rPr>
                <w:sz w:val="18"/>
              </w:rPr>
              <w:t>33,8 %</w:t>
            </w:r>
          </w:p>
        </w:tc>
      </w:tr>
      <w:tr w:rsidR="00EB5903" w:rsidRPr="00BE2E8F" w14:paraId="726A069A" w14:textId="77777777" w:rsidTr="008B4897">
        <w:tc>
          <w:tcPr>
            <w:tcW w:w="3544" w:type="dxa"/>
            <w:tcBorders>
              <w:bottom w:val="single" w:sz="2" w:space="0" w:color="auto"/>
            </w:tcBorders>
            <w:shd w:val="clear" w:color="auto" w:fill="auto"/>
            <w:hideMark/>
          </w:tcPr>
          <w:p w14:paraId="2FA23F8E" w14:textId="77777777" w:rsidR="00EB5903" w:rsidRPr="00BE2E8F" w:rsidRDefault="00EB5903" w:rsidP="00E22713">
            <w:pPr>
              <w:pStyle w:val="SingleTxtG"/>
              <w:keepNext/>
              <w:keepLines/>
              <w:tabs>
                <w:tab w:val="clear" w:pos="1701"/>
                <w:tab w:val="clear" w:pos="2268"/>
              </w:tabs>
              <w:suppressAutoHyphens w:val="0"/>
              <w:spacing w:before="40" w:after="40" w:line="220" w:lineRule="exact"/>
              <w:ind w:left="0" w:right="113"/>
              <w:jc w:val="left"/>
              <w:rPr>
                <w:sz w:val="18"/>
              </w:rPr>
            </w:pPr>
            <w:r>
              <w:rPr>
                <w:sz w:val="18"/>
              </w:rPr>
              <w:t>Enfants et adolescents à la peau noire ou brune</w:t>
            </w:r>
          </w:p>
        </w:tc>
        <w:tc>
          <w:tcPr>
            <w:tcW w:w="2552" w:type="dxa"/>
            <w:tcBorders>
              <w:bottom w:val="single" w:sz="2" w:space="0" w:color="auto"/>
            </w:tcBorders>
            <w:shd w:val="clear" w:color="auto" w:fill="auto"/>
            <w:vAlign w:val="bottom"/>
            <w:hideMark/>
          </w:tcPr>
          <w:p w14:paraId="7E6CFFA0" w14:textId="77777777" w:rsidR="00EB5903" w:rsidRPr="00BE2E8F" w:rsidRDefault="00EB5903" w:rsidP="00E22713">
            <w:pPr>
              <w:pStyle w:val="SingleTxtG"/>
              <w:keepNext/>
              <w:keepLines/>
              <w:tabs>
                <w:tab w:val="clear" w:pos="1701"/>
                <w:tab w:val="clear" w:pos="2268"/>
              </w:tabs>
              <w:suppressAutoHyphens w:val="0"/>
              <w:spacing w:before="40" w:after="40" w:line="220" w:lineRule="exact"/>
              <w:ind w:left="0" w:right="0"/>
              <w:jc w:val="right"/>
              <w:rPr>
                <w:sz w:val="18"/>
              </w:rPr>
            </w:pPr>
            <w:r>
              <w:rPr>
                <w:sz w:val="18"/>
              </w:rPr>
              <w:t>1 047 000 </w:t>
            </w:r>
          </w:p>
        </w:tc>
        <w:tc>
          <w:tcPr>
            <w:tcW w:w="1274" w:type="dxa"/>
            <w:tcBorders>
              <w:bottom w:val="single" w:sz="2" w:space="0" w:color="auto"/>
            </w:tcBorders>
            <w:shd w:val="clear" w:color="auto" w:fill="auto"/>
            <w:vAlign w:val="bottom"/>
            <w:hideMark/>
          </w:tcPr>
          <w:p w14:paraId="3697A38C" w14:textId="77777777" w:rsidR="00EB5903" w:rsidRPr="00BE2E8F" w:rsidRDefault="00EB5903" w:rsidP="00E22713">
            <w:pPr>
              <w:pStyle w:val="SingleTxtG"/>
              <w:keepNext/>
              <w:keepLines/>
              <w:tabs>
                <w:tab w:val="clear" w:pos="1701"/>
                <w:tab w:val="clear" w:pos="2268"/>
              </w:tabs>
              <w:suppressAutoHyphens w:val="0"/>
              <w:spacing w:before="40" w:after="40" w:line="220" w:lineRule="exact"/>
              <w:ind w:left="0" w:right="0"/>
              <w:jc w:val="right"/>
              <w:rPr>
                <w:sz w:val="18"/>
              </w:rPr>
            </w:pPr>
            <w:r>
              <w:rPr>
                <w:sz w:val="18"/>
              </w:rPr>
              <w:t>65,2 %</w:t>
            </w:r>
          </w:p>
        </w:tc>
      </w:tr>
      <w:tr w:rsidR="00EB5903" w:rsidRPr="003E2235" w14:paraId="65507F86" w14:textId="77777777" w:rsidTr="008B4897">
        <w:tc>
          <w:tcPr>
            <w:tcW w:w="3544" w:type="dxa"/>
            <w:tcBorders>
              <w:top w:val="single" w:sz="2" w:space="0" w:color="auto"/>
              <w:bottom w:val="single" w:sz="12" w:space="0" w:color="auto"/>
            </w:tcBorders>
            <w:shd w:val="clear" w:color="auto" w:fill="auto"/>
            <w:hideMark/>
          </w:tcPr>
          <w:p w14:paraId="688C2C7E" w14:textId="77777777" w:rsidR="00EB5903" w:rsidRPr="002D7059" w:rsidRDefault="00EB5903" w:rsidP="008B4897">
            <w:pPr>
              <w:pStyle w:val="SingleTxtG"/>
              <w:tabs>
                <w:tab w:val="clear" w:pos="1701"/>
                <w:tab w:val="clear" w:pos="2268"/>
              </w:tabs>
              <w:suppressAutoHyphens w:val="0"/>
              <w:spacing w:before="80" w:after="80" w:line="220" w:lineRule="exact"/>
              <w:ind w:left="283" w:right="0"/>
              <w:jc w:val="left"/>
              <w:rPr>
                <w:b/>
                <w:sz w:val="18"/>
              </w:rPr>
            </w:pPr>
            <w:r>
              <w:rPr>
                <w:b/>
                <w:sz w:val="18"/>
              </w:rPr>
              <w:t>Nombre total d’enfants et d’adolescents</w:t>
            </w:r>
          </w:p>
        </w:tc>
        <w:tc>
          <w:tcPr>
            <w:tcW w:w="2552" w:type="dxa"/>
            <w:tcBorders>
              <w:top w:val="single" w:sz="2" w:space="0" w:color="auto"/>
              <w:bottom w:val="single" w:sz="12" w:space="0" w:color="auto"/>
            </w:tcBorders>
            <w:shd w:val="clear" w:color="auto" w:fill="auto"/>
            <w:vAlign w:val="bottom"/>
            <w:hideMark/>
          </w:tcPr>
          <w:p w14:paraId="6493C300" w14:textId="77777777" w:rsidR="00EB5903" w:rsidRPr="002D7059" w:rsidRDefault="00EB5903" w:rsidP="001F2294">
            <w:pPr>
              <w:pStyle w:val="SingleTxtG"/>
              <w:tabs>
                <w:tab w:val="clear" w:pos="1701"/>
                <w:tab w:val="clear" w:pos="2268"/>
              </w:tabs>
              <w:suppressAutoHyphens w:val="0"/>
              <w:spacing w:before="80" w:after="80" w:line="220" w:lineRule="exact"/>
              <w:ind w:left="283" w:right="0"/>
              <w:jc w:val="right"/>
              <w:rPr>
                <w:b/>
                <w:sz w:val="18"/>
              </w:rPr>
            </w:pPr>
            <w:r>
              <w:rPr>
                <w:b/>
                <w:sz w:val="18"/>
              </w:rPr>
              <w:t>1 607 000 </w:t>
            </w:r>
          </w:p>
        </w:tc>
        <w:tc>
          <w:tcPr>
            <w:tcW w:w="1274" w:type="dxa"/>
            <w:tcBorders>
              <w:top w:val="single" w:sz="2" w:space="0" w:color="auto"/>
              <w:bottom w:val="single" w:sz="12" w:space="0" w:color="auto"/>
            </w:tcBorders>
            <w:shd w:val="clear" w:color="auto" w:fill="auto"/>
            <w:vAlign w:val="bottom"/>
            <w:hideMark/>
          </w:tcPr>
          <w:p w14:paraId="13ACC00D" w14:textId="77777777" w:rsidR="00EB5903" w:rsidRPr="002D7059" w:rsidRDefault="00EB5903" w:rsidP="001F2294">
            <w:pPr>
              <w:pStyle w:val="SingleTxtG"/>
              <w:tabs>
                <w:tab w:val="clear" w:pos="1701"/>
                <w:tab w:val="clear" w:pos="2268"/>
              </w:tabs>
              <w:suppressAutoHyphens w:val="0"/>
              <w:spacing w:before="80" w:after="80" w:line="220" w:lineRule="exact"/>
              <w:ind w:left="283" w:right="0"/>
              <w:jc w:val="right"/>
              <w:rPr>
                <w:b/>
                <w:sz w:val="18"/>
              </w:rPr>
            </w:pPr>
            <w:r>
              <w:rPr>
                <w:b/>
                <w:sz w:val="18"/>
              </w:rPr>
              <w:t>100 % </w:t>
            </w:r>
          </w:p>
        </w:tc>
      </w:tr>
    </w:tbl>
    <w:p w14:paraId="5C39187C" w14:textId="77777777" w:rsidR="00EB5903" w:rsidRPr="00BE2E8F" w:rsidRDefault="00EB5903" w:rsidP="008E4BE9">
      <w:pPr>
        <w:pStyle w:val="SingleTxtG"/>
        <w:spacing w:before="120" w:after="0"/>
        <w:ind w:firstLine="170"/>
        <w:jc w:val="left"/>
        <w:rPr>
          <w:sz w:val="18"/>
        </w:rPr>
      </w:pPr>
      <w:r>
        <w:rPr>
          <w:i/>
          <w:sz w:val="18"/>
        </w:rPr>
        <w:t>Source </w:t>
      </w:r>
      <w:r>
        <w:rPr>
          <w:sz w:val="18"/>
        </w:rPr>
        <w:t xml:space="preserve">: Enquête nationale continue par sondage auprès des ménages (PNAD </w:t>
      </w:r>
      <w:proofErr w:type="spellStart"/>
      <w:r>
        <w:rPr>
          <w:sz w:val="18"/>
        </w:rPr>
        <w:t>Contínua</w:t>
      </w:r>
      <w:proofErr w:type="spellEnd"/>
      <w:r>
        <w:rPr>
          <w:sz w:val="18"/>
        </w:rPr>
        <w:t>), 2023.</w:t>
      </w:r>
    </w:p>
    <w:p w14:paraId="156D40F7" w14:textId="77777777" w:rsidR="00EB5903" w:rsidRPr="00BE2E8F" w:rsidRDefault="00EB5903" w:rsidP="008E4BE9">
      <w:pPr>
        <w:pStyle w:val="SingleTxtG"/>
        <w:spacing w:after="240" w:line="220" w:lineRule="atLeast"/>
        <w:jc w:val="left"/>
      </w:pPr>
      <w:r>
        <w:rPr>
          <w:sz w:val="18"/>
        </w:rPr>
        <w:t>Il convient de noter qu’en 2020 et 2021, en raison de la pandémie de COVID-19, l’Enquête nationale continue par sondage auprès des ménages de l’Institut brésilien de géographie et de statistique (IBGE) n’a pas été réalisée.</w:t>
      </w:r>
    </w:p>
    <w:p w14:paraId="1B61F722" w14:textId="77777777" w:rsidR="00EB5903" w:rsidRPr="00BE2E8F" w:rsidRDefault="00EB5903" w:rsidP="00EB5903">
      <w:pPr>
        <w:pStyle w:val="H1G"/>
      </w:pPr>
      <w:r>
        <w:tab/>
      </w:r>
      <w:r>
        <w:tab/>
        <w:t>Réponse au paragraphe 16 l) de la liste de points</w:t>
      </w:r>
    </w:p>
    <w:p w14:paraId="18529E0F" w14:textId="77777777" w:rsidR="00EB5903" w:rsidRPr="00BE2E8F" w:rsidRDefault="00EB5903" w:rsidP="00EB5903">
      <w:pPr>
        <w:pStyle w:val="SingleTxtG"/>
      </w:pPr>
      <w:r>
        <w:t>109.</w:t>
      </w:r>
      <w:r>
        <w:tab/>
        <w:t xml:space="preserve">La dernière enquête nationale menée en 2011 par le Gouvernement brésilien par l’intermédiaire du Secrétariat national des droits de l’enfant et de l’adolescent a recensé 24 000 enfants et adolescents en situation de rue. En 2022, sur 221 113 personnes sans abri enregistrées dans </w:t>
      </w:r>
      <w:proofErr w:type="spellStart"/>
      <w:r>
        <w:t>CadÚnico</w:t>
      </w:r>
      <w:proofErr w:type="spellEnd"/>
      <w:r>
        <w:t>, 1,74 % étaient âgées de 0 à 9 ans, et 1,61 % de 10 à 19 ans, soit un total d’environ 7 407 enfants et adolescents en situation de rue dans le pays (</w:t>
      </w:r>
      <w:proofErr w:type="spellStart"/>
      <w:r>
        <w:t>Plateforme</w:t>
      </w:r>
      <w:proofErr w:type="spellEnd"/>
      <w:r>
        <w:t xml:space="preserve"> </w:t>
      </w:r>
      <w:proofErr w:type="spellStart"/>
      <w:r>
        <w:t>ObservaDH</w:t>
      </w:r>
      <w:proofErr w:type="spellEnd"/>
      <w:r>
        <w:t>).</w:t>
      </w:r>
    </w:p>
    <w:p w14:paraId="34865C99" w14:textId="1A2BB5E6" w:rsidR="00EB5903" w:rsidRPr="008E4BE9" w:rsidRDefault="00EB5903" w:rsidP="00EB5903">
      <w:pPr>
        <w:pStyle w:val="SingleTxtG"/>
        <w:rPr>
          <w:spacing w:val="2"/>
        </w:rPr>
      </w:pPr>
      <w:r>
        <w:t>110.</w:t>
      </w:r>
      <w:r w:rsidRPr="008E4BE9">
        <w:rPr>
          <w:spacing w:val="2"/>
        </w:rPr>
        <w:tab/>
        <w:t>Des études récentes réalisées par l’Observatoire brésilien des politiques publiques en faveur de la population sans abri (</w:t>
      </w:r>
      <w:proofErr w:type="spellStart"/>
      <w:r w:rsidRPr="008E4BE9">
        <w:rPr>
          <w:spacing w:val="2"/>
        </w:rPr>
        <w:t>ObPopRua</w:t>
      </w:r>
      <w:proofErr w:type="spellEnd"/>
      <w:r w:rsidRPr="008E4BE9">
        <w:rPr>
          <w:spacing w:val="2"/>
        </w:rPr>
        <w:t xml:space="preserve">/UFMG) montrent une augmentation considérable de cette population. Dans la ville de São Paulo, par exemple, le nombre d’enfants et d’adolescents en situation de rue a été multiplié par </w:t>
      </w:r>
      <w:r w:rsidR="00E22713">
        <w:rPr>
          <w:spacing w:val="2"/>
        </w:rPr>
        <w:t>12</w:t>
      </w:r>
      <w:r w:rsidRPr="008E4BE9">
        <w:rPr>
          <w:spacing w:val="2"/>
        </w:rPr>
        <w:t xml:space="preserve"> au cours des dix dernières années, passant de 309 en 2013 à 3 961 en 2024. Actuellement, 46 % des enfants et des adolescents sans abri recensés au Brésil vivent dans la capitale de l’État de São</w:t>
      </w:r>
      <w:r w:rsidR="008E4BE9">
        <w:rPr>
          <w:spacing w:val="2"/>
        </w:rPr>
        <w:t> </w:t>
      </w:r>
      <w:r w:rsidRPr="008E4BE9">
        <w:rPr>
          <w:spacing w:val="2"/>
        </w:rPr>
        <w:t>Paulo.</w:t>
      </w:r>
    </w:p>
    <w:p w14:paraId="219B276F" w14:textId="77777777" w:rsidR="00EB5903" w:rsidRPr="00BE2E8F" w:rsidRDefault="00EB5903" w:rsidP="00EB5903">
      <w:pPr>
        <w:pStyle w:val="H1G"/>
      </w:pPr>
      <w:r>
        <w:tab/>
      </w:r>
      <w:r>
        <w:tab/>
        <w:t xml:space="preserve">Réponse au paragraphe 17 a) de la liste de points </w:t>
      </w:r>
    </w:p>
    <w:p w14:paraId="58449C99" w14:textId="7C83B611" w:rsidR="00EB5903" w:rsidRPr="00BE2E8F" w:rsidRDefault="00EB5903" w:rsidP="00EB5903">
      <w:pPr>
        <w:pStyle w:val="SingleTxtG"/>
      </w:pPr>
      <w:r>
        <w:t>111.</w:t>
      </w:r>
      <w:r>
        <w:tab/>
        <w:t xml:space="preserve">Selon les données du Système national d’adoption et de placement (SNA), qui rassemblent les informations des tribunaux, le nombre d’enfants et d’adolescents placés dans des structures de protection de remplacement s’élevait à : 42 266 en 2022, 47 127 en 2023 et 45 491 </w:t>
      </w:r>
      <w:r w:rsidR="008E4BE9">
        <w:t>e</w:t>
      </w:r>
      <w:r>
        <w:t>n 2024, soit un total de 134 884.</w:t>
      </w:r>
    </w:p>
    <w:p w14:paraId="5B387A2A" w14:textId="77777777" w:rsidR="00EB5903" w:rsidRPr="00BE2E8F" w:rsidRDefault="00EB5903" w:rsidP="00EB5903">
      <w:pPr>
        <w:pStyle w:val="SingleTxtG"/>
        <w:spacing w:after="240"/>
      </w:pPr>
      <w:r>
        <w:t>112.</w:t>
      </w:r>
      <w:r>
        <w:tab/>
        <w:t xml:space="preserve">Selon les données du </w:t>
      </w:r>
      <w:proofErr w:type="spellStart"/>
      <w:r>
        <w:t>CensoSUAS</w:t>
      </w:r>
      <w:proofErr w:type="spellEnd"/>
      <w:r>
        <w:t>, le nombre d’enfants et d’adolescents handicapés vivant dans des structures de protection de remplacement est le suivant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276"/>
        <w:gridCol w:w="1417"/>
        <w:gridCol w:w="1985"/>
        <w:gridCol w:w="1983"/>
      </w:tblGrid>
      <w:tr w:rsidR="00EB5903" w:rsidRPr="00BE2E8F" w14:paraId="3E859BB2" w14:textId="77777777" w:rsidTr="008B4897">
        <w:trPr>
          <w:tblHeader/>
        </w:trPr>
        <w:tc>
          <w:tcPr>
            <w:tcW w:w="709" w:type="dxa"/>
            <w:tcBorders>
              <w:top w:val="single" w:sz="4" w:space="0" w:color="auto"/>
              <w:bottom w:val="single" w:sz="12" w:space="0" w:color="auto"/>
            </w:tcBorders>
            <w:shd w:val="clear" w:color="auto" w:fill="auto"/>
            <w:vAlign w:val="bottom"/>
            <w:hideMark/>
          </w:tcPr>
          <w:p w14:paraId="20B37C45"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Année </w:t>
            </w:r>
          </w:p>
        </w:tc>
        <w:tc>
          <w:tcPr>
            <w:tcW w:w="1276" w:type="dxa"/>
            <w:tcBorders>
              <w:top w:val="single" w:sz="4" w:space="0" w:color="auto"/>
              <w:bottom w:val="single" w:sz="12" w:space="0" w:color="auto"/>
            </w:tcBorders>
            <w:shd w:val="clear" w:color="auto" w:fill="auto"/>
            <w:vAlign w:val="bottom"/>
            <w:hideMark/>
          </w:tcPr>
          <w:p w14:paraId="20B322D5"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Nombre d’enfants et d’adolescents</w:t>
            </w:r>
          </w:p>
        </w:tc>
        <w:tc>
          <w:tcPr>
            <w:tcW w:w="1417" w:type="dxa"/>
            <w:tcBorders>
              <w:top w:val="single" w:sz="4" w:space="0" w:color="auto"/>
              <w:bottom w:val="single" w:sz="12" w:space="0" w:color="auto"/>
            </w:tcBorders>
            <w:shd w:val="clear" w:color="auto" w:fill="auto"/>
            <w:vAlign w:val="bottom"/>
            <w:hideMark/>
          </w:tcPr>
          <w:p w14:paraId="134C0EF6"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Souffrant de troubles/problèmes de santé mentale</w:t>
            </w:r>
          </w:p>
        </w:tc>
        <w:tc>
          <w:tcPr>
            <w:tcW w:w="1985" w:type="dxa"/>
            <w:tcBorders>
              <w:top w:val="single" w:sz="4" w:space="0" w:color="auto"/>
              <w:bottom w:val="single" w:sz="12" w:space="0" w:color="auto"/>
            </w:tcBorders>
            <w:shd w:val="clear" w:color="auto" w:fill="auto"/>
            <w:vAlign w:val="bottom"/>
            <w:hideMark/>
          </w:tcPr>
          <w:p w14:paraId="67E6B514"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Ayant besoin de soins</w:t>
            </w:r>
            <w:r>
              <w:rPr>
                <w:i/>
                <w:sz w:val="16"/>
              </w:rPr>
              <w:br/>
              <w:t>de santé particuliers</w:t>
            </w:r>
          </w:p>
        </w:tc>
        <w:tc>
          <w:tcPr>
            <w:tcW w:w="1983" w:type="dxa"/>
            <w:tcBorders>
              <w:top w:val="single" w:sz="4" w:space="0" w:color="auto"/>
              <w:bottom w:val="single" w:sz="12" w:space="0" w:color="auto"/>
            </w:tcBorders>
            <w:shd w:val="clear" w:color="auto" w:fill="auto"/>
            <w:vAlign w:val="bottom"/>
            <w:hideMark/>
          </w:tcPr>
          <w:p w14:paraId="18BDA592" w14:textId="58D57C31"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Dans une unité de soins</w:t>
            </w:r>
            <w:r>
              <w:rPr>
                <w:i/>
                <w:sz w:val="16"/>
              </w:rPr>
              <w:br/>
              <w:t>réservée aux enfants et aux</w:t>
            </w:r>
            <w:r>
              <w:rPr>
                <w:i/>
                <w:sz w:val="16"/>
              </w:rPr>
              <w:br/>
              <w:t>adolescents handicapés</w:t>
            </w:r>
          </w:p>
        </w:tc>
      </w:tr>
      <w:tr w:rsidR="00EB5903" w:rsidRPr="00BE2E8F" w14:paraId="20ED5FBA" w14:textId="77777777" w:rsidTr="008B4897">
        <w:tc>
          <w:tcPr>
            <w:tcW w:w="709" w:type="dxa"/>
            <w:tcBorders>
              <w:top w:val="single" w:sz="12" w:space="0" w:color="auto"/>
            </w:tcBorders>
            <w:shd w:val="clear" w:color="auto" w:fill="auto"/>
            <w:hideMark/>
          </w:tcPr>
          <w:p w14:paraId="26B2C45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2021</w:t>
            </w:r>
          </w:p>
        </w:tc>
        <w:tc>
          <w:tcPr>
            <w:tcW w:w="1276" w:type="dxa"/>
            <w:tcBorders>
              <w:top w:val="single" w:sz="12" w:space="0" w:color="auto"/>
            </w:tcBorders>
            <w:shd w:val="clear" w:color="auto" w:fill="auto"/>
            <w:vAlign w:val="bottom"/>
            <w:hideMark/>
          </w:tcPr>
          <w:p w14:paraId="3323452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3 785</w:t>
            </w:r>
          </w:p>
        </w:tc>
        <w:tc>
          <w:tcPr>
            <w:tcW w:w="1417" w:type="dxa"/>
            <w:tcBorders>
              <w:top w:val="single" w:sz="12" w:space="0" w:color="auto"/>
            </w:tcBorders>
            <w:shd w:val="clear" w:color="auto" w:fill="auto"/>
            <w:vAlign w:val="bottom"/>
            <w:hideMark/>
          </w:tcPr>
          <w:p w14:paraId="6B20B33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2 910</w:t>
            </w:r>
          </w:p>
        </w:tc>
        <w:tc>
          <w:tcPr>
            <w:tcW w:w="1985" w:type="dxa"/>
            <w:tcBorders>
              <w:top w:val="single" w:sz="12" w:space="0" w:color="auto"/>
            </w:tcBorders>
            <w:shd w:val="clear" w:color="auto" w:fill="auto"/>
            <w:vAlign w:val="bottom"/>
            <w:hideMark/>
          </w:tcPr>
          <w:p w14:paraId="608770A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24 % environ </w:t>
            </w:r>
          </w:p>
        </w:tc>
        <w:tc>
          <w:tcPr>
            <w:tcW w:w="1983" w:type="dxa"/>
            <w:tcBorders>
              <w:top w:val="single" w:sz="12" w:space="0" w:color="auto"/>
            </w:tcBorders>
            <w:shd w:val="clear" w:color="auto" w:fill="auto"/>
            <w:vAlign w:val="bottom"/>
            <w:hideMark/>
          </w:tcPr>
          <w:p w14:paraId="46FADC9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950</w:t>
            </w:r>
          </w:p>
        </w:tc>
      </w:tr>
      <w:tr w:rsidR="00EB5903" w:rsidRPr="00BE2E8F" w14:paraId="30A94B4E" w14:textId="77777777" w:rsidTr="008B4897">
        <w:tc>
          <w:tcPr>
            <w:tcW w:w="709" w:type="dxa"/>
            <w:shd w:val="clear" w:color="auto" w:fill="auto"/>
            <w:hideMark/>
          </w:tcPr>
          <w:p w14:paraId="4D7E385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lastRenderedPageBreak/>
              <w:t>2022</w:t>
            </w:r>
          </w:p>
        </w:tc>
        <w:tc>
          <w:tcPr>
            <w:tcW w:w="1276" w:type="dxa"/>
            <w:shd w:val="clear" w:color="auto" w:fill="auto"/>
            <w:vAlign w:val="bottom"/>
            <w:hideMark/>
          </w:tcPr>
          <w:p w14:paraId="7E4520C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3 715</w:t>
            </w:r>
          </w:p>
        </w:tc>
        <w:tc>
          <w:tcPr>
            <w:tcW w:w="1417" w:type="dxa"/>
            <w:shd w:val="clear" w:color="auto" w:fill="auto"/>
            <w:vAlign w:val="bottom"/>
            <w:hideMark/>
          </w:tcPr>
          <w:p w14:paraId="3D082A3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3 535</w:t>
            </w:r>
          </w:p>
        </w:tc>
        <w:tc>
          <w:tcPr>
            <w:tcW w:w="1985" w:type="dxa"/>
            <w:shd w:val="clear" w:color="auto" w:fill="auto"/>
            <w:vAlign w:val="bottom"/>
            <w:hideMark/>
          </w:tcPr>
          <w:p w14:paraId="7D4886C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23,7 % environ </w:t>
            </w:r>
          </w:p>
        </w:tc>
        <w:tc>
          <w:tcPr>
            <w:tcW w:w="1983" w:type="dxa"/>
            <w:shd w:val="clear" w:color="auto" w:fill="auto"/>
            <w:vAlign w:val="bottom"/>
            <w:hideMark/>
          </w:tcPr>
          <w:p w14:paraId="6267515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1 202</w:t>
            </w:r>
          </w:p>
        </w:tc>
      </w:tr>
      <w:tr w:rsidR="00EB5903" w:rsidRPr="00BE2E8F" w14:paraId="7C3A887F" w14:textId="77777777" w:rsidTr="008B4897">
        <w:tc>
          <w:tcPr>
            <w:tcW w:w="709" w:type="dxa"/>
            <w:shd w:val="clear" w:color="auto" w:fill="auto"/>
            <w:hideMark/>
          </w:tcPr>
          <w:p w14:paraId="69BAC61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2023</w:t>
            </w:r>
          </w:p>
        </w:tc>
        <w:tc>
          <w:tcPr>
            <w:tcW w:w="1276" w:type="dxa"/>
            <w:shd w:val="clear" w:color="auto" w:fill="auto"/>
            <w:vAlign w:val="bottom"/>
            <w:hideMark/>
          </w:tcPr>
          <w:p w14:paraId="3D4EBA5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3 813 </w:t>
            </w:r>
          </w:p>
        </w:tc>
        <w:tc>
          <w:tcPr>
            <w:tcW w:w="1417" w:type="dxa"/>
            <w:shd w:val="clear" w:color="auto" w:fill="auto"/>
            <w:vAlign w:val="bottom"/>
            <w:hideMark/>
          </w:tcPr>
          <w:p w14:paraId="104EC4B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4 421</w:t>
            </w:r>
          </w:p>
        </w:tc>
        <w:tc>
          <w:tcPr>
            <w:tcW w:w="1985" w:type="dxa"/>
            <w:shd w:val="clear" w:color="auto" w:fill="auto"/>
            <w:vAlign w:val="bottom"/>
            <w:hideMark/>
          </w:tcPr>
          <w:p w14:paraId="38DC792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26 % environ</w:t>
            </w:r>
          </w:p>
        </w:tc>
        <w:tc>
          <w:tcPr>
            <w:tcW w:w="1983" w:type="dxa"/>
            <w:shd w:val="clear" w:color="auto" w:fill="auto"/>
            <w:vAlign w:val="bottom"/>
            <w:hideMark/>
          </w:tcPr>
          <w:p w14:paraId="7D21294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1 126</w:t>
            </w:r>
          </w:p>
        </w:tc>
      </w:tr>
    </w:tbl>
    <w:p w14:paraId="6C937761" w14:textId="77777777" w:rsidR="00EB5903" w:rsidRPr="00BE2E8F" w:rsidRDefault="00EB5903" w:rsidP="00EB5903">
      <w:pPr>
        <w:pStyle w:val="H1G"/>
      </w:pPr>
      <w:r>
        <w:tab/>
      </w:r>
      <w:r>
        <w:tab/>
        <w:t>Réponse au paragraphe 17 b) de la liste de points</w:t>
      </w:r>
    </w:p>
    <w:p w14:paraId="7057BF31" w14:textId="4FD21C4C" w:rsidR="00EB5903" w:rsidRPr="00BE2E8F" w:rsidRDefault="00EB5903" w:rsidP="00EB5903">
      <w:pPr>
        <w:pStyle w:val="SingleTxtG"/>
      </w:pPr>
      <w:r>
        <w:t>113.</w:t>
      </w:r>
      <w:r>
        <w:tab/>
        <w:t xml:space="preserve">En 2021, 1 825 enfants et adolescents (908 garçons et 917 filles) étaient placés en famille d’accueil. Ce service était principalement concentré dans les régions du </w:t>
      </w:r>
      <w:r w:rsidR="00E22713">
        <w:t>s</w:t>
      </w:r>
      <w:r>
        <w:t xml:space="preserve">ud et du </w:t>
      </w:r>
      <w:r w:rsidR="00E22713">
        <w:t>s</w:t>
      </w:r>
      <w:r>
        <w:t>ud</w:t>
      </w:r>
      <w:r w:rsidR="00E22713">
        <w:noBreakHyphen/>
      </w:r>
      <w:r>
        <w:t xml:space="preserve">est. En 2022, ce nombre est passé à 1 898 enfants et adolescents (964 filles et 933 garçons), répartis entre 528 services. Cependant, les données du </w:t>
      </w:r>
      <w:proofErr w:type="spellStart"/>
      <w:r>
        <w:t>CensoSUAS</w:t>
      </w:r>
      <w:proofErr w:type="spellEnd"/>
      <w:r>
        <w:t xml:space="preserve"> ne sont pas ventilées par handicap ou problème de santé particulier. La majorité des familles d’accueil se trouvaient toujours dans le Sud (49,7 %) et le Sud-</w:t>
      </w:r>
      <w:r w:rsidR="00E22713">
        <w:t>E</w:t>
      </w:r>
      <w:r>
        <w:t>st (36 %), avec des pourcentages plus réduits dans le Nord-</w:t>
      </w:r>
      <w:r w:rsidR="00E22713">
        <w:t>E</w:t>
      </w:r>
      <w:r>
        <w:t>st (7,3 %), le Centre-</w:t>
      </w:r>
      <w:r w:rsidR="00E22713">
        <w:t>O</w:t>
      </w:r>
      <w:r>
        <w:t>uest (4,1 %) et le Nord (2,9 %).</w:t>
      </w:r>
    </w:p>
    <w:p w14:paraId="714EBDD9" w14:textId="1A5E0CF6" w:rsidR="00EB5903" w:rsidRPr="00BE2E8F" w:rsidRDefault="00EB5903" w:rsidP="00E22713">
      <w:pPr>
        <w:pStyle w:val="SingleTxtG"/>
        <w:keepNext/>
        <w:keepLines/>
      </w:pPr>
      <w:r>
        <w:t>114.</w:t>
      </w:r>
      <w:r>
        <w:tab/>
      </w:r>
      <w:r w:rsidRPr="00E22713">
        <w:rPr>
          <w:spacing w:val="-2"/>
        </w:rPr>
        <w:t xml:space="preserve">En 2023, le nombre d’enfants et d’adolescents en famille d’accueil est passé à 2 148 (1 115 filles et 1 033 garçons). La répartition régionale est restée semblable, mais la région </w:t>
      </w:r>
      <w:r w:rsidR="00E22713" w:rsidRPr="00E22713">
        <w:rPr>
          <w:spacing w:val="-2"/>
        </w:rPr>
        <w:t>N</w:t>
      </w:r>
      <w:r w:rsidRPr="00E22713">
        <w:rPr>
          <w:spacing w:val="-2"/>
        </w:rPr>
        <w:t>ord-</w:t>
      </w:r>
      <w:r w:rsidR="00E22713" w:rsidRPr="00E22713">
        <w:rPr>
          <w:spacing w:val="-2"/>
        </w:rPr>
        <w:t>E</w:t>
      </w:r>
      <w:r w:rsidRPr="00E22713">
        <w:rPr>
          <w:spacing w:val="-2"/>
        </w:rPr>
        <w:t>st a enregistré une augmentation importante (12,3 %), tandis que le Sud (45,2 %) et le Sud-</w:t>
      </w:r>
      <w:r w:rsidR="00E22713" w:rsidRPr="00E22713">
        <w:rPr>
          <w:spacing w:val="-2"/>
        </w:rPr>
        <w:t>E</w:t>
      </w:r>
      <w:r w:rsidRPr="00E22713">
        <w:rPr>
          <w:spacing w:val="-2"/>
        </w:rPr>
        <w:t>st (31,5 %) ont continué d’accueillir le plus grand nombre de services. Le Centre</w:t>
      </w:r>
      <w:r w:rsidR="00E22713" w:rsidRPr="00E22713">
        <w:rPr>
          <w:spacing w:val="-2"/>
        </w:rPr>
        <w:noBreakHyphen/>
        <w:t>O</w:t>
      </w:r>
      <w:r w:rsidRPr="00E22713">
        <w:rPr>
          <w:spacing w:val="-2"/>
        </w:rPr>
        <w:t>uest (6,1 %) et le Nord (4,9 %) ont enregistré des augmentations modestes. Cette année, pour la première fois, le recensement a fourni des données sur les enfants handicapés et a recensé 119 cas, ce qui représente près de 4 % de la population totale placée en famille d’accueil.</w:t>
      </w:r>
      <w:r>
        <w:t xml:space="preserve"> </w:t>
      </w:r>
    </w:p>
    <w:p w14:paraId="74D62231" w14:textId="77777777" w:rsidR="00EB5903" w:rsidRPr="00BE2E8F" w:rsidRDefault="00EB5903" w:rsidP="00EB5903">
      <w:pPr>
        <w:pStyle w:val="H1G"/>
      </w:pPr>
      <w:r>
        <w:tab/>
      </w:r>
      <w:r>
        <w:tab/>
        <w:t>Réponse au paragraphe 17 c) de la liste de points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1275"/>
        <w:gridCol w:w="1275"/>
        <w:gridCol w:w="1276"/>
      </w:tblGrid>
      <w:tr w:rsidR="00EB5903" w:rsidRPr="00BE2E8F" w14:paraId="3F610BB1" w14:textId="77777777" w:rsidTr="008B4897">
        <w:trPr>
          <w:tblHeader/>
        </w:trPr>
        <w:tc>
          <w:tcPr>
            <w:tcW w:w="3544" w:type="dxa"/>
            <w:tcBorders>
              <w:top w:val="single" w:sz="4" w:space="0" w:color="auto"/>
              <w:bottom w:val="single" w:sz="12" w:space="0" w:color="auto"/>
            </w:tcBorders>
            <w:shd w:val="clear" w:color="auto" w:fill="auto"/>
            <w:vAlign w:val="bottom"/>
            <w:hideMark/>
          </w:tcPr>
          <w:p w14:paraId="55EAB573" w14:textId="22FF90A1"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Enfants et adolescents ayant un handicap physique</w:t>
            </w:r>
            <w:r w:rsidR="00E22713">
              <w:rPr>
                <w:i/>
                <w:sz w:val="16"/>
              </w:rPr>
              <w:t> </w:t>
            </w:r>
            <w:r>
              <w:rPr>
                <w:i/>
                <w:sz w:val="16"/>
              </w:rPr>
              <w:t>ou mental</w:t>
            </w:r>
          </w:p>
        </w:tc>
        <w:tc>
          <w:tcPr>
            <w:tcW w:w="1275" w:type="dxa"/>
            <w:tcBorders>
              <w:top w:val="single" w:sz="4" w:space="0" w:color="auto"/>
              <w:bottom w:val="single" w:sz="12" w:space="0" w:color="auto"/>
            </w:tcBorders>
            <w:shd w:val="clear" w:color="auto" w:fill="auto"/>
            <w:vAlign w:val="bottom"/>
            <w:hideMark/>
          </w:tcPr>
          <w:p w14:paraId="283FDC2A"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2022</w:t>
            </w:r>
          </w:p>
        </w:tc>
        <w:tc>
          <w:tcPr>
            <w:tcW w:w="1275" w:type="dxa"/>
            <w:tcBorders>
              <w:top w:val="single" w:sz="4" w:space="0" w:color="auto"/>
              <w:bottom w:val="single" w:sz="12" w:space="0" w:color="auto"/>
            </w:tcBorders>
            <w:shd w:val="clear" w:color="auto" w:fill="auto"/>
            <w:vAlign w:val="bottom"/>
            <w:hideMark/>
          </w:tcPr>
          <w:p w14:paraId="34EDF380"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2023</w:t>
            </w:r>
          </w:p>
        </w:tc>
        <w:tc>
          <w:tcPr>
            <w:tcW w:w="1276" w:type="dxa"/>
            <w:tcBorders>
              <w:top w:val="single" w:sz="4" w:space="0" w:color="auto"/>
              <w:bottom w:val="single" w:sz="12" w:space="0" w:color="auto"/>
            </w:tcBorders>
            <w:shd w:val="clear" w:color="auto" w:fill="auto"/>
            <w:vAlign w:val="bottom"/>
            <w:hideMark/>
          </w:tcPr>
          <w:p w14:paraId="27A350D7"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2024</w:t>
            </w:r>
          </w:p>
        </w:tc>
      </w:tr>
      <w:tr w:rsidR="00EB5903" w:rsidRPr="00BE2E8F" w14:paraId="65115AC6" w14:textId="77777777" w:rsidTr="008B4897">
        <w:trPr>
          <w:trHeight w:hRule="exact" w:val="113"/>
          <w:tblHeader/>
        </w:trPr>
        <w:tc>
          <w:tcPr>
            <w:tcW w:w="3544" w:type="dxa"/>
            <w:tcBorders>
              <w:top w:val="single" w:sz="12" w:space="0" w:color="auto"/>
              <w:bottom w:val="nil"/>
            </w:tcBorders>
            <w:shd w:val="clear" w:color="auto" w:fill="auto"/>
            <w:vAlign w:val="bottom"/>
          </w:tcPr>
          <w:p w14:paraId="090A5900"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p>
        </w:tc>
        <w:tc>
          <w:tcPr>
            <w:tcW w:w="1275" w:type="dxa"/>
            <w:tcBorders>
              <w:top w:val="single" w:sz="12" w:space="0" w:color="auto"/>
              <w:bottom w:val="nil"/>
            </w:tcBorders>
            <w:shd w:val="clear" w:color="auto" w:fill="auto"/>
            <w:vAlign w:val="bottom"/>
          </w:tcPr>
          <w:p w14:paraId="6D05045A"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p>
        </w:tc>
        <w:tc>
          <w:tcPr>
            <w:tcW w:w="1275" w:type="dxa"/>
            <w:tcBorders>
              <w:top w:val="single" w:sz="12" w:space="0" w:color="auto"/>
              <w:bottom w:val="nil"/>
            </w:tcBorders>
            <w:shd w:val="clear" w:color="auto" w:fill="auto"/>
            <w:vAlign w:val="bottom"/>
          </w:tcPr>
          <w:p w14:paraId="7484E91A"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p>
        </w:tc>
        <w:tc>
          <w:tcPr>
            <w:tcW w:w="1276" w:type="dxa"/>
            <w:tcBorders>
              <w:top w:val="single" w:sz="12" w:space="0" w:color="auto"/>
              <w:bottom w:val="nil"/>
            </w:tcBorders>
            <w:shd w:val="clear" w:color="auto" w:fill="auto"/>
            <w:vAlign w:val="bottom"/>
          </w:tcPr>
          <w:p w14:paraId="29EF86C1"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p>
        </w:tc>
      </w:tr>
      <w:tr w:rsidR="00EB5903" w:rsidRPr="00BE2E8F" w14:paraId="7D4BAD54" w14:textId="77777777" w:rsidTr="008B4897">
        <w:tc>
          <w:tcPr>
            <w:tcW w:w="3544" w:type="dxa"/>
            <w:tcBorders>
              <w:top w:val="nil"/>
            </w:tcBorders>
            <w:shd w:val="clear" w:color="auto" w:fill="auto"/>
            <w:hideMark/>
          </w:tcPr>
          <w:p w14:paraId="65D454C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Filles/adolescentes</w:t>
            </w:r>
          </w:p>
        </w:tc>
        <w:tc>
          <w:tcPr>
            <w:tcW w:w="1275" w:type="dxa"/>
            <w:tcBorders>
              <w:top w:val="nil"/>
            </w:tcBorders>
            <w:shd w:val="clear" w:color="auto" w:fill="auto"/>
            <w:vAlign w:val="bottom"/>
            <w:hideMark/>
          </w:tcPr>
          <w:p w14:paraId="1DC4C03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70</w:t>
            </w:r>
          </w:p>
        </w:tc>
        <w:tc>
          <w:tcPr>
            <w:tcW w:w="1275" w:type="dxa"/>
            <w:tcBorders>
              <w:top w:val="nil"/>
            </w:tcBorders>
            <w:shd w:val="clear" w:color="auto" w:fill="auto"/>
            <w:vAlign w:val="bottom"/>
            <w:hideMark/>
          </w:tcPr>
          <w:p w14:paraId="200DDB3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86</w:t>
            </w:r>
          </w:p>
        </w:tc>
        <w:tc>
          <w:tcPr>
            <w:tcW w:w="1276" w:type="dxa"/>
            <w:tcBorders>
              <w:top w:val="nil"/>
            </w:tcBorders>
            <w:shd w:val="clear" w:color="auto" w:fill="auto"/>
            <w:vAlign w:val="bottom"/>
            <w:hideMark/>
          </w:tcPr>
          <w:p w14:paraId="4EA078E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78</w:t>
            </w:r>
          </w:p>
        </w:tc>
      </w:tr>
      <w:tr w:rsidR="00EB5903" w:rsidRPr="00BE2E8F" w14:paraId="36A3F40E" w14:textId="77777777" w:rsidTr="008B4897">
        <w:tc>
          <w:tcPr>
            <w:tcW w:w="3544" w:type="dxa"/>
            <w:tcBorders>
              <w:bottom w:val="nil"/>
            </w:tcBorders>
            <w:shd w:val="clear" w:color="auto" w:fill="auto"/>
            <w:hideMark/>
          </w:tcPr>
          <w:p w14:paraId="5B45672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Garçons/adolescents</w:t>
            </w:r>
          </w:p>
        </w:tc>
        <w:tc>
          <w:tcPr>
            <w:tcW w:w="1275" w:type="dxa"/>
            <w:tcBorders>
              <w:bottom w:val="nil"/>
            </w:tcBorders>
            <w:shd w:val="clear" w:color="auto" w:fill="auto"/>
            <w:vAlign w:val="bottom"/>
            <w:hideMark/>
          </w:tcPr>
          <w:p w14:paraId="1094065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111</w:t>
            </w:r>
          </w:p>
        </w:tc>
        <w:tc>
          <w:tcPr>
            <w:tcW w:w="1275" w:type="dxa"/>
            <w:tcBorders>
              <w:bottom w:val="nil"/>
            </w:tcBorders>
            <w:shd w:val="clear" w:color="auto" w:fill="auto"/>
            <w:vAlign w:val="bottom"/>
            <w:hideMark/>
          </w:tcPr>
          <w:p w14:paraId="19C3D4A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116</w:t>
            </w:r>
          </w:p>
        </w:tc>
        <w:tc>
          <w:tcPr>
            <w:tcW w:w="1276" w:type="dxa"/>
            <w:tcBorders>
              <w:bottom w:val="nil"/>
            </w:tcBorders>
            <w:shd w:val="clear" w:color="auto" w:fill="auto"/>
            <w:vAlign w:val="bottom"/>
            <w:hideMark/>
          </w:tcPr>
          <w:p w14:paraId="08C2DCF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103</w:t>
            </w:r>
          </w:p>
        </w:tc>
      </w:tr>
      <w:tr w:rsidR="00EB5903" w:rsidRPr="00BE2E8F" w14:paraId="28BEF91F" w14:textId="77777777" w:rsidTr="008B4897">
        <w:tc>
          <w:tcPr>
            <w:tcW w:w="3544" w:type="dxa"/>
            <w:tcBorders>
              <w:top w:val="nil"/>
              <w:bottom w:val="nil"/>
            </w:tcBorders>
            <w:shd w:val="clear" w:color="auto" w:fill="auto"/>
            <w:hideMark/>
          </w:tcPr>
          <w:p w14:paraId="4AD68E6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Filles/adolescentes à la peau blanche</w:t>
            </w:r>
          </w:p>
        </w:tc>
        <w:tc>
          <w:tcPr>
            <w:tcW w:w="1275" w:type="dxa"/>
            <w:tcBorders>
              <w:top w:val="nil"/>
              <w:bottom w:val="nil"/>
            </w:tcBorders>
            <w:shd w:val="clear" w:color="auto" w:fill="auto"/>
            <w:vAlign w:val="bottom"/>
            <w:hideMark/>
          </w:tcPr>
          <w:p w14:paraId="2421228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26</w:t>
            </w:r>
          </w:p>
        </w:tc>
        <w:tc>
          <w:tcPr>
            <w:tcW w:w="1275" w:type="dxa"/>
            <w:tcBorders>
              <w:top w:val="nil"/>
              <w:bottom w:val="nil"/>
            </w:tcBorders>
            <w:shd w:val="clear" w:color="auto" w:fill="auto"/>
            <w:vAlign w:val="bottom"/>
            <w:hideMark/>
          </w:tcPr>
          <w:p w14:paraId="2635DE6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33</w:t>
            </w:r>
          </w:p>
        </w:tc>
        <w:tc>
          <w:tcPr>
            <w:tcW w:w="1276" w:type="dxa"/>
            <w:tcBorders>
              <w:top w:val="nil"/>
              <w:bottom w:val="nil"/>
            </w:tcBorders>
            <w:shd w:val="clear" w:color="auto" w:fill="auto"/>
            <w:vAlign w:val="bottom"/>
            <w:hideMark/>
          </w:tcPr>
          <w:p w14:paraId="7BA29F1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25</w:t>
            </w:r>
          </w:p>
        </w:tc>
      </w:tr>
      <w:tr w:rsidR="00EB5903" w:rsidRPr="00BE2E8F" w14:paraId="24318793" w14:textId="77777777" w:rsidTr="008B4897">
        <w:tc>
          <w:tcPr>
            <w:tcW w:w="3544" w:type="dxa"/>
            <w:tcBorders>
              <w:top w:val="nil"/>
              <w:bottom w:val="nil"/>
            </w:tcBorders>
            <w:shd w:val="clear" w:color="auto" w:fill="auto"/>
            <w:hideMark/>
          </w:tcPr>
          <w:p w14:paraId="4167EF2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Garçons/adolescents à la peau blanche</w:t>
            </w:r>
          </w:p>
        </w:tc>
        <w:tc>
          <w:tcPr>
            <w:tcW w:w="1275" w:type="dxa"/>
            <w:tcBorders>
              <w:top w:val="nil"/>
              <w:bottom w:val="nil"/>
            </w:tcBorders>
            <w:shd w:val="clear" w:color="auto" w:fill="auto"/>
            <w:vAlign w:val="bottom"/>
            <w:hideMark/>
          </w:tcPr>
          <w:p w14:paraId="4B4EA3A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42</w:t>
            </w:r>
          </w:p>
        </w:tc>
        <w:tc>
          <w:tcPr>
            <w:tcW w:w="1275" w:type="dxa"/>
            <w:tcBorders>
              <w:top w:val="nil"/>
              <w:bottom w:val="nil"/>
            </w:tcBorders>
            <w:shd w:val="clear" w:color="auto" w:fill="auto"/>
            <w:vAlign w:val="bottom"/>
            <w:hideMark/>
          </w:tcPr>
          <w:p w14:paraId="22E91A8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39</w:t>
            </w:r>
          </w:p>
        </w:tc>
        <w:tc>
          <w:tcPr>
            <w:tcW w:w="1276" w:type="dxa"/>
            <w:tcBorders>
              <w:top w:val="nil"/>
              <w:bottom w:val="nil"/>
            </w:tcBorders>
            <w:shd w:val="clear" w:color="auto" w:fill="auto"/>
            <w:vAlign w:val="bottom"/>
            <w:hideMark/>
          </w:tcPr>
          <w:p w14:paraId="63AAA2B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41</w:t>
            </w:r>
          </w:p>
        </w:tc>
      </w:tr>
      <w:tr w:rsidR="00EB5903" w:rsidRPr="00BE2E8F" w14:paraId="72C33DFE" w14:textId="77777777" w:rsidTr="008B4897">
        <w:tc>
          <w:tcPr>
            <w:tcW w:w="3544" w:type="dxa"/>
            <w:tcBorders>
              <w:top w:val="nil"/>
            </w:tcBorders>
            <w:shd w:val="clear" w:color="auto" w:fill="auto"/>
            <w:hideMark/>
          </w:tcPr>
          <w:p w14:paraId="1B2AC94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Filles/adolescentes à la peau brune</w:t>
            </w:r>
          </w:p>
        </w:tc>
        <w:tc>
          <w:tcPr>
            <w:tcW w:w="1275" w:type="dxa"/>
            <w:tcBorders>
              <w:top w:val="nil"/>
            </w:tcBorders>
            <w:shd w:val="clear" w:color="auto" w:fill="auto"/>
            <w:vAlign w:val="bottom"/>
            <w:hideMark/>
          </w:tcPr>
          <w:p w14:paraId="5377749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29</w:t>
            </w:r>
          </w:p>
        </w:tc>
        <w:tc>
          <w:tcPr>
            <w:tcW w:w="1275" w:type="dxa"/>
            <w:tcBorders>
              <w:top w:val="nil"/>
            </w:tcBorders>
            <w:shd w:val="clear" w:color="auto" w:fill="auto"/>
            <w:vAlign w:val="bottom"/>
            <w:hideMark/>
          </w:tcPr>
          <w:p w14:paraId="28C0A49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43</w:t>
            </w:r>
          </w:p>
        </w:tc>
        <w:tc>
          <w:tcPr>
            <w:tcW w:w="1276" w:type="dxa"/>
            <w:tcBorders>
              <w:top w:val="nil"/>
            </w:tcBorders>
            <w:shd w:val="clear" w:color="auto" w:fill="auto"/>
            <w:vAlign w:val="bottom"/>
            <w:hideMark/>
          </w:tcPr>
          <w:p w14:paraId="0177FA2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44</w:t>
            </w:r>
          </w:p>
        </w:tc>
      </w:tr>
      <w:tr w:rsidR="00EB5903" w:rsidRPr="00BE2E8F" w14:paraId="26C10C70" w14:textId="77777777" w:rsidTr="008B4897">
        <w:tc>
          <w:tcPr>
            <w:tcW w:w="3544" w:type="dxa"/>
            <w:tcBorders>
              <w:bottom w:val="nil"/>
            </w:tcBorders>
            <w:shd w:val="clear" w:color="auto" w:fill="auto"/>
            <w:hideMark/>
          </w:tcPr>
          <w:p w14:paraId="472E251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Garçons/adolescents à la peau brune</w:t>
            </w:r>
          </w:p>
        </w:tc>
        <w:tc>
          <w:tcPr>
            <w:tcW w:w="1275" w:type="dxa"/>
            <w:tcBorders>
              <w:bottom w:val="nil"/>
            </w:tcBorders>
            <w:shd w:val="clear" w:color="auto" w:fill="auto"/>
            <w:vAlign w:val="bottom"/>
            <w:hideMark/>
          </w:tcPr>
          <w:p w14:paraId="5051FDC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51</w:t>
            </w:r>
          </w:p>
        </w:tc>
        <w:tc>
          <w:tcPr>
            <w:tcW w:w="1275" w:type="dxa"/>
            <w:tcBorders>
              <w:bottom w:val="nil"/>
            </w:tcBorders>
            <w:shd w:val="clear" w:color="auto" w:fill="auto"/>
            <w:vAlign w:val="bottom"/>
            <w:hideMark/>
          </w:tcPr>
          <w:p w14:paraId="7481C95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56</w:t>
            </w:r>
          </w:p>
        </w:tc>
        <w:tc>
          <w:tcPr>
            <w:tcW w:w="1276" w:type="dxa"/>
            <w:tcBorders>
              <w:bottom w:val="nil"/>
            </w:tcBorders>
            <w:shd w:val="clear" w:color="auto" w:fill="auto"/>
            <w:vAlign w:val="bottom"/>
            <w:hideMark/>
          </w:tcPr>
          <w:p w14:paraId="321690E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53</w:t>
            </w:r>
          </w:p>
        </w:tc>
      </w:tr>
      <w:tr w:rsidR="00EB5903" w:rsidRPr="00BE2E8F" w14:paraId="0EAAF982" w14:textId="77777777" w:rsidTr="008B4897">
        <w:tc>
          <w:tcPr>
            <w:tcW w:w="3544" w:type="dxa"/>
            <w:tcBorders>
              <w:top w:val="nil"/>
              <w:bottom w:val="nil"/>
            </w:tcBorders>
            <w:shd w:val="clear" w:color="auto" w:fill="auto"/>
            <w:hideMark/>
          </w:tcPr>
          <w:p w14:paraId="5706F27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Filles/adolescentes à la peau noire</w:t>
            </w:r>
          </w:p>
        </w:tc>
        <w:tc>
          <w:tcPr>
            <w:tcW w:w="1275" w:type="dxa"/>
            <w:tcBorders>
              <w:top w:val="nil"/>
              <w:bottom w:val="nil"/>
            </w:tcBorders>
            <w:shd w:val="clear" w:color="auto" w:fill="auto"/>
            <w:vAlign w:val="bottom"/>
            <w:hideMark/>
          </w:tcPr>
          <w:p w14:paraId="4090878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14</w:t>
            </w:r>
          </w:p>
        </w:tc>
        <w:tc>
          <w:tcPr>
            <w:tcW w:w="1275" w:type="dxa"/>
            <w:tcBorders>
              <w:top w:val="nil"/>
              <w:bottom w:val="nil"/>
            </w:tcBorders>
            <w:shd w:val="clear" w:color="auto" w:fill="auto"/>
            <w:vAlign w:val="bottom"/>
            <w:hideMark/>
          </w:tcPr>
          <w:p w14:paraId="03AC777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w:t>
            </w:r>
          </w:p>
        </w:tc>
        <w:tc>
          <w:tcPr>
            <w:tcW w:w="1276" w:type="dxa"/>
            <w:tcBorders>
              <w:top w:val="nil"/>
              <w:bottom w:val="nil"/>
            </w:tcBorders>
            <w:shd w:val="clear" w:color="auto" w:fill="auto"/>
            <w:vAlign w:val="bottom"/>
            <w:hideMark/>
          </w:tcPr>
          <w:p w14:paraId="0A703B9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w:t>
            </w:r>
          </w:p>
        </w:tc>
      </w:tr>
      <w:tr w:rsidR="00EB5903" w:rsidRPr="00BE2E8F" w14:paraId="2A7A2C0E" w14:textId="77777777" w:rsidTr="008B4897">
        <w:tc>
          <w:tcPr>
            <w:tcW w:w="3544" w:type="dxa"/>
            <w:tcBorders>
              <w:top w:val="nil"/>
            </w:tcBorders>
            <w:shd w:val="clear" w:color="auto" w:fill="auto"/>
            <w:hideMark/>
          </w:tcPr>
          <w:p w14:paraId="5032A80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Garçons/adolescents à la peau noire</w:t>
            </w:r>
          </w:p>
        </w:tc>
        <w:tc>
          <w:tcPr>
            <w:tcW w:w="1275" w:type="dxa"/>
            <w:tcBorders>
              <w:top w:val="nil"/>
            </w:tcBorders>
            <w:shd w:val="clear" w:color="auto" w:fill="auto"/>
            <w:vAlign w:val="bottom"/>
            <w:hideMark/>
          </w:tcPr>
          <w:p w14:paraId="4265BA9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14</w:t>
            </w:r>
          </w:p>
        </w:tc>
        <w:tc>
          <w:tcPr>
            <w:tcW w:w="1275" w:type="dxa"/>
            <w:tcBorders>
              <w:top w:val="nil"/>
            </w:tcBorders>
            <w:shd w:val="clear" w:color="auto" w:fill="auto"/>
            <w:vAlign w:val="bottom"/>
            <w:hideMark/>
          </w:tcPr>
          <w:p w14:paraId="53B2F6D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w:t>
            </w:r>
          </w:p>
        </w:tc>
        <w:tc>
          <w:tcPr>
            <w:tcW w:w="1276" w:type="dxa"/>
            <w:tcBorders>
              <w:top w:val="nil"/>
            </w:tcBorders>
            <w:shd w:val="clear" w:color="auto" w:fill="auto"/>
            <w:vAlign w:val="bottom"/>
            <w:hideMark/>
          </w:tcPr>
          <w:p w14:paraId="13B539E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w:t>
            </w:r>
          </w:p>
        </w:tc>
      </w:tr>
      <w:tr w:rsidR="00EB5903" w:rsidRPr="00BE2E8F" w14:paraId="6B937723" w14:textId="77777777" w:rsidTr="008B4897">
        <w:tc>
          <w:tcPr>
            <w:tcW w:w="3544" w:type="dxa"/>
            <w:shd w:val="clear" w:color="auto" w:fill="auto"/>
            <w:hideMark/>
          </w:tcPr>
          <w:p w14:paraId="2BF8DB3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Garçons/adolescents autochtones</w:t>
            </w:r>
          </w:p>
        </w:tc>
        <w:tc>
          <w:tcPr>
            <w:tcW w:w="1275" w:type="dxa"/>
            <w:shd w:val="clear" w:color="auto" w:fill="auto"/>
            <w:vAlign w:val="bottom"/>
            <w:hideMark/>
          </w:tcPr>
          <w:p w14:paraId="04FECDC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w:t>
            </w:r>
          </w:p>
        </w:tc>
        <w:tc>
          <w:tcPr>
            <w:tcW w:w="1275" w:type="dxa"/>
            <w:shd w:val="clear" w:color="auto" w:fill="auto"/>
            <w:vAlign w:val="bottom"/>
            <w:hideMark/>
          </w:tcPr>
          <w:p w14:paraId="3E2954B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w:t>
            </w:r>
          </w:p>
        </w:tc>
        <w:tc>
          <w:tcPr>
            <w:tcW w:w="1276" w:type="dxa"/>
            <w:shd w:val="clear" w:color="auto" w:fill="auto"/>
            <w:vAlign w:val="bottom"/>
            <w:hideMark/>
          </w:tcPr>
          <w:p w14:paraId="52A3A8E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w:t>
            </w:r>
          </w:p>
        </w:tc>
      </w:tr>
      <w:tr w:rsidR="00EB5903" w:rsidRPr="00BE2E8F" w14:paraId="5BF3F591" w14:textId="77777777" w:rsidTr="008B4897">
        <w:tc>
          <w:tcPr>
            <w:tcW w:w="3544" w:type="dxa"/>
            <w:shd w:val="clear" w:color="auto" w:fill="auto"/>
            <w:hideMark/>
          </w:tcPr>
          <w:p w14:paraId="134E760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Filles/adolescentes autochtones</w:t>
            </w:r>
          </w:p>
        </w:tc>
        <w:tc>
          <w:tcPr>
            <w:tcW w:w="1275" w:type="dxa"/>
            <w:shd w:val="clear" w:color="auto" w:fill="auto"/>
            <w:vAlign w:val="bottom"/>
            <w:hideMark/>
          </w:tcPr>
          <w:p w14:paraId="441284D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0</w:t>
            </w:r>
          </w:p>
        </w:tc>
        <w:tc>
          <w:tcPr>
            <w:tcW w:w="1275" w:type="dxa"/>
            <w:shd w:val="clear" w:color="auto" w:fill="auto"/>
            <w:vAlign w:val="bottom"/>
            <w:hideMark/>
          </w:tcPr>
          <w:p w14:paraId="157F22F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0</w:t>
            </w:r>
          </w:p>
        </w:tc>
        <w:tc>
          <w:tcPr>
            <w:tcW w:w="1276" w:type="dxa"/>
            <w:shd w:val="clear" w:color="auto" w:fill="auto"/>
            <w:vAlign w:val="bottom"/>
            <w:hideMark/>
          </w:tcPr>
          <w:p w14:paraId="496C548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0</w:t>
            </w:r>
          </w:p>
        </w:tc>
      </w:tr>
    </w:tbl>
    <w:p w14:paraId="3920A7CC" w14:textId="34D6CD34" w:rsidR="00EB5903" w:rsidRPr="00BE2E8F" w:rsidRDefault="00EB5903" w:rsidP="008E4BE9">
      <w:pPr>
        <w:pStyle w:val="SingleTxtG"/>
        <w:spacing w:before="120" w:after="0"/>
        <w:ind w:firstLine="170"/>
        <w:jc w:val="left"/>
        <w:rPr>
          <w:sz w:val="18"/>
        </w:rPr>
      </w:pPr>
      <w:r>
        <w:rPr>
          <w:i/>
          <w:sz w:val="18"/>
        </w:rPr>
        <w:t>Source </w:t>
      </w:r>
      <w:r>
        <w:rPr>
          <w:sz w:val="18"/>
        </w:rPr>
        <w:t>: Système national d’adoption et de placement (SNA)</w:t>
      </w:r>
      <w:r w:rsidR="008E4BE9">
        <w:rPr>
          <w:sz w:val="18"/>
        </w:rPr>
        <w:t>.</w:t>
      </w:r>
    </w:p>
    <w:p w14:paraId="34D21B12" w14:textId="77777777" w:rsidR="00EB5903" w:rsidRPr="00BE2E8F" w:rsidRDefault="00EB5903" w:rsidP="00EB5903">
      <w:pPr>
        <w:pStyle w:val="H1G"/>
      </w:pPr>
      <w:r>
        <w:tab/>
      </w:r>
      <w:r>
        <w:tab/>
        <w:t xml:space="preserve">Réponse au paragraphe 18 a) de la liste de points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701"/>
        <w:gridCol w:w="1747"/>
        <w:gridCol w:w="1458"/>
        <w:gridCol w:w="1471"/>
      </w:tblGrid>
      <w:tr w:rsidR="00EB5903" w:rsidRPr="00BE2E8F" w14:paraId="7927B8A6" w14:textId="77777777" w:rsidTr="008E4BE9">
        <w:trPr>
          <w:tblHeader/>
        </w:trPr>
        <w:tc>
          <w:tcPr>
            <w:tcW w:w="7370" w:type="dxa"/>
            <w:gridSpan w:val="5"/>
            <w:tcBorders>
              <w:top w:val="single" w:sz="4" w:space="0" w:color="auto"/>
              <w:bottom w:val="single" w:sz="4" w:space="0" w:color="auto"/>
            </w:tcBorders>
            <w:shd w:val="clear" w:color="auto" w:fill="auto"/>
            <w:vAlign w:val="bottom"/>
          </w:tcPr>
          <w:p w14:paraId="7B6552D5"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Pourcentage d’enfants handicapés habitant avec leur famille, par unité fédérative</w:t>
            </w:r>
          </w:p>
        </w:tc>
      </w:tr>
      <w:tr w:rsidR="00EB5903" w:rsidRPr="00BE2E8F" w14:paraId="0C6B8351" w14:textId="77777777" w:rsidTr="008E4BE9">
        <w:trPr>
          <w:tblHeader/>
        </w:trPr>
        <w:tc>
          <w:tcPr>
            <w:tcW w:w="2694" w:type="dxa"/>
            <w:gridSpan w:val="2"/>
            <w:tcBorders>
              <w:top w:val="single" w:sz="4" w:space="0" w:color="auto"/>
              <w:bottom w:val="single" w:sz="12" w:space="0" w:color="auto"/>
            </w:tcBorders>
            <w:shd w:val="clear" w:color="auto" w:fill="auto"/>
            <w:vAlign w:val="bottom"/>
            <w:hideMark/>
          </w:tcPr>
          <w:p w14:paraId="03E3C18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 </w:t>
            </w:r>
          </w:p>
        </w:tc>
        <w:tc>
          <w:tcPr>
            <w:tcW w:w="1747" w:type="dxa"/>
            <w:tcBorders>
              <w:top w:val="single" w:sz="4" w:space="0" w:color="auto"/>
              <w:bottom w:val="single" w:sz="12" w:space="0" w:color="auto"/>
            </w:tcBorders>
            <w:shd w:val="clear" w:color="auto" w:fill="auto"/>
            <w:vAlign w:val="bottom"/>
            <w:hideMark/>
          </w:tcPr>
          <w:p w14:paraId="53831574" w14:textId="25189FA5" w:rsidR="00EB5903" w:rsidRPr="00BE2E8F" w:rsidRDefault="00EB5903" w:rsidP="008E4BE9">
            <w:pPr>
              <w:pStyle w:val="SingleTxtG"/>
              <w:tabs>
                <w:tab w:val="clear" w:pos="1701"/>
                <w:tab w:val="clear" w:pos="2268"/>
              </w:tabs>
              <w:suppressAutoHyphens w:val="0"/>
              <w:spacing w:before="40" w:after="40" w:line="220" w:lineRule="exact"/>
              <w:ind w:left="0" w:right="0"/>
              <w:jc w:val="right"/>
              <w:rPr>
                <w:i/>
                <w:sz w:val="16"/>
              </w:rPr>
            </w:pPr>
            <w:r>
              <w:rPr>
                <w:i/>
                <w:sz w:val="16"/>
              </w:rPr>
              <w:t xml:space="preserve">Nombre total d’enfants handicapés habitant </w:t>
            </w:r>
            <w:r w:rsidR="008E4BE9">
              <w:rPr>
                <w:i/>
                <w:sz w:val="16"/>
              </w:rPr>
              <w:br/>
            </w:r>
            <w:r>
              <w:rPr>
                <w:i/>
                <w:sz w:val="16"/>
              </w:rPr>
              <w:t>avec leur famille</w:t>
            </w:r>
          </w:p>
        </w:tc>
        <w:tc>
          <w:tcPr>
            <w:tcW w:w="1458" w:type="dxa"/>
            <w:tcBorders>
              <w:top w:val="single" w:sz="4" w:space="0" w:color="auto"/>
              <w:bottom w:val="single" w:sz="12" w:space="0" w:color="auto"/>
            </w:tcBorders>
            <w:shd w:val="clear" w:color="auto" w:fill="auto"/>
            <w:vAlign w:val="bottom"/>
            <w:hideMark/>
          </w:tcPr>
          <w:p w14:paraId="66DAE7B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i/>
                <w:sz w:val="16"/>
              </w:rPr>
            </w:pPr>
            <w:r>
              <w:rPr>
                <w:i/>
                <w:sz w:val="16"/>
              </w:rPr>
              <w:t>Nombre total d’enfants handicapés</w:t>
            </w:r>
          </w:p>
        </w:tc>
        <w:tc>
          <w:tcPr>
            <w:tcW w:w="1471" w:type="dxa"/>
            <w:tcBorders>
              <w:top w:val="single" w:sz="4" w:space="0" w:color="auto"/>
              <w:bottom w:val="single" w:sz="12" w:space="0" w:color="auto"/>
            </w:tcBorders>
            <w:shd w:val="clear" w:color="auto" w:fill="auto"/>
            <w:vAlign w:val="bottom"/>
            <w:hideMark/>
          </w:tcPr>
          <w:p w14:paraId="76F7685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i/>
                <w:sz w:val="16"/>
              </w:rPr>
            </w:pPr>
            <w:r>
              <w:rPr>
                <w:i/>
                <w:sz w:val="16"/>
              </w:rPr>
              <w:t>Pourcentage d’enfants handicapés habitant avec leur famille</w:t>
            </w:r>
          </w:p>
        </w:tc>
      </w:tr>
      <w:tr w:rsidR="00EB5903" w:rsidRPr="00BE2E8F" w14:paraId="1E041F85" w14:textId="77777777" w:rsidTr="008B4897">
        <w:tc>
          <w:tcPr>
            <w:tcW w:w="993" w:type="dxa"/>
            <w:vMerge w:val="restart"/>
            <w:tcBorders>
              <w:top w:val="single" w:sz="12" w:space="0" w:color="auto"/>
            </w:tcBorders>
            <w:shd w:val="clear" w:color="auto" w:fill="auto"/>
            <w:hideMark/>
          </w:tcPr>
          <w:p w14:paraId="1399718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Unité fédérative</w:t>
            </w:r>
          </w:p>
        </w:tc>
        <w:tc>
          <w:tcPr>
            <w:tcW w:w="1701" w:type="dxa"/>
            <w:tcBorders>
              <w:top w:val="single" w:sz="12" w:space="0" w:color="auto"/>
            </w:tcBorders>
            <w:shd w:val="clear" w:color="auto" w:fill="auto"/>
            <w:hideMark/>
          </w:tcPr>
          <w:p w14:paraId="00A4026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Rondônia </w:t>
            </w:r>
          </w:p>
        </w:tc>
        <w:tc>
          <w:tcPr>
            <w:tcW w:w="1747" w:type="dxa"/>
            <w:tcBorders>
              <w:top w:val="single" w:sz="12" w:space="0" w:color="auto"/>
            </w:tcBorders>
            <w:shd w:val="clear" w:color="auto" w:fill="auto"/>
            <w:hideMark/>
          </w:tcPr>
          <w:p w14:paraId="2EFC3D0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10 059</w:t>
            </w:r>
          </w:p>
        </w:tc>
        <w:tc>
          <w:tcPr>
            <w:tcW w:w="1458" w:type="dxa"/>
            <w:tcBorders>
              <w:top w:val="single" w:sz="12" w:space="0" w:color="auto"/>
            </w:tcBorders>
            <w:shd w:val="clear" w:color="auto" w:fill="auto"/>
            <w:hideMark/>
          </w:tcPr>
          <w:p w14:paraId="1DBCE2D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10 544</w:t>
            </w:r>
          </w:p>
        </w:tc>
        <w:tc>
          <w:tcPr>
            <w:tcW w:w="1471" w:type="dxa"/>
            <w:tcBorders>
              <w:top w:val="single" w:sz="12" w:space="0" w:color="auto"/>
            </w:tcBorders>
            <w:shd w:val="clear" w:color="auto" w:fill="auto"/>
            <w:hideMark/>
          </w:tcPr>
          <w:p w14:paraId="7257668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95 %</w:t>
            </w:r>
          </w:p>
        </w:tc>
      </w:tr>
      <w:tr w:rsidR="00EB5903" w:rsidRPr="00BE2E8F" w14:paraId="6533FB1D" w14:textId="77777777" w:rsidTr="008B4897">
        <w:tc>
          <w:tcPr>
            <w:tcW w:w="993" w:type="dxa"/>
            <w:vMerge/>
            <w:shd w:val="clear" w:color="auto" w:fill="auto"/>
            <w:hideMark/>
          </w:tcPr>
          <w:p w14:paraId="1F39F97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0E246DB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Acre </w:t>
            </w:r>
          </w:p>
        </w:tc>
        <w:tc>
          <w:tcPr>
            <w:tcW w:w="1747" w:type="dxa"/>
            <w:shd w:val="clear" w:color="auto" w:fill="auto"/>
            <w:hideMark/>
          </w:tcPr>
          <w:p w14:paraId="2692391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7 542</w:t>
            </w:r>
          </w:p>
        </w:tc>
        <w:tc>
          <w:tcPr>
            <w:tcW w:w="1458" w:type="dxa"/>
            <w:shd w:val="clear" w:color="auto" w:fill="auto"/>
            <w:hideMark/>
          </w:tcPr>
          <w:p w14:paraId="52A4C38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7 542</w:t>
            </w:r>
          </w:p>
        </w:tc>
        <w:tc>
          <w:tcPr>
            <w:tcW w:w="1471" w:type="dxa"/>
            <w:shd w:val="clear" w:color="auto" w:fill="auto"/>
            <w:hideMark/>
          </w:tcPr>
          <w:p w14:paraId="15EDF74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468DF142" w14:textId="77777777" w:rsidTr="008B4897">
        <w:tc>
          <w:tcPr>
            <w:tcW w:w="993" w:type="dxa"/>
            <w:vMerge/>
            <w:shd w:val="clear" w:color="auto" w:fill="auto"/>
            <w:hideMark/>
          </w:tcPr>
          <w:p w14:paraId="16357AB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1CB105D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Amazonas </w:t>
            </w:r>
          </w:p>
        </w:tc>
        <w:tc>
          <w:tcPr>
            <w:tcW w:w="1747" w:type="dxa"/>
            <w:shd w:val="clear" w:color="auto" w:fill="auto"/>
            <w:hideMark/>
          </w:tcPr>
          <w:p w14:paraId="4E39B04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24 013</w:t>
            </w:r>
          </w:p>
        </w:tc>
        <w:tc>
          <w:tcPr>
            <w:tcW w:w="1458" w:type="dxa"/>
            <w:shd w:val="clear" w:color="auto" w:fill="auto"/>
            <w:hideMark/>
          </w:tcPr>
          <w:p w14:paraId="162D070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24 013</w:t>
            </w:r>
          </w:p>
        </w:tc>
        <w:tc>
          <w:tcPr>
            <w:tcW w:w="1471" w:type="dxa"/>
            <w:shd w:val="clear" w:color="auto" w:fill="auto"/>
            <w:hideMark/>
          </w:tcPr>
          <w:p w14:paraId="5872C8C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669FE376" w14:textId="77777777" w:rsidTr="008B4897">
        <w:tc>
          <w:tcPr>
            <w:tcW w:w="993" w:type="dxa"/>
            <w:vMerge/>
            <w:shd w:val="clear" w:color="auto" w:fill="auto"/>
            <w:hideMark/>
          </w:tcPr>
          <w:p w14:paraId="4E6D3ED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50101A4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Roraima </w:t>
            </w:r>
          </w:p>
        </w:tc>
        <w:tc>
          <w:tcPr>
            <w:tcW w:w="1747" w:type="dxa"/>
            <w:shd w:val="clear" w:color="auto" w:fill="auto"/>
            <w:hideMark/>
          </w:tcPr>
          <w:p w14:paraId="14CD697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4 834</w:t>
            </w:r>
          </w:p>
        </w:tc>
        <w:tc>
          <w:tcPr>
            <w:tcW w:w="1458" w:type="dxa"/>
            <w:shd w:val="clear" w:color="auto" w:fill="auto"/>
            <w:hideMark/>
          </w:tcPr>
          <w:p w14:paraId="2753D93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5 055</w:t>
            </w:r>
          </w:p>
        </w:tc>
        <w:tc>
          <w:tcPr>
            <w:tcW w:w="1471" w:type="dxa"/>
            <w:shd w:val="clear" w:color="auto" w:fill="auto"/>
            <w:hideMark/>
          </w:tcPr>
          <w:p w14:paraId="56C1DF4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96 %</w:t>
            </w:r>
          </w:p>
        </w:tc>
      </w:tr>
      <w:tr w:rsidR="00EB5903" w:rsidRPr="00BE2E8F" w14:paraId="4C44ADAF" w14:textId="77777777" w:rsidTr="008B4897">
        <w:tc>
          <w:tcPr>
            <w:tcW w:w="993" w:type="dxa"/>
            <w:vMerge/>
            <w:shd w:val="clear" w:color="auto" w:fill="auto"/>
            <w:hideMark/>
          </w:tcPr>
          <w:p w14:paraId="1EE60DF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7AB1BBD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Pará </w:t>
            </w:r>
          </w:p>
        </w:tc>
        <w:tc>
          <w:tcPr>
            <w:tcW w:w="1747" w:type="dxa"/>
            <w:shd w:val="clear" w:color="auto" w:fill="auto"/>
            <w:hideMark/>
          </w:tcPr>
          <w:p w14:paraId="0F808A3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87 819</w:t>
            </w:r>
          </w:p>
        </w:tc>
        <w:tc>
          <w:tcPr>
            <w:tcW w:w="1458" w:type="dxa"/>
            <w:shd w:val="clear" w:color="auto" w:fill="auto"/>
            <w:hideMark/>
          </w:tcPr>
          <w:p w14:paraId="514328B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88 006</w:t>
            </w:r>
          </w:p>
        </w:tc>
        <w:tc>
          <w:tcPr>
            <w:tcW w:w="1471" w:type="dxa"/>
            <w:shd w:val="clear" w:color="auto" w:fill="auto"/>
            <w:hideMark/>
          </w:tcPr>
          <w:p w14:paraId="187E9C7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44180DEA" w14:textId="77777777" w:rsidTr="008B4897">
        <w:tc>
          <w:tcPr>
            <w:tcW w:w="993" w:type="dxa"/>
            <w:vMerge/>
            <w:shd w:val="clear" w:color="auto" w:fill="auto"/>
            <w:hideMark/>
          </w:tcPr>
          <w:p w14:paraId="01C7FE7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707A310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Amapá </w:t>
            </w:r>
          </w:p>
        </w:tc>
        <w:tc>
          <w:tcPr>
            <w:tcW w:w="1747" w:type="dxa"/>
            <w:shd w:val="clear" w:color="auto" w:fill="auto"/>
            <w:hideMark/>
          </w:tcPr>
          <w:p w14:paraId="1AB71DC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4 818</w:t>
            </w:r>
          </w:p>
        </w:tc>
        <w:tc>
          <w:tcPr>
            <w:tcW w:w="1458" w:type="dxa"/>
            <w:shd w:val="clear" w:color="auto" w:fill="auto"/>
            <w:hideMark/>
          </w:tcPr>
          <w:p w14:paraId="7DFD419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4 818</w:t>
            </w:r>
          </w:p>
        </w:tc>
        <w:tc>
          <w:tcPr>
            <w:tcW w:w="1471" w:type="dxa"/>
            <w:shd w:val="clear" w:color="auto" w:fill="auto"/>
            <w:hideMark/>
          </w:tcPr>
          <w:p w14:paraId="77CB0F5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3B99C6C5" w14:textId="77777777" w:rsidTr="008B4897">
        <w:tc>
          <w:tcPr>
            <w:tcW w:w="993" w:type="dxa"/>
            <w:vMerge/>
            <w:shd w:val="clear" w:color="auto" w:fill="auto"/>
            <w:hideMark/>
          </w:tcPr>
          <w:p w14:paraId="69DAA25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0393101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Tocantins </w:t>
            </w:r>
          </w:p>
        </w:tc>
        <w:tc>
          <w:tcPr>
            <w:tcW w:w="1747" w:type="dxa"/>
            <w:shd w:val="clear" w:color="auto" w:fill="auto"/>
            <w:hideMark/>
          </w:tcPr>
          <w:p w14:paraId="3BDD217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8 828</w:t>
            </w:r>
          </w:p>
        </w:tc>
        <w:tc>
          <w:tcPr>
            <w:tcW w:w="1458" w:type="dxa"/>
            <w:shd w:val="clear" w:color="auto" w:fill="auto"/>
            <w:hideMark/>
          </w:tcPr>
          <w:p w14:paraId="2D58B2C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8 958</w:t>
            </w:r>
          </w:p>
        </w:tc>
        <w:tc>
          <w:tcPr>
            <w:tcW w:w="1471" w:type="dxa"/>
            <w:shd w:val="clear" w:color="auto" w:fill="auto"/>
            <w:hideMark/>
          </w:tcPr>
          <w:p w14:paraId="3ECF8E7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99 %</w:t>
            </w:r>
          </w:p>
        </w:tc>
      </w:tr>
      <w:tr w:rsidR="00EB5903" w:rsidRPr="00BE2E8F" w14:paraId="7D92B25D" w14:textId="77777777" w:rsidTr="008B4897">
        <w:tc>
          <w:tcPr>
            <w:tcW w:w="993" w:type="dxa"/>
            <w:vMerge/>
            <w:shd w:val="clear" w:color="auto" w:fill="auto"/>
            <w:hideMark/>
          </w:tcPr>
          <w:p w14:paraId="156B555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51B612B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Maranhão </w:t>
            </w:r>
          </w:p>
        </w:tc>
        <w:tc>
          <w:tcPr>
            <w:tcW w:w="1747" w:type="dxa"/>
            <w:shd w:val="clear" w:color="auto" w:fill="auto"/>
            <w:hideMark/>
          </w:tcPr>
          <w:p w14:paraId="50F9F3F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67 280</w:t>
            </w:r>
          </w:p>
        </w:tc>
        <w:tc>
          <w:tcPr>
            <w:tcW w:w="1458" w:type="dxa"/>
            <w:shd w:val="clear" w:color="auto" w:fill="auto"/>
            <w:hideMark/>
          </w:tcPr>
          <w:p w14:paraId="2010342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68 171</w:t>
            </w:r>
          </w:p>
        </w:tc>
        <w:tc>
          <w:tcPr>
            <w:tcW w:w="1471" w:type="dxa"/>
            <w:shd w:val="clear" w:color="auto" w:fill="auto"/>
            <w:hideMark/>
          </w:tcPr>
          <w:p w14:paraId="28AC85B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99 %</w:t>
            </w:r>
          </w:p>
        </w:tc>
      </w:tr>
      <w:tr w:rsidR="00EB5903" w:rsidRPr="00BE2E8F" w14:paraId="19E08E96" w14:textId="77777777" w:rsidTr="008B4897">
        <w:tc>
          <w:tcPr>
            <w:tcW w:w="993" w:type="dxa"/>
            <w:vMerge/>
            <w:shd w:val="clear" w:color="auto" w:fill="auto"/>
            <w:hideMark/>
          </w:tcPr>
          <w:p w14:paraId="7FD1A7C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291E38D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Piauí </w:t>
            </w:r>
          </w:p>
        </w:tc>
        <w:tc>
          <w:tcPr>
            <w:tcW w:w="1747" w:type="dxa"/>
            <w:shd w:val="clear" w:color="auto" w:fill="auto"/>
            <w:hideMark/>
          </w:tcPr>
          <w:p w14:paraId="0778395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27 081</w:t>
            </w:r>
          </w:p>
        </w:tc>
        <w:tc>
          <w:tcPr>
            <w:tcW w:w="1458" w:type="dxa"/>
            <w:shd w:val="clear" w:color="auto" w:fill="auto"/>
            <w:hideMark/>
          </w:tcPr>
          <w:p w14:paraId="2A3CD49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27 081</w:t>
            </w:r>
          </w:p>
        </w:tc>
        <w:tc>
          <w:tcPr>
            <w:tcW w:w="1471" w:type="dxa"/>
            <w:shd w:val="clear" w:color="auto" w:fill="auto"/>
            <w:hideMark/>
          </w:tcPr>
          <w:p w14:paraId="7AB5573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57CDA3C6" w14:textId="77777777" w:rsidTr="008B4897">
        <w:tc>
          <w:tcPr>
            <w:tcW w:w="993" w:type="dxa"/>
            <w:vMerge/>
            <w:shd w:val="clear" w:color="auto" w:fill="auto"/>
            <w:hideMark/>
          </w:tcPr>
          <w:p w14:paraId="56CAD8A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3EE62F1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Ceará </w:t>
            </w:r>
          </w:p>
        </w:tc>
        <w:tc>
          <w:tcPr>
            <w:tcW w:w="1747" w:type="dxa"/>
            <w:shd w:val="clear" w:color="auto" w:fill="auto"/>
            <w:hideMark/>
          </w:tcPr>
          <w:p w14:paraId="1FA8AC6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88 469</w:t>
            </w:r>
          </w:p>
        </w:tc>
        <w:tc>
          <w:tcPr>
            <w:tcW w:w="1458" w:type="dxa"/>
            <w:shd w:val="clear" w:color="auto" w:fill="auto"/>
            <w:hideMark/>
          </w:tcPr>
          <w:p w14:paraId="24EB476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89 032</w:t>
            </w:r>
          </w:p>
        </w:tc>
        <w:tc>
          <w:tcPr>
            <w:tcW w:w="1471" w:type="dxa"/>
            <w:shd w:val="clear" w:color="auto" w:fill="auto"/>
            <w:hideMark/>
          </w:tcPr>
          <w:p w14:paraId="711F460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99 %</w:t>
            </w:r>
          </w:p>
        </w:tc>
      </w:tr>
      <w:tr w:rsidR="00EB5903" w:rsidRPr="00BE2E8F" w14:paraId="2D323F93" w14:textId="77777777" w:rsidTr="008B4897">
        <w:tc>
          <w:tcPr>
            <w:tcW w:w="993" w:type="dxa"/>
            <w:vMerge/>
            <w:shd w:val="clear" w:color="auto" w:fill="auto"/>
            <w:hideMark/>
          </w:tcPr>
          <w:p w14:paraId="0710D64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2BF7F74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Grande do Norte </w:t>
            </w:r>
          </w:p>
        </w:tc>
        <w:tc>
          <w:tcPr>
            <w:tcW w:w="1747" w:type="dxa"/>
            <w:shd w:val="clear" w:color="auto" w:fill="auto"/>
            <w:hideMark/>
          </w:tcPr>
          <w:p w14:paraId="62D5D76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29 043</w:t>
            </w:r>
          </w:p>
        </w:tc>
        <w:tc>
          <w:tcPr>
            <w:tcW w:w="1458" w:type="dxa"/>
            <w:shd w:val="clear" w:color="auto" w:fill="auto"/>
            <w:hideMark/>
          </w:tcPr>
          <w:p w14:paraId="40B4586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29 043</w:t>
            </w:r>
          </w:p>
        </w:tc>
        <w:tc>
          <w:tcPr>
            <w:tcW w:w="1471" w:type="dxa"/>
            <w:shd w:val="clear" w:color="auto" w:fill="auto"/>
            <w:hideMark/>
          </w:tcPr>
          <w:p w14:paraId="61AFB7F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4C5B6AB2" w14:textId="77777777" w:rsidTr="008B4897">
        <w:tc>
          <w:tcPr>
            <w:tcW w:w="993" w:type="dxa"/>
            <w:vMerge/>
            <w:shd w:val="clear" w:color="auto" w:fill="auto"/>
            <w:hideMark/>
          </w:tcPr>
          <w:p w14:paraId="7BBDBBF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38E21E6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Paraíba </w:t>
            </w:r>
          </w:p>
        </w:tc>
        <w:tc>
          <w:tcPr>
            <w:tcW w:w="1747" w:type="dxa"/>
            <w:shd w:val="clear" w:color="auto" w:fill="auto"/>
            <w:hideMark/>
          </w:tcPr>
          <w:p w14:paraId="55B5E79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36 028</w:t>
            </w:r>
          </w:p>
        </w:tc>
        <w:tc>
          <w:tcPr>
            <w:tcW w:w="1458" w:type="dxa"/>
            <w:shd w:val="clear" w:color="auto" w:fill="auto"/>
            <w:hideMark/>
          </w:tcPr>
          <w:p w14:paraId="3E820A8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36 530</w:t>
            </w:r>
          </w:p>
        </w:tc>
        <w:tc>
          <w:tcPr>
            <w:tcW w:w="1471" w:type="dxa"/>
            <w:shd w:val="clear" w:color="auto" w:fill="auto"/>
            <w:hideMark/>
          </w:tcPr>
          <w:p w14:paraId="1DD9ECB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99 %</w:t>
            </w:r>
          </w:p>
        </w:tc>
      </w:tr>
      <w:tr w:rsidR="00EB5903" w:rsidRPr="00BE2E8F" w14:paraId="5B1C7969" w14:textId="77777777" w:rsidTr="008B4897">
        <w:tc>
          <w:tcPr>
            <w:tcW w:w="993" w:type="dxa"/>
            <w:vMerge/>
            <w:shd w:val="clear" w:color="auto" w:fill="auto"/>
            <w:hideMark/>
          </w:tcPr>
          <w:p w14:paraId="6A19014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5C541AF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Pernambuco </w:t>
            </w:r>
          </w:p>
        </w:tc>
        <w:tc>
          <w:tcPr>
            <w:tcW w:w="1747" w:type="dxa"/>
            <w:shd w:val="clear" w:color="auto" w:fill="auto"/>
            <w:hideMark/>
          </w:tcPr>
          <w:p w14:paraId="219AC1A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76 100</w:t>
            </w:r>
          </w:p>
        </w:tc>
        <w:tc>
          <w:tcPr>
            <w:tcW w:w="1458" w:type="dxa"/>
            <w:shd w:val="clear" w:color="auto" w:fill="auto"/>
            <w:hideMark/>
          </w:tcPr>
          <w:p w14:paraId="49041AA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76 458</w:t>
            </w:r>
          </w:p>
        </w:tc>
        <w:tc>
          <w:tcPr>
            <w:tcW w:w="1471" w:type="dxa"/>
            <w:shd w:val="clear" w:color="auto" w:fill="auto"/>
            <w:hideMark/>
          </w:tcPr>
          <w:p w14:paraId="3D7F639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1CCE128A" w14:textId="77777777" w:rsidTr="008B4897">
        <w:tc>
          <w:tcPr>
            <w:tcW w:w="993" w:type="dxa"/>
            <w:vMerge/>
            <w:shd w:val="clear" w:color="auto" w:fill="auto"/>
            <w:hideMark/>
          </w:tcPr>
          <w:p w14:paraId="6E6A9E0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0B3CD66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Alagoas </w:t>
            </w:r>
          </w:p>
        </w:tc>
        <w:tc>
          <w:tcPr>
            <w:tcW w:w="1747" w:type="dxa"/>
            <w:shd w:val="clear" w:color="auto" w:fill="auto"/>
            <w:hideMark/>
          </w:tcPr>
          <w:p w14:paraId="37F8C8F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38 116</w:t>
            </w:r>
          </w:p>
        </w:tc>
        <w:tc>
          <w:tcPr>
            <w:tcW w:w="1458" w:type="dxa"/>
            <w:shd w:val="clear" w:color="auto" w:fill="auto"/>
            <w:hideMark/>
          </w:tcPr>
          <w:p w14:paraId="5E42660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38 638</w:t>
            </w:r>
          </w:p>
        </w:tc>
        <w:tc>
          <w:tcPr>
            <w:tcW w:w="1471" w:type="dxa"/>
            <w:shd w:val="clear" w:color="auto" w:fill="auto"/>
            <w:hideMark/>
          </w:tcPr>
          <w:p w14:paraId="3450DA2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99 %</w:t>
            </w:r>
          </w:p>
        </w:tc>
      </w:tr>
      <w:tr w:rsidR="00EB5903" w:rsidRPr="00BE2E8F" w14:paraId="63900C5B" w14:textId="77777777" w:rsidTr="008B4897">
        <w:tc>
          <w:tcPr>
            <w:tcW w:w="993" w:type="dxa"/>
            <w:vMerge/>
            <w:shd w:val="clear" w:color="auto" w:fill="auto"/>
            <w:hideMark/>
          </w:tcPr>
          <w:p w14:paraId="28AA021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1D1EEA8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Sergipe </w:t>
            </w:r>
          </w:p>
        </w:tc>
        <w:tc>
          <w:tcPr>
            <w:tcW w:w="1747" w:type="dxa"/>
            <w:shd w:val="clear" w:color="auto" w:fill="auto"/>
            <w:hideMark/>
          </w:tcPr>
          <w:p w14:paraId="4618CD8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27 503</w:t>
            </w:r>
          </w:p>
        </w:tc>
        <w:tc>
          <w:tcPr>
            <w:tcW w:w="1458" w:type="dxa"/>
            <w:shd w:val="clear" w:color="auto" w:fill="auto"/>
            <w:hideMark/>
          </w:tcPr>
          <w:p w14:paraId="4092B27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27 846</w:t>
            </w:r>
          </w:p>
        </w:tc>
        <w:tc>
          <w:tcPr>
            <w:tcW w:w="1471" w:type="dxa"/>
            <w:shd w:val="clear" w:color="auto" w:fill="auto"/>
            <w:hideMark/>
          </w:tcPr>
          <w:p w14:paraId="56D5CFC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99 %</w:t>
            </w:r>
          </w:p>
        </w:tc>
      </w:tr>
      <w:tr w:rsidR="00EB5903" w:rsidRPr="00BE2E8F" w14:paraId="2BEB0015" w14:textId="77777777" w:rsidTr="008B4897">
        <w:tc>
          <w:tcPr>
            <w:tcW w:w="993" w:type="dxa"/>
            <w:vMerge/>
            <w:shd w:val="clear" w:color="auto" w:fill="auto"/>
            <w:hideMark/>
          </w:tcPr>
          <w:p w14:paraId="2836F8D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5FF44A2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Bahia </w:t>
            </w:r>
          </w:p>
        </w:tc>
        <w:tc>
          <w:tcPr>
            <w:tcW w:w="1747" w:type="dxa"/>
            <w:shd w:val="clear" w:color="auto" w:fill="auto"/>
            <w:hideMark/>
          </w:tcPr>
          <w:p w14:paraId="39CCDCE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120 328</w:t>
            </w:r>
          </w:p>
        </w:tc>
        <w:tc>
          <w:tcPr>
            <w:tcW w:w="1458" w:type="dxa"/>
            <w:shd w:val="clear" w:color="auto" w:fill="auto"/>
            <w:hideMark/>
          </w:tcPr>
          <w:p w14:paraId="03429E7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120 328</w:t>
            </w:r>
          </w:p>
        </w:tc>
        <w:tc>
          <w:tcPr>
            <w:tcW w:w="1471" w:type="dxa"/>
            <w:shd w:val="clear" w:color="auto" w:fill="auto"/>
            <w:hideMark/>
          </w:tcPr>
          <w:p w14:paraId="2DC64FA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46813C3B" w14:textId="77777777" w:rsidTr="008B4897">
        <w:tc>
          <w:tcPr>
            <w:tcW w:w="993" w:type="dxa"/>
            <w:vMerge/>
            <w:shd w:val="clear" w:color="auto" w:fill="auto"/>
            <w:hideMark/>
          </w:tcPr>
          <w:p w14:paraId="716EEF8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47E72BD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Minas Gerais </w:t>
            </w:r>
          </w:p>
        </w:tc>
        <w:tc>
          <w:tcPr>
            <w:tcW w:w="1747" w:type="dxa"/>
            <w:shd w:val="clear" w:color="auto" w:fill="auto"/>
            <w:hideMark/>
          </w:tcPr>
          <w:p w14:paraId="0A889F7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146 760</w:t>
            </w:r>
          </w:p>
        </w:tc>
        <w:tc>
          <w:tcPr>
            <w:tcW w:w="1458" w:type="dxa"/>
            <w:shd w:val="clear" w:color="auto" w:fill="auto"/>
            <w:hideMark/>
          </w:tcPr>
          <w:p w14:paraId="365A1DA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148 697</w:t>
            </w:r>
          </w:p>
        </w:tc>
        <w:tc>
          <w:tcPr>
            <w:tcW w:w="1471" w:type="dxa"/>
            <w:shd w:val="clear" w:color="auto" w:fill="auto"/>
            <w:hideMark/>
          </w:tcPr>
          <w:p w14:paraId="3A2F5FF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99 %</w:t>
            </w:r>
          </w:p>
        </w:tc>
      </w:tr>
      <w:tr w:rsidR="00EB5903" w:rsidRPr="00BE2E8F" w14:paraId="027BCB56" w14:textId="77777777" w:rsidTr="008B4897">
        <w:tc>
          <w:tcPr>
            <w:tcW w:w="993" w:type="dxa"/>
            <w:vMerge/>
            <w:shd w:val="clear" w:color="auto" w:fill="auto"/>
            <w:hideMark/>
          </w:tcPr>
          <w:p w14:paraId="66F0716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313C8C8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Espírito</w:t>
            </w:r>
            <w:proofErr w:type="spellEnd"/>
            <w:r>
              <w:rPr>
                <w:sz w:val="18"/>
              </w:rPr>
              <w:t xml:space="preserve"> Santo </w:t>
            </w:r>
          </w:p>
        </w:tc>
        <w:tc>
          <w:tcPr>
            <w:tcW w:w="1747" w:type="dxa"/>
            <w:shd w:val="clear" w:color="auto" w:fill="auto"/>
            <w:hideMark/>
          </w:tcPr>
          <w:p w14:paraId="7AE83C1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30 945</w:t>
            </w:r>
          </w:p>
        </w:tc>
        <w:tc>
          <w:tcPr>
            <w:tcW w:w="1458" w:type="dxa"/>
            <w:shd w:val="clear" w:color="auto" w:fill="auto"/>
            <w:hideMark/>
          </w:tcPr>
          <w:p w14:paraId="3A56DDE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31 829</w:t>
            </w:r>
          </w:p>
        </w:tc>
        <w:tc>
          <w:tcPr>
            <w:tcW w:w="1471" w:type="dxa"/>
            <w:shd w:val="clear" w:color="auto" w:fill="auto"/>
            <w:hideMark/>
          </w:tcPr>
          <w:p w14:paraId="318CD2B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97 %</w:t>
            </w:r>
          </w:p>
        </w:tc>
      </w:tr>
      <w:tr w:rsidR="00EB5903" w:rsidRPr="00BE2E8F" w14:paraId="6A44986F" w14:textId="77777777" w:rsidTr="008B4897">
        <w:tc>
          <w:tcPr>
            <w:tcW w:w="993" w:type="dxa"/>
            <w:vMerge/>
            <w:shd w:val="clear" w:color="auto" w:fill="auto"/>
            <w:hideMark/>
          </w:tcPr>
          <w:p w14:paraId="62345F7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0E3EF4B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de Janeiro </w:t>
            </w:r>
          </w:p>
        </w:tc>
        <w:tc>
          <w:tcPr>
            <w:tcW w:w="1747" w:type="dxa"/>
            <w:shd w:val="clear" w:color="auto" w:fill="auto"/>
            <w:hideMark/>
          </w:tcPr>
          <w:p w14:paraId="203E8F2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93 362</w:t>
            </w:r>
          </w:p>
        </w:tc>
        <w:tc>
          <w:tcPr>
            <w:tcW w:w="1458" w:type="dxa"/>
            <w:shd w:val="clear" w:color="auto" w:fill="auto"/>
            <w:hideMark/>
          </w:tcPr>
          <w:p w14:paraId="1B05DAD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93 362</w:t>
            </w:r>
          </w:p>
        </w:tc>
        <w:tc>
          <w:tcPr>
            <w:tcW w:w="1471" w:type="dxa"/>
            <w:shd w:val="clear" w:color="auto" w:fill="auto"/>
            <w:hideMark/>
          </w:tcPr>
          <w:p w14:paraId="4AA9AC5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61166023" w14:textId="77777777" w:rsidTr="008B4897">
        <w:tc>
          <w:tcPr>
            <w:tcW w:w="993" w:type="dxa"/>
            <w:vMerge/>
            <w:shd w:val="clear" w:color="auto" w:fill="auto"/>
            <w:hideMark/>
          </w:tcPr>
          <w:p w14:paraId="6498C19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534709C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São Paulo </w:t>
            </w:r>
          </w:p>
        </w:tc>
        <w:tc>
          <w:tcPr>
            <w:tcW w:w="1747" w:type="dxa"/>
            <w:shd w:val="clear" w:color="auto" w:fill="auto"/>
            <w:hideMark/>
          </w:tcPr>
          <w:p w14:paraId="674F0E4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314 367</w:t>
            </w:r>
          </w:p>
        </w:tc>
        <w:tc>
          <w:tcPr>
            <w:tcW w:w="1458" w:type="dxa"/>
            <w:shd w:val="clear" w:color="auto" w:fill="auto"/>
            <w:hideMark/>
          </w:tcPr>
          <w:p w14:paraId="5EE3A4B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314 367</w:t>
            </w:r>
          </w:p>
        </w:tc>
        <w:tc>
          <w:tcPr>
            <w:tcW w:w="1471" w:type="dxa"/>
            <w:shd w:val="clear" w:color="auto" w:fill="auto"/>
            <w:hideMark/>
          </w:tcPr>
          <w:p w14:paraId="5E32E20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43C9F736" w14:textId="77777777" w:rsidTr="008B4897">
        <w:tc>
          <w:tcPr>
            <w:tcW w:w="993" w:type="dxa"/>
            <w:vMerge/>
            <w:shd w:val="clear" w:color="auto" w:fill="auto"/>
            <w:hideMark/>
          </w:tcPr>
          <w:p w14:paraId="32731BF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0505D41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Paraná </w:t>
            </w:r>
          </w:p>
        </w:tc>
        <w:tc>
          <w:tcPr>
            <w:tcW w:w="1747" w:type="dxa"/>
            <w:shd w:val="clear" w:color="auto" w:fill="auto"/>
            <w:hideMark/>
          </w:tcPr>
          <w:p w14:paraId="4BA630A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79 219</w:t>
            </w:r>
          </w:p>
        </w:tc>
        <w:tc>
          <w:tcPr>
            <w:tcW w:w="1458" w:type="dxa"/>
            <w:shd w:val="clear" w:color="auto" w:fill="auto"/>
            <w:hideMark/>
          </w:tcPr>
          <w:p w14:paraId="41A5364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79 420</w:t>
            </w:r>
          </w:p>
        </w:tc>
        <w:tc>
          <w:tcPr>
            <w:tcW w:w="1471" w:type="dxa"/>
            <w:shd w:val="clear" w:color="auto" w:fill="auto"/>
            <w:hideMark/>
          </w:tcPr>
          <w:p w14:paraId="7A204A2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67862BD9" w14:textId="77777777" w:rsidTr="008B4897">
        <w:tc>
          <w:tcPr>
            <w:tcW w:w="993" w:type="dxa"/>
            <w:vMerge/>
            <w:shd w:val="clear" w:color="auto" w:fill="auto"/>
            <w:hideMark/>
          </w:tcPr>
          <w:p w14:paraId="361DB73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2D0BC38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Santa Catarina </w:t>
            </w:r>
          </w:p>
        </w:tc>
        <w:tc>
          <w:tcPr>
            <w:tcW w:w="1747" w:type="dxa"/>
            <w:shd w:val="clear" w:color="auto" w:fill="auto"/>
            <w:hideMark/>
          </w:tcPr>
          <w:p w14:paraId="3759E5FE"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39 203</w:t>
            </w:r>
          </w:p>
        </w:tc>
        <w:tc>
          <w:tcPr>
            <w:tcW w:w="1458" w:type="dxa"/>
            <w:shd w:val="clear" w:color="auto" w:fill="auto"/>
            <w:hideMark/>
          </w:tcPr>
          <w:p w14:paraId="0ED91F16"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39 203</w:t>
            </w:r>
          </w:p>
        </w:tc>
        <w:tc>
          <w:tcPr>
            <w:tcW w:w="1471" w:type="dxa"/>
            <w:shd w:val="clear" w:color="auto" w:fill="auto"/>
            <w:hideMark/>
          </w:tcPr>
          <w:p w14:paraId="3A8A525A"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6EC5DCF2" w14:textId="77777777" w:rsidTr="008B4897">
        <w:tc>
          <w:tcPr>
            <w:tcW w:w="993" w:type="dxa"/>
            <w:vMerge/>
            <w:shd w:val="clear" w:color="auto" w:fill="auto"/>
            <w:hideMark/>
          </w:tcPr>
          <w:p w14:paraId="214D05E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22E8B2E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Grande do Sul </w:t>
            </w:r>
          </w:p>
        </w:tc>
        <w:tc>
          <w:tcPr>
            <w:tcW w:w="1747" w:type="dxa"/>
            <w:shd w:val="clear" w:color="auto" w:fill="auto"/>
            <w:hideMark/>
          </w:tcPr>
          <w:p w14:paraId="542534E5"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72 674</w:t>
            </w:r>
          </w:p>
        </w:tc>
        <w:tc>
          <w:tcPr>
            <w:tcW w:w="1458" w:type="dxa"/>
            <w:shd w:val="clear" w:color="auto" w:fill="auto"/>
            <w:hideMark/>
          </w:tcPr>
          <w:p w14:paraId="326B0644"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73 291</w:t>
            </w:r>
          </w:p>
        </w:tc>
        <w:tc>
          <w:tcPr>
            <w:tcW w:w="1471" w:type="dxa"/>
            <w:shd w:val="clear" w:color="auto" w:fill="auto"/>
            <w:hideMark/>
          </w:tcPr>
          <w:p w14:paraId="4EDC26B5"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99 %</w:t>
            </w:r>
          </w:p>
        </w:tc>
      </w:tr>
      <w:tr w:rsidR="00EB5903" w:rsidRPr="00BE2E8F" w14:paraId="6A8E9D68" w14:textId="77777777" w:rsidTr="008B4897">
        <w:tc>
          <w:tcPr>
            <w:tcW w:w="993" w:type="dxa"/>
            <w:vMerge/>
            <w:shd w:val="clear" w:color="auto" w:fill="auto"/>
            <w:hideMark/>
          </w:tcPr>
          <w:p w14:paraId="37BA1F0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7A455E2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Mato Grosso do Sul </w:t>
            </w:r>
          </w:p>
        </w:tc>
        <w:tc>
          <w:tcPr>
            <w:tcW w:w="1747" w:type="dxa"/>
            <w:shd w:val="clear" w:color="auto" w:fill="auto"/>
            <w:hideMark/>
          </w:tcPr>
          <w:p w14:paraId="52390B3A"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21 963</w:t>
            </w:r>
          </w:p>
        </w:tc>
        <w:tc>
          <w:tcPr>
            <w:tcW w:w="1458" w:type="dxa"/>
            <w:shd w:val="clear" w:color="auto" w:fill="auto"/>
            <w:hideMark/>
          </w:tcPr>
          <w:p w14:paraId="717097FE"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22 369</w:t>
            </w:r>
          </w:p>
        </w:tc>
        <w:tc>
          <w:tcPr>
            <w:tcW w:w="1471" w:type="dxa"/>
            <w:shd w:val="clear" w:color="auto" w:fill="auto"/>
            <w:hideMark/>
          </w:tcPr>
          <w:p w14:paraId="0783E902"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98 %</w:t>
            </w:r>
          </w:p>
        </w:tc>
      </w:tr>
      <w:tr w:rsidR="00EB5903" w:rsidRPr="00BE2E8F" w14:paraId="40DDAA8A" w14:textId="77777777" w:rsidTr="008B4897">
        <w:tc>
          <w:tcPr>
            <w:tcW w:w="993" w:type="dxa"/>
            <w:vMerge/>
            <w:shd w:val="clear" w:color="auto" w:fill="auto"/>
            <w:hideMark/>
          </w:tcPr>
          <w:p w14:paraId="7C399B0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48FCA21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Mato Grosso </w:t>
            </w:r>
          </w:p>
        </w:tc>
        <w:tc>
          <w:tcPr>
            <w:tcW w:w="1747" w:type="dxa"/>
            <w:shd w:val="clear" w:color="auto" w:fill="auto"/>
            <w:hideMark/>
          </w:tcPr>
          <w:p w14:paraId="1EE2809B"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23 720</w:t>
            </w:r>
          </w:p>
        </w:tc>
        <w:tc>
          <w:tcPr>
            <w:tcW w:w="1458" w:type="dxa"/>
            <w:shd w:val="clear" w:color="auto" w:fill="auto"/>
            <w:hideMark/>
          </w:tcPr>
          <w:p w14:paraId="726C7BA5"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24 002</w:t>
            </w:r>
          </w:p>
        </w:tc>
        <w:tc>
          <w:tcPr>
            <w:tcW w:w="1471" w:type="dxa"/>
            <w:shd w:val="clear" w:color="auto" w:fill="auto"/>
            <w:hideMark/>
          </w:tcPr>
          <w:p w14:paraId="46D051C4"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99 %</w:t>
            </w:r>
          </w:p>
        </w:tc>
      </w:tr>
      <w:tr w:rsidR="00EB5903" w:rsidRPr="00BE2E8F" w14:paraId="78F53896" w14:textId="77777777" w:rsidTr="008B4897">
        <w:tc>
          <w:tcPr>
            <w:tcW w:w="993" w:type="dxa"/>
            <w:vMerge/>
            <w:shd w:val="clear" w:color="auto" w:fill="auto"/>
            <w:hideMark/>
          </w:tcPr>
          <w:p w14:paraId="12E43DE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5927DBF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Goiás </w:t>
            </w:r>
          </w:p>
        </w:tc>
        <w:tc>
          <w:tcPr>
            <w:tcW w:w="1747" w:type="dxa"/>
            <w:shd w:val="clear" w:color="auto" w:fill="auto"/>
            <w:hideMark/>
          </w:tcPr>
          <w:p w14:paraId="692DDDFB"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46 611</w:t>
            </w:r>
          </w:p>
        </w:tc>
        <w:tc>
          <w:tcPr>
            <w:tcW w:w="1458" w:type="dxa"/>
            <w:shd w:val="clear" w:color="auto" w:fill="auto"/>
            <w:hideMark/>
          </w:tcPr>
          <w:p w14:paraId="1FA9C4D2"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46 611</w:t>
            </w:r>
          </w:p>
        </w:tc>
        <w:tc>
          <w:tcPr>
            <w:tcW w:w="1471" w:type="dxa"/>
            <w:shd w:val="clear" w:color="auto" w:fill="auto"/>
            <w:hideMark/>
          </w:tcPr>
          <w:p w14:paraId="4EF06F93"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2BE2B3B5" w14:textId="77777777" w:rsidTr="008B4897">
        <w:tc>
          <w:tcPr>
            <w:tcW w:w="993" w:type="dxa"/>
            <w:vMerge/>
            <w:shd w:val="clear" w:color="auto" w:fill="auto"/>
            <w:hideMark/>
          </w:tcPr>
          <w:p w14:paraId="7288B8B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0222553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Distrito</w:t>
            </w:r>
            <w:proofErr w:type="spellEnd"/>
            <w:r>
              <w:rPr>
                <w:sz w:val="18"/>
              </w:rPr>
              <w:t xml:space="preserve"> </w:t>
            </w:r>
            <w:proofErr w:type="spellStart"/>
            <w:r>
              <w:rPr>
                <w:sz w:val="18"/>
              </w:rPr>
              <w:t>Federal</w:t>
            </w:r>
            <w:proofErr w:type="spellEnd"/>
            <w:r>
              <w:rPr>
                <w:sz w:val="18"/>
              </w:rPr>
              <w:t> </w:t>
            </w:r>
          </w:p>
        </w:tc>
        <w:tc>
          <w:tcPr>
            <w:tcW w:w="1747" w:type="dxa"/>
            <w:shd w:val="clear" w:color="auto" w:fill="auto"/>
            <w:hideMark/>
          </w:tcPr>
          <w:p w14:paraId="7A2BDCA5"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25 044</w:t>
            </w:r>
          </w:p>
        </w:tc>
        <w:tc>
          <w:tcPr>
            <w:tcW w:w="1458" w:type="dxa"/>
            <w:shd w:val="clear" w:color="auto" w:fill="auto"/>
            <w:hideMark/>
          </w:tcPr>
          <w:p w14:paraId="7FBC9296"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25 044</w:t>
            </w:r>
          </w:p>
        </w:tc>
        <w:tc>
          <w:tcPr>
            <w:tcW w:w="1471" w:type="dxa"/>
            <w:shd w:val="clear" w:color="auto" w:fill="auto"/>
            <w:hideMark/>
          </w:tcPr>
          <w:p w14:paraId="005083F3"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100 %</w:t>
            </w:r>
          </w:p>
        </w:tc>
      </w:tr>
      <w:tr w:rsidR="00EB5903" w:rsidRPr="00BE2E8F" w14:paraId="199783C8" w14:textId="77777777" w:rsidTr="008B4897">
        <w:tc>
          <w:tcPr>
            <w:tcW w:w="993" w:type="dxa"/>
            <w:vMerge/>
            <w:shd w:val="clear" w:color="auto" w:fill="auto"/>
            <w:hideMark/>
          </w:tcPr>
          <w:p w14:paraId="3314E39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436C395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Brésil </w:t>
            </w:r>
          </w:p>
        </w:tc>
        <w:tc>
          <w:tcPr>
            <w:tcW w:w="1747" w:type="dxa"/>
            <w:shd w:val="clear" w:color="auto" w:fill="auto"/>
            <w:hideMark/>
          </w:tcPr>
          <w:p w14:paraId="29E00FB4"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1 551 730</w:t>
            </w:r>
          </w:p>
        </w:tc>
        <w:tc>
          <w:tcPr>
            <w:tcW w:w="1458" w:type="dxa"/>
            <w:shd w:val="clear" w:color="auto" w:fill="auto"/>
            <w:hideMark/>
          </w:tcPr>
          <w:p w14:paraId="13C72B1C"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1 560 257</w:t>
            </w:r>
          </w:p>
        </w:tc>
        <w:tc>
          <w:tcPr>
            <w:tcW w:w="1471" w:type="dxa"/>
            <w:shd w:val="clear" w:color="auto" w:fill="auto"/>
            <w:hideMark/>
          </w:tcPr>
          <w:p w14:paraId="5ACD85EC" w14:textId="77777777" w:rsidR="00EB5903" w:rsidRPr="00BE2E8F" w:rsidRDefault="00EB5903" w:rsidP="004F4759">
            <w:pPr>
              <w:pStyle w:val="SingleTxtG"/>
              <w:tabs>
                <w:tab w:val="clear" w:pos="1701"/>
                <w:tab w:val="clear" w:pos="2268"/>
              </w:tabs>
              <w:suppressAutoHyphens w:val="0"/>
              <w:spacing w:before="40" w:after="40" w:line="220" w:lineRule="exact"/>
              <w:ind w:left="0" w:right="0"/>
              <w:jc w:val="right"/>
              <w:rPr>
                <w:sz w:val="18"/>
              </w:rPr>
            </w:pPr>
            <w:r>
              <w:rPr>
                <w:sz w:val="18"/>
              </w:rPr>
              <w:t>99 %</w:t>
            </w:r>
          </w:p>
        </w:tc>
      </w:tr>
    </w:tbl>
    <w:p w14:paraId="64A74959" w14:textId="77777777" w:rsidR="00EB5903" w:rsidRPr="00BE2E8F" w:rsidRDefault="00EB5903" w:rsidP="008E4BE9">
      <w:pPr>
        <w:pStyle w:val="SingleTxtG"/>
        <w:spacing w:before="120" w:after="0"/>
        <w:ind w:firstLine="170"/>
        <w:jc w:val="left"/>
        <w:rPr>
          <w:sz w:val="18"/>
        </w:rPr>
      </w:pPr>
      <w:r>
        <w:rPr>
          <w:i/>
          <w:sz w:val="18"/>
        </w:rPr>
        <w:t>Source </w:t>
      </w:r>
      <w:r>
        <w:rPr>
          <w:sz w:val="18"/>
        </w:rPr>
        <w:t xml:space="preserve">: Enquête nationale continue par sondage auprès des ménages (PNAD </w:t>
      </w:r>
      <w:proofErr w:type="spellStart"/>
      <w:r>
        <w:rPr>
          <w:sz w:val="18"/>
        </w:rPr>
        <w:t>Contínua</w:t>
      </w:r>
      <w:proofErr w:type="spellEnd"/>
      <w:r>
        <w:rPr>
          <w:sz w:val="18"/>
        </w:rPr>
        <w:t>), 2022.</w:t>
      </w:r>
    </w:p>
    <w:p w14:paraId="00B5D64B" w14:textId="77777777" w:rsidR="00EB5903" w:rsidRPr="00BE2E8F" w:rsidRDefault="00EB5903" w:rsidP="00EB5903">
      <w:pPr>
        <w:pStyle w:val="H1G"/>
      </w:pPr>
      <w:r>
        <w:tab/>
      </w:r>
      <w:r>
        <w:tab/>
        <w:t xml:space="preserve">Réponse au paragraphe 18 b) de la liste de points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2409"/>
        <w:gridCol w:w="1842"/>
        <w:gridCol w:w="1843"/>
      </w:tblGrid>
      <w:tr w:rsidR="00EB5903" w:rsidRPr="00BE2E8F" w14:paraId="78A81C18" w14:textId="77777777" w:rsidTr="008B4897">
        <w:trPr>
          <w:tblHeader/>
        </w:trPr>
        <w:tc>
          <w:tcPr>
            <w:tcW w:w="7370" w:type="dxa"/>
            <w:gridSpan w:val="4"/>
            <w:tcBorders>
              <w:top w:val="single" w:sz="4" w:space="0" w:color="auto"/>
              <w:bottom w:val="single" w:sz="4" w:space="0" w:color="auto"/>
            </w:tcBorders>
            <w:shd w:val="clear" w:color="auto" w:fill="auto"/>
            <w:vAlign w:val="bottom"/>
          </w:tcPr>
          <w:p w14:paraId="5AEAB17E"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Enfants handicapés accueillis dans des institutions par Unité fédérative (UF)</w:t>
            </w:r>
          </w:p>
        </w:tc>
      </w:tr>
      <w:tr w:rsidR="00EB5903" w:rsidRPr="00BE2E8F" w14:paraId="303E35B0" w14:textId="77777777" w:rsidTr="008B4897">
        <w:tc>
          <w:tcPr>
            <w:tcW w:w="1276" w:type="dxa"/>
            <w:tcBorders>
              <w:top w:val="single" w:sz="4" w:space="0" w:color="auto"/>
              <w:bottom w:val="single" w:sz="12" w:space="0" w:color="auto"/>
            </w:tcBorders>
            <w:shd w:val="clear" w:color="auto" w:fill="auto"/>
            <w:vAlign w:val="bottom"/>
            <w:hideMark/>
          </w:tcPr>
          <w:p w14:paraId="644AAA8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i/>
                <w:sz w:val="16"/>
              </w:rPr>
            </w:pPr>
            <w:r>
              <w:rPr>
                <w:i/>
                <w:sz w:val="16"/>
              </w:rPr>
              <w:t>UF </w:t>
            </w:r>
          </w:p>
        </w:tc>
        <w:tc>
          <w:tcPr>
            <w:tcW w:w="2409" w:type="dxa"/>
            <w:tcBorders>
              <w:top w:val="single" w:sz="4" w:space="0" w:color="auto"/>
              <w:bottom w:val="single" w:sz="12" w:space="0" w:color="auto"/>
            </w:tcBorders>
            <w:shd w:val="clear" w:color="auto" w:fill="auto"/>
            <w:vAlign w:val="bottom"/>
            <w:hideMark/>
          </w:tcPr>
          <w:p w14:paraId="1F7D910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i/>
                <w:sz w:val="16"/>
              </w:rPr>
            </w:pPr>
            <w:r>
              <w:rPr>
                <w:i/>
                <w:sz w:val="16"/>
              </w:rPr>
              <w:t>Enfants handicapés accueillis</w:t>
            </w:r>
          </w:p>
        </w:tc>
        <w:tc>
          <w:tcPr>
            <w:tcW w:w="1842" w:type="dxa"/>
            <w:tcBorders>
              <w:top w:val="single" w:sz="4" w:space="0" w:color="auto"/>
              <w:bottom w:val="single" w:sz="12" w:space="0" w:color="auto"/>
            </w:tcBorders>
            <w:shd w:val="clear" w:color="auto" w:fill="auto"/>
            <w:vAlign w:val="bottom"/>
            <w:hideMark/>
          </w:tcPr>
          <w:p w14:paraId="2F30AC8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i/>
                <w:sz w:val="16"/>
              </w:rPr>
            </w:pPr>
            <w:r>
              <w:rPr>
                <w:i/>
                <w:sz w:val="16"/>
              </w:rPr>
              <w:t>Enfants accueillis</w:t>
            </w:r>
          </w:p>
        </w:tc>
        <w:tc>
          <w:tcPr>
            <w:tcW w:w="1843" w:type="dxa"/>
            <w:tcBorders>
              <w:top w:val="single" w:sz="4" w:space="0" w:color="auto"/>
              <w:bottom w:val="single" w:sz="12" w:space="0" w:color="auto"/>
            </w:tcBorders>
            <w:shd w:val="clear" w:color="auto" w:fill="auto"/>
            <w:vAlign w:val="bottom"/>
            <w:hideMark/>
          </w:tcPr>
          <w:p w14:paraId="795796B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i/>
                <w:sz w:val="16"/>
              </w:rPr>
            </w:pPr>
            <w:r>
              <w:rPr>
                <w:i/>
                <w:sz w:val="16"/>
              </w:rPr>
              <w:t>Pourcentage (%)</w:t>
            </w:r>
          </w:p>
        </w:tc>
      </w:tr>
      <w:tr w:rsidR="00EB5903" w:rsidRPr="00BE2E8F" w14:paraId="08D45A5E" w14:textId="77777777" w:rsidTr="008B4897">
        <w:tc>
          <w:tcPr>
            <w:tcW w:w="1276" w:type="dxa"/>
            <w:tcBorders>
              <w:top w:val="single" w:sz="12" w:space="0" w:color="auto"/>
            </w:tcBorders>
            <w:shd w:val="clear" w:color="auto" w:fill="auto"/>
            <w:hideMark/>
          </w:tcPr>
          <w:p w14:paraId="5D9E6BC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AC</w:t>
            </w:r>
          </w:p>
        </w:tc>
        <w:tc>
          <w:tcPr>
            <w:tcW w:w="2409" w:type="dxa"/>
            <w:tcBorders>
              <w:top w:val="single" w:sz="12" w:space="0" w:color="auto"/>
            </w:tcBorders>
            <w:shd w:val="clear" w:color="auto" w:fill="auto"/>
            <w:hideMark/>
          </w:tcPr>
          <w:p w14:paraId="219A0FD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w:t>
            </w:r>
          </w:p>
        </w:tc>
        <w:tc>
          <w:tcPr>
            <w:tcW w:w="1842" w:type="dxa"/>
            <w:tcBorders>
              <w:top w:val="single" w:sz="12" w:space="0" w:color="auto"/>
            </w:tcBorders>
            <w:shd w:val="clear" w:color="auto" w:fill="auto"/>
            <w:hideMark/>
          </w:tcPr>
          <w:p w14:paraId="2E5E23F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110</w:t>
            </w:r>
          </w:p>
        </w:tc>
        <w:tc>
          <w:tcPr>
            <w:tcW w:w="1843" w:type="dxa"/>
            <w:tcBorders>
              <w:top w:val="single" w:sz="12" w:space="0" w:color="auto"/>
            </w:tcBorders>
            <w:shd w:val="clear" w:color="auto" w:fill="auto"/>
            <w:hideMark/>
          </w:tcPr>
          <w:p w14:paraId="6C9770E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7,27</w:t>
            </w:r>
          </w:p>
        </w:tc>
      </w:tr>
      <w:tr w:rsidR="00EB5903" w:rsidRPr="00BE2E8F" w14:paraId="2B1C8822" w14:textId="77777777" w:rsidTr="008B4897">
        <w:tc>
          <w:tcPr>
            <w:tcW w:w="1276" w:type="dxa"/>
            <w:shd w:val="clear" w:color="auto" w:fill="auto"/>
            <w:hideMark/>
          </w:tcPr>
          <w:p w14:paraId="559B7E0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AL</w:t>
            </w:r>
          </w:p>
        </w:tc>
        <w:tc>
          <w:tcPr>
            <w:tcW w:w="2409" w:type="dxa"/>
            <w:shd w:val="clear" w:color="auto" w:fill="auto"/>
            <w:hideMark/>
          </w:tcPr>
          <w:p w14:paraId="493E76A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22</w:t>
            </w:r>
          </w:p>
        </w:tc>
        <w:tc>
          <w:tcPr>
            <w:tcW w:w="1842" w:type="dxa"/>
            <w:shd w:val="clear" w:color="auto" w:fill="auto"/>
            <w:hideMark/>
          </w:tcPr>
          <w:p w14:paraId="7C5AF9F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428</w:t>
            </w:r>
          </w:p>
        </w:tc>
        <w:tc>
          <w:tcPr>
            <w:tcW w:w="1843" w:type="dxa"/>
            <w:shd w:val="clear" w:color="auto" w:fill="auto"/>
            <w:hideMark/>
          </w:tcPr>
          <w:p w14:paraId="4935AC3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5,14</w:t>
            </w:r>
          </w:p>
        </w:tc>
      </w:tr>
      <w:tr w:rsidR="00EB5903" w:rsidRPr="00BE2E8F" w14:paraId="7184ED18" w14:textId="77777777" w:rsidTr="008B4897">
        <w:tc>
          <w:tcPr>
            <w:tcW w:w="1276" w:type="dxa"/>
            <w:shd w:val="clear" w:color="auto" w:fill="auto"/>
            <w:hideMark/>
          </w:tcPr>
          <w:p w14:paraId="009F452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AM</w:t>
            </w:r>
          </w:p>
        </w:tc>
        <w:tc>
          <w:tcPr>
            <w:tcW w:w="2409" w:type="dxa"/>
            <w:shd w:val="clear" w:color="auto" w:fill="auto"/>
            <w:hideMark/>
          </w:tcPr>
          <w:p w14:paraId="792C1FC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45</w:t>
            </w:r>
          </w:p>
        </w:tc>
        <w:tc>
          <w:tcPr>
            <w:tcW w:w="1842" w:type="dxa"/>
            <w:shd w:val="clear" w:color="auto" w:fill="auto"/>
            <w:hideMark/>
          </w:tcPr>
          <w:p w14:paraId="2CCD4F1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265</w:t>
            </w:r>
          </w:p>
        </w:tc>
        <w:tc>
          <w:tcPr>
            <w:tcW w:w="1843" w:type="dxa"/>
            <w:shd w:val="clear" w:color="auto" w:fill="auto"/>
            <w:hideMark/>
          </w:tcPr>
          <w:p w14:paraId="5B5F491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16,98</w:t>
            </w:r>
          </w:p>
        </w:tc>
      </w:tr>
      <w:tr w:rsidR="00EB5903" w:rsidRPr="00BE2E8F" w14:paraId="38DFACBE" w14:textId="77777777" w:rsidTr="008B4897">
        <w:tc>
          <w:tcPr>
            <w:tcW w:w="1276" w:type="dxa"/>
            <w:shd w:val="clear" w:color="auto" w:fill="auto"/>
            <w:hideMark/>
          </w:tcPr>
          <w:p w14:paraId="1388B2D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AP</w:t>
            </w:r>
          </w:p>
        </w:tc>
        <w:tc>
          <w:tcPr>
            <w:tcW w:w="2409" w:type="dxa"/>
            <w:shd w:val="clear" w:color="auto" w:fill="auto"/>
            <w:hideMark/>
          </w:tcPr>
          <w:p w14:paraId="7E40FAE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w:t>
            </w:r>
          </w:p>
        </w:tc>
        <w:tc>
          <w:tcPr>
            <w:tcW w:w="1842" w:type="dxa"/>
            <w:shd w:val="clear" w:color="auto" w:fill="auto"/>
            <w:hideMark/>
          </w:tcPr>
          <w:p w14:paraId="1DE751B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127</w:t>
            </w:r>
          </w:p>
        </w:tc>
        <w:tc>
          <w:tcPr>
            <w:tcW w:w="1843" w:type="dxa"/>
            <w:shd w:val="clear" w:color="auto" w:fill="auto"/>
            <w:hideMark/>
          </w:tcPr>
          <w:p w14:paraId="4E3741A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15,75</w:t>
            </w:r>
          </w:p>
        </w:tc>
      </w:tr>
      <w:tr w:rsidR="00EB5903" w:rsidRPr="00BE2E8F" w14:paraId="407950DF" w14:textId="77777777" w:rsidTr="008B4897">
        <w:tc>
          <w:tcPr>
            <w:tcW w:w="1276" w:type="dxa"/>
            <w:shd w:val="clear" w:color="auto" w:fill="auto"/>
            <w:hideMark/>
          </w:tcPr>
          <w:p w14:paraId="77F2CA8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BA</w:t>
            </w:r>
          </w:p>
        </w:tc>
        <w:tc>
          <w:tcPr>
            <w:tcW w:w="2409" w:type="dxa"/>
            <w:shd w:val="clear" w:color="auto" w:fill="auto"/>
            <w:hideMark/>
          </w:tcPr>
          <w:p w14:paraId="38500D7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84</w:t>
            </w:r>
          </w:p>
        </w:tc>
        <w:tc>
          <w:tcPr>
            <w:tcW w:w="1842" w:type="dxa"/>
            <w:shd w:val="clear" w:color="auto" w:fill="auto"/>
            <w:hideMark/>
          </w:tcPr>
          <w:p w14:paraId="722123B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1 031</w:t>
            </w:r>
          </w:p>
        </w:tc>
        <w:tc>
          <w:tcPr>
            <w:tcW w:w="1843" w:type="dxa"/>
            <w:shd w:val="clear" w:color="auto" w:fill="auto"/>
            <w:hideMark/>
          </w:tcPr>
          <w:p w14:paraId="7C64C22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8,15</w:t>
            </w:r>
          </w:p>
        </w:tc>
      </w:tr>
      <w:tr w:rsidR="00EB5903" w:rsidRPr="00BE2E8F" w14:paraId="20609832" w14:textId="77777777" w:rsidTr="008B4897">
        <w:tc>
          <w:tcPr>
            <w:tcW w:w="1276" w:type="dxa"/>
            <w:shd w:val="clear" w:color="auto" w:fill="auto"/>
            <w:hideMark/>
          </w:tcPr>
          <w:p w14:paraId="09205AD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CE</w:t>
            </w:r>
          </w:p>
        </w:tc>
        <w:tc>
          <w:tcPr>
            <w:tcW w:w="2409" w:type="dxa"/>
            <w:shd w:val="clear" w:color="auto" w:fill="auto"/>
            <w:hideMark/>
          </w:tcPr>
          <w:p w14:paraId="3949F68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86</w:t>
            </w:r>
          </w:p>
        </w:tc>
        <w:tc>
          <w:tcPr>
            <w:tcW w:w="1842" w:type="dxa"/>
            <w:shd w:val="clear" w:color="auto" w:fill="auto"/>
            <w:hideMark/>
          </w:tcPr>
          <w:p w14:paraId="6583354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931</w:t>
            </w:r>
          </w:p>
        </w:tc>
        <w:tc>
          <w:tcPr>
            <w:tcW w:w="1843" w:type="dxa"/>
            <w:shd w:val="clear" w:color="auto" w:fill="auto"/>
            <w:hideMark/>
          </w:tcPr>
          <w:p w14:paraId="75A0441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9,24</w:t>
            </w:r>
          </w:p>
        </w:tc>
      </w:tr>
      <w:tr w:rsidR="00EB5903" w:rsidRPr="00BE2E8F" w14:paraId="6377F085" w14:textId="77777777" w:rsidTr="008B4897">
        <w:tc>
          <w:tcPr>
            <w:tcW w:w="1276" w:type="dxa"/>
            <w:shd w:val="clear" w:color="auto" w:fill="auto"/>
            <w:hideMark/>
          </w:tcPr>
          <w:p w14:paraId="34BB836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DF</w:t>
            </w:r>
          </w:p>
        </w:tc>
        <w:tc>
          <w:tcPr>
            <w:tcW w:w="2409" w:type="dxa"/>
            <w:shd w:val="clear" w:color="auto" w:fill="auto"/>
            <w:hideMark/>
          </w:tcPr>
          <w:p w14:paraId="18AD5DC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26</w:t>
            </w:r>
          </w:p>
        </w:tc>
        <w:tc>
          <w:tcPr>
            <w:tcW w:w="1842" w:type="dxa"/>
            <w:shd w:val="clear" w:color="auto" w:fill="auto"/>
            <w:hideMark/>
          </w:tcPr>
          <w:p w14:paraId="4DF2DD0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369</w:t>
            </w:r>
          </w:p>
        </w:tc>
        <w:tc>
          <w:tcPr>
            <w:tcW w:w="1843" w:type="dxa"/>
            <w:shd w:val="clear" w:color="auto" w:fill="auto"/>
            <w:hideMark/>
          </w:tcPr>
          <w:p w14:paraId="7916318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7,04</w:t>
            </w:r>
          </w:p>
        </w:tc>
      </w:tr>
      <w:tr w:rsidR="00EB5903" w:rsidRPr="00BE2E8F" w14:paraId="3361E4AA" w14:textId="77777777" w:rsidTr="008B4897">
        <w:tc>
          <w:tcPr>
            <w:tcW w:w="1276" w:type="dxa"/>
            <w:shd w:val="clear" w:color="auto" w:fill="auto"/>
            <w:hideMark/>
          </w:tcPr>
          <w:p w14:paraId="0B5319B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ES</w:t>
            </w:r>
          </w:p>
        </w:tc>
        <w:tc>
          <w:tcPr>
            <w:tcW w:w="2409" w:type="dxa"/>
            <w:shd w:val="clear" w:color="auto" w:fill="auto"/>
            <w:hideMark/>
          </w:tcPr>
          <w:p w14:paraId="0E0EAE4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86</w:t>
            </w:r>
          </w:p>
        </w:tc>
        <w:tc>
          <w:tcPr>
            <w:tcW w:w="1842" w:type="dxa"/>
            <w:shd w:val="clear" w:color="auto" w:fill="auto"/>
            <w:hideMark/>
          </w:tcPr>
          <w:p w14:paraId="64403B4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911</w:t>
            </w:r>
          </w:p>
        </w:tc>
        <w:tc>
          <w:tcPr>
            <w:tcW w:w="1843" w:type="dxa"/>
            <w:shd w:val="clear" w:color="auto" w:fill="auto"/>
            <w:hideMark/>
          </w:tcPr>
          <w:p w14:paraId="0F2FAF3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9,44</w:t>
            </w:r>
          </w:p>
        </w:tc>
      </w:tr>
      <w:tr w:rsidR="00EB5903" w:rsidRPr="00BE2E8F" w14:paraId="69571530" w14:textId="77777777" w:rsidTr="008B4897">
        <w:tc>
          <w:tcPr>
            <w:tcW w:w="1276" w:type="dxa"/>
            <w:shd w:val="clear" w:color="auto" w:fill="auto"/>
            <w:hideMark/>
          </w:tcPr>
          <w:p w14:paraId="4D8E281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GO</w:t>
            </w:r>
          </w:p>
        </w:tc>
        <w:tc>
          <w:tcPr>
            <w:tcW w:w="2409" w:type="dxa"/>
            <w:shd w:val="clear" w:color="auto" w:fill="auto"/>
            <w:hideMark/>
          </w:tcPr>
          <w:p w14:paraId="61A6095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46</w:t>
            </w:r>
          </w:p>
        </w:tc>
        <w:tc>
          <w:tcPr>
            <w:tcW w:w="1842" w:type="dxa"/>
            <w:shd w:val="clear" w:color="auto" w:fill="auto"/>
            <w:hideMark/>
          </w:tcPr>
          <w:p w14:paraId="39C17E3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737</w:t>
            </w:r>
          </w:p>
        </w:tc>
        <w:tc>
          <w:tcPr>
            <w:tcW w:w="1843" w:type="dxa"/>
            <w:shd w:val="clear" w:color="auto" w:fill="auto"/>
            <w:hideMark/>
          </w:tcPr>
          <w:p w14:paraId="4F14BB0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6,24</w:t>
            </w:r>
          </w:p>
        </w:tc>
      </w:tr>
      <w:tr w:rsidR="00EB5903" w:rsidRPr="00BE2E8F" w14:paraId="666019DC" w14:textId="77777777" w:rsidTr="008B4897">
        <w:tc>
          <w:tcPr>
            <w:tcW w:w="1276" w:type="dxa"/>
            <w:shd w:val="clear" w:color="auto" w:fill="auto"/>
            <w:hideMark/>
          </w:tcPr>
          <w:p w14:paraId="4CD4CDF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w:t>
            </w:r>
          </w:p>
        </w:tc>
        <w:tc>
          <w:tcPr>
            <w:tcW w:w="2409" w:type="dxa"/>
            <w:shd w:val="clear" w:color="auto" w:fill="auto"/>
            <w:hideMark/>
          </w:tcPr>
          <w:p w14:paraId="1AEF774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24</w:t>
            </w:r>
          </w:p>
        </w:tc>
        <w:tc>
          <w:tcPr>
            <w:tcW w:w="1842" w:type="dxa"/>
            <w:shd w:val="clear" w:color="auto" w:fill="auto"/>
            <w:hideMark/>
          </w:tcPr>
          <w:p w14:paraId="6FBF5E6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299</w:t>
            </w:r>
          </w:p>
        </w:tc>
        <w:tc>
          <w:tcPr>
            <w:tcW w:w="1843" w:type="dxa"/>
            <w:shd w:val="clear" w:color="auto" w:fill="auto"/>
            <w:hideMark/>
          </w:tcPr>
          <w:p w14:paraId="1B960C3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8,03</w:t>
            </w:r>
          </w:p>
        </w:tc>
      </w:tr>
      <w:tr w:rsidR="00EB5903" w:rsidRPr="00BE2E8F" w14:paraId="7CB78F17" w14:textId="77777777" w:rsidTr="008B4897">
        <w:tc>
          <w:tcPr>
            <w:tcW w:w="1276" w:type="dxa"/>
            <w:shd w:val="clear" w:color="auto" w:fill="auto"/>
            <w:hideMark/>
          </w:tcPr>
          <w:p w14:paraId="0FCCF26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MG</w:t>
            </w:r>
          </w:p>
        </w:tc>
        <w:tc>
          <w:tcPr>
            <w:tcW w:w="2409" w:type="dxa"/>
            <w:shd w:val="clear" w:color="auto" w:fill="auto"/>
            <w:hideMark/>
          </w:tcPr>
          <w:p w14:paraId="447B247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322</w:t>
            </w:r>
          </w:p>
        </w:tc>
        <w:tc>
          <w:tcPr>
            <w:tcW w:w="1842" w:type="dxa"/>
            <w:shd w:val="clear" w:color="auto" w:fill="auto"/>
            <w:hideMark/>
          </w:tcPr>
          <w:p w14:paraId="4332D00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3 916</w:t>
            </w:r>
          </w:p>
        </w:tc>
        <w:tc>
          <w:tcPr>
            <w:tcW w:w="1843" w:type="dxa"/>
            <w:shd w:val="clear" w:color="auto" w:fill="auto"/>
            <w:hideMark/>
          </w:tcPr>
          <w:p w14:paraId="0F63A4D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8,22</w:t>
            </w:r>
          </w:p>
        </w:tc>
      </w:tr>
      <w:tr w:rsidR="00EB5903" w:rsidRPr="00BE2E8F" w14:paraId="2F30E7DC" w14:textId="77777777" w:rsidTr="008B4897">
        <w:tc>
          <w:tcPr>
            <w:tcW w:w="1276" w:type="dxa"/>
            <w:shd w:val="clear" w:color="auto" w:fill="auto"/>
            <w:hideMark/>
          </w:tcPr>
          <w:p w14:paraId="28F94E0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MS</w:t>
            </w:r>
          </w:p>
        </w:tc>
        <w:tc>
          <w:tcPr>
            <w:tcW w:w="2409" w:type="dxa"/>
            <w:shd w:val="clear" w:color="auto" w:fill="auto"/>
            <w:hideMark/>
          </w:tcPr>
          <w:p w14:paraId="7F33594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64</w:t>
            </w:r>
          </w:p>
        </w:tc>
        <w:tc>
          <w:tcPr>
            <w:tcW w:w="1842" w:type="dxa"/>
            <w:shd w:val="clear" w:color="auto" w:fill="auto"/>
            <w:hideMark/>
          </w:tcPr>
          <w:p w14:paraId="6FF5DB5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741</w:t>
            </w:r>
          </w:p>
        </w:tc>
        <w:tc>
          <w:tcPr>
            <w:tcW w:w="1843" w:type="dxa"/>
            <w:shd w:val="clear" w:color="auto" w:fill="auto"/>
            <w:hideMark/>
          </w:tcPr>
          <w:p w14:paraId="45ECF99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8,64</w:t>
            </w:r>
          </w:p>
        </w:tc>
      </w:tr>
      <w:tr w:rsidR="00EB5903" w:rsidRPr="00BE2E8F" w14:paraId="0C33A73A" w14:textId="77777777" w:rsidTr="008B4897">
        <w:tc>
          <w:tcPr>
            <w:tcW w:w="1276" w:type="dxa"/>
            <w:shd w:val="clear" w:color="auto" w:fill="auto"/>
            <w:hideMark/>
          </w:tcPr>
          <w:p w14:paraId="023BA50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MT</w:t>
            </w:r>
          </w:p>
        </w:tc>
        <w:tc>
          <w:tcPr>
            <w:tcW w:w="2409" w:type="dxa"/>
            <w:shd w:val="clear" w:color="auto" w:fill="auto"/>
            <w:hideMark/>
          </w:tcPr>
          <w:p w14:paraId="45361F8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30</w:t>
            </w:r>
          </w:p>
        </w:tc>
        <w:tc>
          <w:tcPr>
            <w:tcW w:w="1842" w:type="dxa"/>
            <w:shd w:val="clear" w:color="auto" w:fill="auto"/>
            <w:hideMark/>
          </w:tcPr>
          <w:p w14:paraId="486399A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569</w:t>
            </w:r>
          </w:p>
        </w:tc>
        <w:tc>
          <w:tcPr>
            <w:tcW w:w="1843" w:type="dxa"/>
            <w:shd w:val="clear" w:color="auto" w:fill="auto"/>
            <w:hideMark/>
          </w:tcPr>
          <w:p w14:paraId="300A0A2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5,27</w:t>
            </w:r>
          </w:p>
        </w:tc>
      </w:tr>
      <w:tr w:rsidR="00EB5903" w:rsidRPr="00BE2E8F" w14:paraId="09BA4459" w14:textId="77777777" w:rsidTr="008B4897">
        <w:tc>
          <w:tcPr>
            <w:tcW w:w="1276" w:type="dxa"/>
            <w:shd w:val="clear" w:color="auto" w:fill="auto"/>
            <w:hideMark/>
          </w:tcPr>
          <w:p w14:paraId="34A30CA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w:t>
            </w:r>
          </w:p>
        </w:tc>
        <w:tc>
          <w:tcPr>
            <w:tcW w:w="2409" w:type="dxa"/>
            <w:shd w:val="clear" w:color="auto" w:fill="auto"/>
            <w:hideMark/>
          </w:tcPr>
          <w:p w14:paraId="6E28249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41</w:t>
            </w:r>
          </w:p>
        </w:tc>
        <w:tc>
          <w:tcPr>
            <w:tcW w:w="1842" w:type="dxa"/>
            <w:shd w:val="clear" w:color="auto" w:fill="auto"/>
            <w:hideMark/>
          </w:tcPr>
          <w:p w14:paraId="150FFC1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686</w:t>
            </w:r>
          </w:p>
        </w:tc>
        <w:tc>
          <w:tcPr>
            <w:tcW w:w="1843" w:type="dxa"/>
            <w:shd w:val="clear" w:color="auto" w:fill="auto"/>
            <w:hideMark/>
          </w:tcPr>
          <w:p w14:paraId="2145B19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5,98</w:t>
            </w:r>
          </w:p>
        </w:tc>
      </w:tr>
      <w:tr w:rsidR="00EB5903" w:rsidRPr="00BE2E8F" w14:paraId="32A965CE" w14:textId="77777777" w:rsidTr="008B4897">
        <w:tc>
          <w:tcPr>
            <w:tcW w:w="1276" w:type="dxa"/>
            <w:shd w:val="clear" w:color="auto" w:fill="auto"/>
            <w:hideMark/>
          </w:tcPr>
          <w:p w14:paraId="49DCCC0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PB</w:t>
            </w:r>
          </w:p>
        </w:tc>
        <w:tc>
          <w:tcPr>
            <w:tcW w:w="2409" w:type="dxa"/>
            <w:shd w:val="clear" w:color="auto" w:fill="auto"/>
            <w:hideMark/>
          </w:tcPr>
          <w:p w14:paraId="368CA74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26</w:t>
            </w:r>
          </w:p>
        </w:tc>
        <w:tc>
          <w:tcPr>
            <w:tcW w:w="1842" w:type="dxa"/>
            <w:shd w:val="clear" w:color="auto" w:fill="auto"/>
            <w:hideMark/>
          </w:tcPr>
          <w:p w14:paraId="4CFAFEA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397</w:t>
            </w:r>
          </w:p>
        </w:tc>
        <w:tc>
          <w:tcPr>
            <w:tcW w:w="1843" w:type="dxa"/>
            <w:shd w:val="clear" w:color="auto" w:fill="auto"/>
            <w:hideMark/>
          </w:tcPr>
          <w:p w14:paraId="54072F2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6,55</w:t>
            </w:r>
          </w:p>
        </w:tc>
      </w:tr>
      <w:tr w:rsidR="00EB5903" w:rsidRPr="00BE2E8F" w14:paraId="06E0AD15" w14:textId="77777777" w:rsidTr="008B4897">
        <w:tc>
          <w:tcPr>
            <w:tcW w:w="1276" w:type="dxa"/>
            <w:shd w:val="clear" w:color="auto" w:fill="auto"/>
            <w:hideMark/>
          </w:tcPr>
          <w:p w14:paraId="27B359D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lastRenderedPageBreak/>
              <w:t>PE</w:t>
            </w:r>
          </w:p>
        </w:tc>
        <w:tc>
          <w:tcPr>
            <w:tcW w:w="2409" w:type="dxa"/>
            <w:shd w:val="clear" w:color="auto" w:fill="auto"/>
            <w:hideMark/>
          </w:tcPr>
          <w:p w14:paraId="268B5EC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50</w:t>
            </w:r>
          </w:p>
        </w:tc>
        <w:tc>
          <w:tcPr>
            <w:tcW w:w="1842" w:type="dxa"/>
            <w:shd w:val="clear" w:color="auto" w:fill="auto"/>
            <w:hideMark/>
          </w:tcPr>
          <w:p w14:paraId="4BC0F7C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878</w:t>
            </w:r>
          </w:p>
        </w:tc>
        <w:tc>
          <w:tcPr>
            <w:tcW w:w="1843" w:type="dxa"/>
            <w:shd w:val="clear" w:color="auto" w:fill="auto"/>
            <w:hideMark/>
          </w:tcPr>
          <w:p w14:paraId="44EE593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5,69</w:t>
            </w:r>
          </w:p>
        </w:tc>
      </w:tr>
      <w:tr w:rsidR="00EB5903" w:rsidRPr="00BE2E8F" w14:paraId="3709F19E" w14:textId="77777777" w:rsidTr="008B4897">
        <w:tc>
          <w:tcPr>
            <w:tcW w:w="1276" w:type="dxa"/>
            <w:shd w:val="clear" w:color="auto" w:fill="auto"/>
            <w:hideMark/>
          </w:tcPr>
          <w:p w14:paraId="745CB0E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PI</w:t>
            </w:r>
          </w:p>
        </w:tc>
        <w:tc>
          <w:tcPr>
            <w:tcW w:w="2409" w:type="dxa"/>
            <w:shd w:val="clear" w:color="auto" w:fill="auto"/>
            <w:hideMark/>
          </w:tcPr>
          <w:p w14:paraId="22FB898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w:t>
            </w:r>
          </w:p>
        </w:tc>
        <w:tc>
          <w:tcPr>
            <w:tcW w:w="1842" w:type="dxa"/>
            <w:shd w:val="clear" w:color="auto" w:fill="auto"/>
            <w:hideMark/>
          </w:tcPr>
          <w:p w14:paraId="26D8B4F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208</w:t>
            </w:r>
          </w:p>
        </w:tc>
        <w:tc>
          <w:tcPr>
            <w:tcW w:w="1843" w:type="dxa"/>
            <w:shd w:val="clear" w:color="auto" w:fill="auto"/>
            <w:hideMark/>
          </w:tcPr>
          <w:p w14:paraId="62A38A9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3,85</w:t>
            </w:r>
          </w:p>
        </w:tc>
      </w:tr>
      <w:tr w:rsidR="00EB5903" w:rsidRPr="00BE2E8F" w14:paraId="1FECE61A" w14:textId="77777777" w:rsidTr="008B4897">
        <w:tc>
          <w:tcPr>
            <w:tcW w:w="1276" w:type="dxa"/>
            <w:shd w:val="clear" w:color="auto" w:fill="auto"/>
            <w:hideMark/>
          </w:tcPr>
          <w:p w14:paraId="13871DE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PR</w:t>
            </w:r>
          </w:p>
        </w:tc>
        <w:tc>
          <w:tcPr>
            <w:tcW w:w="2409" w:type="dxa"/>
            <w:shd w:val="clear" w:color="auto" w:fill="auto"/>
            <w:hideMark/>
          </w:tcPr>
          <w:p w14:paraId="4193092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136</w:t>
            </w:r>
          </w:p>
        </w:tc>
        <w:tc>
          <w:tcPr>
            <w:tcW w:w="1842" w:type="dxa"/>
            <w:shd w:val="clear" w:color="auto" w:fill="auto"/>
            <w:hideMark/>
          </w:tcPr>
          <w:p w14:paraId="40D2D5A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3 201</w:t>
            </w:r>
          </w:p>
        </w:tc>
        <w:tc>
          <w:tcPr>
            <w:tcW w:w="1843" w:type="dxa"/>
            <w:shd w:val="clear" w:color="auto" w:fill="auto"/>
            <w:hideMark/>
          </w:tcPr>
          <w:p w14:paraId="735BB2F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4,25</w:t>
            </w:r>
          </w:p>
        </w:tc>
      </w:tr>
      <w:tr w:rsidR="00EB5903" w:rsidRPr="00BE2E8F" w14:paraId="1E3B57A9" w14:textId="77777777" w:rsidTr="008B4897">
        <w:tc>
          <w:tcPr>
            <w:tcW w:w="1276" w:type="dxa"/>
            <w:shd w:val="clear" w:color="auto" w:fill="auto"/>
            <w:hideMark/>
          </w:tcPr>
          <w:p w14:paraId="5E44346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RJ</w:t>
            </w:r>
          </w:p>
        </w:tc>
        <w:tc>
          <w:tcPr>
            <w:tcW w:w="2409" w:type="dxa"/>
            <w:shd w:val="clear" w:color="auto" w:fill="auto"/>
            <w:hideMark/>
          </w:tcPr>
          <w:p w14:paraId="799B662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168</w:t>
            </w:r>
          </w:p>
        </w:tc>
        <w:tc>
          <w:tcPr>
            <w:tcW w:w="1842" w:type="dxa"/>
            <w:shd w:val="clear" w:color="auto" w:fill="auto"/>
            <w:hideMark/>
          </w:tcPr>
          <w:p w14:paraId="59A9CC7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1 633</w:t>
            </w:r>
          </w:p>
        </w:tc>
        <w:tc>
          <w:tcPr>
            <w:tcW w:w="1843" w:type="dxa"/>
            <w:shd w:val="clear" w:color="auto" w:fill="auto"/>
            <w:hideMark/>
          </w:tcPr>
          <w:p w14:paraId="6216C2C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10,29</w:t>
            </w:r>
          </w:p>
        </w:tc>
      </w:tr>
      <w:tr w:rsidR="00EB5903" w:rsidRPr="00BE2E8F" w14:paraId="4745FBA3" w14:textId="77777777" w:rsidTr="008B4897">
        <w:tc>
          <w:tcPr>
            <w:tcW w:w="1276" w:type="dxa"/>
            <w:shd w:val="clear" w:color="auto" w:fill="auto"/>
            <w:hideMark/>
          </w:tcPr>
          <w:p w14:paraId="659EC28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RN</w:t>
            </w:r>
          </w:p>
        </w:tc>
        <w:tc>
          <w:tcPr>
            <w:tcW w:w="2409" w:type="dxa"/>
            <w:shd w:val="clear" w:color="auto" w:fill="auto"/>
            <w:hideMark/>
          </w:tcPr>
          <w:p w14:paraId="169A014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16</w:t>
            </w:r>
          </w:p>
        </w:tc>
        <w:tc>
          <w:tcPr>
            <w:tcW w:w="1842" w:type="dxa"/>
            <w:shd w:val="clear" w:color="auto" w:fill="auto"/>
            <w:hideMark/>
          </w:tcPr>
          <w:p w14:paraId="2D30A04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235</w:t>
            </w:r>
          </w:p>
        </w:tc>
        <w:tc>
          <w:tcPr>
            <w:tcW w:w="1843" w:type="dxa"/>
            <w:shd w:val="clear" w:color="auto" w:fill="auto"/>
            <w:hideMark/>
          </w:tcPr>
          <w:p w14:paraId="3D82355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6,81</w:t>
            </w:r>
          </w:p>
        </w:tc>
      </w:tr>
      <w:tr w:rsidR="00EB5903" w:rsidRPr="00BE2E8F" w14:paraId="11DD05D8" w14:textId="77777777" w:rsidTr="008B4897">
        <w:tc>
          <w:tcPr>
            <w:tcW w:w="1276" w:type="dxa"/>
            <w:shd w:val="clear" w:color="auto" w:fill="auto"/>
            <w:hideMark/>
          </w:tcPr>
          <w:p w14:paraId="62D387A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RO</w:t>
            </w:r>
          </w:p>
        </w:tc>
        <w:tc>
          <w:tcPr>
            <w:tcW w:w="2409" w:type="dxa"/>
            <w:shd w:val="clear" w:color="auto" w:fill="auto"/>
            <w:hideMark/>
          </w:tcPr>
          <w:p w14:paraId="68084A5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w:t>
            </w:r>
          </w:p>
        </w:tc>
        <w:tc>
          <w:tcPr>
            <w:tcW w:w="1842" w:type="dxa"/>
            <w:shd w:val="clear" w:color="auto" w:fill="auto"/>
            <w:hideMark/>
          </w:tcPr>
          <w:p w14:paraId="2119C82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227</w:t>
            </w:r>
          </w:p>
        </w:tc>
        <w:tc>
          <w:tcPr>
            <w:tcW w:w="1843" w:type="dxa"/>
            <w:shd w:val="clear" w:color="auto" w:fill="auto"/>
            <w:hideMark/>
          </w:tcPr>
          <w:p w14:paraId="7521198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8,81</w:t>
            </w:r>
          </w:p>
        </w:tc>
      </w:tr>
      <w:tr w:rsidR="00EB5903" w:rsidRPr="00BE2E8F" w14:paraId="3097ABF9" w14:textId="77777777" w:rsidTr="008B4897">
        <w:tc>
          <w:tcPr>
            <w:tcW w:w="1276" w:type="dxa"/>
            <w:shd w:val="clear" w:color="auto" w:fill="auto"/>
            <w:hideMark/>
          </w:tcPr>
          <w:p w14:paraId="6735F32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RR</w:t>
            </w:r>
          </w:p>
        </w:tc>
        <w:tc>
          <w:tcPr>
            <w:tcW w:w="2409" w:type="dxa"/>
            <w:shd w:val="clear" w:color="auto" w:fill="auto"/>
            <w:hideMark/>
          </w:tcPr>
          <w:p w14:paraId="1BBD13A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w:t>
            </w:r>
          </w:p>
        </w:tc>
        <w:tc>
          <w:tcPr>
            <w:tcW w:w="1842" w:type="dxa"/>
            <w:shd w:val="clear" w:color="auto" w:fill="auto"/>
            <w:hideMark/>
          </w:tcPr>
          <w:p w14:paraId="3FA7BF4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94</w:t>
            </w:r>
          </w:p>
        </w:tc>
        <w:tc>
          <w:tcPr>
            <w:tcW w:w="1843" w:type="dxa"/>
            <w:shd w:val="clear" w:color="auto" w:fill="auto"/>
            <w:hideMark/>
          </w:tcPr>
          <w:p w14:paraId="2161662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6,38</w:t>
            </w:r>
          </w:p>
        </w:tc>
      </w:tr>
      <w:tr w:rsidR="00EB5903" w:rsidRPr="00BE2E8F" w14:paraId="2B885B88" w14:textId="77777777" w:rsidTr="008B4897">
        <w:tc>
          <w:tcPr>
            <w:tcW w:w="1276" w:type="dxa"/>
            <w:shd w:val="clear" w:color="auto" w:fill="auto"/>
            <w:hideMark/>
          </w:tcPr>
          <w:p w14:paraId="45AD3AD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RS</w:t>
            </w:r>
          </w:p>
        </w:tc>
        <w:tc>
          <w:tcPr>
            <w:tcW w:w="2409" w:type="dxa"/>
            <w:shd w:val="clear" w:color="auto" w:fill="auto"/>
            <w:hideMark/>
          </w:tcPr>
          <w:p w14:paraId="21B6F33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249</w:t>
            </w:r>
          </w:p>
        </w:tc>
        <w:tc>
          <w:tcPr>
            <w:tcW w:w="1842" w:type="dxa"/>
            <w:shd w:val="clear" w:color="auto" w:fill="auto"/>
            <w:hideMark/>
          </w:tcPr>
          <w:p w14:paraId="029E60A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3 751</w:t>
            </w:r>
          </w:p>
        </w:tc>
        <w:tc>
          <w:tcPr>
            <w:tcW w:w="1843" w:type="dxa"/>
            <w:shd w:val="clear" w:color="auto" w:fill="auto"/>
            <w:hideMark/>
          </w:tcPr>
          <w:p w14:paraId="10EE92F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6,64</w:t>
            </w:r>
          </w:p>
        </w:tc>
      </w:tr>
      <w:tr w:rsidR="00EB5903" w:rsidRPr="00BE2E8F" w14:paraId="0CB15D51" w14:textId="77777777" w:rsidTr="008B4897">
        <w:tc>
          <w:tcPr>
            <w:tcW w:w="1276" w:type="dxa"/>
            <w:shd w:val="clear" w:color="auto" w:fill="auto"/>
            <w:hideMark/>
          </w:tcPr>
          <w:p w14:paraId="292C466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SC</w:t>
            </w:r>
          </w:p>
        </w:tc>
        <w:tc>
          <w:tcPr>
            <w:tcW w:w="2409" w:type="dxa"/>
            <w:shd w:val="clear" w:color="auto" w:fill="auto"/>
            <w:hideMark/>
          </w:tcPr>
          <w:p w14:paraId="22968B2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127</w:t>
            </w:r>
          </w:p>
        </w:tc>
        <w:tc>
          <w:tcPr>
            <w:tcW w:w="1842" w:type="dxa"/>
            <w:shd w:val="clear" w:color="auto" w:fill="auto"/>
            <w:hideMark/>
          </w:tcPr>
          <w:p w14:paraId="046542EB" w14:textId="51FCB778"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w:t>
            </w:r>
            <w:r w:rsidR="004F4759">
              <w:rPr>
                <w:sz w:val="18"/>
              </w:rPr>
              <w:t xml:space="preserve"> </w:t>
            </w:r>
            <w:r>
              <w:rPr>
                <w:sz w:val="18"/>
              </w:rPr>
              <w:t>611</w:t>
            </w:r>
          </w:p>
        </w:tc>
        <w:tc>
          <w:tcPr>
            <w:tcW w:w="1843" w:type="dxa"/>
            <w:shd w:val="clear" w:color="auto" w:fill="auto"/>
            <w:hideMark/>
          </w:tcPr>
          <w:p w14:paraId="3BC4EC7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7,88</w:t>
            </w:r>
          </w:p>
        </w:tc>
      </w:tr>
      <w:tr w:rsidR="00EB5903" w:rsidRPr="00BE2E8F" w14:paraId="57022110" w14:textId="77777777" w:rsidTr="008B4897">
        <w:tc>
          <w:tcPr>
            <w:tcW w:w="1276" w:type="dxa"/>
            <w:shd w:val="clear" w:color="auto" w:fill="auto"/>
            <w:hideMark/>
          </w:tcPr>
          <w:p w14:paraId="0B55A11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SE</w:t>
            </w:r>
          </w:p>
        </w:tc>
        <w:tc>
          <w:tcPr>
            <w:tcW w:w="2409" w:type="dxa"/>
            <w:shd w:val="clear" w:color="auto" w:fill="auto"/>
            <w:hideMark/>
          </w:tcPr>
          <w:p w14:paraId="6F12308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17</w:t>
            </w:r>
          </w:p>
        </w:tc>
        <w:tc>
          <w:tcPr>
            <w:tcW w:w="1842" w:type="dxa"/>
            <w:shd w:val="clear" w:color="auto" w:fill="auto"/>
            <w:hideMark/>
          </w:tcPr>
          <w:p w14:paraId="27DC427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321</w:t>
            </w:r>
          </w:p>
        </w:tc>
        <w:tc>
          <w:tcPr>
            <w:tcW w:w="1843" w:type="dxa"/>
            <w:shd w:val="clear" w:color="auto" w:fill="auto"/>
            <w:hideMark/>
          </w:tcPr>
          <w:p w14:paraId="47EFD66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5,30</w:t>
            </w:r>
          </w:p>
        </w:tc>
      </w:tr>
      <w:tr w:rsidR="00EB5903" w:rsidRPr="00BE2E8F" w14:paraId="01DD183C" w14:textId="77777777" w:rsidTr="008B4897">
        <w:tc>
          <w:tcPr>
            <w:tcW w:w="1276" w:type="dxa"/>
            <w:shd w:val="clear" w:color="auto" w:fill="auto"/>
            <w:hideMark/>
          </w:tcPr>
          <w:p w14:paraId="07BB3A4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SP</w:t>
            </w:r>
          </w:p>
        </w:tc>
        <w:tc>
          <w:tcPr>
            <w:tcW w:w="2409" w:type="dxa"/>
            <w:shd w:val="clear" w:color="auto" w:fill="auto"/>
            <w:hideMark/>
          </w:tcPr>
          <w:p w14:paraId="34B6A87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497</w:t>
            </w:r>
          </w:p>
        </w:tc>
        <w:tc>
          <w:tcPr>
            <w:tcW w:w="1842" w:type="dxa"/>
            <w:shd w:val="clear" w:color="auto" w:fill="auto"/>
            <w:hideMark/>
          </w:tcPr>
          <w:p w14:paraId="5E6A3A7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9 646</w:t>
            </w:r>
          </w:p>
        </w:tc>
        <w:tc>
          <w:tcPr>
            <w:tcW w:w="1843" w:type="dxa"/>
            <w:shd w:val="clear" w:color="auto" w:fill="auto"/>
            <w:hideMark/>
          </w:tcPr>
          <w:p w14:paraId="2C52DC6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5,15</w:t>
            </w:r>
          </w:p>
        </w:tc>
      </w:tr>
      <w:tr w:rsidR="00EB5903" w:rsidRPr="00BE2E8F" w14:paraId="2AF28797" w14:textId="77777777" w:rsidTr="008B4897">
        <w:tc>
          <w:tcPr>
            <w:tcW w:w="1276" w:type="dxa"/>
            <w:shd w:val="clear" w:color="auto" w:fill="auto"/>
            <w:hideMark/>
          </w:tcPr>
          <w:p w14:paraId="19F7629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TO</w:t>
            </w:r>
          </w:p>
        </w:tc>
        <w:tc>
          <w:tcPr>
            <w:tcW w:w="2409" w:type="dxa"/>
            <w:shd w:val="clear" w:color="auto" w:fill="auto"/>
            <w:hideMark/>
          </w:tcPr>
          <w:p w14:paraId="428E9F9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w:t>
            </w:r>
          </w:p>
        </w:tc>
        <w:tc>
          <w:tcPr>
            <w:tcW w:w="1842" w:type="dxa"/>
            <w:shd w:val="clear" w:color="auto" w:fill="auto"/>
            <w:hideMark/>
          </w:tcPr>
          <w:p w14:paraId="748E299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110</w:t>
            </w:r>
          </w:p>
        </w:tc>
        <w:tc>
          <w:tcPr>
            <w:tcW w:w="1843" w:type="dxa"/>
            <w:shd w:val="clear" w:color="auto" w:fill="auto"/>
            <w:hideMark/>
          </w:tcPr>
          <w:p w14:paraId="0CDD903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3,64</w:t>
            </w:r>
          </w:p>
        </w:tc>
      </w:tr>
    </w:tbl>
    <w:p w14:paraId="35487E21" w14:textId="77777777" w:rsidR="00EB5903" w:rsidRPr="00BE2E8F" w:rsidRDefault="00EB5903" w:rsidP="00EB5903">
      <w:pPr>
        <w:pStyle w:val="H1G"/>
      </w:pPr>
      <w:bookmarkStart w:id="6" w:name="_Hlk192082322"/>
      <w:r>
        <w:tab/>
      </w:r>
      <w:r>
        <w:tab/>
        <w:t xml:space="preserve">Réponse au paragraphe 18 c) de la liste de points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843"/>
        <w:gridCol w:w="1843"/>
        <w:gridCol w:w="1983"/>
      </w:tblGrid>
      <w:tr w:rsidR="00EB5903" w:rsidRPr="00BE2E8F" w14:paraId="7454ED1C" w14:textId="77777777" w:rsidTr="008B4897">
        <w:trPr>
          <w:tblHeader/>
        </w:trPr>
        <w:tc>
          <w:tcPr>
            <w:tcW w:w="1701" w:type="dxa"/>
            <w:tcBorders>
              <w:top w:val="single" w:sz="4" w:space="0" w:color="auto"/>
              <w:bottom w:val="single" w:sz="12" w:space="0" w:color="auto"/>
            </w:tcBorders>
            <w:shd w:val="clear" w:color="auto" w:fill="auto"/>
            <w:vAlign w:val="bottom"/>
            <w:hideMark/>
          </w:tcPr>
          <w:bookmarkEnd w:id="6"/>
          <w:p w14:paraId="391B7C66"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Unité fédérative</w:t>
            </w:r>
          </w:p>
        </w:tc>
        <w:tc>
          <w:tcPr>
            <w:tcW w:w="1843" w:type="dxa"/>
            <w:tcBorders>
              <w:top w:val="single" w:sz="4" w:space="0" w:color="auto"/>
              <w:bottom w:val="single" w:sz="12" w:space="0" w:color="auto"/>
            </w:tcBorders>
            <w:shd w:val="clear" w:color="auto" w:fill="auto"/>
            <w:vAlign w:val="bottom"/>
            <w:hideMark/>
          </w:tcPr>
          <w:p w14:paraId="6E8028AC" w14:textId="1876D4FE"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 xml:space="preserve">Nombre d’inscriptions </w:t>
            </w:r>
            <w:r w:rsidR="008E4BE9">
              <w:rPr>
                <w:i/>
                <w:sz w:val="16"/>
              </w:rPr>
              <w:br/>
            </w:r>
            <w:r>
              <w:rPr>
                <w:i/>
                <w:sz w:val="16"/>
              </w:rPr>
              <w:t>de personnes handicapées</w:t>
            </w:r>
          </w:p>
        </w:tc>
        <w:tc>
          <w:tcPr>
            <w:tcW w:w="1843" w:type="dxa"/>
            <w:tcBorders>
              <w:top w:val="single" w:sz="4" w:space="0" w:color="auto"/>
              <w:bottom w:val="single" w:sz="12" w:space="0" w:color="auto"/>
            </w:tcBorders>
            <w:shd w:val="clear" w:color="auto" w:fill="auto"/>
            <w:vAlign w:val="bottom"/>
            <w:hideMark/>
          </w:tcPr>
          <w:p w14:paraId="45A54399" w14:textId="0031FB00"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 xml:space="preserve">Nombre d’inscriptions </w:t>
            </w:r>
            <w:r w:rsidR="008E4BE9">
              <w:rPr>
                <w:i/>
                <w:sz w:val="16"/>
              </w:rPr>
              <w:br/>
            </w:r>
            <w:r>
              <w:rPr>
                <w:i/>
                <w:sz w:val="16"/>
              </w:rPr>
              <w:t>dans l’éducation de base</w:t>
            </w:r>
          </w:p>
        </w:tc>
        <w:tc>
          <w:tcPr>
            <w:tcW w:w="1983" w:type="dxa"/>
            <w:tcBorders>
              <w:top w:val="single" w:sz="4" w:space="0" w:color="auto"/>
              <w:bottom w:val="single" w:sz="12" w:space="0" w:color="auto"/>
            </w:tcBorders>
            <w:shd w:val="clear" w:color="auto" w:fill="auto"/>
            <w:vAlign w:val="bottom"/>
            <w:hideMark/>
          </w:tcPr>
          <w:p w14:paraId="701F1AD2" w14:textId="1CAC0286"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Pourcentage d’inscriptions d’enfants handicapés dans</w:t>
            </w:r>
            <w:r w:rsidR="008E4BE9">
              <w:rPr>
                <w:i/>
                <w:sz w:val="16"/>
              </w:rPr>
              <w:t> </w:t>
            </w:r>
            <w:r>
              <w:rPr>
                <w:i/>
                <w:sz w:val="16"/>
              </w:rPr>
              <w:t>l’éducation de base</w:t>
            </w:r>
          </w:p>
        </w:tc>
      </w:tr>
      <w:tr w:rsidR="00EB5903" w:rsidRPr="00BE2E8F" w14:paraId="30A1225C" w14:textId="77777777" w:rsidTr="008B4897">
        <w:trPr>
          <w:trHeight w:hRule="exact" w:val="113"/>
          <w:tblHeader/>
        </w:trPr>
        <w:tc>
          <w:tcPr>
            <w:tcW w:w="1701" w:type="dxa"/>
            <w:tcBorders>
              <w:top w:val="single" w:sz="12" w:space="0" w:color="auto"/>
              <w:bottom w:val="nil"/>
            </w:tcBorders>
            <w:shd w:val="clear" w:color="auto" w:fill="auto"/>
            <w:vAlign w:val="bottom"/>
          </w:tcPr>
          <w:p w14:paraId="79195111"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p>
        </w:tc>
        <w:tc>
          <w:tcPr>
            <w:tcW w:w="1843" w:type="dxa"/>
            <w:tcBorders>
              <w:top w:val="single" w:sz="12" w:space="0" w:color="auto"/>
              <w:bottom w:val="nil"/>
            </w:tcBorders>
            <w:shd w:val="clear" w:color="auto" w:fill="auto"/>
            <w:vAlign w:val="bottom"/>
          </w:tcPr>
          <w:p w14:paraId="5B47E9CB"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p>
        </w:tc>
        <w:tc>
          <w:tcPr>
            <w:tcW w:w="1843" w:type="dxa"/>
            <w:tcBorders>
              <w:top w:val="single" w:sz="12" w:space="0" w:color="auto"/>
              <w:bottom w:val="nil"/>
            </w:tcBorders>
            <w:shd w:val="clear" w:color="auto" w:fill="auto"/>
            <w:vAlign w:val="bottom"/>
          </w:tcPr>
          <w:p w14:paraId="70E0EAE2"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p>
        </w:tc>
        <w:tc>
          <w:tcPr>
            <w:tcW w:w="1983" w:type="dxa"/>
            <w:tcBorders>
              <w:top w:val="single" w:sz="12" w:space="0" w:color="auto"/>
              <w:bottom w:val="nil"/>
            </w:tcBorders>
            <w:shd w:val="clear" w:color="auto" w:fill="auto"/>
            <w:vAlign w:val="bottom"/>
          </w:tcPr>
          <w:p w14:paraId="7F9FCDA5"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p>
        </w:tc>
      </w:tr>
      <w:tr w:rsidR="00EB5903" w:rsidRPr="00BE2E8F" w14:paraId="1976A675" w14:textId="77777777" w:rsidTr="008B4897">
        <w:tc>
          <w:tcPr>
            <w:tcW w:w="1701" w:type="dxa"/>
            <w:tcBorders>
              <w:top w:val="nil"/>
            </w:tcBorders>
            <w:shd w:val="clear" w:color="auto" w:fill="auto"/>
            <w:hideMark/>
          </w:tcPr>
          <w:p w14:paraId="30B0012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Acre </w:t>
            </w:r>
          </w:p>
        </w:tc>
        <w:tc>
          <w:tcPr>
            <w:tcW w:w="1843" w:type="dxa"/>
            <w:tcBorders>
              <w:top w:val="nil"/>
            </w:tcBorders>
            <w:shd w:val="clear" w:color="auto" w:fill="auto"/>
            <w:vAlign w:val="bottom"/>
            <w:hideMark/>
          </w:tcPr>
          <w:p w14:paraId="6B293E4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17 661</w:t>
            </w:r>
          </w:p>
        </w:tc>
        <w:tc>
          <w:tcPr>
            <w:tcW w:w="1843" w:type="dxa"/>
            <w:tcBorders>
              <w:top w:val="nil"/>
            </w:tcBorders>
            <w:shd w:val="clear" w:color="auto" w:fill="auto"/>
            <w:vAlign w:val="bottom"/>
            <w:hideMark/>
          </w:tcPr>
          <w:p w14:paraId="28475FC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253 918</w:t>
            </w:r>
          </w:p>
        </w:tc>
        <w:tc>
          <w:tcPr>
            <w:tcW w:w="1983" w:type="dxa"/>
            <w:tcBorders>
              <w:top w:val="nil"/>
            </w:tcBorders>
            <w:shd w:val="clear" w:color="auto" w:fill="auto"/>
            <w:vAlign w:val="bottom"/>
            <w:hideMark/>
          </w:tcPr>
          <w:p w14:paraId="5532D08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7,00 %</w:t>
            </w:r>
          </w:p>
        </w:tc>
      </w:tr>
      <w:tr w:rsidR="00EB5903" w:rsidRPr="00BE2E8F" w14:paraId="51D4E30C" w14:textId="77777777" w:rsidTr="008B4897">
        <w:tc>
          <w:tcPr>
            <w:tcW w:w="1701" w:type="dxa"/>
            <w:shd w:val="clear" w:color="auto" w:fill="auto"/>
            <w:hideMark/>
          </w:tcPr>
          <w:p w14:paraId="77DCA10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Alagoas </w:t>
            </w:r>
          </w:p>
        </w:tc>
        <w:tc>
          <w:tcPr>
            <w:tcW w:w="1843" w:type="dxa"/>
            <w:shd w:val="clear" w:color="auto" w:fill="auto"/>
            <w:vAlign w:val="bottom"/>
            <w:hideMark/>
          </w:tcPr>
          <w:p w14:paraId="661B8C0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34 145</w:t>
            </w:r>
          </w:p>
        </w:tc>
        <w:tc>
          <w:tcPr>
            <w:tcW w:w="1843" w:type="dxa"/>
            <w:shd w:val="clear" w:color="auto" w:fill="auto"/>
            <w:vAlign w:val="bottom"/>
            <w:hideMark/>
          </w:tcPr>
          <w:p w14:paraId="49D7986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891 409</w:t>
            </w:r>
          </w:p>
        </w:tc>
        <w:tc>
          <w:tcPr>
            <w:tcW w:w="1983" w:type="dxa"/>
            <w:shd w:val="clear" w:color="auto" w:fill="auto"/>
            <w:vAlign w:val="bottom"/>
            <w:hideMark/>
          </w:tcPr>
          <w:p w14:paraId="6EFF43B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3,80 %</w:t>
            </w:r>
          </w:p>
        </w:tc>
      </w:tr>
      <w:tr w:rsidR="00EB5903" w:rsidRPr="00BE2E8F" w14:paraId="34F5EFE1" w14:textId="77777777" w:rsidTr="008B4897">
        <w:tc>
          <w:tcPr>
            <w:tcW w:w="1701" w:type="dxa"/>
            <w:shd w:val="clear" w:color="auto" w:fill="auto"/>
            <w:hideMark/>
          </w:tcPr>
          <w:p w14:paraId="6F17260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Amapá </w:t>
            </w:r>
          </w:p>
        </w:tc>
        <w:tc>
          <w:tcPr>
            <w:tcW w:w="1843" w:type="dxa"/>
            <w:shd w:val="clear" w:color="auto" w:fill="auto"/>
            <w:vAlign w:val="bottom"/>
            <w:hideMark/>
          </w:tcPr>
          <w:p w14:paraId="661B2FF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9 874</w:t>
            </w:r>
          </w:p>
        </w:tc>
        <w:tc>
          <w:tcPr>
            <w:tcW w:w="1843" w:type="dxa"/>
            <w:shd w:val="clear" w:color="auto" w:fill="auto"/>
            <w:vAlign w:val="bottom"/>
            <w:hideMark/>
          </w:tcPr>
          <w:p w14:paraId="3C0AF00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213 345</w:t>
            </w:r>
          </w:p>
        </w:tc>
        <w:tc>
          <w:tcPr>
            <w:tcW w:w="1983" w:type="dxa"/>
            <w:shd w:val="clear" w:color="auto" w:fill="auto"/>
            <w:vAlign w:val="bottom"/>
            <w:hideMark/>
          </w:tcPr>
          <w:p w14:paraId="0AA69D8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4,60 %</w:t>
            </w:r>
          </w:p>
        </w:tc>
      </w:tr>
      <w:tr w:rsidR="00EB5903" w:rsidRPr="00BE2E8F" w14:paraId="2F7F1EC1" w14:textId="77777777" w:rsidTr="008B4897">
        <w:tc>
          <w:tcPr>
            <w:tcW w:w="1701" w:type="dxa"/>
            <w:shd w:val="clear" w:color="auto" w:fill="auto"/>
            <w:hideMark/>
          </w:tcPr>
          <w:p w14:paraId="5A00482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Amazonas </w:t>
            </w:r>
          </w:p>
        </w:tc>
        <w:tc>
          <w:tcPr>
            <w:tcW w:w="1843" w:type="dxa"/>
            <w:shd w:val="clear" w:color="auto" w:fill="auto"/>
            <w:vAlign w:val="bottom"/>
            <w:hideMark/>
          </w:tcPr>
          <w:p w14:paraId="57DDE47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28 830</w:t>
            </w:r>
          </w:p>
        </w:tc>
        <w:tc>
          <w:tcPr>
            <w:tcW w:w="1843" w:type="dxa"/>
            <w:shd w:val="clear" w:color="auto" w:fill="auto"/>
            <w:vAlign w:val="bottom"/>
            <w:hideMark/>
          </w:tcPr>
          <w:p w14:paraId="7692048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1 149 598</w:t>
            </w:r>
          </w:p>
        </w:tc>
        <w:tc>
          <w:tcPr>
            <w:tcW w:w="1983" w:type="dxa"/>
            <w:shd w:val="clear" w:color="auto" w:fill="auto"/>
            <w:vAlign w:val="bottom"/>
            <w:hideMark/>
          </w:tcPr>
          <w:p w14:paraId="5AC415A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2,50 %</w:t>
            </w:r>
          </w:p>
        </w:tc>
      </w:tr>
      <w:tr w:rsidR="00EB5903" w:rsidRPr="00BE2E8F" w14:paraId="4361DBAB" w14:textId="77777777" w:rsidTr="008B4897">
        <w:tc>
          <w:tcPr>
            <w:tcW w:w="1701" w:type="dxa"/>
            <w:shd w:val="clear" w:color="auto" w:fill="auto"/>
            <w:hideMark/>
          </w:tcPr>
          <w:p w14:paraId="3ACB945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Bahia </w:t>
            </w:r>
          </w:p>
        </w:tc>
        <w:tc>
          <w:tcPr>
            <w:tcW w:w="1843" w:type="dxa"/>
            <w:shd w:val="clear" w:color="auto" w:fill="auto"/>
            <w:vAlign w:val="bottom"/>
            <w:hideMark/>
          </w:tcPr>
          <w:p w14:paraId="2F070A0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158 699</w:t>
            </w:r>
          </w:p>
        </w:tc>
        <w:tc>
          <w:tcPr>
            <w:tcW w:w="1843" w:type="dxa"/>
            <w:shd w:val="clear" w:color="auto" w:fill="auto"/>
            <w:vAlign w:val="bottom"/>
            <w:hideMark/>
          </w:tcPr>
          <w:p w14:paraId="3C1967E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3 440 528</w:t>
            </w:r>
          </w:p>
        </w:tc>
        <w:tc>
          <w:tcPr>
            <w:tcW w:w="1983" w:type="dxa"/>
            <w:shd w:val="clear" w:color="auto" w:fill="auto"/>
            <w:vAlign w:val="bottom"/>
            <w:hideMark/>
          </w:tcPr>
          <w:p w14:paraId="35B3877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4,60 %</w:t>
            </w:r>
          </w:p>
        </w:tc>
      </w:tr>
      <w:tr w:rsidR="00EB5903" w:rsidRPr="00BE2E8F" w14:paraId="60B1910F" w14:textId="77777777" w:rsidTr="008B4897">
        <w:tc>
          <w:tcPr>
            <w:tcW w:w="1701" w:type="dxa"/>
            <w:shd w:val="clear" w:color="auto" w:fill="auto"/>
            <w:hideMark/>
          </w:tcPr>
          <w:p w14:paraId="1C35025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Ceará </w:t>
            </w:r>
          </w:p>
        </w:tc>
        <w:tc>
          <w:tcPr>
            <w:tcW w:w="1843" w:type="dxa"/>
            <w:shd w:val="clear" w:color="auto" w:fill="auto"/>
            <w:vAlign w:val="bottom"/>
            <w:hideMark/>
          </w:tcPr>
          <w:p w14:paraId="38A8A26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97 767</w:t>
            </w:r>
          </w:p>
        </w:tc>
        <w:tc>
          <w:tcPr>
            <w:tcW w:w="1843" w:type="dxa"/>
            <w:shd w:val="clear" w:color="auto" w:fill="auto"/>
            <w:vAlign w:val="bottom"/>
            <w:hideMark/>
          </w:tcPr>
          <w:p w14:paraId="386BCDA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2 136 831</w:t>
            </w:r>
          </w:p>
        </w:tc>
        <w:tc>
          <w:tcPr>
            <w:tcW w:w="1983" w:type="dxa"/>
            <w:shd w:val="clear" w:color="auto" w:fill="auto"/>
            <w:vAlign w:val="bottom"/>
            <w:hideMark/>
          </w:tcPr>
          <w:p w14:paraId="1ABD069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4,60 %</w:t>
            </w:r>
          </w:p>
        </w:tc>
      </w:tr>
      <w:tr w:rsidR="00EB5903" w:rsidRPr="00BE2E8F" w14:paraId="7ED97AF4" w14:textId="77777777" w:rsidTr="008B4897">
        <w:tc>
          <w:tcPr>
            <w:tcW w:w="1701" w:type="dxa"/>
            <w:shd w:val="clear" w:color="auto" w:fill="auto"/>
            <w:hideMark/>
          </w:tcPr>
          <w:p w14:paraId="1716E8F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Distrito</w:t>
            </w:r>
            <w:proofErr w:type="spellEnd"/>
            <w:r>
              <w:rPr>
                <w:sz w:val="18"/>
              </w:rPr>
              <w:t xml:space="preserve"> </w:t>
            </w:r>
            <w:proofErr w:type="spellStart"/>
            <w:r>
              <w:rPr>
                <w:sz w:val="18"/>
              </w:rPr>
              <w:t>Federal</w:t>
            </w:r>
            <w:proofErr w:type="spellEnd"/>
            <w:r>
              <w:rPr>
                <w:sz w:val="18"/>
              </w:rPr>
              <w:t> </w:t>
            </w:r>
          </w:p>
        </w:tc>
        <w:tc>
          <w:tcPr>
            <w:tcW w:w="1843" w:type="dxa"/>
            <w:shd w:val="clear" w:color="auto" w:fill="auto"/>
            <w:vAlign w:val="bottom"/>
            <w:hideMark/>
          </w:tcPr>
          <w:p w14:paraId="64F4BAA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20 932</w:t>
            </w:r>
          </w:p>
        </w:tc>
        <w:tc>
          <w:tcPr>
            <w:tcW w:w="1843" w:type="dxa"/>
            <w:shd w:val="clear" w:color="auto" w:fill="auto"/>
            <w:vAlign w:val="bottom"/>
            <w:hideMark/>
          </w:tcPr>
          <w:p w14:paraId="1BAA625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638 077</w:t>
            </w:r>
          </w:p>
        </w:tc>
        <w:tc>
          <w:tcPr>
            <w:tcW w:w="1983" w:type="dxa"/>
            <w:shd w:val="clear" w:color="auto" w:fill="auto"/>
            <w:vAlign w:val="bottom"/>
            <w:hideMark/>
          </w:tcPr>
          <w:p w14:paraId="728BF8E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3,30 %</w:t>
            </w:r>
          </w:p>
        </w:tc>
      </w:tr>
      <w:tr w:rsidR="00EB5903" w:rsidRPr="00BE2E8F" w14:paraId="0A024FC2" w14:textId="77777777" w:rsidTr="008B4897">
        <w:tc>
          <w:tcPr>
            <w:tcW w:w="1701" w:type="dxa"/>
            <w:tcBorders>
              <w:bottom w:val="nil"/>
            </w:tcBorders>
            <w:shd w:val="clear" w:color="auto" w:fill="auto"/>
            <w:hideMark/>
          </w:tcPr>
          <w:p w14:paraId="784EE15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Espírito</w:t>
            </w:r>
            <w:proofErr w:type="spellEnd"/>
            <w:r>
              <w:rPr>
                <w:sz w:val="18"/>
              </w:rPr>
              <w:t xml:space="preserve"> Santo </w:t>
            </w:r>
          </w:p>
        </w:tc>
        <w:tc>
          <w:tcPr>
            <w:tcW w:w="1843" w:type="dxa"/>
            <w:tcBorders>
              <w:bottom w:val="nil"/>
            </w:tcBorders>
            <w:shd w:val="clear" w:color="auto" w:fill="auto"/>
            <w:vAlign w:val="bottom"/>
            <w:hideMark/>
          </w:tcPr>
          <w:p w14:paraId="0527CCC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42 878</w:t>
            </w:r>
          </w:p>
        </w:tc>
        <w:tc>
          <w:tcPr>
            <w:tcW w:w="1843" w:type="dxa"/>
            <w:tcBorders>
              <w:bottom w:val="nil"/>
            </w:tcBorders>
            <w:shd w:val="clear" w:color="auto" w:fill="auto"/>
            <w:vAlign w:val="bottom"/>
            <w:hideMark/>
          </w:tcPr>
          <w:p w14:paraId="62E8BA9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870 274</w:t>
            </w:r>
          </w:p>
        </w:tc>
        <w:tc>
          <w:tcPr>
            <w:tcW w:w="1983" w:type="dxa"/>
            <w:tcBorders>
              <w:bottom w:val="nil"/>
            </w:tcBorders>
            <w:shd w:val="clear" w:color="auto" w:fill="auto"/>
            <w:vAlign w:val="bottom"/>
            <w:hideMark/>
          </w:tcPr>
          <w:p w14:paraId="154B6F8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4,90 %</w:t>
            </w:r>
          </w:p>
        </w:tc>
      </w:tr>
      <w:tr w:rsidR="00EB5903" w:rsidRPr="00BE2E8F" w14:paraId="52DBF16E" w14:textId="77777777" w:rsidTr="008B4897">
        <w:tc>
          <w:tcPr>
            <w:tcW w:w="1701" w:type="dxa"/>
            <w:tcBorders>
              <w:top w:val="nil"/>
              <w:bottom w:val="nil"/>
            </w:tcBorders>
            <w:shd w:val="clear" w:color="auto" w:fill="auto"/>
            <w:hideMark/>
          </w:tcPr>
          <w:p w14:paraId="15BA846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Goiás </w:t>
            </w:r>
          </w:p>
        </w:tc>
        <w:tc>
          <w:tcPr>
            <w:tcW w:w="1843" w:type="dxa"/>
            <w:tcBorders>
              <w:top w:val="nil"/>
              <w:bottom w:val="nil"/>
            </w:tcBorders>
            <w:shd w:val="clear" w:color="auto" w:fill="auto"/>
            <w:vAlign w:val="bottom"/>
            <w:hideMark/>
          </w:tcPr>
          <w:p w14:paraId="2F76C68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60 718</w:t>
            </w:r>
          </w:p>
        </w:tc>
        <w:tc>
          <w:tcPr>
            <w:tcW w:w="1843" w:type="dxa"/>
            <w:tcBorders>
              <w:top w:val="nil"/>
              <w:bottom w:val="nil"/>
            </w:tcBorders>
            <w:shd w:val="clear" w:color="auto" w:fill="auto"/>
            <w:vAlign w:val="bottom"/>
            <w:hideMark/>
          </w:tcPr>
          <w:p w14:paraId="7AAAF1B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1 462 739</w:t>
            </w:r>
          </w:p>
        </w:tc>
        <w:tc>
          <w:tcPr>
            <w:tcW w:w="1983" w:type="dxa"/>
            <w:tcBorders>
              <w:top w:val="nil"/>
              <w:bottom w:val="nil"/>
            </w:tcBorders>
            <w:shd w:val="clear" w:color="auto" w:fill="auto"/>
            <w:vAlign w:val="bottom"/>
            <w:hideMark/>
          </w:tcPr>
          <w:p w14:paraId="0B08276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4,20 %</w:t>
            </w:r>
          </w:p>
        </w:tc>
      </w:tr>
      <w:tr w:rsidR="00EB5903" w:rsidRPr="00BE2E8F" w14:paraId="763BBB75" w14:textId="77777777" w:rsidTr="008B4897">
        <w:tc>
          <w:tcPr>
            <w:tcW w:w="1701" w:type="dxa"/>
            <w:tcBorders>
              <w:top w:val="nil"/>
              <w:bottom w:val="nil"/>
            </w:tcBorders>
            <w:shd w:val="clear" w:color="auto" w:fill="auto"/>
            <w:hideMark/>
          </w:tcPr>
          <w:p w14:paraId="5AC9FB7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Maranhão </w:t>
            </w:r>
          </w:p>
        </w:tc>
        <w:tc>
          <w:tcPr>
            <w:tcW w:w="1843" w:type="dxa"/>
            <w:tcBorders>
              <w:top w:val="nil"/>
              <w:bottom w:val="nil"/>
            </w:tcBorders>
            <w:shd w:val="clear" w:color="auto" w:fill="auto"/>
            <w:vAlign w:val="bottom"/>
            <w:hideMark/>
          </w:tcPr>
          <w:p w14:paraId="11C0599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62 482</w:t>
            </w:r>
          </w:p>
        </w:tc>
        <w:tc>
          <w:tcPr>
            <w:tcW w:w="1843" w:type="dxa"/>
            <w:tcBorders>
              <w:top w:val="nil"/>
              <w:bottom w:val="nil"/>
            </w:tcBorders>
            <w:shd w:val="clear" w:color="auto" w:fill="auto"/>
            <w:vAlign w:val="bottom"/>
            <w:hideMark/>
          </w:tcPr>
          <w:p w14:paraId="1B3A0ED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1 920 497</w:t>
            </w:r>
          </w:p>
        </w:tc>
        <w:tc>
          <w:tcPr>
            <w:tcW w:w="1983" w:type="dxa"/>
            <w:tcBorders>
              <w:top w:val="nil"/>
              <w:bottom w:val="nil"/>
            </w:tcBorders>
            <w:shd w:val="clear" w:color="auto" w:fill="auto"/>
            <w:vAlign w:val="bottom"/>
            <w:hideMark/>
          </w:tcPr>
          <w:p w14:paraId="1D58E45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3,30 %</w:t>
            </w:r>
          </w:p>
        </w:tc>
      </w:tr>
      <w:tr w:rsidR="00EB5903" w:rsidRPr="00BE2E8F" w14:paraId="65FA2D25" w14:textId="77777777" w:rsidTr="008B4897">
        <w:tc>
          <w:tcPr>
            <w:tcW w:w="1701" w:type="dxa"/>
            <w:tcBorders>
              <w:top w:val="nil"/>
            </w:tcBorders>
            <w:shd w:val="clear" w:color="auto" w:fill="auto"/>
            <w:hideMark/>
          </w:tcPr>
          <w:p w14:paraId="6C93750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Mato Grosso </w:t>
            </w:r>
          </w:p>
        </w:tc>
        <w:tc>
          <w:tcPr>
            <w:tcW w:w="1843" w:type="dxa"/>
            <w:tcBorders>
              <w:top w:val="nil"/>
            </w:tcBorders>
            <w:shd w:val="clear" w:color="auto" w:fill="auto"/>
            <w:vAlign w:val="bottom"/>
            <w:hideMark/>
          </w:tcPr>
          <w:p w14:paraId="6FFCB12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31 207</w:t>
            </w:r>
          </w:p>
        </w:tc>
        <w:tc>
          <w:tcPr>
            <w:tcW w:w="1843" w:type="dxa"/>
            <w:tcBorders>
              <w:top w:val="nil"/>
            </w:tcBorders>
            <w:shd w:val="clear" w:color="auto" w:fill="auto"/>
            <w:vAlign w:val="bottom"/>
            <w:hideMark/>
          </w:tcPr>
          <w:p w14:paraId="4C2526D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894 290</w:t>
            </w:r>
          </w:p>
        </w:tc>
        <w:tc>
          <w:tcPr>
            <w:tcW w:w="1983" w:type="dxa"/>
            <w:tcBorders>
              <w:top w:val="nil"/>
            </w:tcBorders>
            <w:shd w:val="clear" w:color="auto" w:fill="auto"/>
            <w:vAlign w:val="bottom"/>
            <w:hideMark/>
          </w:tcPr>
          <w:p w14:paraId="4850FCA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3,50 %</w:t>
            </w:r>
          </w:p>
        </w:tc>
      </w:tr>
      <w:tr w:rsidR="00EB5903" w:rsidRPr="00BE2E8F" w14:paraId="4E52D1D1" w14:textId="77777777" w:rsidTr="008B4897">
        <w:tc>
          <w:tcPr>
            <w:tcW w:w="1701" w:type="dxa"/>
            <w:shd w:val="clear" w:color="auto" w:fill="auto"/>
            <w:hideMark/>
          </w:tcPr>
          <w:p w14:paraId="49A2DC6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Mato Grosso do Sul </w:t>
            </w:r>
          </w:p>
        </w:tc>
        <w:tc>
          <w:tcPr>
            <w:tcW w:w="1843" w:type="dxa"/>
            <w:shd w:val="clear" w:color="auto" w:fill="auto"/>
            <w:vAlign w:val="bottom"/>
            <w:hideMark/>
          </w:tcPr>
          <w:p w14:paraId="07EE2DD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26 155</w:t>
            </w:r>
          </w:p>
        </w:tc>
        <w:tc>
          <w:tcPr>
            <w:tcW w:w="1843" w:type="dxa"/>
            <w:shd w:val="clear" w:color="auto" w:fill="auto"/>
            <w:vAlign w:val="bottom"/>
            <w:hideMark/>
          </w:tcPr>
          <w:p w14:paraId="5761637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677 170</w:t>
            </w:r>
          </w:p>
        </w:tc>
        <w:tc>
          <w:tcPr>
            <w:tcW w:w="1983" w:type="dxa"/>
            <w:shd w:val="clear" w:color="auto" w:fill="auto"/>
            <w:vAlign w:val="bottom"/>
            <w:hideMark/>
          </w:tcPr>
          <w:p w14:paraId="4E31248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3,90 %</w:t>
            </w:r>
          </w:p>
        </w:tc>
      </w:tr>
      <w:tr w:rsidR="00EB5903" w:rsidRPr="00BE2E8F" w14:paraId="7DCF14F2" w14:textId="77777777" w:rsidTr="008B4897">
        <w:tc>
          <w:tcPr>
            <w:tcW w:w="1701" w:type="dxa"/>
            <w:shd w:val="clear" w:color="auto" w:fill="auto"/>
            <w:hideMark/>
          </w:tcPr>
          <w:p w14:paraId="5A480E0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Minas Gerais </w:t>
            </w:r>
          </w:p>
        </w:tc>
        <w:tc>
          <w:tcPr>
            <w:tcW w:w="1843" w:type="dxa"/>
            <w:shd w:val="clear" w:color="auto" w:fill="auto"/>
            <w:vAlign w:val="bottom"/>
            <w:hideMark/>
          </w:tcPr>
          <w:p w14:paraId="194FDB5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174 109</w:t>
            </w:r>
          </w:p>
        </w:tc>
        <w:tc>
          <w:tcPr>
            <w:tcW w:w="1843" w:type="dxa"/>
            <w:shd w:val="clear" w:color="auto" w:fill="auto"/>
            <w:vAlign w:val="bottom"/>
            <w:hideMark/>
          </w:tcPr>
          <w:p w14:paraId="279F8C6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4 310 112</w:t>
            </w:r>
          </w:p>
        </w:tc>
        <w:tc>
          <w:tcPr>
            <w:tcW w:w="1983" w:type="dxa"/>
            <w:shd w:val="clear" w:color="auto" w:fill="auto"/>
            <w:vAlign w:val="bottom"/>
            <w:hideMark/>
          </w:tcPr>
          <w:p w14:paraId="2EDA0A6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4,00 %</w:t>
            </w:r>
          </w:p>
        </w:tc>
      </w:tr>
      <w:tr w:rsidR="00EB5903" w:rsidRPr="00BE2E8F" w14:paraId="54F7E499" w14:textId="77777777" w:rsidTr="008B4897">
        <w:tc>
          <w:tcPr>
            <w:tcW w:w="1701" w:type="dxa"/>
            <w:shd w:val="clear" w:color="auto" w:fill="auto"/>
            <w:hideMark/>
          </w:tcPr>
          <w:p w14:paraId="0C6372D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Pará </w:t>
            </w:r>
          </w:p>
        </w:tc>
        <w:tc>
          <w:tcPr>
            <w:tcW w:w="1843" w:type="dxa"/>
            <w:shd w:val="clear" w:color="auto" w:fill="auto"/>
            <w:vAlign w:val="bottom"/>
            <w:hideMark/>
          </w:tcPr>
          <w:p w14:paraId="5E395D5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71 269</w:t>
            </w:r>
          </w:p>
        </w:tc>
        <w:tc>
          <w:tcPr>
            <w:tcW w:w="1843" w:type="dxa"/>
            <w:shd w:val="clear" w:color="auto" w:fill="auto"/>
            <w:vAlign w:val="bottom"/>
            <w:hideMark/>
          </w:tcPr>
          <w:p w14:paraId="59BFF95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2 204 948</w:t>
            </w:r>
          </w:p>
        </w:tc>
        <w:tc>
          <w:tcPr>
            <w:tcW w:w="1983" w:type="dxa"/>
            <w:shd w:val="clear" w:color="auto" w:fill="auto"/>
            <w:vAlign w:val="bottom"/>
            <w:hideMark/>
          </w:tcPr>
          <w:p w14:paraId="34CDC47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3,20 %</w:t>
            </w:r>
          </w:p>
        </w:tc>
      </w:tr>
      <w:tr w:rsidR="00EB5903" w:rsidRPr="00BE2E8F" w14:paraId="41D9AA1B" w14:textId="77777777" w:rsidTr="008B4897">
        <w:tc>
          <w:tcPr>
            <w:tcW w:w="1701" w:type="dxa"/>
            <w:shd w:val="clear" w:color="auto" w:fill="auto"/>
            <w:hideMark/>
          </w:tcPr>
          <w:p w14:paraId="45099EB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Paraíba </w:t>
            </w:r>
          </w:p>
        </w:tc>
        <w:tc>
          <w:tcPr>
            <w:tcW w:w="1843" w:type="dxa"/>
            <w:shd w:val="clear" w:color="auto" w:fill="auto"/>
            <w:vAlign w:val="bottom"/>
            <w:hideMark/>
          </w:tcPr>
          <w:p w14:paraId="1D1ACA3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39 098</w:t>
            </w:r>
          </w:p>
        </w:tc>
        <w:tc>
          <w:tcPr>
            <w:tcW w:w="1843" w:type="dxa"/>
            <w:shd w:val="clear" w:color="auto" w:fill="auto"/>
            <w:vAlign w:val="bottom"/>
            <w:hideMark/>
          </w:tcPr>
          <w:p w14:paraId="27CC83D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959 178</w:t>
            </w:r>
          </w:p>
        </w:tc>
        <w:tc>
          <w:tcPr>
            <w:tcW w:w="1983" w:type="dxa"/>
            <w:shd w:val="clear" w:color="auto" w:fill="auto"/>
            <w:vAlign w:val="bottom"/>
            <w:hideMark/>
          </w:tcPr>
          <w:p w14:paraId="6BEB6DA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4,10 %</w:t>
            </w:r>
          </w:p>
        </w:tc>
      </w:tr>
      <w:tr w:rsidR="00EB5903" w:rsidRPr="00BE2E8F" w14:paraId="132354B3" w14:textId="77777777" w:rsidTr="008B4897">
        <w:tc>
          <w:tcPr>
            <w:tcW w:w="1701" w:type="dxa"/>
            <w:shd w:val="clear" w:color="auto" w:fill="auto"/>
            <w:hideMark/>
          </w:tcPr>
          <w:p w14:paraId="565FA7F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Paraná </w:t>
            </w:r>
          </w:p>
        </w:tc>
        <w:tc>
          <w:tcPr>
            <w:tcW w:w="1843" w:type="dxa"/>
            <w:shd w:val="clear" w:color="auto" w:fill="auto"/>
            <w:vAlign w:val="bottom"/>
            <w:hideMark/>
          </w:tcPr>
          <w:p w14:paraId="2EBADC7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128 427</w:t>
            </w:r>
          </w:p>
        </w:tc>
        <w:tc>
          <w:tcPr>
            <w:tcW w:w="1843" w:type="dxa"/>
            <w:shd w:val="clear" w:color="auto" w:fill="auto"/>
            <w:vAlign w:val="bottom"/>
            <w:hideMark/>
          </w:tcPr>
          <w:p w14:paraId="51A863C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2 464 010</w:t>
            </w:r>
          </w:p>
        </w:tc>
        <w:tc>
          <w:tcPr>
            <w:tcW w:w="1983" w:type="dxa"/>
            <w:shd w:val="clear" w:color="auto" w:fill="auto"/>
            <w:vAlign w:val="bottom"/>
            <w:hideMark/>
          </w:tcPr>
          <w:p w14:paraId="440872A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5,20 %</w:t>
            </w:r>
          </w:p>
        </w:tc>
      </w:tr>
      <w:tr w:rsidR="00EB5903" w:rsidRPr="00BE2E8F" w14:paraId="1C6EF2A2" w14:textId="77777777" w:rsidTr="008B4897">
        <w:tc>
          <w:tcPr>
            <w:tcW w:w="1701" w:type="dxa"/>
            <w:shd w:val="clear" w:color="auto" w:fill="auto"/>
            <w:hideMark/>
          </w:tcPr>
          <w:p w14:paraId="4D751D4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Pernambuco </w:t>
            </w:r>
          </w:p>
        </w:tc>
        <w:tc>
          <w:tcPr>
            <w:tcW w:w="1843" w:type="dxa"/>
            <w:shd w:val="clear" w:color="auto" w:fill="auto"/>
            <w:vAlign w:val="bottom"/>
            <w:hideMark/>
          </w:tcPr>
          <w:p w14:paraId="20F2481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72 872</w:t>
            </w:r>
          </w:p>
        </w:tc>
        <w:tc>
          <w:tcPr>
            <w:tcW w:w="1843" w:type="dxa"/>
            <w:shd w:val="clear" w:color="auto" w:fill="auto"/>
            <w:vAlign w:val="bottom"/>
            <w:hideMark/>
          </w:tcPr>
          <w:p w14:paraId="09C3DBB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2 149 639</w:t>
            </w:r>
          </w:p>
        </w:tc>
        <w:tc>
          <w:tcPr>
            <w:tcW w:w="1983" w:type="dxa"/>
            <w:shd w:val="clear" w:color="auto" w:fill="auto"/>
            <w:vAlign w:val="bottom"/>
            <w:hideMark/>
          </w:tcPr>
          <w:p w14:paraId="39D0DB0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3,40 %</w:t>
            </w:r>
          </w:p>
        </w:tc>
      </w:tr>
      <w:tr w:rsidR="00EB5903" w:rsidRPr="00BE2E8F" w14:paraId="344D88FE" w14:textId="77777777" w:rsidTr="008B4897">
        <w:tc>
          <w:tcPr>
            <w:tcW w:w="1701" w:type="dxa"/>
            <w:shd w:val="clear" w:color="auto" w:fill="auto"/>
            <w:hideMark/>
          </w:tcPr>
          <w:p w14:paraId="675F03F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Piauí </w:t>
            </w:r>
          </w:p>
        </w:tc>
        <w:tc>
          <w:tcPr>
            <w:tcW w:w="1843" w:type="dxa"/>
            <w:shd w:val="clear" w:color="auto" w:fill="auto"/>
            <w:vAlign w:val="bottom"/>
            <w:hideMark/>
          </w:tcPr>
          <w:p w14:paraId="4327459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33 471</w:t>
            </w:r>
          </w:p>
        </w:tc>
        <w:tc>
          <w:tcPr>
            <w:tcW w:w="1843" w:type="dxa"/>
            <w:shd w:val="clear" w:color="auto" w:fill="auto"/>
            <w:vAlign w:val="bottom"/>
            <w:hideMark/>
          </w:tcPr>
          <w:p w14:paraId="54A664B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860 073</w:t>
            </w:r>
          </w:p>
        </w:tc>
        <w:tc>
          <w:tcPr>
            <w:tcW w:w="1983" w:type="dxa"/>
            <w:shd w:val="clear" w:color="auto" w:fill="auto"/>
            <w:vAlign w:val="bottom"/>
            <w:hideMark/>
          </w:tcPr>
          <w:p w14:paraId="0E7186D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3,90 %</w:t>
            </w:r>
          </w:p>
        </w:tc>
      </w:tr>
      <w:tr w:rsidR="00EB5903" w:rsidRPr="00BE2E8F" w14:paraId="5DF4C263" w14:textId="77777777" w:rsidTr="008B4897">
        <w:tc>
          <w:tcPr>
            <w:tcW w:w="1701" w:type="dxa"/>
            <w:shd w:val="clear" w:color="auto" w:fill="auto"/>
            <w:hideMark/>
          </w:tcPr>
          <w:p w14:paraId="1D8D514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de Janeiro </w:t>
            </w:r>
          </w:p>
        </w:tc>
        <w:tc>
          <w:tcPr>
            <w:tcW w:w="1843" w:type="dxa"/>
            <w:shd w:val="clear" w:color="auto" w:fill="auto"/>
            <w:vAlign w:val="bottom"/>
            <w:hideMark/>
          </w:tcPr>
          <w:p w14:paraId="517455A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109 992</w:t>
            </w:r>
          </w:p>
        </w:tc>
        <w:tc>
          <w:tcPr>
            <w:tcW w:w="1843" w:type="dxa"/>
            <w:shd w:val="clear" w:color="auto" w:fill="auto"/>
            <w:vAlign w:val="bottom"/>
            <w:hideMark/>
          </w:tcPr>
          <w:p w14:paraId="7705E1D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3 448 019</w:t>
            </w:r>
          </w:p>
        </w:tc>
        <w:tc>
          <w:tcPr>
            <w:tcW w:w="1983" w:type="dxa"/>
            <w:shd w:val="clear" w:color="auto" w:fill="auto"/>
            <w:vAlign w:val="bottom"/>
            <w:hideMark/>
          </w:tcPr>
          <w:p w14:paraId="37B60BF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3,20 %</w:t>
            </w:r>
          </w:p>
        </w:tc>
      </w:tr>
      <w:tr w:rsidR="00EB5903" w:rsidRPr="00BE2E8F" w14:paraId="54D41E83" w14:textId="77777777" w:rsidTr="008B4897">
        <w:tc>
          <w:tcPr>
            <w:tcW w:w="1701" w:type="dxa"/>
            <w:shd w:val="clear" w:color="auto" w:fill="auto"/>
            <w:hideMark/>
          </w:tcPr>
          <w:p w14:paraId="11D245C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Grande do Norte </w:t>
            </w:r>
          </w:p>
        </w:tc>
        <w:tc>
          <w:tcPr>
            <w:tcW w:w="1843" w:type="dxa"/>
            <w:shd w:val="clear" w:color="auto" w:fill="auto"/>
            <w:vAlign w:val="bottom"/>
            <w:hideMark/>
          </w:tcPr>
          <w:p w14:paraId="4ACAC54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29 532</w:t>
            </w:r>
          </w:p>
        </w:tc>
        <w:tc>
          <w:tcPr>
            <w:tcW w:w="1843" w:type="dxa"/>
            <w:shd w:val="clear" w:color="auto" w:fill="auto"/>
            <w:vAlign w:val="bottom"/>
            <w:hideMark/>
          </w:tcPr>
          <w:p w14:paraId="5FFEBED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796 526</w:t>
            </w:r>
          </w:p>
        </w:tc>
        <w:tc>
          <w:tcPr>
            <w:tcW w:w="1983" w:type="dxa"/>
            <w:shd w:val="clear" w:color="auto" w:fill="auto"/>
            <w:vAlign w:val="bottom"/>
            <w:hideMark/>
          </w:tcPr>
          <w:p w14:paraId="4AEBD84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3,70 %</w:t>
            </w:r>
          </w:p>
        </w:tc>
      </w:tr>
      <w:tr w:rsidR="00EB5903" w:rsidRPr="00BE2E8F" w14:paraId="6E29FB96" w14:textId="77777777" w:rsidTr="008B4897">
        <w:tc>
          <w:tcPr>
            <w:tcW w:w="1701" w:type="dxa"/>
            <w:shd w:val="clear" w:color="auto" w:fill="auto"/>
            <w:hideMark/>
          </w:tcPr>
          <w:p w14:paraId="68A36CD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Grande do Sul </w:t>
            </w:r>
          </w:p>
        </w:tc>
        <w:tc>
          <w:tcPr>
            <w:tcW w:w="1843" w:type="dxa"/>
            <w:shd w:val="clear" w:color="auto" w:fill="auto"/>
            <w:vAlign w:val="bottom"/>
            <w:hideMark/>
          </w:tcPr>
          <w:p w14:paraId="609276F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117 389</w:t>
            </w:r>
          </w:p>
        </w:tc>
        <w:tc>
          <w:tcPr>
            <w:tcW w:w="1843" w:type="dxa"/>
            <w:shd w:val="clear" w:color="auto" w:fill="auto"/>
            <w:vAlign w:val="bottom"/>
            <w:hideMark/>
          </w:tcPr>
          <w:p w14:paraId="6DEB219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2 272 051</w:t>
            </w:r>
          </w:p>
        </w:tc>
        <w:tc>
          <w:tcPr>
            <w:tcW w:w="1983" w:type="dxa"/>
            <w:shd w:val="clear" w:color="auto" w:fill="auto"/>
            <w:vAlign w:val="bottom"/>
            <w:hideMark/>
          </w:tcPr>
          <w:p w14:paraId="7075B19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5,20 %</w:t>
            </w:r>
          </w:p>
        </w:tc>
      </w:tr>
      <w:tr w:rsidR="00EB5903" w:rsidRPr="00BE2E8F" w14:paraId="5C6C86F6" w14:textId="77777777" w:rsidTr="008B4897">
        <w:tc>
          <w:tcPr>
            <w:tcW w:w="1701" w:type="dxa"/>
            <w:shd w:val="clear" w:color="auto" w:fill="auto"/>
            <w:hideMark/>
          </w:tcPr>
          <w:p w14:paraId="5BA5A9B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Rondônia </w:t>
            </w:r>
          </w:p>
        </w:tc>
        <w:tc>
          <w:tcPr>
            <w:tcW w:w="1843" w:type="dxa"/>
            <w:shd w:val="clear" w:color="auto" w:fill="auto"/>
            <w:vAlign w:val="bottom"/>
            <w:hideMark/>
          </w:tcPr>
          <w:p w14:paraId="7D6BE36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16 279</w:t>
            </w:r>
          </w:p>
        </w:tc>
        <w:tc>
          <w:tcPr>
            <w:tcW w:w="1843" w:type="dxa"/>
            <w:shd w:val="clear" w:color="auto" w:fill="auto"/>
            <w:vAlign w:val="bottom"/>
            <w:hideMark/>
          </w:tcPr>
          <w:p w14:paraId="2F00138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388 322</w:t>
            </w:r>
          </w:p>
        </w:tc>
        <w:tc>
          <w:tcPr>
            <w:tcW w:w="1983" w:type="dxa"/>
            <w:shd w:val="clear" w:color="auto" w:fill="auto"/>
            <w:vAlign w:val="bottom"/>
            <w:hideMark/>
          </w:tcPr>
          <w:p w14:paraId="30F9061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4,20 %</w:t>
            </w:r>
          </w:p>
        </w:tc>
      </w:tr>
      <w:tr w:rsidR="00EB5903" w:rsidRPr="00BE2E8F" w14:paraId="0B7046B3" w14:textId="77777777" w:rsidTr="008B4897">
        <w:tc>
          <w:tcPr>
            <w:tcW w:w="1701" w:type="dxa"/>
            <w:shd w:val="clear" w:color="auto" w:fill="auto"/>
            <w:hideMark/>
          </w:tcPr>
          <w:p w14:paraId="4A8271F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Roraima </w:t>
            </w:r>
          </w:p>
        </w:tc>
        <w:tc>
          <w:tcPr>
            <w:tcW w:w="1843" w:type="dxa"/>
            <w:shd w:val="clear" w:color="auto" w:fill="auto"/>
            <w:vAlign w:val="bottom"/>
            <w:hideMark/>
          </w:tcPr>
          <w:p w14:paraId="095A1DF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5 446</w:t>
            </w:r>
          </w:p>
        </w:tc>
        <w:tc>
          <w:tcPr>
            <w:tcW w:w="1843" w:type="dxa"/>
            <w:shd w:val="clear" w:color="auto" w:fill="auto"/>
            <w:vAlign w:val="bottom"/>
            <w:hideMark/>
          </w:tcPr>
          <w:p w14:paraId="613B75E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180 965</w:t>
            </w:r>
          </w:p>
        </w:tc>
        <w:tc>
          <w:tcPr>
            <w:tcW w:w="1983" w:type="dxa"/>
            <w:shd w:val="clear" w:color="auto" w:fill="auto"/>
            <w:vAlign w:val="bottom"/>
            <w:hideMark/>
          </w:tcPr>
          <w:p w14:paraId="4126E01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3,00 %</w:t>
            </w:r>
          </w:p>
        </w:tc>
      </w:tr>
      <w:tr w:rsidR="00EB5903" w:rsidRPr="00BE2E8F" w14:paraId="48274A23" w14:textId="77777777" w:rsidTr="008B4897">
        <w:tc>
          <w:tcPr>
            <w:tcW w:w="1701" w:type="dxa"/>
            <w:shd w:val="clear" w:color="auto" w:fill="auto"/>
            <w:hideMark/>
          </w:tcPr>
          <w:p w14:paraId="6D55012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Santa Catarina </w:t>
            </w:r>
          </w:p>
        </w:tc>
        <w:tc>
          <w:tcPr>
            <w:tcW w:w="1843" w:type="dxa"/>
            <w:shd w:val="clear" w:color="auto" w:fill="auto"/>
            <w:vAlign w:val="bottom"/>
            <w:hideMark/>
          </w:tcPr>
          <w:p w14:paraId="711A94A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67 534</w:t>
            </w:r>
          </w:p>
        </w:tc>
        <w:tc>
          <w:tcPr>
            <w:tcW w:w="1843" w:type="dxa"/>
            <w:shd w:val="clear" w:color="auto" w:fill="auto"/>
            <w:vAlign w:val="bottom"/>
            <w:hideMark/>
          </w:tcPr>
          <w:p w14:paraId="23C6AAC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1 726 930</w:t>
            </w:r>
          </w:p>
        </w:tc>
        <w:tc>
          <w:tcPr>
            <w:tcW w:w="1983" w:type="dxa"/>
            <w:shd w:val="clear" w:color="auto" w:fill="auto"/>
            <w:vAlign w:val="bottom"/>
            <w:hideMark/>
          </w:tcPr>
          <w:p w14:paraId="17919C5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3,90 %</w:t>
            </w:r>
          </w:p>
        </w:tc>
      </w:tr>
      <w:tr w:rsidR="00EB5903" w:rsidRPr="00BE2E8F" w14:paraId="0F5298F6" w14:textId="77777777" w:rsidTr="008B4897">
        <w:tc>
          <w:tcPr>
            <w:tcW w:w="1701" w:type="dxa"/>
            <w:shd w:val="clear" w:color="auto" w:fill="auto"/>
            <w:hideMark/>
          </w:tcPr>
          <w:p w14:paraId="2653F1B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São Paulo </w:t>
            </w:r>
          </w:p>
        </w:tc>
        <w:tc>
          <w:tcPr>
            <w:tcW w:w="1843" w:type="dxa"/>
            <w:shd w:val="clear" w:color="auto" w:fill="auto"/>
            <w:vAlign w:val="bottom"/>
            <w:hideMark/>
          </w:tcPr>
          <w:p w14:paraId="7D6CBA8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279 571</w:t>
            </w:r>
          </w:p>
        </w:tc>
        <w:tc>
          <w:tcPr>
            <w:tcW w:w="1843" w:type="dxa"/>
            <w:shd w:val="clear" w:color="auto" w:fill="auto"/>
            <w:vAlign w:val="bottom"/>
            <w:hideMark/>
          </w:tcPr>
          <w:p w14:paraId="4F3C4D4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10 079 302</w:t>
            </w:r>
          </w:p>
        </w:tc>
        <w:tc>
          <w:tcPr>
            <w:tcW w:w="1983" w:type="dxa"/>
            <w:shd w:val="clear" w:color="auto" w:fill="auto"/>
            <w:vAlign w:val="bottom"/>
            <w:hideMark/>
          </w:tcPr>
          <w:p w14:paraId="576D188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2,80 %</w:t>
            </w:r>
          </w:p>
        </w:tc>
      </w:tr>
      <w:tr w:rsidR="00EB5903" w:rsidRPr="00BE2E8F" w14:paraId="02427C12" w14:textId="77777777" w:rsidTr="008B4897">
        <w:tc>
          <w:tcPr>
            <w:tcW w:w="1701" w:type="dxa"/>
            <w:shd w:val="clear" w:color="auto" w:fill="auto"/>
            <w:hideMark/>
          </w:tcPr>
          <w:p w14:paraId="6EC2C56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Sergipe </w:t>
            </w:r>
          </w:p>
        </w:tc>
        <w:tc>
          <w:tcPr>
            <w:tcW w:w="1843" w:type="dxa"/>
            <w:shd w:val="clear" w:color="auto" w:fill="auto"/>
            <w:vAlign w:val="bottom"/>
            <w:hideMark/>
          </w:tcPr>
          <w:p w14:paraId="411B9E1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17 348</w:t>
            </w:r>
          </w:p>
        </w:tc>
        <w:tc>
          <w:tcPr>
            <w:tcW w:w="1843" w:type="dxa"/>
            <w:shd w:val="clear" w:color="auto" w:fill="auto"/>
            <w:vAlign w:val="bottom"/>
            <w:hideMark/>
          </w:tcPr>
          <w:p w14:paraId="5B8CAF7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530 674</w:t>
            </w:r>
          </w:p>
        </w:tc>
        <w:tc>
          <w:tcPr>
            <w:tcW w:w="1983" w:type="dxa"/>
            <w:shd w:val="clear" w:color="auto" w:fill="auto"/>
            <w:vAlign w:val="bottom"/>
            <w:hideMark/>
          </w:tcPr>
          <w:p w14:paraId="3F357E7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3,30 %</w:t>
            </w:r>
          </w:p>
        </w:tc>
      </w:tr>
      <w:tr w:rsidR="00EB5903" w:rsidRPr="00BE2E8F" w14:paraId="12B4E4B6" w14:textId="77777777" w:rsidTr="008B4897">
        <w:tc>
          <w:tcPr>
            <w:tcW w:w="1701" w:type="dxa"/>
            <w:shd w:val="clear" w:color="auto" w:fill="auto"/>
            <w:hideMark/>
          </w:tcPr>
          <w:p w14:paraId="4B9E7F47"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Tocantins </w:t>
            </w:r>
          </w:p>
        </w:tc>
        <w:tc>
          <w:tcPr>
            <w:tcW w:w="1843" w:type="dxa"/>
            <w:shd w:val="clear" w:color="auto" w:fill="auto"/>
            <w:vAlign w:val="bottom"/>
            <w:hideMark/>
          </w:tcPr>
          <w:p w14:paraId="1A859E3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17 745</w:t>
            </w:r>
          </w:p>
        </w:tc>
        <w:tc>
          <w:tcPr>
            <w:tcW w:w="1843" w:type="dxa"/>
            <w:shd w:val="clear" w:color="auto" w:fill="auto"/>
            <w:vAlign w:val="bottom"/>
            <w:hideMark/>
          </w:tcPr>
          <w:p w14:paraId="131453A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385 207</w:t>
            </w:r>
          </w:p>
        </w:tc>
        <w:tc>
          <w:tcPr>
            <w:tcW w:w="1983" w:type="dxa"/>
            <w:shd w:val="clear" w:color="auto" w:fill="auto"/>
            <w:vAlign w:val="bottom"/>
            <w:hideMark/>
          </w:tcPr>
          <w:p w14:paraId="0DDA81D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4,60 %</w:t>
            </w:r>
          </w:p>
        </w:tc>
      </w:tr>
      <w:tr w:rsidR="00EB5903" w:rsidRPr="00BE2E8F" w14:paraId="4A1F202B" w14:textId="77777777" w:rsidTr="008B4897">
        <w:tc>
          <w:tcPr>
            <w:tcW w:w="1701" w:type="dxa"/>
            <w:shd w:val="clear" w:color="auto" w:fill="auto"/>
            <w:hideMark/>
          </w:tcPr>
          <w:p w14:paraId="40B6E36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Brésil </w:t>
            </w:r>
          </w:p>
        </w:tc>
        <w:tc>
          <w:tcPr>
            <w:tcW w:w="1843" w:type="dxa"/>
            <w:shd w:val="clear" w:color="auto" w:fill="auto"/>
            <w:vAlign w:val="bottom"/>
            <w:hideMark/>
          </w:tcPr>
          <w:p w14:paraId="433E8C4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1 771 430</w:t>
            </w:r>
          </w:p>
        </w:tc>
        <w:tc>
          <w:tcPr>
            <w:tcW w:w="1843" w:type="dxa"/>
            <w:shd w:val="clear" w:color="auto" w:fill="auto"/>
            <w:vAlign w:val="bottom"/>
            <w:hideMark/>
          </w:tcPr>
          <w:p w14:paraId="51978F6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47 304 632</w:t>
            </w:r>
          </w:p>
        </w:tc>
        <w:tc>
          <w:tcPr>
            <w:tcW w:w="1983" w:type="dxa"/>
            <w:shd w:val="clear" w:color="auto" w:fill="auto"/>
            <w:vAlign w:val="bottom"/>
            <w:hideMark/>
          </w:tcPr>
          <w:p w14:paraId="3E652A9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3,74 %</w:t>
            </w:r>
          </w:p>
        </w:tc>
      </w:tr>
    </w:tbl>
    <w:p w14:paraId="2721F880" w14:textId="6F5A8F22" w:rsidR="00EB5903" w:rsidRPr="00BE2E8F" w:rsidRDefault="00EB5903" w:rsidP="008E4BE9">
      <w:pPr>
        <w:pStyle w:val="SingleTxtG"/>
        <w:spacing w:before="120" w:after="0"/>
        <w:ind w:firstLine="170"/>
        <w:jc w:val="left"/>
        <w:rPr>
          <w:sz w:val="18"/>
        </w:rPr>
      </w:pPr>
      <w:r>
        <w:rPr>
          <w:i/>
          <w:sz w:val="18"/>
        </w:rPr>
        <w:lastRenderedPageBreak/>
        <w:t>Source </w:t>
      </w:r>
      <w:r>
        <w:rPr>
          <w:sz w:val="18"/>
        </w:rPr>
        <w:t>: Recensement dans l’éducation de base, 2023</w:t>
      </w:r>
      <w:r w:rsidR="008E4BE9">
        <w:rPr>
          <w:sz w:val="18"/>
        </w:rPr>
        <w:t>.</w:t>
      </w:r>
    </w:p>
    <w:p w14:paraId="5D470909" w14:textId="77777777" w:rsidR="00EB5903" w:rsidRPr="00BE2E8F" w:rsidRDefault="00EB5903" w:rsidP="00EB5903">
      <w:pPr>
        <w:pStyle w:val="H1G"/>
      </w:pPr>
      <w:r>
        <w:tab/>
      </w:r>
      <w:r>
        <w:tab/>
        <w:t xml:space="preserve">Réponse au paragraphe 18 e) de la liste de points </w:t>
      </w:r>
    </w:p>
    <w:p w14:paraId="09328380" w14:textId="77777777" w:rsidR="00EB5903" w:rsidRPr="00BE2E8F" w:rsidRDefault="00EB5903" w:rsidP="00EB5903">
      <w:pPr>
        <w:pStyle w:val="SingleTxtG"/>
        <w:spacing w:after="240"/>
      </w:pPr>
      <w:r>
        <w:t>115.</w:t>
      </w:r>
      <w:r>
        <w:tab/>
        <w:t>Les données suivantes sont tirées du Résumé statistique sur l’éducation de base.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992"/>
        <w:gridCol w:w="993"/>
        <w:gridCol w:w="1009"/>
        <w:gridCol w:w="1043"/>
        <w:gridCol w:w="1014"/>
        <w:gridCol w:w="1043"/>
      </w:tblGrid>
      <w:tr w:rsidR="00EB5903" w:rsidRPr="00BE2E8F" w14:paraId="73D4663C" w14:textId="77777777" w:rsidTr="008E4BE9">
        <w:trPr>
          <w:tblHeader/>
        </w:trPr>
        <w:tc>
          <w:tcPr>
            <w:tcW w:w="7370" w:type="dxa"/>
            <w:gridSpan w:val="7"/>
            <w:tcBorders>
              <w:top w:val="single" w:sz="4" w:space="0" w:color="auto"/>
              <w:bottom w:val="single" w:sz="4" w:space="0" w:color="auto"/>
            </w:tcBorders>
            <w:shd w:val="clear" w:color="auto" w:fill="auto"/>
            <w:vAlign w:val="bottom"/>
            <w:hideMark/>
          </w:tcPr>
          <w:p w14:paraId="71EB882F" w14:textId="21E40AB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Nombre d’inscriptions dans l’éducation répondant à des besoins particuliers dans des classes inclusives, par</w:t>
            </w:r>
            <w:r w:rsidR="008E4BE9">
              <w:rPr>
                <w:i/>
                <w:sz w:val="16"/>
              </w:rPr>
              <w:t> </w:t>
            </w:r>
            <w:r>
              <w:rPr>
                <w:i/>
                <w:sz w:val="16"/>
              </w:rPr>
              <w:t>groupe d’âge</w:t>
            </w:r>
          </w:p>
        </w:tc>
      </w:tr>
      <w:tr w:rsidR="00EB5903" w:rsidRPr="00BE2E8F" w14:paraId="6B9A6854" w14:textId="77777777" w:rsidTr="008E4BE9">
        <w:tc>
          <w:tcPr>
            <w:tcW w:w="1276" w:type="dxa"/>
            <w:tcBorders>
              <w:top w:val="single" w:sz="4" w:space="0" w:color="auto"/>
              <w:bottom w:val="single" w:sz="12" w:space="0" w:color="auto"/>
            </w:tcBorders>
            <w:shd w:val="clear" w:color="auto" w:fill="auto"/>
            <w:vAlign w:val="bottom"/>
            <w:hideMark/>
          </w:tcPr>
          <w:p w14:paraId="3663130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i/>
                <w:sz w:val="16"/>
              </w:rPr>
            </w:pPr>
            <w:r>
              <w:rPr>
                <w:i/>
                <w:sz w:val="16"/>
              </w:rPr>
              <w:t>Année </w:t>
            </w:r>
          </w:p>
        </w:tc>
        <w:tc>
          <w:tcPr>
            <w:tcW w:w="992" w:type="dxa"/>
            <w:tcBorders>
              <w:top w:val="single" w:sz="4" w:space="0" w:color="auto"/>
              <w:bottom w:val="single" w:sz="12" w:space="0" w:color="auto"/>
            </w:tcBorders>
            <w:shd w:val="clear" w:color="auto" w:fill="auto"/>
            <w:vAlign w:val="bottom"/>
            <w:hideMark/>
          </w:tcPr>
          <w:p w14:paraId="11DE619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i/>
                <w:sz w:val="16"/>
              </w:rPr>
            </w:pPr>
            <w:r>
              <w:rPr>
                <w:i/>
                <w:sz w:val="16"/>
              </w:rPr>
              <w:t>Jusqu’à 14 ans</w:t>
            </w:r>
          </w:p>
        </w:tc>
        <w:tc>
          <w:tcPr>
            <w:tcW w:w="993" w:type="dxa"/>
            <w:tcBorders>
              <w:top w:val="single" w:sz="4" w:space="0" w:color="auto"/>
              <w:bottom w:val="single" w:sz="12" w:space="0" w:color="auto"/>
            </w:tcBorders>
            <w:shd w:val="clear" w:color="auto" w:fill="auto"/>
            <w:vAlign w:val="bottom"/>
            <w:hideMark/>
          </w:tcPr>
          <w:p w14:paraId="1B52BA7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i/>
                <w:sz w:val="16"/>
              </w:rPr>
            </w:pPr>
            <w:r>
              <w:rPr>
                <w:i/>
                <w:sz w:val="16"/>
              </w:rPr>
              <w:t>15 à 17 ans</w:t>
            </w:r>
          </w:p>
        </w:tc>
        <w:tc>
          <w:tcPr>
            <w:tcW w:w="1009" w:type="dxa"/>
            <w:tcBorders>
              <w:top w:val="single" w:sz="4" w:space="0" w:color="auto"/>
              <w:bottom w:val="single" w:sz="12" w:space="0" w:color="auto"/>
            </w:tcBorders>
            <w:shd w:val="clear" w:color="auto" w:fill="auto"/>
            <w:vAlign w:val="bottom"/>
            <w:hideMark/>
          </w:tcPr>
          <w:p w14:paraId="4FC8548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i/>
                <w:sz w:val="16"/>
              </w:rPr>
            </w:pPr>
            <w:r>
              <w:rPr>
                <w:i/>
                <w:sz w:val="16"/>
              </w:rPr>
              <w:t>18 à 24 ans</w:t>
            </w:r>
          </w:p>
        </w:tc>
        <w:tc>
          <w:tcPr>
            <w:tcW w:w="1043" w:type="dxa"/>
            <w:tcBorders>
              <w:top w:val="single" w:sz="4" w:space="0" w:color="auto"/>
              <w:bottom w:val="single" w:sz="12" w:space="0" w:color="auto"/>
            </w:tcBorders>
            <w:shd w:val="clear" w:color="auto" w:fill="auto"/>
            <w:vAlign w:val="bottom"/>
            <w:hideMark/>
          </w:tcPr>
          <w:p w14:paraId="53607F96" w14:textId="28935BBB" w:rsidR="00EB5903" w:rsidRPr="00BE2E8F" w:rsidRDefault="00EB5903" w:rsidP="008E4BE9">
            <w:pPr>
              <w:pStyle w:val="SingleTxtG"/>
              <w:tabs>
                <w:tab w:val="clear" w:pos="1701"/>
                <w:tab w:val="clear" w:pos="2268"/>
              </w:tabs>
              <w:suppressAutoHyphens w:val="0"/>
              <w:spacing w:before="40" w:after="40" w:line="220" w:lineRule="exact"/>
              <w:ind w:left="0" w:right="0"/>
              <w:jc w:val="right"/>
              <w:rPr>
                <w:i/>
                <w:sz w:val="16"/>
              </w:rPr>
            </w:pPr>
            <w:r>
              <w:rPr>
                <w:i/>
                <w:sz w:val="16"/>
              </w:rPr>
              <w:t>25 à 29 ans</w:t>
            </w:r>
          </w:p>
        </w:tc>
        <w:tc>
          <w:tcPr>
            <w:tcW w:w="1014" w:type="dxa"/>
            <w:tcBorders>
              <w:top w:val="single" w:sz="4" w:space="0" w:color="auto"/>
              <w:bottom w:val="single" w:sz="12" w:space="0" w:color="auto"/>
            </w:tcBorders>
            <w:shd w:val="clear" w:color="auto" w:fill="auto"/>
            <w:vAlign w:val="bottom"/>
            <w:hideMark/>
          </w:tcPr>
          <w:p w14:paraId="380B7994" w14:textId="3832D599" w:rsidR="00EB5903" w:rsidRPr="00BE2E8F" w:rsidRDefault="00EB5903" w:rsidP="008E4BE9">
            <w:pPr>
              <w:pStyle w:val="SingleTxtG"/>
              <w:tabs>
                <w:tab w:val="clear" w:pos="1701"/>
                <w:tab w:val="clear" w:pos="2268"/>
              </w:tabs>
              <w:suppressAutoHyphens w:val="0"/>
              <w:spacing w:before="40" w:after="40" w:line="220" w:lineRule="exact"/>
              <w:ind w:left="0" w:right="0"/>
              <w:jc w:val="right"/>
              <w:rPr>
                <w:i/>
                <w:sz w:val="16"/>
              </w:rPr>
            </w:pPr>
            <w:r>
              <w:rPr>
                <w:i/>
                <w:sz w:val="16"/>
              </w:rPr>
              <w:t>30 à 34 ans</w:t>
            </w:r>
          </w:p>
        </w:tc>
        <w:tc>
          <w:tcPr>
            <w:tcW w:w="1043" w:type="dxa"/>
            <w:tcBorders>
              <w:top w:val="single" w:sz="4" w:space="0" w:color="auto"/>
              <w:bottom w:val="single" w:sz="12" w:space="0" w:color="auto"/>
            </w:tcBorders>
            <w:shd w:val="clear" w:color="auto" w:fill="auto"/>
            <w:vAlign w:val="bottom"/>
            <w:hideMark/>
          </w:tcPr>
          <w:p w14:paraId="2B4405A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i/>
                <w:sz w:val="16"/>
              </w:rPr>
            </w:pPr>
            <w:r>
              <w:rPr>
                <w:i/>
                <w:sz w:val="16"/>
              </w:rPr>
              <w:t>35 ans ou plus</w:t>
            </w:r>
          </w:p>
        </w:tc>
      </w:tr>
      <w:tr w:rsidR="00EB5903" w:rsidRPr="00BE2E8F" w14:paraId="6742DA31" w14:textId="77777777" w:rsidTr="008E4BE9">
        <w:tc>
          <w:tcPr>
            <w:tcW w:w="1276" w:type="dxa"/>
            <w:tcBorders>
              <w:top w:val="single" w:sz="12" w:space="0" w:color="auto"/>
            </w:tcBorders>
            <w:shd w:val="clear" w:color="auto" w:fill="auto"/>
            <w:hideMark/>
          </w:tcPr>
          <w:p w14:paraId="1DA15E5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2021 </w:t>
            </w:r>
          </w:p>
        </w:tc>
        <w:tc>
          <w:tcPr>
            <w:tcW w:w="992" w:type="dxa"/>
            <w:tcBorders>
              <w:top w:val="single" w:sz="12" w:space="0" w:color="auto"/>
            </w:tcBorders>
            <w:shd w:val="clear" w:color="auto" w:fill="auto"/>
            <w:hideMark/>
          </w:tcPr>
          <w:p w14:paraId="52AD2B5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806 897</w:t>
            </w:r>
          </w:p>
        </w:tc>
        <w:tc>
          <w:tcPr>
            <w:tcW w:w="993" w:type="dxa"/>
            <w:tcBorders>
              <w:top w:val="single" w:sz="12" w:space="0" w:color="auto"/>
            </w:tcBorders>
            <w:shd w:val="clear" w:color="auto" w:fill="auto"/>
            <w:hideMark/>
          </w:tcPr>
          <w:p w14:paraId="586371A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238 875</w:t>
            </w:r>
          </w:p>
        </w:tc>
        <w:tc>
          <w:tcPr>
            <w:tcW w:w="1009" w:type="dxa"/>
            <w:tcBorders>
              <w:top w:val="single" w:sz="12" w:space="0" w:color="auto"/>
            </w:tcBorders>
            <w:shd w:val="clear" w:color="auto" w:fill="auto"/>
            <w:hideMark/>
          </w:tcPr>
          <w:p w14:paraId="7A0B17F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114 500</w:t>
            </w:r>
          </w:p>
        </w:tc>
        <w:tc>
          <w:tcPr>
            <w:tcW w:w="1043" w:type="dxa"/>
            <w:tcBorders>
              <w:top w:val="single" w:sz="12" w:space="0" w:color="auto"/>
            </w:tcBorders>
            <w:shd w:val="clear" w:color="auto" w:fill="auto"/>
            <w:hideMark/>
          </w:tcPr>
          <w:p w14:paraId="16A3167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12 032</w:t>
            </w:r>
          </w:p>
        </w:tc>
        <w:tc>
          <w:tcPr>
            <w:tcW w:w="1014" w:type="dxa"/>
            <w:tcBorders>
              <w:top w:val="single" w:sz="12" w:space="0" w:color="auto"/>
            </w:tcBorders>
            <w:shd w:val="clear" w:color="auto" w:fill="auto"/>
            <w:hideMark/>
          </w:tcPr>
          <w:p w14:paraId="09A2258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6 329</w:t>
            </w:r>
          </w:p>
        </w:tc>
        <w:tc>
          <w:tcPr>
            <w:tcW w:w="1043" w:type="dxa"/>
            <w:tcBorders>
              <w:top w:val="single" w:sz="12" w:space="0" w:color="auto"/>
            </w:tcBorders>
            <w:shd w:val="clear" w:color="auto" w:fill="auto"/>
            <w:hideMark/>
          </w:tcPr>
          <w:p w14:paraId="2C878D4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16 211</w:t>
            </w:r>
          </w:p>
        </w:tc>
      </w:tr>
      <w:tr w:rsidR="00EB5903" w:rsidRPr="00BE2E8F" w14:paraId="25BEBF4D" w14:textId="77777777" w:rsidTr="008E4BE9">
        <w:tc>
          <w:tcPr>
            <w:tcW w:w="1276" w:type="dxa"/>
            <w:shd w:val="clear" w:color="auto" w:fill="auto"/>
            <w:hideMark/>
          </w:tcPr>
          <w:p w14:paraId="0AB9730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2022 </w:t>
            </w:r>
          </w:p>
        </w:tc>
        <w:tc>
          <w:tcPr>
            <w:tcW w:w="992" w:type="dxa"/>
            <w:shd w:val="clear" w:color="auto" w:fill="auto"/>
            <w:hideMark/>
          </w:tcPr>
          <w:p w14:paraId="077DA1B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953 014</w:t>
            </w:r>
          </w:p>
        </w:tc>
        <w:tc>
          <w:tcPr>
            <w:tcW w:w="993" w:type="dxa"/>
            <w:shd w:val="clear" w:color="auto" w:fill="auto"/>
            <w:hideMark/>
          </w:tcPr>
          <w:p w14:paraId="79B2A83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266 253</w:t>
            </w:r>
          </w:p>
        </w:tc>
        <w:tc>
          <w:tcPr>
            <w:tcW w:w="1009" w:type="dxa"/>
            <w:shd w:val="clear" w:color="auto" w:fill="auto"/>
            <w:hideMark/>
          </w:tcPr>
          <w:p w14:paraId="55EC875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117 543</w:t>
            </w:r>
          </w:p>
        </w:tc>
        <w:tc>
          <w:tcPr>
            <w:tcW w:w="1043" w:type="dxa"/>
            <w:shd w:val="clear" w:color="auto" w:fill="auto"/>
            <w:hideMark/>
          </w:tcPr>
          <w:p w14:paraId="6E121A4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12 253</w:t>
            </w:r>
          </w:p>
        </w:tc>
        <w:tc>
          <w:tcPr>
            <w:tcW w:w="1014" w:type="dxa"/>
            <w:shd w:val="clear" w:color="auto" w:fill="auto"/>
            <w:hideMark/>
          </w:tcPr>
          <w:p w14:paraId="4788178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6 396</w:t>
            </w:r>
          </w:p>
        </w:tc>
        <w:tc>
          <w:tcPr>
            <w:tcW w:w="1043" w:type="dxa"/>
            <w:shd w:val="clear" w:color="auto" w:fill="auto"/>
            <w:hideMark/>
          </w:tcPr>
          <w:p w14:paraId="4AFB4CD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17 526</w:t>
            </w:r>
          </w:p>
        </w:tc>
      </w:tr>
      <w:tr w:rsidR="00EB5903" w:rsidRPr="00BE2E8F" w14:paraId="2D80AD44" w14:textId="77777777" w:rsidTr="008E4BE9">
        <w:tc>
          <w:tcPr>
            <w:tcW w:w="1276" w:type="dxa"/>
            <w:shd w:val="clear" w:color="auto" w:fill="auto"/>
            <w:hideMark/>
          </w:tcPr>
          <w:p w14:paraId="21BDAA7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2023 </w:t>
            </w:r>
          </w:p>
        </w:tc>
        <w:tc>
          <w:tcPr>
            <w:tcW w:w="992" w:type="dxa"/>
            <w:shd w:val="clear" w:color="auto" w:fill="auto"/>
            <w:hideMark/>
          </w:tcPr>
          <w:p w14:paraId="04425C2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1 181 094</w:t>
            </w:r>
          </w:p>
        </w:tc>
        <w:tc>
          <w:tcPr>
            <w:tcW w:w="993" w:type="dxa"/>
            <w:shd w:val="clear" w:color="auto" w:fill="auto"/>
            <w:hideMark/>
          </w:tcPr>
          <w:p w14:paraId="00D4DB8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281 711</w:t>
            </w:r>
          </w:p>
        </w:tc>
        <w:tc>
          <w:tcPr>
            <w:tcW w:w="1009" w:type="dxa"/>
            <w:shd w:val="clear" w:color="auto" w:fill="auto"/>
            <w:hideMark/>
          </w:tcPr>
          <w:p w14:paraId="00F6310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113 785</w:t>
            </w:r>
          </w:p>
        </w:tc>
        <w:tc>
          <w:tcPr>
            <w:tcW w:w="1043" w:type="dxa"/>
            <w:shd w:val="clear" w:color="auto" w:fill="auto"/>
            <w:hideMark/>
          </w:tcPr>
          <w:p w14:paraId="7FC34D0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12 511</w:t>
            </w:r>
          </w:p>
        </w:tc>
        <w:tc>
          <w:tcPr>
            <w:tcW w:w="1014" w:type="dxa"/>
            <w:shd w:val="clear" w:color="auto" w:fill="auto"/>
            <w:hideMark/>
          </w:tcPr>
          <w:p w14:paraId="026F047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6 499</w:t>
            </w:r>
          </w:p>
        </w:tc>
        <w:tc>
          <w:tcPr>
            <w:tcW w:w="1043" w:type="dxa"/>
            <w:shd w:val="clear" w:color="auto" w:fill="auto"/>
            <w:hideMark/>
          </w:tcPr>
          <w:p w14:paraId="7809DD6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21 820</w:t>
            </w:r>
          </w:p>
        </w:tc>
      </w:tr>
    </w:tbl>
    <w:p w14:paraId="3C83CE43" w14:textId="77777777" w:rsidR="00EB5903" w:rsidRPr="00BE2E8F" w:rsidRDefault="00EB5903" w:rsidP="00EB5903">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992"/>
        <w:gridCol w:w="992"/>
        <w:gridCol w:w="993"/>
        <w:gridCol w:w="992"/>
        <w:gridCol w:w="924"/>
        <w:gridCol w:w="1059"/>
      </w:tblGrid>
      <w:tr w:rsidR="00EB5903" w:rsidRPr="00BE2E8F" w14:paraId="5DF75B10" w14:textId="77777777" w:rsidTr="008B4897">
        <w:trPr>
          <w:tblHeader/>
        </w:trPr>
        <w:tc>
          <w:tcPr>
            <w:tcW w:w="7370" w:type="dxa"/>
            <w:gridSpan w:val="7"/>
            <w:tcBorders>
              <w:top w:val="single" w:sz="4" w:space="0" w:color="auto"/>
              <w:bottom w:val="single" w:sz="4" w:space="0" w:color="auto"/>
            </w:tcBorders>
            <w:shd w:val="clear" w:color="auto" w:fill="auto"/>
            <w:vAlign w:val="bottom"/>
            <w:hideMark/>
          </w:tcPr>
          <w:p w14:paraId="278CC1E6" w14:textId="770F7F4B"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Nombre d’inscriptions dans l’éducation répondant à des besoins particuliers dans des classes exclusives, par</w:t>
            </w:r>
            <w:r w:rsidR="008E4BE9">
              <w:rPr>
                <w:i/>
                <w:sz w:val="16"/>
              </w:rPr>
              <w:t> </w:t>
            </w:r>
            <w:r>
              <w:rPr>
                <w:i/>
                <w:sz w:val="16"/>
              </w:rPr>
              <w:t>groupe d’âge</w:t>
            </w:r>
          </w:p>
        </w:tc>
      </w:tr>
      <w:tr w:rsidR="00EB5903" w:rsidRPr="00BE2E8F" w14:paraId="2950EC62" w14:textId="77777777" w:rsidTr="008B4897">
        <w:tc>
          <w:tcPr>
            <w:tcW w:w="1418" w:type="dxa"/>
            <w:tcBorders>
              <w:top w:val="single" w:sz="4" w:space="0" w:color="auto"/>
              <w:bottom w:val="single" w:sz="12" w:space="0" w:color="auto"/>
            </w:tcBorders>
            <w:shd w:val="clear" w:color="auto" w:fill="auto"/>
            <w:vAlign w:val="bottom"/>
            <w:hideMark/>
          </w:tcPr>
          <w:p w14:paraId="756D4BBA"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Année</w:t>
            </w:r>
          </w:p>
        </w:tc>
        <w:tc>
          <w:tcPr>
            <w:tcW w:w="992" w:type="dxa"/>
            <w:tcBorders>
              <w:top w:val="single" w:sz="4" w:space="0" w:color="auto"/>
              <w:bottom w:val="single" w:sz="12" w:space="0" w:color="auto"/>
            </w:tcBorders>
            <w:shd w:val="clear" w:color="auto" w:fill="auto"/>
            <w:vAlign w:val="bottom"/>
            <w:hideMark/>
          </w:tcPr>
          <w:p w14:paraId="7CFF1361"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Jusqu’à 14 ans</w:t>
            </w:r>
          </w:p>
        </w:tc>
        <w:tc>
          <w:tcPr>
            <w:tcW w:w="992" w:type="dxa"/>
            <w:tcBorders>
              <w:top w:val="single" w:sz="4" w:space="0" w:color="auto"/>
              <w:bottom w:val="single" w:sz="12" w:space="0" w:color="auto"/>
            </w:tcBorders>
            <w:shd w:val="clear" w:color="auto" w:fill="auto"/>
            <w:vAlign w:val="bottom"/>
            <w:hideMark/>
          </w:tcPr>
          <w:p w14:paraId="60977755"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15 à 17 ans</w:t>
            </w:r>
          </w:p>
        </w:tc>
        <w:tc>
          <w:tcPr>
            <w:tcW w:w="993" w:type="dxa"/>
            <w:tcBorders>
              <w:top w:val="single" w:sz="4" w:space="0" w:color="auto"/>
              <w:bottom w:val="single" w:sz="12" w:space="0" w:color="auto"/>
            </w:tcBorders>
            <w:shd w:val="clear" w:color="auto" w:fill="auto"/>
            <w:vAlign w:val="bottom"/>
            <w:hideMark/>
          </w:tcPr>
          <w:p w14:paraId="2DC9E4E7"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18 à 24 ans</w:t>
            </w:r>
          </w:p>
        </w:tc>
        <w:tc>
          <w:tcPr>
            <w:tcW w:w="992" w:type="dxa"/>
            <w:tcBorders>
              <w:top w:val="single" w:sz="4" w:space="0" w:color="auto"/>
              <w:bottom w:val="single" w:sz="12" w:space="0" w:color="auto"/>
            </w:tcBorders>
            <w:shd w:val="clear" w:color="auto" w:fill="auto"/>
            <w:vAlign w:val="bottom"/>
            <w:hideMark/>
          </w:tcPr>
          <w:p w14:paraId="355F3069"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25 à 29 ans</w:t>
            </w:r>
          </w:p>
        </w:tc>
        <w:tc>
          <w:tcPr>
            <w:tcW w:w="924" w:type="dxa"/>
            <w:tcBorders>
              <w:top w:val="single" w:sz="4" w:space="0" w:color="auto"/>
              <w:bottom w:val="single" w:sz="12" w:space="0" w:color="auto"/>
            </w:tcBorders>
            <w:shd w:val="clear" w:color="auto" w:fill="auto"/>
            <w:vAlign w:val="bottom"/>
            <w:hideMark/>
          </w:tcPr>
          <w:p w14:paraId="1FD0F25B"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30 à 34 ans</w:t>
            </w:r>
          </w:p>
        </w:tc>
        <w:tc>
          <w:tcPr>
            <w:tcW w:w="1059" w:type="dxa"/>
            <w:tcBorders>
              <w:top w:val="single" w:sz="4" w:space="0" w:color="auto"/>
              <w:bottom w:val="single" w:sz="12" w:space="0" w:color="auto"/>
            </w:tcBorders>
            <w:shd w:val="clear" w:color="auto" w:fill="auto"/>
            <w:vAlign w:val="bottom"/>
            <w:hideMark/>
          </w:tcPr>
          <w:p w14:paraId="2DEE481B"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35 ans ou plus</w:t>
            </w:r>
          </w:p>
        </w:tc>
      </w:tr>
      <w:tr w:rsidR="00EB5903" w:rsidRPr="00BE2E8F" w14:paraId="6522BB88" w14:textId="77777777" w:rsidTr="008B4897">
        <w:tc>
          <w:tcPr>
            <w:tcW w:w="1418" w:type="dxa"/>
            <w:tcBorders>
              <w:top w:val="single" w:sz="12" w:space="0" w:color="auto"/>
            </w:tcBorders>
            <w:shd w:val="clear" w:color="auto" w:fill="auto"/>
            <w:hideMark/>
          </w:tcPr>
          <w:p w14:paraId="2089246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2021 </w:t>
            </w:r>
          </w:p>
        </w:tc>
        <w:tc>
          <w:tcPr>
            <w:tcW w:w="992" w:type="dxa"/>
            <w:tcBorders>
              <w:top w:val="single" w:sz="12" w:space="0" w:color="auto"/>
            </w:tcBorders>
            <w:shd w:val="clear" w:color="auto" w:fill="auto"/>
            <w:hideMark/>
          </w:tcPr>
          <w:p w14:paraId="48462AC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56 564</w:t>
            </w:r>
          </w:p>
        </w:tc>
        <w:tc>
          <w:tcPr>
            <w:tcW w:w="992" w:type="dxa"/>
            <w:tcBorders>
              <w:top w:val="single" w:sz="12" w:space="0" w:color="auto"/>
            </w:tcBorders>
            <w:shd w:val="clear" w:color="auto" w:fill="auto"/>
            <w:hideMark/>
          </w:tcPr>
          <w:p w14:paraId="46E315D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17 360</w:t>
            </w:r>
          </w:p>
        </w:tc>
        <w:tc>
          <w:tcPr>
            <w:tcW w:w="993" w:type="dxa"/>
            <w:tcBorders>
              <w:top w:val="single" w:sz="12" w:space="0" w:color="auto"/>
            </w:tcBorders>
            <w:shd w:val="clear" w:color="auto" w:fill="auto"/>
            <w:hideMark/>
          </w:tcPr>
          <w:p w14:paraId="10C8B56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30 655</w:t>
            </w:r>
          </w:p>
        </w:tc>
        <w:tc>
          <w:tcPr>
            <w:tcW w:w="992" w:type="dxa"/>
            <w:tcBorders>
              <w:top w:val="single" w:sz="12" w:space="0" w:color="auto"/>
            </w:tcBorders>
            <w:shd w:val="clear" w:color="auto" w:fill="auto"/>
            <w:hideMark/>
          </w:tcPr>
          <w:p w14:paraId="7EE3753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16 382</w:t>
            </w:r>
          </w:p>
        </w:tc>
        <w:tc>
          <w:tcPr>
            <w:tcW w:w="924" w:type="dxa"/>
            <w:tcBorders>
              <w:top w:val="single" w:sz="12" w:space="0" w:color="auto"/>
            </w:tcBorders>
            <w:shd w:val="clear" w:color="auto" w:fill="auto"/>
            <w:hideMark/>
          </w:tcPr>
          <w:p w14:paraId="7714F8E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10 090</w:t>
            </w:r>
          </w:p>
        </w:tc>
        <w:tc>
          <w:tcPr>
            <w:tcW w:w="1059" w:type="dxa"/>
            <w:tcBorders>
              <w:top w:val="single" w:sz="12" w:space="0" w:color="auto"/>
            </w:tcBorders>
            <w:shd w:val="clear" w:color="auto" w:fill="auto"/>
            <w:hideMark/>
          </w:tcPr>
          <w:p w14:paraId="7A9C9C3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25 026</w:t>
            </w:r>
          </w:p>
        </w:tc>
      </w:tr>
      <w:tr w:rsidR="00EB5903" w:rsidRPr="00BE2E8F" w14:paraId="67368853" w14:textId="77777777" w:rsidTr="008B4897">
        <w:tc>
          <w:tcPr>
            <w:tcW w:w="1418" w:type="dxa"/>
            <w:shd w:val="clear" w:color="auto" w:fill="auto"/>
            <w:hideMark/>
          </w:tcPr>
          <w:p w14:paraId="0081357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2022 </w:t>
            </w:r>
          </w:p>
        </w:tc>
        <w:tc>
          <w:tcPr>
            <w:tcW w:w="992" w:type="dxa"/>
            <w:shd w:val="clear" w:color="auto" w:fill="auto"/>
            <w:hideMark/>
          </w:tcPr>
          <w:p w14:paraId="77EDB12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58 157</w:t>
            </w:r>
          </w:p>
        </w:tc>
        <w:tc>
          <w:tcPr>
            <w:tcW w:w="992" w:type="dxa"/>
            <w:shd w:val="clear" w:color="auto" w:fill="auto"/>
            <w:hideMark/>
          </w:tcPr>
          <w:p w14:paraId="74B246F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17 120</w:t>
            </w:r>
          </w:p>
        </w:tc>
        <w:tc>
          <w:tcPr>
            <w:tcW w:w="993" w:type="dxa"/>
            <w:shd w:val="clear" w:color="auto" w:fill="auto"/>
            <w:hideMark/>
          </w:tcPr>
          <w:p w14:paraId="765850D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28 739</w:t>
            </w:r>
          </w:p>
        </w:tc>
        <w:tc>
          <w:tcPr>
            <w:tcW w:w="992" w:type="dxa"/>
            <w:shd w:val="clear" w:color="auto" w:fill="auto"/>
            <w:hideMark/>
          </w:tcPr>
          <w:p w14:paraId="3522E28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15 961</w:t>
            </w:r>
          </w:p>
        </w:tc>
        <w:tc>
          <w:tcPr>
            <w:tcW w:w="924" w:type="dxa"/>
            <w:shd w:val="clear" w:color="auto" w:fill="auto"/>
            <w:hideMark/>
          </w:tcPr>
          <w:p w14:paraId="1658864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9 813</w:t>
            </w:r>
          </w:p>
        </w:tc>
        <w:tc>
          <w:tcPr>
            <w:tcW w:w="1059" w:type="dxa"/>
            <w:shd w:val="clear" w:color="auto" w:fill="auto"/>
            <w:hideMark/>
          </w:tcPr>
          <w:p w14:paraId="5D24C8C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25 019</w:t>
            </w:r>
          </w:p>
        </w:tc>
      </w:tr>
      <w:tr w:rsidR="00EB5903" w:rsidRPr="00BE2E8F" w14:paraId="7B2E7DCE" w14:textId="77777777" w:rsidTr="008B4897">
        <w:tc>
          <w:tcPr>
            <w:tcW w:w="1418" w:type="dxa"/>
            <w:shd w:val="clear" w:color="auto" w:fill="auto"/>
            <w:hideMark/>
          </w:tcPr>
          <w:p w14:paraId="3218CDC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2023 </w:t>
            </w:r>
          </w:p>
        </w:tc>
        <w:tc>
          <w:tcPr>
            <w:tcW w:w="992" w:type="dxa"/>
            <w:shd w:val="clear" w:color="auto" w:fill="auto"/>
            <w:hideMark/>
          </w:tcPr>
          <w:p w14:paraId="7C9B9EF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60 505</w:t>
            </w:r>
          </w:p>
        </w:tc>
        <w:tc>
          <w:tcPr>
            <w:tcW w:w="992" w:type="dxa"/>
            <w:shd w:val="clear" w:color="auto" w:fill="auto"/>
            <w:hideMark/>
          </w:tcPr>
          <w:p w14:paraId="792E48B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16 577</w:t>
            </w:r>
          </w:p>
        </w:tc>
        <w:tc>
          <w:tcPr>
            <w:tcW w:w="993" w:type="dxa"/>
            <w:shd w:val="clear" w:color="auto" w:fill="auto"/>
            <w:hideMark/>
          </w:tcPr>
          <w:p w14:paraId="7FA960C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26 998</w:t>
            </w:r>
          </w:p>
        </w:tc>
        <w:tc>
          <w:tcPr>
            <w:tcW w:w="992" w:type="dxa"/>
            <w:shd w:val="clear" w:color="auto" w:fill="auto"/>
            <w:hideMark/>
          </w:tcPr>
          <w:p w14:paraId="1FF2EF0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15 376</w:t>
            </w:r>
          </w:p>
        </w:tc>
        <w:tc>
          <w:tcPr>
            <w:tcW w:w="924" w:type="dxa"/>
            <w:shd w:val="clear" w:color="auto" w:fill="auto"/>
            <w:hideMark/>
          </w:tcPr>
          <w:p w14:paraId="45C91B6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9 440</w:t>
            </w:r>
          </w:p>
        </w:tc>
        <w:tc>
          <w:tcPr>
            <w:tcW w:w="1059" w:type="dxa"/>
            <w:shd w:val="clear" w:color="auto" w:fill="auto"/>
            <w:hideMark/>
          </w:tcPr>
          <w:p w14:paraId="4F2C8D1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25 114</w:t>
            </w:r>
          </w:p>
        </w:tc>
      </w:tr>
    </w:tbl>
    <w:p w14:paraId="419D33BC" w14:textId="77777777" w:rsidR="00EB5903" w:rsidRPr="00BE2E8F" w:rsidRDefault="00EB5903" w:rsidP="00EB5903">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44"/>
        <w:gridCol w:w="1667"/>
        <w:gridCol w:w="1788"/>
        <w:gridCol w:w="1871"/>
      </w:tblGrid>
      <w:tr w:rsidR="00EB5903" w:rsidRPr="00BE2E8F" w14:paraId="2D6D665B" w14:textId="77777777" w:rsidTr="004F4759">
        <w:trPr>
          <w:tblHeader/>
        </w:trPr>
        <w:tc>
          <w:tcPr>
            <w:tcW w:w="7370" w:type="dxa"/>
            <w:gridSpan w:val="4"/>
            <w:tcBorders>
              <w:top w:val="single" w:sz="4" w:space="0" w:color="auto"/>
              <w:bottom w:val="single" w:sz="4" w:space="0" w:color="auto"/>
            </w:tcBorders>
            <w:shd w:val="clear" w:color="auto" w:fill="auto"/>
            <w:vAlign w:val="bottom"/>
            <w:hideMark/>
          </w:tcPr>
          <w:p w14:paraId="46D67C5A" w14:textId="57693912" w:rsidR="00EB5903" w:rsidRPr="00BE2E8F" w:rsidRDefault="00EB5903" w:rsidP="008B4897">
            <w:pPr>
              <w:pStyle w:val="SingleTxtG"/>
              <w:keepNext/>
              <w:tabs>
                <w:tab w:val="clear" w:pos="1701"/>
                <w:tab w:val="clear" w:pos="2268"/>
              </w:tabs>
              <w:suppressAutoHyphens w:val="0"/>
              <w:spacing w:before="80" w:after="80" w:line="200" w:lineRule="exact"/>
              <w:ind w:left="0" w:right="113"/>
              <w:jc w:val="left"/>
              <w:rPr>
                <w:i/>
                <w:sz w:val="16"/>
              </w:rPr>
            </w:pPr>
            <w:r>
              <w:rPr>
                <w:i/>
                <w:sz w:val="16"/>
              </w:rPr>
              <w:t>Nombre d’inscriptions dans l’éducation répondant à des besoins particuliers dans des classes ordinaires, par</w:t>
            </w:r>
            <w:r w:rsidR="008E4BE9">
              <w:rPr>
                <w:i/>
                <w:sz w:val="16"/>
              </w:rPr>
              <w:t> </w:t>
            </w:r>
            <w:r>
              <w:rPr>
                <w:i/>
                <w:sz w:val="16"/>
              </w:rPr>
              <w:t>sexe et couleur/race</w:t>
            </w:r>
          </w:p>
        </w:tc>
      </w:tr>
      <w:tr w:rsidR="00EB5903" w:rsidRPr="00BE2E8F" w14:paraId="6E7CFE02" w14:textId="77777777" w:rsidTr="004F4759">
        <w:trPr>
          <w:tblHeader/>
        </w:trPr>
        <w:tc>
          <w:tcPr>
            <w:tcW w:w="2044" w:type="dxa"/>
            <w:tcBorders>
              <w:top w:val="single" w:sz="4" w:space="0" w:color="auto"/>
              <w:bottom w:val="single" w:sz="12" w:space="0" w:color="auto"/>
            </w:tcBorders>
            <w:shd w:val="clear" w:color="auto" w:fill="auto"/>
            <w:hideMark/>
          </w:tcPr>
          <w:p w14:paraId="58FC8CD8" w14:textId="77777777" w:rsidR="00EB5903" w:rsidRPr="00BE2E8F" w:rsidRDefault="00EB5903" w:rsidP="008B4897">
            <w:pPr>
              <w:pStyle w:val="SingleTxtG"/>
              <w:keepNext/>
              <w:tabs>
                <w:tab w:val="clear" w:pos="1701"/>
                <w:tab w:val="clear" w:pos="2268"/>
              </w:tabs>
              <w:suppressAutoHyphens w:val="0"/>
              <w:spacing w:before="40" w:after="40" w:line="220" w:lineRule="exact"/>
              <w:ind w:left="0" w:right="113"/>
              <w:jc w:val="left"/>
              <w:rPr>
                <w:i/>
                <w:sz w:val="16"/>
              </w:rPr>
            </w:pPr>
            <w:r>
              <w:rPr>
                <w:i/>
                <w:sz w:val="16"/>
              </w:rPr>
              <w:t>Année</w:t>
            </w:r>
          </w:p>
        </w:tc>
        <w:tc>
          <w:tcPr>
            <w:tcW w:w="1667" w:type="dxa"/>
            <w:tcBorders>
              <w:top w:val="single" w:sz="4" w:space="0" w:color="auto"/>
              <w:bottom w:val="single" w:sz="12" w:space="0" w:color="auto"/>
            </w:tcBorders>
            <w:shd w:val="clear" w:color="auto" w:fill="auto"/>
            <w:hideMark/>
          </w:tcPr>
          <w:p w14:paraId="6BB427DD" w14:textId="77777777" w:rsidR="00EB5903" w:rsidRPr="00BE2E8F" w:rsidRDefault="00EB5903" w:rsidP="008E4BE9">
            <w:pPr>
              <w:pStyle w:val="SingleTxtG"/>
              <w:keepNext/>
              <w:tabs>
                <w:tab w:val="clear" w:pos="1701"/>
                <w:tab w:val="clear" w:pos="2268"/>
              </w:tabs>
              <w:suppressAutoHyphens w:val="0"/>
              <w:spacing w:before="40" w:after="40" w:line="220" w:lineRule="exact"/>
              <w:ind w:left="0" w:right="0"/>
              <w:jc w:val="right"/>
              <w:rPr>
                <w:i/>
                <w:sz w:val="16"/>
              </w:rPr>
            </w:pPr>
            <w:r>
              <w:rPr>
                <w:i/>
                <w:sz w:val="16"/>
              </w:rPr>
              <w:t>2021</w:t>
            </w:r>
          </w:p>
        </w:tc>
        <w:tc>
          <w:tcPr>
            <w:tcW w:w="1788" w:type="dxa"/>
            <w:tcBorders>
              <w:top w:val="single" w:sz="4" w:space="0" w:color="auto"/>
              <w:bottom w:val="single" w:sz="12" w:space="0" w:color="auto"/>
            </w:tcBorders>
            <w:shd w:val="clear" w:color="auto" w:fill="auto"/>
            <w:hideMark/>
          </w:tcPr>
          <w:p w14:paraId="796A2A9D" w14:textId="77777777" w:rsidR="00EB5903" w:rsidRPr="00BE2E8F" w:rsidRDefault="00EB5903" w:rsidP="008E4BE9">
            <w:pPr>
              <w:pStyle w:val="SingleTxtG"/>
              <w:keepNext/>
              <w:tabs>
                <w:tab w:val="clear" w:pos="1701"/>
                <w:tab w:val="clear" w:pos="2268"/>
              </w:tabs>
              <w:suppressAutoHyphens w:val="0"/>
              <w:spacing w:before="40" w:after="40" w:line="220" w:lineRule="exact"/>
              <w:ind w:left="0" w:right="0"/>
              <w:jc w:val="right"/>
              <w:rPr>
                <w:i/>
                <w:sz w:val="16"/>
              </w:rPr>
            </w:pPr>
            <w:r>
              <w:rPr>
                <w:i/>
                <w:sz w:val="16"/>
              </w:rPr>
              <w:t>2022</w:t>
            </w:r>
          </w:p>
        </w:tc>
        <w:tc>
          <w:tcPr>
            <w:tcW w:w="1871" w:type="dxa"/>
            <w:tcBorders>
              <w:top w:val="single" w:sz="4" w:space="0" w:color="auto"/>
              <w:bottom w:val="single" w:sz="12" w:space="0" w:color="auto"/>
            </w:tcBorders>
            <w:shd w:val="clear" w:color="auto" w:fill="auto"/>
            <w:hideMark/>
          </w:tcPr>
          <w:p w14:paraId="78F1C770" w14:textId="77777777" w:rsidR="00EB5903" w:rsidRPr="00BE2E8F" w:rsidRDefault="00EB5903" w:rsidP="008E4BE9">
            <w:pPr>
              <w:pStyle w:val="SingleTxtG"/>
              <w:keepNext/>
              <w:tabs>
                <w:tab w:val="clear" w:pos="1701"/>
                <w:tab w:val="clear" w:pos="2268"/>
              </w:tabs>
              <w:suppressAutoHyphens w:val="0"/>
              <w:spacing w:before="40" w:after="40" w:line="220" w:lineRule="exact"/>
              <w:ind w:left="0" w:right="0"/>
              <w:jc w:val="right"/>
              <w:rPr>
                <w:i/>
                <w:sz w:val="16"/>
              </w:rPr>
            </w:pPr>
            <w:r>
              <w:rPr>
                <w:i/>
                <w:sz w:val="16"/>
              </w:rPr>
              <w:t>2023</w:t>
            </w:r>
          </w:p>
        </w:tc>
      </w:tr>
      <w:tr w:rsidR="00EB5903" w:rsidRPr="00BE2E8F" w14:paraId="600965CA" w14:textId="77777777" w:rsidTr="004F4759">
        <w:trPr>
          <w:trHeight w:hRule="exact" w:val="113"/>
          <w:tblHeader/>
        </w:trPr>
        <w:tc>
          <w:tcPr>
            <w:tcW w:w="2044" w:type="dxa"/>
            <w:tcBorders>
              <w:top w:val="single" w:sz="12" w:space="0" w:color="auto"/>
              <w:bottom w:val="nil"/>
            </w:tcBorders>
            <w:shd w:val="clear" w:color="auto" w:fill="auto"/>
          </w:tcPr>
          <w:p w14:paraId="4C298956" w14:textId="77777777" w:rsidR="00EB5903" w:rsidRPr="00BE2E8F" w:rsidRDefault="00EB5903" w:rsidP="008B4897">
            <w:pPr>
              <w:pStyle w:val="SingleTxtG"/>
              <w:keepNext/>
              <w:tabs>
                <w:tab w:val="clear" w:pos="1701"/>
                <w:tab w:val="clear" w:pos="2268"/>
              </w:tabs>
              <w:suppressAutoHyphens w:val="0"/>
              <w:spacing w:before="40" w:after="40" w:line="220" w:lineRule="exact"/>
              <w:ind w:left="0" w:right="113"/>
              <w:jc w:val="left"/>
              <w:rPr>
                <w:i/>
                <w:sz w:val="16"/>
              </w:rPr>
            </w:pPr>
          </w:p>
        </w:tc>
        <w:tc>
          <w:tcPr>
            <w:tcW w:w="1667" w:type="dxa"/>
            <w:tcBorders>
              <w:top w:val="single" w:sz="12" w:space="0" w:color="auto"/>
              <w:bottom w:val="nil"/>
            </w:tcBorders>
            <w:shd w:val="clear" w:color="auto" w:fill="auto"/>
          </w:tcPr>
          <w:p w14:paraId="708696C2" w14:textId="77777777" w:rsidR="00EB5903" w:rsidRPr="00BE2E8F" w:rsidRDefault="00EB5903" w:rsidP="008E4BE9">
            <w:pPr>
              <w:pStyle w:val="SingleTxtG"/>
              <w:keepNext/>
              <w:tabs>
                <w:tab w:val="clear" w:pos="1701"/>
                <w:tab w:val="clear" w:pos="2268"/>
              </w:tabs>
              <w:suppressAutoHyphens w:val="0"/>
              <w:spacing w:before="40" w:after="40" w:line="220" w:lineRule="exact"/>
              <w:ind w:left="0" w:right="0"/>
              <w:jc w:val="right"/>
              <w:rPr>
                <w:i/>
                <w:sz w:val="16"/>
              </w:rPr>
            </w:pPr>
          </w:p>
        </w:tc>
        <w:tc>
          <w:tcPr>
            <w:tcW w:w="1788" w:type="dxa"/>
            <w:tcBorders>
              <w:top w:val="single" w:sz="12" w:space="0" w:color="auto"/>
              <w:bottom w:val="nil"/>
            </w:tcBorders>
            <w:shd w:val="clear" w:color="auto" w:fill="auto"/>
          </w:tcPr>
          <w:p w14:paraId="76528D9B" w14:textId="77777777" w:rsidR="00EB5903" w:rsidRPr="00BE2E8F" w:rsidRDefault="00EB5903" w:rsidP="008E4BE9">
            <w:pPr>
              <w:pStyle w:val="SingleTxtG"/>
              <w:keepNext/>
              <w:tabs>
                <w:tab w:val="clear" w:pos="1701"/>
                <w:tab w:val="clear" w:pos="2268"/>
              </w:tabs>
              <w:suppressAutoHyphens w:val="0"/>
              <w:spacing w:before="40" w:after="40" w:line="220" w:lineRule="exact"/>
              <w:ind w:left="0" w:right="0"/>
              <w:jc w:val="right"/>
              <w:rPr>
                <w:i/>
                <w:sz w:val="16"/>
              </w:rPr>
            </w:pPr>
          </w:p>
        </w:tc>
        <w:tc>
          <w:tcPr>
            <w:tcW w:w="1871" w:type="dxa"/>
            <w:tcBorders>
              <w:top w:val="single" w:sz="12" w:space="0" w:color="auto"/>
              <w:bottom w:val="nil"/>
            </w:tcBorders>
            <w:shd w:val="clear" w:color="auto" w:fill="auto"/>
          </w:tcPr>
          <w:p w14:paraId="580F5A55" w14:textId="77777777" w:rsidR="00EB5903" w:rsidRPr="00BE2E8F" w:rsidRDefault="00EB5903" w:rsidP="008E4BE9">
            <w:pPr>
              <w:pStyle w:val="SingleTxtG"/>
              <w:keepNext/>
              <w:tabs>
                <w:tab w:val="clear" w:pos="1701"/>
                <w:tab w:val="clear" w:pos="2268"/>
              </w:tabs>
              <w:suppressAutoHyphens w:val="0"/>
              <w:spacing w:before="40" w:after="40" w:line="220" w:lineRule="exact"/>
              <w:ind w:left="0" w:right="0"/>
              <w:jc w:val="right"/>
              <w:rPr>
                <w:i/>
                <w:sz w:val="16"/>
              </w:rPr>
            </w:pPr>
          </w:p>
        </w:tc>
      </w:tr>
      <w:tr w:rsidR="00EB5903" w:rsidRPr="00BE2E8F" w14:paraId="7768CF0B" w14:textId="77777777" w:rsidTr="004F4759">
        <w:tc>
          <w:tcPr>
            <w:tcW w:w="2044" w:type="dxa"/>
            <w:tcBorders>
              <w:top w:val="nil"/>
            </w:tcBorders>
            <w:shd w:val="clear" w:color="auto" w:fill="auto"/>
            <w:hideMark/>
          </w:tcPr>
          <w:p w14:paraId="6392DA56" w14:textId="77777777" w:rsidR="00EB5903" w:rsidRPr="00BE2E8F" w:rsidRDefault="00EB5903" w:rsidP="008B4897">
            <w:pPr>
              <w:pStyle w:val="SingleTxtG"/>
              <w:keepNext/>
              <w:tabs>
                <w:tab w:val="clear" w:pos="1701"/>
                <w:tab w:val="clear" w:pos="2268"/>
              </w:tabs>
              <w:suppressAutoHyphens w:val="0"/>
              <w:spacing w:before="40" w:after="40" w:line="220" w:lineRule="exact"/>
              <w:ind w:left="0" w:right="113"/>
              <w:jc w:val="left"/>
              <w:rPr>
                <w:sz w:val="18"/>
              </w:rPr>
            </w:pPr>
            <w:r>
              <w:rPr>
                <w:sz w:val="18"/>
              </w:rPr>
              <w:t>Total filles</w:t>
            </w:r>
          </w:p>
        </w:tc>
        <w:tc>
          <w:tcPr>
            <w:tcW w:w="1667" w:type="dxa"/>
            <w:tcBorders>
              <w:top w:val="nil"/>
            </w:tcBorders>
            <w:shd w:val="clear" w:color="auto" w:fill="auto"/>
            <w:hideMark/>
          </w:tcPr>
          <w:p w14:paraId="13CEFAEC" w14:textId="77777777" w:rsidR="00EB5903" w:rsidRPr="00BE2E8F" w:rsidRDefault="00EB5903" w:rsidP="008E4BE9">
            <w:pPr>
              <w:pStyle w:val="SingleTxtG"/>
              <w:keepNext/>
              <w:tabs>
                <w:tab w:val="clear" w:pos="1701"/>
                <w:tab w:val="clear" w:pos="2268"/>
              </w:tabs>
              <w:suppressAutoHyphens w:val="0"/>
              <w:spacing w:before="40" w:after="40" w:line="220" w:lineRule="exact"/>
              <w:ind w:left="0" w:right="0"/>
              <w:jc w:val="right"/>
              <w:rPr>
                <w:sz w:val="18"/>
              </w:rPr>
            </w:pPr>
            <w:r>
              <w:rPr>
                <w:sz w:val="18"/>
              </w:rPr>
              <w:t>394 234</w:t>
            </w:r>
          </w:p>
        </w:tc>
        <w:tc>
          <w:tcPr>
            <w:tcW w:w="1788" w:type="dxa"/>
            <w:tcBorders>
              <w:top w:val="nil"/>
            </w:tcBorders>
            <w:shd w:val="clear" w:color="auto" w:fill="auto"/>
            <w:hideMark/>
          </w:tcPr>
          <w:p w14:paraId="067CF5DF" w14:textId="77777777" w:rsidR="00EB5903" w:rsidRPr="00BE2E8F" w:rsidRDefault="00EB5903" w:rsidP="008E4BE9">
            <w:pPr>
              <w:pStyle w:val="SingleTxtG"/>
              <w:keepNext/>
              <w:tabs>
                <w:tab w:val="clear" w:pos="1701"/>
                <w:tab w:val="clear" w:pos="2268"/>
              </w:tabs>
              <w:suppressAutoHyphens w:val="0"/>
              <w:spacing w:before="40" w:after="40" w:line="220" w:lineRule="exact"/>
              <w:ind w:left="0" w:right="0"/>
              <w:jc w:val="right"/>
              <w:rPr>
                <w:sz w:val="18"/>
              </w:rPr>
            </w:pPr>
            <w:r>
              <w:rPr>
                <w:sz w:val="18"/>
              </w:rPr>
              <w:t>438 253</w:t>
            </w:r>
          </w:p>
        </w:tc>
        <w:tc>
          <w:tcPr>
            <w:tcW w:w="1871" w:type="dxa"/>
            <w:tcBorders>
              <w:top w:val="nil"/>
            </w:tcBorders>
            <w:shd w:val="clear" w:color="auto" w:fill="auto"/>
            <w:hideMark/>
          </w:tcPr>
          <w:p w14:paraId="02F12017" w14:textId="77777777" w:rsidR="00EB5903" w:rsidRPr="00BE2E8F" w:rsidRDefault="00EB5903" w:rsidP="008E4BE9">
            <w:pPr>
              <w:pStyle w:val="SingleTxtG"/>
              <w:keepNext/>
              <w:tabs>
                <w:tab w:val="clear" w:pos="1701"/>
                <w:tab w:val="clear" w:pos="2268"/>
              </w:tabs>
              <w:suppressAutoHyphens w:val="0"/>
              <w:spacing w:before="40" w:after="40" w:line="220" w:lineRule="exact"/>
              <w:ind w:left="0" w:right="0"/>
              <w:jc w:val="right"/>
              <w:rPr>
                <w:sz w:val="18"/>
              </w:rPr>
            </w:pPr>
            <w:r>
              <w:rPr>
                <w:sz w:val="18"/>
              </w:rPr>
              <w:t>502 781</w:t>
            </w:r>
          </w:p>
        </w:tc>
      </w:tr>
      <w:tr w:rsidR="00EB5903" w:rsidRPr="00BE2E8F" w14:paraId="240FDAF1" w14:textId="77777777" w:rsidTr="004F4759">
        <w:tc>
          <w:tcPr>
            <w:tcW w:w="2044" w:type="dxa"/>
            <w:tcBorders>
              <w:bottom w:val="nil"/>
            </w:tcBorders>
            <w:shd w:val="clear" w:color="auto" w:fill="auto"/>
            <w:hideMark/>
          </w:tcPr>
          <w:p w14:paraId="0ADBDE26" w14:textId="1F01F79A"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 xml:space="preserve">Filles </w:t>
            </w:r>
            <w:r w:rsidR="004F4759">
              <w:rPr>
                <w:sz w:val="18"/>
              </w:rPr>
              <w:t>−</w:t>
            </w:r>
            <w:r>
              <w:rPr>
                <w:sz w:val="18"/>
              </w:rPr>
              <w:t xml:space="preserve"> Non précisé</w:t>
            </w:r>
          </w:p>
        </w:tc>
        <w:tc>
          <w:tcPr>
            <w:tcW w:w="1667" w:type="dxa"/>
            <w:tcBorders>
              <w:bottom w:val="nil"/>
            </w:tcBorders>
            <w:shd w:val="clear" w:color="auto" w:fill="auto"/>
            <w:hideMark/>
          </w:tcPr>
          <w:p w14:paraId="2FE619A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99 539</w:t>
            </w:r>
          </w:p>
        </w:tc>
        <w:tc>
          <w:tcPr>
            <w:tcW w:w="1788" w:type="dxa"/>
            <w:tcBorders>
              <w:bottom w:val="nil"/>
            </w:tcBorders>
            <w:shd w:val="clear" w:color="auto" w:fill="auto"/>
            <w:hideMark/>
          </w:tcPr>
          <w:p w14:paraId="2973820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109 757</w:t>
            </w:r>
          </w:p>
        </w:tc>
        <w:tc>
          <w:tcPr>
            <w:tcW w:w="1871" w:type="dxa"/>
            <w:tcBorders>
              <w:bottom w:val="nil"/>
            </w:tcBorders>
            <w:shd w:val="clear" w:color="auto" w:fill="auto"/>
            <w:hideMark/>
          </w:tcPr>
          <w:p w14:paraId="4F4EFB6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116 250</w:t>
            </w:r>
          </w:p>
        </w:tc>
      </w:tr>
      <w:tr w:rsidR="00EB5903" w:rsidRPr="00BE2E8F" w14:paraId="10F0F5E4" w14:textId="77777777" w:rsidTr="004F4759">
        <w:tc>
          <w:tcPr>
            <w:tcW w:w="2044" w:type="dxa"/>
            <w:tcBorders>
              <w:top w:val="nil"/>
              <w:bottom w:val="nil"/>
            </w:tcBorders>
            <w:shd w:val="clear" w:color="auto" w:fill="auto"/>
            <w:hideMark/>
          </w:tcPr>
          <w:p w14:paraId="0F4F035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 à la peau blanche</w:t>
            </w:r>
          </w:p>
        </w:tc>
        <w:tc>
          <w:tcPr>
            <w:tcW w:w="1667" w:type="dxa"/>
            <w:tcBorders>
              <w:top w:val="nil"/>
              <w:bottom w:val="nil"/>
            </w:tcBorders>
            <w:shd w:val="clear" w:color="auto" w:fill="auto"/>
            <w:hideMark/>
          </w:tcPr>
          <w:p w14:paraId="653F74B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126 858</w:t>
            </w:r>
          </w:p>
        </w:tc>
        <w:tc>
          <w:tcPr>
            <w:tcW w:w="1788" w:type="dxa"/>
            <w:tcBorders>
              <w:top w:val="nil"/>
              <w:bottom w:val="nil"/>
            </w:tcBorders>
            <w:shd w:val="clear" w:color="auto" w:fill="auto"/>
            <w:hideMark/>
          </w:tcPr>
          <w:p w14:paraId="4E6CBFE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142 093</w:t>
            </w:r>
          </w:p>
        </w:tc>
        <w:tc>
          <w:tcPr>
            <w:tcW w:w="1871" w:type="dxa"/>
            <w:tcBorders>
              <w:top w:val="nil"/>
              <w:bottom w:val="nil"/>
            </w:tcBorders>
            <w:shd w:val="clear" w:color="auto" w:fill="auto"/>
            <w:hideMark/>
          </w:tcPr>
          <w:p w14:paraId="3D0C038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165 404</w:t>
            </w:r>
          </w:p>
        </w:tc>
      </w:tr>
      <w:tr w:rsidR="00EB5903" w:rsidRPr="00BE2E8F" w14:paraId="167B2900" w14:textId="77777777" w:rsidTr="004F4759">
        <w:tc>
          <w:tcPr>
            <w:tcW w:w="2044" w:type="dxa"/>
            <w:tcBorders>
              <w:top w:val="nil"/>
            </w:tcBorders>
            <w:shd w:val="clear" w:color="auto" w:fill="auto"/>
            <w:hideMark/>
          </w:tcPr>
          <w:p w14:paraId="0715F21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 à la peau noire</w:t>
            </w:r>
          </w:p>
        </w:tc>
        <w:tc>
          <w:tcPr>
            <w:tcW w:w="1667" w:type="dxa"/>
            <w:tcBorders>
              <w:top w:val="nil"/>
            </w:tcBorders>
            <w:shd w:val="clear" w:color="auto" w:fill="auto"/>
            <w:hideMark/>
          </w:tcPr>
          <w:p w14:paraId="6FF6048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14 773</w:t>
            </w:r>
          </w:p>
        </w:tc>
        <w:tc>
          <w:tcPr>
            <w:tcW w:w="1788" w:type="dxa"/>
            <w:tcBorders>
              <w:top w:val="nil"/>
            </w:tcBorders>
            <w:shd w:val="clear" w:color="auto" w:fill="auto"/>
            <w:hideMark/>
          </w:tcPr>
          <w:p w14:paraId="4C1949A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16 605</w:t>
            </w:r>
          </w:p>
        </w:tc>
        <w:tc>
          <w:tcPr>
            <w:tcW w:w="1871" w:type="dxa"/>
            <w:tcBorders>
              <w:top w:val="nil"/>
            </w:tcBorders>
            <w:shd w:val="clear" w:color="auto" w:fill="auto"/>
            <w:hideMark/>
          </w:tcPr>
          <w:p w14:paraId="012C2B0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20 273</w:t>
            </w:r>
          </w:p>
        </w:tc>
      </w:tr>
      <w:tr w:rsidR="00EB5903" w:rsidRPr="00BE2E8F" w14:paraId="74049018" w14:textId="77777777" w:rsidTr="004F4759">
        <w:tc>
          <w:tcPr>
            <w:tcW w:w="2044" w:type="dxa"/>
            <w:shd w:val="clear" w:color="auto" w:fill="auto"/>
            <w:hideMark/>
          </w:tcPr>
          <w:p w14:paraId="0DE091B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 à la peau brune</w:t>
            </w:r>
          </w:p>
        </w:tc>
        <w:tc>
          <w:tcPr>
            <w:tcW w:w="1667" w:type="dxa"/>
            <w:shd w:val="clear" w:color="auto" w:fill="auto"/>
            <w:hideMark/>
          </w:tcPr>
          <w:p w14:paraId="7B43A92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149 985</w:t>
            </w:r>
          </w:p>
        </w:tc>
        <w:tc>
          <w:tcPr>
            <w:tcW w:w="1788" w:type="dxa"/>
            <w:shd w:val="clear" w:color="auto" w:fill="auto"/>
            <w:hideMark/>
          </w:tcPr>
          <w:p w14:paraId="6DBC58A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166 398</w:t>
            </w:r>
          </w:p>
        </w:tc>
        <w:tc>
          <w:tcPr>
            <w:tcW w:w="1871" w:type="dxa"/>
            <w:shd w:val="clear" w:color="auto" w:fill="auto"/>
            <w:hideMark/>
          </w:tcPr>
          <w:p w14:paraId="6DA1D21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196 664</w:t>
            </w:r>
          </w:p>
        </w:tc>
      </w:tr>
      <w:tr w:rsidR="00EB5903" w:rsidRPr="00BE2E8F" w14:paraId="5BB61406" w14:textId="77777777" w:rsidTr="004F4759">
        <w:tc>
          <w:tcPr>
            <w:tcW w:w="2044" w:type="dxa"/>
            <w:shd w:val="clear" w:color="auto" w:fill="auto"/>
            <w:hideMark/>
          </w:tcPr>
          <w:p w14:paraId="6E18D24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 à la peau jaune</w:t>
            </w:r>
          </w:p>
        </w:tc>
        <w:tc>
          <w:tcPr>
            <w:tcW w:w="1667" w:type="dxa"/>
            <w:shd w:val="clear" w:color="auto" w:fill="auto"/>
            <w:hideMark/>
          </w:tcPr>
          <w:p w14:paraId="49485E8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1 234</w:t>
            </w:r>
          </w:p>
        </w:tc>
        <w:tc>
          <w:tcPr>
            <w:tcW w:w="1788" w:type="dxa"/>
            <w:shd w:val="clear" w:color="auto" w:fill="auto"/>
            <w:hideMark/>
          </w:tcPr>
          <w:p w14:paraId="785F9F2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1 438</w:t>
            </w:r>
          </w:p>
        </w:tc>
        <w:tc>
          <w:tcPr>
            <w:tcW w:w="1871" w:type="dxa"/>
            <w:shd w:val="clear" w:color="auto" w:fill="auto"/>
            <w:hideMark/>
          </w:tcPr>
          <w:p w14:paraId="0768D4B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1 938</w:t>
            </w:r>
          </w:p>
        </w:tc>
      </w:tr>
      <w:tr w:rsidR="00EB5903" w:rsidRPr="00BE2E8F" w14:paraId="7E1FF4F2" w14:textId="77777777" w:rsidTr="004F4759">
        <w:tc>
          <w:tcPr>
            <w:tcW w:w="2044" w:type="dxa"/>
            <w:shd w:val="clear" w:color="auto" w:fill="auto"/>
            <w:hideMark/>
          </w:tcPr>
          <w:p w14:paraId="732B215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 autochtones</w:t>
            </w:r>
          </w:p>
        </w:tc>
        <w:tc>
          <w:tcPr>
            <w:tcW w:w="1667" w:type="dxa"/>
            <w:shd w:val="clear" w:color="auto" w:fill="auto"/>
            <w:hideMark/>
          </w:tcPr>
          <w:p w14:paraId="58A9F2E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1 845</w:t>
            </w:r>
          </w:p>
        </w:tc>
        <w:tc>
          <w:tcPr>
            <w:tcW w:w="1788" w:type="dxa"/>
            <w:shd w:val="clear" w:color="auto" w:fill="auto"/>
            <w:hideMark/>
          </w:tcPr>
          <w:p w14:paraId="0AD9212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1 962</w:t>
            </w:r>
          </w:p>
        </w:tc>
        <w:tc>
          <w:tcPr>
            <w:tcW w:w="1871" w:type="dxa"/>
            <w:shd w:val="clear" w:color="auto" w:fill="auto"/>
            <w:hideMark/>
          </w:tcPr>
          <w:p w14:paraId="46D896D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2 252</w:t>
            </w:r>
          </w:p>
        </w:tc>
      </w:tr>
      <w:tr w:rsidR="00EB5903" w:rsidRPr="00BE2E8F" w14:paraId="57DC9E12" w14:textId="77777777" w:rsidTr="004F4759">
        <w:tc>
          <w:tcPr>
            <w:tcW w:w="2044" w:type="dxa"/>
            <w:shd w:val="clear" w:color="auto" w:fill="auto"/>
            <w:hideMark/>
          </w:tcPr>
          <w:p w14:paraId="2B04DA4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Total garçons</w:t>
            </w:r>
          </w:p>
        </w:tc>
        <w:tc>
          <w:tcPr>
            <w:tcW w:w="1667" w:type="dxa"/>
            <w:shd w:val="clear" w:color="auto" w:fill="auto"/>
            <w:hideMark/>
          </w:tcPr>
          <w:p w14:paraId="7435D0A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800 610</w:t>
            </w:r>
          </w:p>
        </w:tc>
        <w:tc>
          <w:tcPr>
            <w:tcW w:w="1788" w:type="dxa"/>
            <w:shd w:val="clear" w:color="auto" w:fill="auto"/>
            <w:hideMark/>
          </w:tcPr>
          <w:p w14:paraId="4F922C6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934 732</w:t>
            </w:r>
          </w:p>
        </w:tc>
        <w:tc>
          <w:tcPr>
            <w:tcW w:w="1871" w:type="dxa"/>
            <w:shd w:val="clear" w:color="auto" w:fill="auto"/>
            <w:hideMark/>
          </w:tcPr>
          <w:p w14:paraId="35BE129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1 114 639</w:t>
            </w:r>
          </w:p>
        </w:tc>
      </w:tr>
      <w:tr w:rsidR="00EB5903" w:rsidRPr="00BE2E8F" w14:paraId="142C0EC8" w14:textId="77777777" w:rsidTr="004F4759">
        <w:tc>
          <w:tcPr>
            <w:tcW w:w="2044" w:type="dxa"/>
            <w:shd w:val="clear" w:color="auto" w:fill="auto"/>
            <w:hideMark/>
          </w:tcPr>
          <w:p w14:paraId="45A9099B" w14:textId="5EED73FA"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 xml:space="preserve">Garçons </w:t>
            </w:r>
            <w:r w:rsidR="004F4759">
              <w:rPr>
                <w:sz w:val="18"/>
              </w:rPr>
              <w:t>−</w:t>
            </w:r>
            <w:r>
              <w:rPr>
                <w:sz w:val="18"/>
              </w:rPr>
              <w:t xml:space="preserve"> non précisé</w:t>
            </w:r>
          </w:p>
        </w:tc>
        <w:tc>
          <w:tcPr>
            <w:tcW w:w="1667" w:type="dxa"/>
            <w:shd w:val="clear" w:color="auto" w:fill="auto"/>
            <w:hideMark/>
          </w:tcPr>
          <w:p w14:paraId="00E25CD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202 766</w:t>
            </w:r>
          </w:p>
        </w:tc>
        <w:tc>
          <w:tcPr>
            <w:tcW w:w="1788" w:type="dxa"/>
            <w:shd w:val="clear" w:color="auto" w:fill="auto"/>
            <w:hideMark/>
          </w:tcPr>
          <w:p w14:paraId="070FB22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236 593</w:t>
            </w:r>
          </w:p>
        </w:tc>
        <w:tc>
          <w:tcPr>
            <w:tcW w:w="1871" w:type="dxa"/>
            <w:shd w:val="clear" w:color="auto" w:fill="auto"/>
            <w:hideMark/>
          </w:tcPr>
          <w:p w14:paraId="0031DE5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261 236</w:t>
            </w:r>
          </w:p>
        </w:tc>
      </w:tr>
      <w:tr w:rsidR="00EB5903" w:rsidRPr="00BE2E8F" w14:paraId="4E09E1DA" w14:textId="77777777" w:rsidTr="004F4759">
        <w:tc>
          <w:tcPr>
            <w:tcW w:w="2044" w:type="dxa"/>
            <w:shd w:val="clear" w:color="auto" w:fill="auto"/>
            <w:hideMark/>
          </w:tcPr>
          <w:p w14:paraId="793FD5F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 à la peau blanche</w:t>
            </w:r>
          </w:p>
        </w:tc>
        <w:tc>
          <w:tcPr>
            <w:tcW w:w="1667" w:type="dxa"/>
            <w:shd w:val="clear" w:color="auto" w:fill="auto"/>
            <w:hideMark/>
          </w:tcPr>
          <w:p w14:paraId="20FFC03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257 355</w:t>
            </w:r>
          </w:p>
        </w:tc>
        <w:tc>
          <w:tcPr>
            <w:tcW w:w="1788" w:type="dxa"/>
            <w:shd w:val="clear" w:color="auto" w:fill="auto"/>
            <w:hideMark/>
          </w:tcPr>
          <w:p w14:paraId="0E7CAAE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303 492</w:t>
            </w:r>
          </w:p>
        </w:tc>
        <w:tc>
          <w:tcPr>
            <w:tcW w:w="1871" w:type="dxa"/>
            <w:shd w:val="clear" w:color="auto" w:fill="auto"/>
            <w:hideMark/>
          </w:tcPr>
          <w:p w14:paraId="5FB56C5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365 913</w:t>
            </w:r>
          </w:p>
        </w:tc>
      </w:tr>
      <w:tr w:rsidR="00EB5903" w:rsidRPr="00BE2E8F" w14:paraId="533A5E7D" w14:textId="77777777" w:rsidTr="004F4759">
        <w:tc>
          <w:tcPr>
            <w:tcW w:w="2044" w:type="dxa"/>
            <w:shd w:val="clear" w:color="auto" w:fill="auto"/>
            <w:hideMark/>
          </w:tcPr>
          <w:p w14:paraId="6C2A546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 à la peau noire</w:t>
            </w:r>
          </w:p>
        </w:tc>
        <w:tc>
          <w:tcPr>
            <w:tcW w:w="1667" w:type="dxa"/>
            <w:shd w:val="clear" w:color="auto" w:fill="auto"/>
            <w:hideMark/>
          </w:tcPr>
          <w:p w14:paraId="2EF4654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29 377</w:t>
            </w:r>
          </w:p>
        </w:tc>
        <w:tc>
          <w:tcPr>
            <w:tcW w:w="1788" w:type="dxa"/>
            <w:shd w:val="clear" w:color="auto" w:fill="auto"/>
            <w:hideMark/>
          </w:tcPr>
          <w:p w14:paraId="70DD623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34 188</w:t>
            </w:r>
          </w:p>
        </w:tc>
        <w:tc>
          <w:tcPr>
            <w:tcW w:w="1871" w:type="dxa"/>
            <w:shd w:val="clear" w:color="auto" w:fill="auto"/>
            <w:hideMark/>
          </w:tcPr>
          <w:p w14:paraId="780E2F5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43 278</w:t>
            </w:r>
          </w:p>
        </w:tc>
      </w:tr>
      <w:tr w:rsidR="00EB5903" w:rsidRPr="00BE2E8F" w14:paraId="29A871DE" w14:textId="77777777" w:rsidTr="004F4759">
        <w:tc>
          <w:tcPr>
            <w:tcW w:w="2044" w:type="dxa"/>
            <w:shd w:val="clear" w:color="auto" w:fill="auto"/>
            <w:hideMark/>
          </w:tcPr>
          <w:p w14:paraId="0147CB7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 à la peau brune</w:t>
            </w:r>
          </w:p>
        </w:tc>
        <w:tc>
          <w:tcPr>
            <w:tcW w:w="1667" w:type="dxa"/>
            <w:shd w:val="clear" w:color="auto" w:fill="auto"/>
            <w:hideMark/>
          </w:tcPr>
          <w:p w14:paraId="3A543BF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306 022</w:t>
            </w:r>
          </w:p>
        </w:tc>
        <w:tc>
          <w:tcPr>
            <w:tcW w:w="1788" w:type="dxa"/>
            <w:shd w:val="clear" w:color="auto" w:fill="auto"/>
            <w:hideMark/>
          </w:tcPr>
          <w:p w14:paraId="4C8E2A8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354 466</w:t>
            </w:r>
          </w:p>
        </w:tc>
        <w:tc>
          <w:tcPr>
            <w:tcW w:w="1871" w:type="dxa"/>
            <w:shd w:val="clear" w:color="auto" w:fill="auto"/>
            <w:hideMark/>
          </w:tcPr>
          <w:p w14:paraId="05019B1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436 338</w:t>
            </w:r>
          </w:p>
        </w:tc>
      </w:tr>
      <w:tr w:rsidR="00EB5903" w:rsidRPr="00BE2E8F" w14:paraId="71EE213E" w14:textId="77777777" w:rsidTr="004F4759">
        <w:tc>
          <w:tcPr>
            <w:tcW w:w="2044" w:type="dxa"/>
            <w:shd w:val="clear" w:color="auto" w:fill="auto"/>
            <w:hideMark/>
          </w:tcPr>
          <w:p w14:paraId="3E250C5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 à la peau jaune</w:t>
            </w:r>
          </w:p>
        </w:tc>
        <w:tc>
          <w:tcPr>
            <w:tcW w:w="1667" w:type="dxa"/>
            <w:shd w:val="clear" w:color="auto" w:fill="auto"/>
            <w:hideMark/>
          </w:tcPr>
          <w:p w14:paraId="2E5661E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2 392</w:t>
            </w:r>
          </w:p>
        </w:tc>
        <w:tc>
          <w:tcPr>
            <w:tcW w:w="1788" w:type="dxa"/>
            <w:shd w:val="clear" w:color="auto" w:fill="auto"/>
            <w:hideMark/>
          </w:tcPr>
          <w:p w14:paraId="42F5E88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2 880</w:t>
            </w:r>
          </w:p>
        </w:tc>
        <w:tc>
          <w:tcPr>
            <w:tcW w:w="1871" w:type="dxa"/>
            <w:shd w:val="clear" w:color="auto" w:fill="auto"/>
            <w:hideMark/>
          </w:tcPr>
          <w:p w14:paraId="6EE568B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3 991</w:t>
            </w:r>
          </w:p>
        </w:tc>
      </w:tr>
      <w:tr w:rsidR="00EB5903" w:rsidRPr="00BE2E8F" w14:paraId="2DF6AA83" w14:textId="77777777" w:rsidTr="004F4759">
        <w:tc>
          <w:tcPr>
            <w:tcW w:w="2044" w:type="dxa"/>
            <w:shd w:val="clear" w:color="auto" w:fill="auto"/>
            <w:hideMark/>
          </w:tcPr>
          <w:p w14:paraId="577E4AB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 autochtones</w:t>
            </w:r>
          </w:p>
        </w:tc>
        <w:tc>
          <w:tcPr>
            <w:tcW w:w="1667" w:type="dxa"/>
            <w:shd w:val="clear" w:color="auto" w:fill="auto"/>
            <w:hideMark/>
          </w:tcPr>
          <w:p w14:paraId="2305772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2 698</w:t>
            </w:r>
          </w:p>
        </w:tc>
        <w:tc>
          <w:tcPr>
            <w:tcW w:w="1788" w:type="dxa"/>
            <w:shd w:val="clear" w:color="auto" w:fill="auto"/>
            <w:hideMark/>
          </w:tcPr>
          <w:p w14:paraId="23B89B6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3 113</w:t>
            </w:r>
          </w:p>
        </w:tc>
        <w:tc>
          <w:tcPr>
            <w:tcW w:w="1871" w:type="dxa"/>
            <w:shd w:val="clear" w:color="auto" w:fill="auto"/>
            <w:hideMark/>
          </w:tcPr>
          <w:p w14:paraId="7C2EE43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3 883</w:t>
            </w:r>
          </w:p>
        </w:tc>
      </w:tr>
    </w:tbl>
    <w:p w14:paraId="6AF83FD3" w14:textId="77777777" w:rsidR="00EB5903" w:rsidRPr="00BE2E8F" w:rsidRDefault="00EB5903" w:rsidP="00EB5903">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44"/>
        <w:gridCol w:w="1738"/>
        <w:gridCol w:w="1794"/>
        <w:gridCol w:w="1794"/>
      </w:tblGrid>
      <w:tr w:rsidR="00EB5903" w:rsidRPr="00BE2E8F" w14:paraId="5BF63AE4" w14:textId="77777777" w:rsidTr="008B4897">
        <w:trPr>
          <w:tblHeader/>
        </w:trPr>
        <w:tc>
          <w:tcPr>
            <w:tcW w:w="7370" w:type="dxa"/>
            <w:gridSpan w:val="4"/>
            <w:tcBorders>
              <w:top w:val="single" w:sz="4" w:space="0" w:color="auto"/>
              <w:bottom w:val="single" w:sz="4" w:space="0" w:color="auto"/>
            </w:tcBorders>
            <w:shd w:val="clear" w:color="auto" w:fill="auto"/>
            <w:vAlign w:val="bottom"/>
            <w:hideMark/>
          </w:tcPr>
          <w:p w14:paraId="50B5727E" w14:textId="71FF2DC6"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Nombre d’inscriptions dans l’éducation répondant à des besoins particuliers dans des classes exclusives, par</w:t>
            </w:r>
            <w:r w:rsidR="008E4BE9">
              <w:rPr>
                <w:i/>
                <w:sz w:val="16"/>
              </w:rPr>
              <w:t> </w:t>
            </w:r>
            <w:r>
              <w:rPr>
                <w:i/>
                <w:sz w:val="16"/>
              </w:rPr>
              <w:t>sexe et couleur/race</w:t>
            </w:r>
          </w:p>
        </w:tc>
      </w:tr>
      <w:tr w:rsidR="00EB5903" w:rsidRPr="00197940" w14:paraId="03044CDC" w14:textId="77777777" w:rsidTr="004F4759">
        <w:tc>
          <w:tcPr>
            <w:tcW w:w="2044" w:type="dxa"/>
            <w:tcBorders>
              <w:top w:val="single" w:sz="4" w:space="0" w:color="auto"/>
              <w:bottom w:val="single" w:sz="12" w:space="0" w:color="auto"/>
            </w:tcBorders>
            <w:shd w:val="clear" w:color="auto" w:fill="auto"/>
            <w:hideMark/>
          </w:tcPr>
          <w:p w14:paraId="103E24FB" w14:textId="77777777" w:rsidR="00EB5903" w:rsidRPr="00197940"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Année </w:t>
            </w:r>
          </w:p>
        </w:tc>
        <w:tc>
          <w:tcPr>
            <w:tcW w:w="1738" w:type="dxa"/>
            <w:tcBorders>
              <w:top w:val="single" w:sz="4" w:space="0" w:color="auto"/>
              <w:bottom w:val="single" w:sz="12" w:space="0" w:color="auto"/>
            </w:tcBorders>
            <w:shd w:val="clear" w:color="auto" w:fill="auto"/>
            <w:hideMark/>
          </w:tcPr>
          <w:p w14:paraId="3B1D7718" w14:textId="77777777" w:rsidR="00EB5903" w:rsidRPr="00197940"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2021</w:t>
            </w:r>
          </w:p>
        </w:tc>
        <w:tc>
          <w:tcPr>
            <w:tcW w:w="1794" w:type="dxa"/>
            <w:tcBorders>
              <w:top w:val="single" w:sz="4" w:space="0" w:color="auto"/>
              <w:bottom w:val="single" w:sz="12" w:space="0" w:color="auto"/>
            </w:tcBorders>
            <w:shd w:val="clear" w:color="auto" w:fill="auto"/>
            <w:hideMark/>
          </w:tcPr>
          <w:p w14:paraId="746E9940" w14:textId="77777777" w:rsidR="00EB5903" w:rsidRPr="00197940"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2022</w:t>
            </w:r>
          </w:p>
        </w:tc>
        <w:tc>
          <w:tcPr>
            <w:tcW w:w="1794" w:type="dxa"/>
            <w:tcBorders>
              <w:top w:val="single" w:sz="4" w:space="0" w:color="auto"/>
              <w:bottom w:val="single" w:sz="12" w:space="0" w:color="auto"/>
            </w:tcBorders>
            <w:shd w:val="clear" w:color="auto" w:fill="auto"/>
            <w:hideMark/>
          </w:tcPr>
          <w:p w14:paraId="51FA1BAB" w14:textId="77777777" w:rsidR="00EB5903" w:rsidRPr="00197940"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2023</w:t>
            </w:r>
          </w:p>
        </w:tc>
      </w:tr>
      <w:tr w:rsidR="00EB5903" w:rsidRPr="00197940" w14:paraId="4E52D351" w14:textId="77777777" w:rsidTr="004F4759">
        <w:trPr>
          <w:trHeight w:hRule="exact" w:val="113"/>
        </w:trPr>
        <w:tc>
          <w:tcPr>
            <w:tcW w:w="2044" w:type="dxa"/>
            <w:tcBorders>
              <w:top w:val="single" w:sz="12" w:space="0" w:color="auto"/>
              <w:bottom w:val="nil"/>
            </w:tcBorders>
            <w:shd w:val="clear" w:color="auto" w:fill="auto"/>
          </w:tcPr>
          <w:p w14:paraId="57055050" w14:textId="77777777" w:rsidR="00EB5903" w:rsidRPr="00197940" w:rsidRDefault="00EB5903" w:rsidP="008B4897">
            <w:pPr>
              <w:pStyle w:val="SingleTxtG"/>
              <w:tabs>
                <w:tab w:val="clear" w:pos="1701"/>
                <w:tab w:val="clear" w:pos="2268"/>
              </w:tabs>
              <w:suppressAutoHyphens w:val="0"/>
              <w:spacing w:before="80" w:after="80" w:line="200" w:lineRule="exact"/>
              <w:ind w:left="0" w:right="113"/>
              <w:jc w:val="left"/>
              <w:rPr>
                <w:i/>
                <w:sz w:val="16"/>
              </w:rPr>
            </w:pPr>
          </w:p>
        </w:tc>
        <w:tc>
          <w:tcPr>
            <w:tcW w:w="1738" w:type="dxa"/>
            <w:tcBorders>
              <w:top w:val="single" w:sz="12" w:space="0" w:color="auto"/>
              <w:bottom w:val="nil"/>
            </w:tcBorders>
            <w:shd w:val="clear" w:color="auto" w:fill="auto"/>
          </w:tcPr>
          <w:p w14:paraId="01E6F658" w14:textId="77777777" w:rsidR="00EB5903" w:rsidRPr="00197940" w:rsidRDefault="00EB5903" w:rsidP="008E4BE9">
            <w:pPr>
              <w:pStyle w:val="SingleTxtG"/>
              <w:tabs>
                <w:tab w:val="clear" w:pos="1701"/>
                <w:tab w:val="clear" w:pos="2268"/>
              </w:tabs>
              <w:suppressAutoHyphens w:val="0"/>
              <w:spacing w:before="80" w:after="80" w:line="200" w:lineRule="exact"/>
              <w:ind w:left="0" w:right="0"/>
              <w:jc w:val="right"/>
              <w:rPr>
                <w:i/>
                <w:sz w:val="16"/>
              </w:rPr>
            </w:pPr>
          </w:p>
        </w:tc>
        <w:tc>
          <w:tcPr>
            <w:tcW w:w="1794" w:type="dxa"/>
            <w:tcBorders>
              <w:top w:val="single" w:sz="12" w:space="0" w:color="auto"/>
              <w:bottom w:val="nil"/>
            </w:tcBorders>
            <w:shd w:val="clear" w:color="auto" w:fill="auto"/>
          </w:tcPr>
          <w:p w14:paraId="148539F4" w14:textId="77777777" w:rsidR="00EB5903" w:rsidRPr="00197940" w:rsidRDefault="00EB5903" w:rsidP="008E4BE9">
            <w:pPr>
              <w:pStyle w:val="SingleTxtG"/>
              <w:tabs>
                <w:tab w:val="clear" w:pos="1701"/>
                <w:tab w:val="clear" w:pos="2268"/>
              </w:tabs>
              <w:suppressAutoHyphens w:val="0"/>
              <w:spacing w:before="80" w:after="80" w:line="200" w:lineRule="exact"/>
              <w:ind w:left="0" w:right="0"/>
              <w:jc w:val="right"/>
              <w:rPr>
                <w:i/>
                <w:sz w:val="16"/>
              </w:rPr>
            </w:pPr>
          </w:p>
        </w:tc>
        <w:tc>
          <w:tcPr>
            <w:tcW w:w="1794" w:type="dxa"/>
            <w:tcBorders>
              <w:top w:val="single" w:sz="12" w:space="0" w:color="auto"/>
              <w:bottom w:val="nil"/>
            </w:tcBorders>
            <w:shd w:val="clear" w:color="auto" w:fill="auto"/>
          </w:tcPr>
          <w:p w14:paraId="560D1105" w14:textId="77777777" w:rsidR="00EB5903" w:rsidRPr="00197940" w:rsidRDefault="00EB5903" w:rsidP="008E4BE9">
            <w:pPr>
              <w:pStyle w:val="SingleTxtG"/>
              <w:tabs>
                <w:tab w:val="clear" w:pos="1701"/>
                <w:tab w:val="clear" w:pos="2268"/>
              </w:tabs>
              <w:suppressAutoHyphens w:val="0"/>
              <w:spacing w:before="80" w:after="80" w:line="200" w:lineRule="exact"/>
              <w:ind w:left="0" w:right="0"/>
              <w:jc w:val="right"/>
              <w:rPr>
                <w:i/>
                <w:sz w:val="16"/>
              </w:rPr>
            </w:pPr>
          </w:p>
        </w:tc>
      </w:tr>
      <w:tr w:rsidR="00EB5903" w:rsidRPr="00BE2E8F" w14:paraId="239369BA" w14:textId="77777777" w:rsidTr="004F4759">
        <w:tc>
          <w:tcPr>
            <w:tcW w:w="2044" w:type="dxa"/>
            <w:tcBorders>
              <w:top w:val="nil"/>
            </w:tcBorders>
            <w:shd w:val="clear" w:color="auto" w:fill="auto"/>
            <w:hideMark/>
          </w:tcPr>
          <w:p w14:paraId="5A81B6D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Total filles</w:t>
            </w:r>
          </w:p>
        </w:tc>
        <w:tc>
          <w:tcPr>
            <w:tcW w:w="1738" w:type="dxa"/>
            <w:tcBorders>
              <w:top w:val="nil"/>
            </w:tcBorders>
            <w:shd w:val="clear" w:color="auto" w:fill="auto"/>
            <w:hideMark/>
          </w:tcPr>
          <w:p w14:paraId="3D50764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61 793</w:t>
            </w:r>
          </w:p>
        </w:tc>
        <w:tc>
          <w:tcPr>
            <w:tcW w:w="1794" w:type="dxa"/>
            <w:tcBorders>
              <w:top w:val="nil"/>
            </w:tcBorders>
            <w:shd w:val="clear" w:color="auto" w:fill="auto"/>
            <w:hideMark/>
          </w:tcPr>
          <w:p w14:paraId="52D74F2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60 585</w:t>
            </w:r>
          </w:p>
        </w:tc>
        <w:tc>
          <w:tcPr>
            <w:tcW w:w="1794" w:type="dxa"/>
            <w:tcBorders>
              <w:top w:val="nil"/>
            </w:tcBorders>
            <w:shd w:val="clear" w:color="auto" w:fill="auto"/>
            <w:hideMark/>
          </w:tcPr>
          <w:p w14:paraId="2904433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59 696</w:t>
            </w:r>
          </w:p>
        </w:tc>
      </w:tr>
      <w:tr w:rsidR="00EB5903" w:rsidRPr="00BE2E8F" w14:paraId="7BCDFFC7" w14:textId="77777777" w:rsidTr="004F4759">
        <w:tc>
          <w:tcPr>
            <w:tcW w:w="2044" w:type="dxa"/>
            <w:shd w:val="clear" w:color="auto" w:fill="auto"/>
            <w:hideMark/>
          </w:tcPr>
          <w:p w14:paraId="694BC8C1" w14:textId="53C0D382"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 xml:space="preserve">Filles </w:t>
            </w:r>
            <w:r w:rsidR="008E4BE9">
              <w:rPr>
                <w:sz w:val="18"/>
              </w:rPr>
              <w:t>−</w:t>
            </w:r>
            <w:r>
              <w:rPr>
                <w:sz w:val="18"/>
              </w:rPr>
              <w:t xml:space="preserve"> Non précisé</w:t>
            </w:r>
          </w:p>
        </w:tc>
        <w:tc>
          <w:tcPr>
            <w:tcW w:w="1738" w:type="dxa"/>
            <w:shd w:val="clear" w:color="auto" w:fill="auto"/>
            <w:hideMark/>
          </w:tcPr>
          <w:p w14:paraId="1B61793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16 108</w:t>
            </w:r>
          </w:p>
        </w:tc>
        <w:tc>
          <w:tcPr>
            <w:tcW w:w="1794" w:type="dxa"/>
            <w:shd w:val="clear" w:color="auto" w:fill="auto"/>
            <w:hideMark/>
          </w:tcPr>
          <w:p w14:paraId="057327E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14 183</w:t>
            </w:r>
          </w:p>
        </w:tc>
        <w:tc>
          <w:tcPr>
            <w:tcW w:w="1794" w:type="dxa"/>
            <w:shd w:val="clear" w:color="auto" w:fill="auto"/>
            <w:hideMark/>
          </w:tcPr>
          <w:p w14:paraId="2DCF110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13 433</w:t>
            </w:r>
          </w:p>
        </w:tc>
      </w:tr>
      <w:tr w:rsidR="00EB5903" w:rsidRPr="00BE2E8F" w14:paraId="6AA5C0C1" w14:textId="77777777" w:rsidTr="004F4759">
        <w:tc>
          <w:tcPr>
            <w:tcW w:w="2044" w:type="dxa"/>
            <w:shd w:val="clear" w:color="auto" w:fill="auto"/>
            <w:hideMark/>
          </w:tcPr>
          <w:p w14:paraId="28DA704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 à la peau blanche</w:t>
            </w:r>
          </w:p>
        </w:tc>
        <w:tc>
          <w:tcPr>
            <w:tcW w:w="1738" w:type="dxa"/>
            <w:shd w:val="clear" w:color="auto" w:fill="auto"/>
            <w:hideMark/>
          </w:tcPr>
          <w:p w14:paraId="5F1123E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28 274</w:t>
            </w:r>
          </w:p>
        </w:tc>
        <w:tc>
          <w:tcPr>
            <w:tcW w:w="1794" w:type="dxa"/>
            <w:shd w:val="clear" w:color="auto" w:fill="auto"/>
            <w:hideMark/>
          </w:tcPr>
          <w:p w14:paraId="2F9C7C1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28 996</w:t>
            </w:r>
          </w:p>
        </w:tc>
        <w:tc>
          <w:tcPr>
            <w:tcW w:w="1794" w:type="dxa"/>
            <w:shd w:val="clear" w:color="auto" w:fill="auto"/>
            <w:hideMark/>
          </w:tcPr>
          <w:p w14:paraId="21523AC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28 997</w:t>
            </w:r>
          </w:p>
        </w:tc>
      </w:tr>
      <w:tr w:rsidR="00EB5903" w:rsidRPr="00BE2E8F" w14:paraId="13851836" w14:textId="77777777" w:rsidTr="004F4759">
        <w:tc>
          <w:tcPr>
            <w:tcW w:w="2044" w:type="dxa"/>
            <w:shd w:val="clear" w:color="auto" w:fill="auto"/>
            <w:hideMark/>
          </w:tcPr>
          <w:p w14:paraId="73E08B7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 à la peau noire</w:t>
            </w:r>
          </w:p>
        </w:tc>
        <w:tc>
          <w:tcPr>
            <w:tcW w:w="1738" w:type="dxa"/>
            <w:shd w:val="clear" w:color="auto" w:fill="auto"/>
            <w:hideMark/>
          </w:tcPr>
          <w:p w14:paraId="085469B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2 408</w:t>
            </w:r>
          </w:p>
        </w:tc>
        <w:tc>
          <w:tcPr>
            <w:tcW w:w="1794" w:type="dxa"/>
            <w:shd w:val="clear" w:color="auto" w:fill="auto"/>
            <w:hideMark/>
          </w:tcPr>
          <w:p w14:paraId="2969795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2 396</w:t>
            </w:r>
          </w:p>
        </w:tc>
        <w:tc>
          <w:tcPr>
            <w:tcW w:w="1794" w:type="dxa"/>
            <w:shd w:val="clear" w:color="auto" w:fill="auto"/>
            <w:hideMark/>
          </w:tcPr>
          <w:p w14:paraId="4E61A85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2 317</w:t>
            </w:r>
          </w:p>
        </w:tc>
      </w:tr>
      <w:tr w:rsidR="00EB5903" w:rsidRPr="00BE2E8F" w14:paraId="6A9421E3" w14:textId="77777777" w:rsidTr="004F4759">
        <w:tc>
          <w:tcPr>
            <w:tcW w:w="2044" w:type="dxa"/>
            <w:shd w:val="clear" w:color="auto" w:fill="auto"/>
            <w:hideMark/>
          </w:tcPr>
          <w:p w14:paraId="73FE7EF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 à la peau brune</w:t>
            </w:r>
          </w:p>
        </w:tc>
        <w:tc>
          <w:tcPr>
            <w:tcW w:w="1738" w:type="dxa"/>
            <w:shd w:val="clear" w:color="auto" w:fill="auto"/>
            <w:hideMark/>
          </w:tcPr>
          <w:p w14:paraId="0559E88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14 672</w:t>
            </w:r>
          </w:p>
        </w:tc>
        <w:tc>
          <w:tcPr>
            <w:tcW w:w="1794" w:type="dxa"/>
            <w:shd w:val="clear" w:color="auto" w:fill="auto"/>
            <w:hideMark/>
          </w:tcPr>
          <w:p w14:paraId="653972C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14 642</w:t>
            </w:r>
          </w:p>
        </w:tc>
        <w:tc>
          <w:tcPr>
            <w:tcW w:w="1794" w:type="dxa"/>
            <w:shd w:val="clear" w:color="auto" w:fill="auto"/>
            <w:hideMark/>
          </w:tcPr>
          <w:p w14:paraId="67F62FC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14 591</w:t>
            </w:r>
          </w:p>
        </w:tc>
      </w:tr>
      <w:tr w:rsidR="00EB5903" w:rsidRPr="00BE2E8F" w14:paraId="5219563F" w14:textId="77777777" w:rsidTr="004F4759">
        <w:tc>
          <w:tcPr>
            <w:tcW w:w="2044" w:type="dxa"/>
            <w:shd w:val="clear" w:color="auto" w:fill="auto"/>
            <w:hideMark/>
          </w:tcPr>
          <w:p w14:paraId="4FE4E29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 à la peau jaune</w:t>
            </w:r>
          </w:p>
        </w:tc>
        <w:tc>
          <w:tcPr>
            <w:tcW w:w="1738" w:type="dxa"/>
            <w:shd w:val="clear" w:color="auto" w:fill="auto"/>
            <w:hideMark/>
          </w:tcPr>
          <w:p w14:paraId="1AD4E47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197</w:t>
            </w:r>
          </w:p>
        </w:tc>
        <w:tc>
          <w:tcPr>
            <w:tcW w:w="1794" w:type="dxa"/>
            <w:shd w:val="clear" w:color="auto" w:fill="auto"/>
            <w:hideMark/>
          </w:tcPr>
          <w:p w14:paraId="744D728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209</w:t>
            </w:r>
          </w:p>
        </w:tc>
        <w:tc>
          <w:tcPr>
            <w:tcW w:w="1794" w:type="dxa"/>
            <w:shd w:val="clear" w:color="auto" w:fill="auto"/>
            <w:hideMark/>
          </w:tcPr>
          <w:p w14:paraId="5A2ED7C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201</w:t>
            </w:r>
          </w:p>
        </w:tc>
      </w:tr>
      <w:tr w:rsidR="00EB5903" w:rsidRPr="00BE2E8F" w14:paraId="369C76C9" w14:textId="77777777" w:rsidTr="004F4759">
        <w:tc>
          <w:tcPr>
            <w:tcW w:w="2044" w:type="dxa"/>
            <w:shd w:val="clear" w:color="auto" w:fill="auto"/>
            <w:hideMark/>
          </w:tcPr>
          <w:p w14:paraId="310E7E0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Filles autochtones</w:t>
            </w:r>
          </w:p>
        </w:tc>
        <w:tc>
          <w:tcPr>
            <w:tcW w:w="1738" w:type="dxa"/>
            <w:shd w:val="clear" w:color="auto" w:fill="auto"/>
            <w:hideMark/>
          </w:tcPr>
          <w:p w14:paraId="14050BB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134</w:t>
            </w:r>
          </w:p>
        </w:tc>
        <w:tc>
          <w:tcPr>
            <w:tcW w:w="1794" w:type="dxa"/>
            <w:shd w:val="clear" w:color="auto" w:fill="auto"/>
            <w:hideMark/>
          </w:tcPr>
          <w:p w14:paraId="20A0128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159</w:t>
            </w:r>
          </w:p>
        </w:tc>
        <w:tc>
          <w:tcPr>
            <w:tcW w:w="1794" w:type="dxa"/>
            <w:shd w:val="clear" w:color="auto" w:fill="auto"/>
            <w:hideMark/>
          </w:tcPr>
          <w:p w14:paraId="37F46A3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157</w:t>
            </w:r>
          </w:p>
        </w:tc>
      </w:tr>
      <w:tr w:rsidR="00EB5903" w:rsidRPr="00BE2E8F" w14:paraId="111C4F84" w14:textId="77777777" w:rsidTr="004F4759">
        <w:tc>
          <w:tcPr>
            <w:tcW w:w="2044" w:type="dxa"/>
            <w:shd w:val="clear" w:color="auto" w:fill="auto"/>
            <w:hideMark/>
          </w:tcPr>
          <w:p w14:paraId="2B85C19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Total garçons</w:t>
            </w:r>
          </w:p>
        </w:tc>
        <w:tc>
          <w:tcPr>
            <w:tcW w:w="1738" w:type="dxa"/>
            <w:shd w:val="clear" w:color="auto" w:fill="auto"/>
            <w:hideMark/>
          </w:tcPr>
          <w:p w14:paraId="45602C5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94 284</w:t>
            </w:r>
          </w:p>
        </w:tc>
        <w:tc>
          <w:tcPr>
            <w:tcW w:w="1794" w:type="dxa"/>
            <w:shd w:val="clear" w:color="auto" w:fill="auto"/>
            <w:hideMark/>
          </w:tcPr>
          <w:p w14:paraId="159132A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94 224</w:t>
            </w:r>
          </w:p>
        </w:tc>
        <w:tc>
          <w:tcPr>
            <w:tcW w:w="1794" w:type="dxa"/>
            <w:shd w:val="clear" w:color="auto" w:fill="auto"/>
            <w:hideMark/>
          </w:tcPr>
          <w:p w14:paraId="7E51544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94 314</w:t>
            </w:r>
          </w:p>
        </w:tc>
      </w:tr>
      <w:tr w:rsidR="00EB5903" w:rsidRPr="00BE2E8F" w14:paraId="0148DE74" w14:textId="77777777" w:rsidTr="004F4759">
        <w:tc>
          <w:tcPr>
            <w:tcW w:w="2044" w:type="dxa"/>
            <w:shd w:val="clear" w:color="auto" w:fill="auto"/>
            <w:hideMark/>
          </w:tcPr>
          <w:p w14:paraId="06233553" w14:textId="4ED51B9F"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 xml:space="preserve">Garçons </w:t>
            </w:r>
            <w:r w:rsidR="008E4BE9">
              <w:rPr>
                <w:sz w:val="18"/>
              </w:rPr>
              <w:t>−</w:t>
            </w:r>
            <w:r>
              <w:rPr>
                <w:sz w:val="18"/>
              </w:rPr>
              <w:t xml:space="preserve"> non précisés</w:t>
            </w:r>
          </w:p>
        </w:tc>
        <w:tc>
          <w:tcPr>
            <w:tcW w:w="1738" w:type="dxa"/>
            <w:shd w:val="clear" w:color="auto" w:fill="auto"/>
            <w:hideMark/>
          </w:tcPr>
          <w:p w14:paraId="0FC177B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24 361</w:t>
            </w:r>
          </w:p>
        </w:tc>
        <w:tc>
          <w:tcPr>
            <w:tcW w:w="1794" w:type="dxa"/>
            <w:shd w:val="clear" w:color="auto" w:fill="auto"/>
            <w:hideMark/>
          </w:tcPr>
          <w:p w14:paraId="0C1B452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22 163</w:t>
            </w:r>
          </w:p>
        </w:tc>
        <w:tc>
          <w:tcPr>
            <w:tcW w:w="1794" w:type="dxa"/>
            <w:shd w:val="clear" w:color="auto" w:fill="auto"/>
            <w:hideMark/>
          </w:tcPr>
          <w:p w14:paraId="0D39E66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21 275</w:t>
            </w:r>
          </w:p>
        </w:tc>
      </w:tr>
      <w:tr w:rsidR="00EB5903" w:rsidRPr="00BE2E8F" w14:paraId="2B2A1566" w14:textId="77777777" w:rsidTr="004F4759">
        <w:tc>
          <w:tcPr>
            <w:tcW w:w="2044" w:type="dxa"/>
            <w:shd w:val="clear" w:color="auto" w:fill="auto"/>
            <w:hideMark/>
          </w:tcPr>
          <w:p w14:paraId="638AC43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 à la peau blanche</w:t>
            </w:r>
          </w:p>
        </w:tc>
        <w:tc>
          <w:tcPr>
            <w:tcW w:w="1738" w:type="dxa"/>
            <w:shd w:val="clear" w:color="auto" w:fill="auto"/>
            <w:hideMark/>
          </w:tcPr>
          <w:p w14:paraId="5D96FF3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41 701</w:t>
            </w:r>
          </w:p>
        </w:tc>
        <w:tc>
          <w:tcPr>
            <w:tcW w:w="1794" w:type="dxa"/>
            <w:shd w:val="clear" w:color="auto" w:fill="auto"/>
            <w:hideMark/>
          </w:tcPr>
          <w:p w14:paraId="04C91ED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43 629</w:t>
            </w:r>
          </w:p>
        </w:tc>
        <w:tc>
          <w:tcPr>
            <w:tcW w:w="1794" w:type="dxa"/>
            <w:shd w:val="clear" w:color="auto" w:fill="auto"/>
            <w:hideMark/>
          </w:tcPr>
          <w:p w14:paraId="32B0293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44 168</w:t>
            </w:r>
          </w:p>
        </w:tc>
      </w:tr>
      <w:tr w:rsidR="00EB5903" w:rsidRPr="00BE2E8F" w14:paraId="14A6F4CF" w14:textId="77777777" w:rsidTr="004F4759">
        <w:tc>
          <w:tcPr>
            <w:tcW w:w="2044" w:type="dxa"/>
            <w:shd w:val="clear" w:color="auto" w:fill="auto"/>
            <w:hideMark/>
          </w:tcPr>
          <w:p w14:paraId="0883AB8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 à la peau noire</w:t>
            </w:r>
          </w:p>
        </w:tc>
        <w:tc>
          <w:tcPr>
            <w:tcW w:w="1738" w:type="dxa"/>
            <w:shd w:val="clear" w:color="auto" w:fill="auto"/>
            <w:hideMark/>
          </w:tcPr>
          <w:p w14:paraId="3E58C3E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3 920</w:t>
            </w:r>
          </w:p>
        </w:tc>
        <w:tc>
          <w:tcPr>
            <w:tcW w:w="1794" w:type="dxa"/>
            <w:shd w:val="clear" w:color="auto" w:fill="auto"/>
            <w:hideMark/>
          </w:tcPr>
          <w:p w14:paraId="6E5FFE3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3 883</w:t>
            </w:r>
          </w:p>
        </w:tc>
        <w:tc>
          <w:tcPr>
            <w:tcW w:w="1794" w:type="dxa"/>
            <w:shd w:val="clear" w:color="auto" w:fill="auto"/>
            <w:hideMark/>
          </w:tcPr>
          <w:p w14:paraId="73A8252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3 840</w:t>
            </w:r>
          </w:p>
        </w:tc>
      </w:tr>
      <w:tr w:rsidR="00EB5903" w:rsidRPr="00BE2E8F" w14:paraId="2F5B5735" w14:textId="77777777" w:rsidTr="004F4759">
        <w:tc>
          <w:tcPr>
            <w:tcW w:w="2044" w:type="dxa"/>
            <w:shd w:val="clear" w:color="auto" w:fill="auto"/>
            <w:hideMark/>
          </w:tcPr>
          <w:p w14:paraId="640A6B5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 à la peau brune</w:t>
            </w:r>
          </w:p>
        </w:tc>
        <w:tc>
          <w:tcPr>
            <w:tcW w:w="1738" w:type="dxa"/>
            <w:shd w:val="clear" w:color="auto" w:fill="auto"/>
            <w:hideMark/>
          </w:tcPr>
          <w:p w14:paraId="7EC5912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23 785</w:t>
            </w:r>
          </w:p>
        </w:tc>
        <w:tc>
          <w:tcPr>
            <w:tcW w:w="1794" w:type="dxa"/>
            <w:shd w:val="clear" w:color="auto" w:fill="auto"/>
            <w:hideMark/>
          </w:tcPr>
          <w:p w14:paraId="7C5F1C4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24 011</w:t>
            </w:r>
          </w:p>
        </w:tc>
        <w:tc>
          <w:tcPr>
            <w:tcW w:w="1794" w:type="dxa"/>
            <w:shd w:val="clear" w:color="auto" w:fill="auto"/>
            <w:hideMark/>
          </w:tcPr>
          <w:p w14:paraId="67CC9AC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24 476</w:t>
            </w:r>
          </w:p>
        </w:tc>
      </w:tr>
      <w:tr w:rsidR="00EB5903" w:rsidRPr="00BE2E8F" w14:paraId="6826DD63" w14:textId="77777777" w:rsidTr="004F4759">
        <w:tc>
          <w:tcPr>
            <w:tcW w:w="2044" w:type="dxa"/>
            <w:shd w:val="clear" w:color="auto" w:fill="auto"/>
            <w:hideMark/>
          </w:tcPr>
          <w:p w14:paraId="5E2D509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 à la peau jaune</w:t>
            </w:r>
          </w:p>
        </w:tc>
        <w:tc>
          <w:tcPr>
            <w:tcW w:w="1738" w:type="dxa"/>
            <w:shd w:val="clear" w:color="auto" w:fill="auto"/>
            <w:hideMark/>
          </w:tcPr>
          <w:p w14:paraId="0B797D8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319</w:t>
            </w:r>
          </w:p>
        </w:tc>
        <w:tc>
          <w:tcPr>
            <w:tcW w:w="1794" w:type="dxa"/>
            <w:shd w:val="clear" w:color="auto" w:fill="auto"/>
            <w:hideMark/>
          </w:tcPr>
          <w:p w14:paraId="4ED0B71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333</w:t>
            </w:r>
          </w:p>
        </w:tc>
        <w:tc>
          <w:tcPr>
            <w:tcW w:w="1794" w:type="dxa"/>
            <w:shd w:val="clear" w:color="auto" w:fill="auto"/>
            <w:hideMark/>
          </w:tcPr>
          <w:p w14:paraId="380D0FE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322</w:t>
            </w:r>
          </w:p>
        </w:tc>
      </w:tr>
      <w:tr w:rsidR="00EB5903" w:rsidRPr="00BE2E8F" w14:paraId="388811D3" w14:textId="77777777" w:rsidTr="004F4759">
        <w:tc>
          <w:tcPr>
            <w:tcW w:w="2044" w:type="dxa"/>
            <w:shd w:val="clear" w:color="auto" w:fill="auto"/>
            <w:hideMark/>
          </w:tcPr>
          <w:p w14:paraId="3608171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Garçons autochtones</w:t>
            </w:r>
          </w:p>
        </w:tc>
        <w:tc>
          <w:tcPr>
            <w:tcW w:w="1738" w:type="dxa"/>
            <w:shd w:val="clear" w:color="auto" w:fill="auto"/>
            <w:hideMark/>
          </w:tcPr>
          <w:p w14:paraId="6F6A144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198</w:t>
            </w:r>
          </w:p>
        </w:tc>
        <w:tc>
          <w:tcPr>
            <w:tcW w:w="1794" w:type="dxa"/>
            <w:shd w:val="clear" w:color="auto" w:fill="auto"/>
            <w:hideMark/>
          </w:tcPr>
          <w:p w14:paraId="5398187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205</w:t>
            </w:r>
          </w:p>
        </w:tc>
        <w:tc>
          <w:tcPr>
            <w:tcW w:w="1794" w:type="dxa"/>
            <w:shd w:val="clear" w:color="auto" w:fill="auto"/>
            <w:hideMark/>
          </w:tcPr>
          <w:p w14:paraId="0CEE999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233</w:t>
            </w:r>
          </w:p>
        </w:tc>
      </w:tr>
    </w:tbl>
    <w:p w14:paraId="572093CF" w14:textId="77777777" w:rsidR="00EB5903" w:rsidRPr="00BE2E8F" w:rsidRDefault="00EB5903" w:rsidP="00EB5903">
      <w:pPr>
        <w:pStyle w:val="H1G"/>
      </w:pPr>
      <w:r>
        <w:tab/>
      </w:r>
      <w:r>
        <w:tab/>
        <w:t xml:space="preserve">Réponse au paragraphe 18 f) de la liste de points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38"/>
        <w:gridCol w:w="1756"/>
        <w:gridCol w:w="1063"/>
        <w:gridCol w:w="1063"/>
        <w:gridCol w:w="992"/>
        <w:gridCol w:w="1558"/>
      </w:tblGrid>
      <w:tr w:rsidR="00EB5903" w:rsidRPr="00BE2E8F" w14:paraId="3B7C04BC" w14:textId="77777777" w:rsidTr="008B4897">
        <w:trPr>
          <w:tblHeader/>
        </w:trPr>
        <w:tc>
          <w:tcPr>
            <w:tcW w:w="2694" w:type="dxa"/>
            <w:gridSpan w:val="2"/>
            <w:vMerge w:val="restart"/>
            <w:tcBorders>
              <w:top w:val="single" w:sz="4" w:space="0" w:color="auto"/>
              <w:bottom w:val="single" w:sz="12" w:space="0" w:color="auto"/>
            </w:tcBorders>
            <w:shd w:val="clear" w:color="auto" w:fill="auto"/>
            <w:vAlign w:val="bottom"/>
            <w:hideMark/>
          </w:tcPr>
          <w:p w14:paraId="17D342F8" w14:textId="77777777" w:rsidR="00EB5903" w:rsidRPr="00BE2E8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  </w:t>
            </w:r>
          </w:p>
        </w:tc>
        <w:tc>
          <w:tcPr>
            <w:tcW w:w="2126" w:type="dxa"/>
            <w:gridSpan w:val="2"/>
            <w:tcBorders>
              <w:top w:val="single" w:sz="4" w:space="0" w:color="auto"/>
              <w:bottom w:val="single" w:sz="4" w:space="0" w:color="auto"/>
            </w:tcBorders>
            <w:shd w:val="clear" w:color="auto" w:fill="auto"/>
            <w:vAlign w:val="bottom"/>
            <w:hideMark/>
          </w:tcPr>
          <w:p w14:paraId="1EBCE49C"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center"/>
              <w:rPr>
                <w:i/>
                <w:sz w:val="16"/>
              </w:rPr>
            </w:pPr>
            <w:r>
              <w:rPr>
                <w:i/>
                <w:sz w:val="16"/>
              </w:rPr>
              <w:t>… va à l’école ?</w:t>
            </w:r>
          </w:p>
        </w:tc>
        <w:tc>
          <w:tcPr>
            <w:tcW w:w="992" w:type="dxa"/>
            <w:vMerge w:val="restart"/>
            <w:tcBorders>
              <w:top w:val="single" w:sz="4" w:space="0" w:color="auto"/>
              <w:bottom w:val="single" w:sz="12" w:space="0" w:color="auto"/>
            </w:tcBorders>
            <w:shd w:val="clear" w:color="auto" w:fill="auto"/>
            <w:vAlign w:val="bottom"/>
            <w:hideMark/>
          </w:tcPr>
          <w:p w14:paraId="4F9AF735"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Total</w:t>
            </w:r>
          </w:p>
        </w:tc>
        <w:tc>
          <w:tcPr>
            <w:tcW w:w="1558" w:type="dxa"/>
            <w:vMerge w:val="restart"/>
            <w:tcBorders>
              <w:top w:val="single" w:sz="4" w:space="0" w:color="auto"/>
              <w:bottom w:val="single" w:sz="12" w:space="0" w:color="auto"/>
            </w:tcBorders>
            <w:shd w:val="clear" w:color="auto" w:fill="auto"/>
            <w:vAlign w:val="bottom"/>
            <w:hideMark/>
          </w:tcPr>
          <w:p w14:paraId="070A917C" w14:textId="77777777" w:rsidR="00EB5903" w:rsidRPr="00BE2E8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Pourcentage d’enfants d’âge scolaire handicapés non scolarisés</w:t>
            </w:r>
          </w:p>
        </w:tc>
      </w:tr>
      <w:tr w:rsidR="00EB5903" w:rsidRPr="00BE2E8F" w14:paraId="227D41B0" w14:textId="77777777" w:rsidTr="008B4897">
        <w:trPr>
          <w:tblHeader/>
        </w:trPr>
        <w:tc>
          <w:tcPr>
            <w:tcW w:w="2694" w:type="dxa"/>
            <w:gridSpan w:val="2"/>
            <w:vMerge/>
            <w:tcBorders>
              <w:top w:val="single" w:sz="12" w:space="0" w:color="auto"/>
              <w:bottom w:val="single" w:sz="12" w:space="0" w:color="auto"/>
            </w:tcBorders>
            <w:shd w:val="clear" w:color="auto" w:fill="auto"/>
            <w:vAlign w:val="bottom"/>
            <w:hideMark/>
          </w:tcPr>
          <w:p w14:paraId="1FCE6D1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063" w:type="dxa"/>
            <w:tcBorders>
              <w:top w:val="single" w:sz="4" w:space="0" w:color="auto"/>
              <w:bottom w:val="single" w:sz="12" w:space="0" w:color="auto"/>
            </w:tcBorders>
            <w:shd w:val="clear" w:color="auto" w:fill="auto"/>
            <w:vAlign w:val="bottom"/>
            <w:hideMark/>
          </w:tcPr>
          <w:p w14:paraId="4D3C38E4" w14:textId="77777777" w:rsidR="00EB5903" w:rsidRPr="0013536F" w:rsidRDefault="00EB5903" w:rsidP="004F4759">
            <w:pPr>
              <w:pStyle w:val="SingleTxtG"/>
              <w:tabs>
                <w:tab w:val="clear" w:pos="1701"/>
                <w:tab w:val="clear" w:pos="2268"/>
              </w:tabs>
              <w:suppressAutoHyphens w:val="0"/>
              <w:spacing w:before="80" w:after="80" w:line="220" w:lineRule="exact"/>
              <w:ind w:left="0" w:right="0"/>
              <w:jc w:val="right"/>
              <w:rPr>
                <w:i/>
                <w:sz w:val="16"/>
              </w:rPr>
            </w:pPr>
            <w:r>
              <w:rPr>
                <w:i/>
                <w:sz w:val="16"/>
              </w:rPr>
              <w:t>oui</w:t>
            </w:r>
          </w:p>
        </w:tc>
        <w:tc>
          <w:tcPr>
            <w:tcW w:w="1063" w:type="dxa"/>
            <w:tcBorders>
              <w:top w:val="single" w:sz="4" w:space="0" w:color="auto"/>
              <w:bottom w:val="single" w:sz="12" w:space="0" w:color="auto"/>
            </w:tcBorders>
            <w:shd w:val="clear" w:color="auto" w:fill="auto"/>
            <w:vAlign w:val="bottom"/>
            <w:hideMark/>
          </w:tcPr>
          <w:p w14:paraId="1A5F5062" w14:textId="77777777" w:rsidR="00EB5903" w:rsidRPr="0013536F" w:rsidRDefault="00EB5903" w:rsidP="004F4759">
            <w:pPr>
              <w:pStyle w:val="SingleTxtG"/>
              <w:tabs>
                <w:tab w:val="clear" w:pos="1701"/>
                <w:tab w:val="clear" w:pos="2268"/>
              </w:tabs>
              <w:suppressAutoHyphens w:val="0"/>
              <w:spacing w:before="80" w:after="80" w:line="220" w:lineRule="exact"/>
              <w:ind w:left="0" w:right="0"/>
              <w:jc w:val="right"/>
              <w:rPr>
                <w:i/>
                <w:sz w:val="16"/>
              </w:rPr>
            </w:pPr>
            <w:r>
              <w:rPr>
                <w:i/>
                <w:sz w:val="16"/>
              </w:rPr>
              <w:t>non</w:t>
            </w:r>
          </w:p>
        </w:tc>
        <w:tc>
          <w:tcPr>
            <w:tcW w:w="992" w:type="dxa"/>
            <w:vMerge/>
            <w:tcBorders>
              <w:top w:val="single" w:sz="12" w:space="0" w:color="auto"/>
              <w:bottom w:val="single" w:sz="12" w:space="0" w:color="auto"/>
            </w:tcBorders>
            <w:shd w:val="clear" w:color="auto" w:fill="auto"/>
            <w:vAlign w:val="bottom"/>
            <w:hideMark/>
          </w:tcPr>
          <w:p w14:paraId="559B730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p>
        </w:tc>
        <w:tc>
          <w:tcPr>
            <w:tcW w:w="1558" w:type="dxa"/>
            <w:vMerge/>
            <w:tcBorders>
              <w:top w:val="single" w:sz="12" w:space="0" w:color="auto"/>
              <w:bottom w:val="single" w:sz="12" w:space="0" w:color="auto"/>
            </w:tcBorders>
            <w:shd w:val="clear" w:color="auto" w:fill="auto"/>
            <w:vAlign w:val="bottom"/>
            <w:hideMark/>
          </w:tcPr>
          <w:p w14:paraId="4797B81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p>
        </w:tc>
      </w:tr>
      <w:tr w:rsidR="00EB5903" w:rsidRPr="00BE2E8F" w14:paraId="585998F7" w14:textId="77777777" w:rsidTr="008B4897">
        <w:trPr>
          <w:trHeight w:hRule="exact" w:val="113"/>
          <w:tblHeader/>
        </w:trPr>
        <w:tc>
          <w:tcPr>
            <w:tcW w:w="938" w:type="dxa"/>
            <w:tcBorders>
              <w:top w:val="single" w:sz="12" w:space="0" w:color="auto"/>
              <w:bottom w:val="nil"/>
            </w:tcBorders>
            <w:shd w:val="clear" w:color="auto" w:fill="auto"/>
          </w:tcPr>
          <w:p w14:paraId="3A4DCAC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single" w:sz="12" w:space="0" w:color="auto"/>
              <w:bottom w:val="nil"/>
            </w:tcBorders>
            <w:shd w:val="clear" w:color="auto" w:fill="auto"/>
          </w:tcPr>
          <w:p w14:paraId="556976A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063" w:type="dxa"/>
            <w:tcBorders>
              <w:top w:val="single" w:sz="12" w:space="0" w:color="auto"/>
              <w:bottom w:val="nil"/>
            </w:tcBorders>
            <w:shd w:val="clear" w:color="auto" w:fill="auto"/>
            <w:vAlign w:val="bottom"/>
          </w:tcPr>
          <w:p w14:paraId="49F9EB9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p>
        </w:tc>
        <w:tc>
          <w:tcPr>
            <w:tcW w:w="1063" w:type="dxa"/>
            <w:tcBorders>
              <w:top w:val="single" w:sz="12" w:space="0" w:color="auto"/>
              <w:bottom w:val="nil"/>
            </w:tcBorders>
            <w:shd w:val="clear" w:color="auto" w:fill="auto"/>
            <w:vAlign w:val="bottom"/>
          </w:tcPr>
          <w:p w14:paraId="13D0C50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p>
        </w:tc>
        <w:tc>
          <w:tcPr>
            <w:tcW w:w="992" w:type="dxa"/>
            <w:tcBorders>
              <w:top w:val="single" w:sz="12" w:space="0" w:color="auto"/>
              <w:bottom w:val="nil"/>
            </w:tcBorders>
            <w:shd w:val="clear" w:color="auto" w:fill="auto"/>
            <w:vAlign w:val="bottom"/>
          </w:tcPr>
          <w:p w14:paraId="4B241D1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p>
        </w:tc>
        <w:tc>
          <w:tcPr>
            <w:tcW w:w="1558" w:type="dxa"/>
            <w:tcBorders>
              <w:top w:val="single" w:sz="12" w:space="0" w:color="auto"/>
              <w:bottom w:val="nil"/>
            </w:tcBorders>
            <w:shd w:val="clear" w:color="auto" w:fill="auto"/>
            <w:vAlign w:val="bottom"/>
          </w:tcPr>
          <w:p w14:paraId="437E1E3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p>
        </w:tc>
      </w:tr>
      <w:tr w:rsidR="00EB5903" w:rsidRPr="00BE2E8F" w14:paraId="3A76C224" w14:textId="77777777" w:rsidTr="008B4897">
        <w:tc>
          <w:tcPr>
            <w:tcW w:w="938" w:type="dxa"/>
            <w:vMerge w:val="restart"/>
            <w:tcBorders>
              <w:top w:val="nil"/>
            </w:tcBorders>
            <w:shd w:val="clear" w:color="auto" w:fill="auto"/>
            <w:hideMark/>
          </w:tcPr>
          <w:p w14:paraId="004E210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Unité fédérative </w:t>
            </w:r>
          </w:p>
        </w:tc>
        <w:tc>
          <w:tcPr>
            <w:tcW w:w="1756" w:type="dxa"/>
            <w:tcBorders>
              <w:top w:val="nil"/>
              <w:bottom w:val="nil"/>
            </w:tcBorders>
            <w:shd w:val="clear" w:color="auto" w:fill="auto"/>
            <w:hideMark/>
          </w:tcPr>
          <w:p w14:paraId="50561FE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Rondônia </w:t>
            </w:r>
          </w:p>
        </w:tc>
        <w:tc>
          <w:tcPr>
            <w:tcW w:w="1063" w:type="dxa"/>
            <w:tcBorders>
              <w:top w:val="nil"/>
              <w:bottom w:val="nil"/>
            </w:tcBorders>
            <w:shd w:val="clear" w:color="auto" w:fill="auto"/>
            <w:vAlign w:val="bottom"/>
            <w:hideMark/>
          </w:tcPr>
          <w:p w14:paraId="13138FC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7 478</w:t>
            </w:r>
          </w:p>
        </w:tc>
        <w:tc>
          <w:tcPr>
            <w:tcW w:w="1063" w:type="dxa"/>
            <w:tcBorders>
              <w:top w:val="nil"/>
              <w:bottom w:val="nil"/>
            </w:tcBorders>
            <w:shd w:val="clear" w:color="auto" w:fill="auto"/>
            <w:vAlign w:val="bottom"/>
            <w:hideMark/>
          </w:tcPr>
          <w:p w14:paraId="707FB4D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934</w:t>
            </w:r>
          </w:p>
        </w:tc>
        <w:tc>
          <w:tcPr>
            <w:tcW w:w="992" w:type="dxa"/>
            <w:tcBorders>
              <w:top w:val="nil"/>
              <w:bottom w:val="nil"/>
            </w:tcBorders>
            <w:shd w:val="clear" w:color="auto" w:fill="auto"/>
            <w:vAlign w:val="bottom"/>
            <w:hideMark/>
          </w:tcPr>
          <w:p w14:paraId="6E4A478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8 412</w:t>
            </w:r>
          </w:p>
        </w:tc>
        <w:tc>
          <w:tcPr>
            <w:tcW w:w="1558" w:type="dxa"/>
            <w:tcBorders>
              <w:top w:val="nil"/>
              <w:bottom w:val="nil"/>
            </w:tcBorders>
            <w:shd w:val="clear" w:color="auto" w:fill="auto"/>
            <w:vAlign w:val="bottom"/>
            <w:hideMark/>
          </w:tcPr>
          <w:p w14:paraId="32A68CD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11,1 %</w:t>
            </w:r>
          </w:p>
        </w:tc>
      </w:tr>
      <w:tr w:rsidR="00EB5903" w:rsidRPr="00BE2E8F" w14:paraId="2C607E0F" w14:textId="77777777" w:rsidTr="008B4897">
        <w:tc>
          <w:tcPr>
            <w:tcW w:w="938" w:type="dxa"/>
            <w:vMerge/>
            <w:shd w:val="clear" w:color="auto" w:fill="auto"/>
            <w:hideMark/>
          </w:tcPr>
          <w:p w14:paraId="7902C05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nil"/>
            </w:tcBorders>
            <w:shd w:val="clear" w:color="auto" w:fill="auto"/>
            <w:hideMark/>
          </w:tcPr>
          <w:p w14:paraId="7999743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Acre </w:t>
            </w:r>
          </w:p>
        </w:tc>
        <w:tc>
          <w:tcPr>
            <w:tcW w:w="1063" w:type="dxa"/>
            <w:tcBorders>
              <w:top w:val="nil"/>
            </w:tcBorders>
            <w:shd w:val="clear" w:color="auto" w:fill="auto"/>
            <w:vAlign w:val="bottom"/>
            <w:hideMark/>
          </w:tcPr>
          <w:p w14:paraId="0F0D2FA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5 291</w:t>
            </w:r>
          </w:p>
        </w:tc>
        <w:tc>
          <w:tcPr>
            <w:tcW w:w="1063" w:type="dxa"/>
            <w:tcBorders>
              <w:top w:val="nil"/>
            </w:tcBorders>
            <w:shd w:val="clear" w:color="auto" w:fill="auto"/>
            <w:vAlign w:val="bottom"/>
            <w:hideMark/>
          </w:tcPr>
          <w:p w14:paraId="07E9543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1 074</w:t>
            </w:r>
          </w:p>
        </w:tc>
        <w:tc>
          <w:tcPr>
            <w:tcW w:w="992" w:type="dxa"/>
            <w:tcBorders>
              <w:top w:val="nil"/>
            </w:tcBorders>
            <w:shd w:val="clear" w:color="auto" w:fill="auto"/>
            <w:vAlign w:val="bottom"/>
            <w:hideMark/>
          </w:tcPr>
          <w:p w14:paraId="1D5066D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6 365</w:t>
            </w:r>
          </w:p>
        </w:tc>
        <w:tc>
          <w:tcPr>
            <w:tcW w:w="1558" w:type="dxa"/>
            <w:tcBorders>
              <w:top w:val="nil"/>
            </w:tcBorders>
            <w:shd w:val="clear" w:color="auto" w:fill="auto"/>
            <w:vAlign w:val="bottom"/>
            <w:hideMark/>
          </w:tcPr>
          <w:p w14:paraId="3086546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16,9 %</w:t>
            </w:r>
          </w:p>
        </w:tc>
      </w:tr>
      <w:tr w:rsidR="00EB5903" w:rsidRPr="00BE2E8F" w14:paraId="010C39E3" w14:textId="77777777" w:rsidTr="008B4897">
        <w:tc>
          <w:tcPr>
            <w:tcW w:w="938" w:type="dxa"/>
            <w:shd w:val="clear" w:color="auto" w:fill="auto"/>
            <w:hideMark/>
          </w:tcPr>
          <w:p w14:paraId="0CD0D75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42E2394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Amazonas </w:t>
            </w:r>
          </w:p>
        </w:tc>
        <w:tc>
          <w:tcPr>
            <w:tcW w:w="1063" w:type="dxa"/>
            <w:shd w:val="clear" w:color="auto" w:fill="auto"/>
            <w:vAlign w:val="bottom"/>
            <w:hideMark/>
          </w:tcPr>
          <w:p w14:paraId="7BBBA79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17 549</w:t>
            </w:r>
          </w:p>
        </w:tc>
        <w:tc>
          <w:tcPr>
            <w:tcW w:w="1063" w:type="dxa"/>
            <w:shd w:val="clear" w:color="auto" w:fill="auto"/>
            <w:vAlign w:val="bottom"/>
            <w:hideMark/>
          </w:tcPr>
          <w:p w14:paraId="6918328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2 519</w:t>
            </w:r>
          </w:p>
        </w:tc>
        <w:tc>
          <w:tcPr>
            <w:tcW w:w="992" w:type="dxa"/>
            <w:shd w:val="clear" w:color="auto" w:fill="auto"/>
            <w:vAlign w:val="bottom"/>
            <w:hideMark/>
          </w:tcPr>
          <w:p w14:paraId="6058332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20 068</w:t>
            </w:r>
          </w:p>
        </w:tc>
        <w:tc>
          <w:tcPr>
            <w:tcW w:w="1558" w:type="dxa"/>
            <w:shd w:val="clear" w:color="auto" w:fill="auto"/>
            <w:vAlign w:val="bottom"/>
            <w:hideMark/>
          </w:tcPr>
          <w:p w14:paraId="32AF102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12,6 %</w:t>
            </w:r>
          </w:p>
        </w:tc>
      </w:tr>
      <w:tr w:rsidR="00EB5903" w:rsidRPr="00BE2E8F" w14:paraId="4E64CE52" w14:textId="77777777" w:rsidTr="008B4897">
        <w:tc>
          <w:tcPr>
            <w:tcW w:w="938" w:type="dxa"/>
            <w:shd w:val="clear" w:color="auto" w:fill="auto"/>
            <w:hideMark/>
          </w:tcPr>
          <w:p w14:paraId="4D155B0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47522A2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Roraima </w:t>
            </w:r>
          </w:p>
        </w:tc>
        <w:tc>
          <w:tcPr>
            <w:tcW w:w="1063" w:type="dxa"/>
            <w:shd w:val="clear" w:color="auto" w:fill="auto"/>
            <w:vAlign w:val="bottom"/>
            <w:hideMark/>
          </w:tcPr>
          <w:p w14:paraId="362732B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4 291</w:t>
            </w:r>
          </w:p>
        </w:tc>
        <w:tc>
          <w:tcPr>
            <w:tcW w:w="1063" w:type="dxa"/>
            <w:shd w:val="clear" w:color="auto" w:fill="auto"/>
            <w:vAlign w:val="bottom"/>
            <w:hideMark/>
          </w:tcPr>
          <w:p w14:paraId="18D0901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447</w:t>
            </w:r>
          </w:p>
        </w:tc>
        <w:tc>
          <w:tcPr>
            <w:tcW w:w="992" w:type="dxa"/>
            <w:shd w:val="clear" w:color="auto" w:fill="auto"/>
            <w:vAlign w:val="bottom"/>
            <w:hideMark/>
          </w:tcPr>
          <w:p w14:paraId="14336E8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4 738</w:t>
            </w:r>
          </w:p>
        </w:tc>
        <w:tc>
          <w:tcPr>
            <w:tcW w:w="1558" w:type="dxa"/>
            <w:shd w:val="clear" w:color="auto" w:fill="auto"/>
            <w:vAlign w:val="bottom"/>
            <w:hideMark/>
          </w:tcPr>
          <w:p w14:paraId="1424448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9,4 %</w:t>
            </w:r>
          </w:p>
        </w:tc>
      </w:tr>
      <w:tr w:rsidR="00EB5903" w:rsidRPr="00BE2E8F" w14:paraId="45CB00FA" w14:textId="77777777" w:rsidTr="008B4897">
        <w:tc>
          <w:tcPr>
            <w:tcW w:w="938" w:type="dxa"/>
            <w:tcBorders>
              <w:bottom w:val="nil"/>
            </w:tcBorders>
            <w:shd w:val="clear" w:color="auto" w:fill="auto"/>
            <w:hideMark/>
          </w:tcPr>
          <w:p w14:paraId="0C4C083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tcBorders>
              <w:bottom w:val="nil"/>
            </w:tcBorders>
            <w:shd w:val="clear" w:color="auto" w:fill="auto"/>
            <w:hideMark/>
          </w:tcPr>
          <w:p w14:paraId="5BE4EDF1"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Pará </w:t>
            </w:r>
          </w:p>
        </w:tc>
        <w:tc>
          <w:tcPr>
            <w:tcW w:w="1063" w:type="dxa"/>
            <w:tcBorders>
              <w:bottom w:val="nil"/>
            </w:tcBorders>
            <w:shd w:val="clear" w:color="auto" w:fill="auto"/>
            <w:vAlign w:val="bottom"/>
            <w:hideMark/>
          </w:tcPr>
          <w:p w14:paraId="788911F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66 062</w:t>
            </w:r>
          </w:p>
        </w:tc>
        <w:tc>
          <w:tcPr>
            <w:tcW w:w="1063" w:type="dxa"/>
            <w:tcBorders>
              <w:bottom w:val="nil"/>
            </w:tcBorders>
            <w:shd w:val="clear" w:color="auto" w:fill="auto"/>
            <w:vAlign w:val="bottom"/>
            <w:hideMark/>
          </w:tcPr>
          <w:p w14:paraId="3D82FB4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8 324</w:t>
            </w:r>
          </w:p>
        </w:tc>
        <w:tc>
          <w:tcPr>
            <w:tcW w:w="992" w:type="dxa"/>
            <w:tcBorders>
              <w:bottom w:val="nil"/>
            </w:tcBorders>
            <w:shd w:val="clear" w:color="auto" w:fill="auto"/>
            <w:vAlign w:val="bottom"/>
            <w:hideMark/>
          </w:tcPr>
          <w:p w14:paraId="64EEEF2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74 386</w:t>
            </w:r>
          </w:p>
        </w:tc>
        <w:tc>
          <w:tcPr>
            <w:tcW w:w="1558" w:type="dxa"/>
            <w:tcBorders>
              <w:bottom w:val="nil"/>
            </w:tcBorders>
            <w:shd w:val="clear" w:color="auto" w:fill="auto"/>
            <w:vAlign w:val="bottom"/>
            <w:hideMark/>
          </w:tcPr>
          <w:p w14:paraId="3D5A21A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11,2 %</w:t>
            </w:r>
          </w:p>
        </w:tc>
      </w:tr>
      <w:tr w:rsidR="00EB5903" w:rsidRPr="00BE2E8F" w14:paraId="060C15F2" w14:textId="77777777" w:rsidTr="008B4897">
        <w:tc>
          <w:tcPr>
            <w:tcW w:w="938" w:type="dxa"/>
            <w:tcBorders>
              <w:top w:val="nil"/>
              <w:bottom w:val="nil"/>
            </w:tcBorders>
            <w:shd w:val="clear" w:color="auto" w:fill="auto"/>
            <w:hideMark/>
          </w:tcPr>
          <w:p w14:paraId="17F15ED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nil"/>
              <w:bottom w:val="nil"/>
            </w:tcBorders>
            <w:shd w:val="clear" w:color="auto" w:fill="auto"/>
            <w:hideMark/>
          </w:tcPr>
          <w:p w14:paraId="21CF7CA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Amapá </w:t>
            </w:r>
          </w:p>
        </w:tc>
        <w:tc>
          <w:tcPr>
            <w:tcW w:w="1063" w:type="dxa"/>
            <w:tcBorders>
              <w:top w:val="nil"/>
              <w:bottom w:val="nil"/>
            </w:tcBorders>
            <w:shd w:val="clear" w:color="auto" w:fill="auto"/>
            <w:vAlign w:val="bottom"/>
            <w:hideMark/>
          </w:tcPr>
          <w:p w14:paraId="2FECD3E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3 681</w:t>
            </w:r>
          </w:p>
        </w:tc>
        <w:tc>
          <w:tcPr>
            <w:tcW w:w="1063" w:type="dxa"/>
            <w:tcBorders>
              <w:top w:val="nil"/>
              <w:bottom w:val="nil"/>
            </w:tcBorders>
            <w:shd w:val="clear" w:color="auto" w:fill="auto"/>
            <w:vAlign w:val="bottom"/>
            <w:hideMark/>
          </w:tcPr>
          <w:p w14:paraId="2B8A0D3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575</w:t>
            </w:r>
          </w:p>
        </w:tc>
        <w:tc>
          <w:tcPr>
            <w:tcW w:w="992" w:type="dxa"/>
            <w:tcBorders>
              <w:top w:val="nil"/>
              <w:bottom w:val="nil"/>
            </w:tcBorders>
            <w:shd w:val="clear" w:color="auto" w:fill="auto"/>
            <w:vAlign w:val="bottom"/>
            <w:hideMark/>
          </w:tcPr>
          <w:p w14:paraId="6A2A286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4 256</w:t>
            </w:r>
          </w:p>
        </w:tc>
        <w:tc>
          <w:tcPr>
            <w:tcW w:w="1558" w:type="dxa"/>
            <w:tcBorders>
              <w:top w:val="nil"/>
              <w:bottom w:val="nil"/>
            </w:tcBorders>
            <w:shd w:val="clear" w:color="auto" w:fill="auto"/>
            <w:vAlign w:val="bottom"/>
            <w:hideMark/>
          </w:tcPr>
          <w:p w14:paraId="6E5D22C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13,5 %</w:t>
            </w:r>
          </w:p>
        </w:tc>
      </w:tr>
      <w:tr w:rsidR="00EB5903" w:rsidRPr="00BE2E8F" w14:paraId="65E63347" w14:textId="77777777" w:rsidTr="008B4897">
        <w:tc>
          <w:tcPr>
            <w:tcW w:w="938" w:type="dxa"/>
            <w:tcBorders>
              <w:top w:val="nil"/>
              <w:bottom w:val="nil"/>
            </w:tcBorders>
            <w:shd w:val="clear" w:color="auto" w:fill="auto"/>
            <w:hideMark/>
          </w:tcPr>
          <w:p w14:paraId="18B29CE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nil"/>
              <w:bottom w:val="nil"/>
            </w:tcBorders>
            <w:shd w:val="clear" w:color="auto" w:fill="auto"/>
            <w:hideMark/>
          </w:tcPr>
          <w:p w14:paraId="17397E3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Tocantins </w:t>
            </w:r>
          </w:p>
        </w:tc>
        <w:tc>
          <w:tcPr>
            <w:tcW w:w="1063" w:type="dxa"/>
            <w:tcBorders>
              <w:top w:val="nil"/>
              <w:bottom w:val="nil"/>
            </w:tcBorders>
            <w:shd w:val="clear" w:color="auto" w:fill="auto"/>
            <w:vAlign w:val="bottom"/>
            <w:hideMark/>
          </w:tcPr>
          <w:p w14:paraId="13ACD8D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5 175</w:t>
            </w:r>
          </w:p>
        </w:tc>
        <w:tc>
          <w:tcPr>
            <w:tcW w:w="1063" w:type="dxa"/>
            <w:tcBorders>
              <w:top w:val="nil"/>
              <w:bottom w:val="nil"/>
            </w:tcBorders>
            <w:shd w:val="clear" w:color="auto" w:fill="auto"/>
            <w:vAlign w:val="bottom"/>
            <w:hideMark/>
          </w:tcPr>
          <w:p w14:paraId="690721B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667</w:t>
            </w:r>
          </w:p>
        </w:tc>
        <w:tc>
          <w:tcPr>
            <w:tcW w:w="992" w:type="dxa"/>
            <w:tcBorders>
              <w:top w:val="nil"/>
              <w:bottom w:val="nil"/>
            </w:tcBorders>
            <w:shd w:val="clear" w:color="auto" w:fill="auto"/>
            <w:vAlign w:val="bottom"/>
            <w:hideMark/>
          </w:tcPr>
          <w:p w14:paraId="51A56E7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5 842</w:t>
            </w:r>
          </w:p>
        </w:tc>
        <w:tc>
          <w:tcPr>
            <w:tcW w:w="1558" w:type="dxa"/>
            <w:tcBorders>
              <w:top w:val="nil"/>
              <w:bottom w:val="nil"/>
            </w:tcBorders>
            <w:shd w:val="clear" w:color="auto" w:fill="auto"/>
            <w:vAlign w:val="bottom"/>
            <w:hideMark/>
          </w:tcPr>
          <w:p w14:paraId="528C27F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11,4 %</w:t>
            </w:r>
          </w:p>
        </w:tc>
      </w:tr>
      <w:tr w:rsidR="00EB5903" w:rsidRPr="00BE2E8F" w14:paraId="04F395F6" w14:textId="77777777" w:rsidTr="008B4897">
        <w:tc>
          <w:tcPr>
            <w:tcW w:w="938" w:type="dxa"/>
            <w:tcBorders>
              <w:top w:val="nil"/>
              <w:bottom w:val="nil"/>
            </w:tcBorders>
            <w:shd w:val="clear" w:color="auto" w:fill="auto"/>
            <w:hideMark/>
          </w:tcPr>
          <w:p w14:paraId="4B4A10F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nil"/>
              <w:bottom w:val="nil"/>
            </w:tcBorders>
            <w:shd w:val="clear" w:color="auto" w:fill="auto"/>
            <w:hideMark/>
          </w:tcPr>
          <w:p w14:paraId="737AD72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Maranhão </w:t>
            </w:r>
          </w:p>
        </w:tc>
        <w:tc>
          <w:tcPr>
            <w:tcW w:w="1063" w:type="dxa"/>
            <w:tcBorders>
              <w:top w:val="nil"/>
              <w:bottom w:val="nil"/>
            </w:tcBorders>
            <w:shd w:val="clear" w:color="auto" w:fill="auto"/>
            <w:vAlign w:val="bottom"/>
            <w:hideMark/>
          </w:tcPr>
          <w:p w14:paraId="4A9E0A0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55 030</w:t>
            </w:r>
          </w:p>
        </w:tc>
        <w:tc>
          <w:tcPr>
            <w:tcW w:w="1063" w:type="dxa"/>
            <w:tcBorders>
              <w:top w:val="nil"/>
              <w:bottom w:val="nil"/>
            </w:tcBorders>
            <w:shd w:val="clear" w:color="auto" w:fill="auto"/>
            <w:vAlign w:val="bottom"/>
            <w:hideMark/>
          </w:tcPr>
          <w:p w14:paraId="2BF3945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3 095</w:t>
            </w:r>
          </w:p>
        </w:tc>
        <w:tc>
          <w:tcPr>
            <w:tcW w:w="992" w:type="dxa"/>
            <w:tcBorders>
              <w:top w:val="nil"/>
              <w:bottom w:val="nil"/>
            </w:tcBorders>
            <w:shd w:val="clear" w:color="auto" w:fill="auto"/>
            <w:vAlign w:val="bottom"/>
            <w:hideMark/>
          </w:tcPr>
          <w:p w14:paraId="3A8FD49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58 125</w:t>
            </w:r>
          </w:p>
        </w:tc>
        <w:tc>
          <w:tcPr>
            <w:tcW w:w="1558" w:type="dxa"/>
            <w:tcBorders>
              <w:top w:val="nil"/>
              <w:bottom w:val="nil"/>
            </w:tcBorders>
            <w:shd w:val="clear" w:color="auto" w:fill="auto"/>
            <w:vAlign w:val="bottom"/>
            <w:hideMark/>
          </w:tcPr>
          <w:p w14:paraId="3ADB2A5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5,3 %</w:t>
            </w:r>
          </w:p>
        </w:tc>
      </w:tr>
      <w:tr w:rsidR="00EB5903" w:rsidRPr="00BE2E8F" w14:paraId="1642E204" w14:textId="77777777" w:rsidTr="008B4897">
        <w:tc>
          <w:tcPr>
            <w:tcW w:w="938" w:type="dxa"/>
            <w:tcBorders>
              <w:top w:val="nil"/>
              <w:bottom w:val="nil"/>
            </w:tcBorders>
            <w:shd w:val="clear" w:color="auto" w:fill="auto"/>
            <w:hideMark/>
          </w:tcPr>
          <w:p w14:paraId="0FCCAFC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nil"/>
              <w:bottom w:val="nil"/>
            </w:tcBorders>
            <w:shd w:val="clear" w:color="auto" w:fill="auto"/>
            <w:hideMark/>
          </w:tcPr>
          <w:p w14:paraId="3A7F00C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Piauí </w:t>
            </w:r>
          </w:p>
        </w:tc>
        <w:tc>
          <w:tcPr>
            <w:tcW w:w="1063" w:type="dxa"/>
            <w:tcBorders>
              <w:top w:val="nil"/>
              <w:bottom w:val="nil"/>
            </w:tcBorders>
            <w:shd w:val="clear" w:color="auto" w:fill="auto"/>
            <w:vAlign w:val="bottom"/>
            <w:hideMark/>
          </w:tcPr>
          <w:p w14:paraId="354D128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20 260</w:t>
            </w:r>
          </w:p>
        </w:tc>
        <w:tc>
          <w:tcPr>
            <w:tcW w:w="1063" w:type="dxa"/>
            <w:tcBorders>
              <w:top w:val="nil"/>
              <w:bottom w:val="nil"/>
            </w:tcBorders>
            <w:shd w:val="clear" w:color="auto" w:fill="auto"/>
            <w:vAlign w:val="bottom"/>
            <w:hideMark/>
          </w:tcPr>
          <w:p w14:paraId="68CCAF2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1 864</w:t>
            </w:r>
          </w:p>
        </w:tc>
        <w:tc>
          <w:tcPr>
            <w:tcW w:w="992" w:type="dxa"/>
            <w:tcBorders>
              <w:top w:val="nil"/>
              <w:bottom w:val="nil"/>
            </w:tcBorders>
            <w:shd w:val="clear" w:color="auto" w:fill="auto"/>
            <w:vAlign w:val="bottom"/>
            <w:hideMark/>
          </w:tcPr>
          <w:p w14:paraId="0F67D9B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22 124</w:t>
            </w:r>
          </w:p>
        </w:tc>
        <w:tc>
          <w:tcPr>
            <w:tcW w:w="1558" w:type="dxa"/>
            <w:tcBorders>
              <w:top w:val="nil"/>
              <w:bottom w:val="nil"/>
            </w:tcBorders>
            <w:shd w:val="clear" w:color="auto" w:fill="auto"/>
            <w:vAlign w:val="bottom"/>
            <w:hideMark/>
          </w:tcPr>
          <w:p w14:paraId="1E17E89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8,4 %</w:t>
            </w:r>
          </w:p>
        </w:tc>
      </w:tr>
      <w:tr w:rsidR="00EB5903" w:rsidRPr="00BE2E8F" w14:paraId="32176DDE" w14:textId="77777777" w:rsidTr="008B4897">
        <w:tc>
          <w:tcPr>
            <w:tcW w:w="938" w:type="dxa"/>
            <w:tcBorders>
              <w:top w:val="nil"/>
            </w:tcBorders>
            <w:shd w:val="clear" w:color="auto" w:fill="auto"/>
            <w:hideMark/>
          </w:tcPr>
          <w:p w14:paraId="1EE5824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nil"/>
            </w:tcBorders>
            <w:shd w:val="clear" w:color="auto" w:fill="auto"/>
            <w:hideMark/>
          </w:tcPr>
          <w:p w14:paraId="65C3BAE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Ceará </w:t>
            </w:r>
          </w:p>
        </w:tc>
        <w:tc>
          <w:tcPr>
            <w:tcW w:w="1063" w:type="dxa"/>
            <w:tcBorders>
              <w:top w:val="nil"/>
            </w:tcBorders>
            <w:shd w:val="clear" w:color="auto" w:fill="auto"/>
            <w:vAlign w:val="bottom"/>
            <w:hideMark/>
          </w:tcPr>
          <w:p w14:paraId="20E70DD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68 031</w:t>
            </w:r>
          </w:p>
        </w:tc>
        <w:tc>
          <w:tcPr>
            <w:tcW w:w="1063" w:type="dxa"/>
            <w:tcBorders>
              <w:top w:val="nil"/>
            </w:tcBorders>
            <w:shd w:val="clear" w:color="auto" w:fill="auto"/>
            <w:vAlign w:val="bottom"/>
            <w:hideMark/>
          </w:tcPr>
          <w:p w14:paraId="5B0A884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6 307</w:t>
            </w:r>
          </w:p>
        </w:tc>
        <w:tc>
          <w:tcPr>
            <w:tcW w:w="992" w:type="dxa"/>
            <w:tcBorders>
              <w:top w:val="nil"/>
            </w:tcBorders>
            <w:shd w:val="clear" w:color="auto" w:fill="auto"/>
            <w:vAlign w:val="bottom"/>
            <w:hideMark/>
          </w:tcPr>
          <w:p w14:paraId="3E1A2AB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74 338</w:t>
            </w:r>
          </w:p>
        </w:tc>
        <w:tc>
          <w:tcPr>
            <w:tcW w:w="1558" w:type="dxa"/>
            <w:tcBorders>
              <w:top w:val="nil"/>
            </w:tcBorders>
            <w:shd w:val="clear" w:color="auto" w:fill="auto"/>
            <w:vAlign w:val="bottom"/>
            <w:hideMark/>
          </w:tcPr>
          <w:p w14:paraId="0CE46C3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8,5 %</w:t>
            </w:r>
          </w:p>
        </w:tc>
      </w:tr>
      <w:tr w:rsidR="00EB5903" w:rsidRPr="00BE2E8F" w14:paraId="27E3AE93" w14:textId="77777777" w:rsidTr="008B4897">
        <w:tc>
          <w:tcPr>
            <w:tcW w:w="938" w:type="dxa"/>
            <w:shd w:val="clear" w:color="auto" w:fill="auto"/>
            <w:hideMark/>
          </w:tcPr>
          <w:p w14:paraId="47DE9DD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425AF45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Grande do Norte </w:t>
            </w:r>
          </w:p>
        </w:tc>
        <w:tc>
          <w:tcPr>
            <w:tcW w:w="1063" w:type="dxa"/>
            <w:shd w:val="clear" w:color="auto" w:fill="auto"/>
            <w:vAlign w:val="bottom"/>
            <w:hideMark/>
          </w:tcPr>
          <w:p w14:paraId="365B706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25 304</w:t>
            </w:r>
          </w:p>
        </w:tc>
        <w:tc>
          <w:tcPr>
            <w:tcW w:w="1063" w:type="dxa"/>
            <w:shd w:val="clear" w:color="auto" w:fill="auto"/>
            <w:vAlign w:val="bottom"/>
            <w:hideMark/>
          </w:tcPr>
          <w:p w14:paraId="6CF453B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1 750</w:t>
            </w:r>
          </w:p>
        </w:tc>
        <w:tc>
          <w:tcPr>
            <w:tcW w:w="992" w:type="dxa"/>
            <w:shd w:val="clear" w:color="auto" w:fill="auto"/>
            <w:vAlign w:val="bottom"/>
            <w:hideMark/>
          </w:tcPr>
          <w:p w14:paraId="743BAE8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27 054</w:t>
            </w:r>
          </w:p>
        </w:tc>
        <w:tc>
          <w:tcPr>
            <w:tcW w:w="1558" w:type="dxa"/>
            <w:shd w:val="clear" w:color="auto" w:fill="auto"/>
            <w:vAlign w:val="bottom"/>
            <w:hideMark/>
          </w:tcPr>
          <w:p w14:paraId="30A43DC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6,5 %</w:t>
            </w:r>
          </w:p>
        </w:tc>
      </w:tr>
      <w:tr w:rsidR="00EB5903" w:rsidRPr="00BE2E8F" w14:paraId="744CAFCD" w14:textId="77777777" w:rsidTr="008B4897">
        <w:tc>
          <w:tcPr>
            <w:tcW w:w="938" w:type="dxa"/>
            <w:shd w:val="clear" w:color="auto" w:fill="auto"/>
            <w:hideMark/>
          </w:tcPr>
          <w:p w14:paraId="64AD13B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5EDA5D46"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Paraíba </w:t>
            </w:r>
          </w:p>
        </w:tc>
        <w:tc>
          <w:tcPr>
            <w:tcW w:w="1063" w:type="dxa"/>
            <w:shd w:val="clear" w:color="auto" w:fill="auto"/>
            <w:vAlign w:val="bottom"/>
            <w:hideMark/>
          </w:tcPr>
          <w:p w14:paraId="7A3921B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27 589</w:t>
            </w:r>
          </w:p>
        </w:tc>
        <w:tc>
          <w:tcPr>
            <w:tcW w:w="1063" w:type="dxa"/>
            <w:shd w:val="clear" w:color="auto" w:fill="auto"/>
            <w:vAlign w:val="bottom"/>
            <w:hideMark/>
          </w:tcPr>
          <w:p w14:paraId="7CCE664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2 686</w:t>
            </w:r>
          </w:p>
        </w:tc>
        <w:tc>
          <w:tcPr>
            <w:tcW w:w="992" w:type="dxa"/>
            <w:shd w:val="clear" w:color="auto" w:fill="auto"/>
            <w:vAlign w:val="bottom"/>
            <w:hideMark/>
          </w:tcPr>
          <w:p w14:paraId="1536B00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30 275</w:t>
            </w:r>
          </w:p>
        </w:tc>
        <w:tc>
          <w:tcPr>
            <w:tcW w:w="1558" w:type="dxa"/>
            <w:shd w:val="clear" w:color="auto" w:fill="auto"/>
            <w:vAlign w:val="bottom"/>
            <w:hideMark/>
          </w:tcPr>
          <w:p w14:paraId="6E0C98B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8,9 %</w:t>
            </w:r>
          </w:p>
        </w:tc>
      </w:tr>
      <w:tr w:rsidR="00EB5903" w:rsidRPr="00BE2E8F" w14:paraId="32C0AAF0" w14:textId="77777777" w:rsidTr="008B4897">
        <w:tc>
          <w:tcPr>
            <w:tcW w:w="938" w:type="dxa"/>
            <w:shd w:val="clear" w:color="auto" w:fill="auto"/>
            <w:hideMark/>
          </w:tcPr>
          <w:p w14:paraId="3D01323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71EFA99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Pernambuco </w:t>
            </w:r>
          </w:p>
        </w:tc>
        <w:tc>
          <w:tcPr>
            <w:tcW w:w="1063" w:type="dxa"/>
            <w:shd w:val="clear" w:color="auto" w:fill="auto"/>
            <w:vAlign w:val="bottom"/>
            <w:hideMark/>
          </w:tcPr>
          <w:p w14:paraId="1248EDC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60 582</w:t>
            </w:r>
          </w:p>
        </w:tc>
        <w:tc>
          <w:tcPr>
            <w:tcW w:w="1063" w:type="dxa"/>
            <w:shd w:val="clear" w:color="auto" w:fill="auto"/>
            <w:vAlign w:val="bottom"/>
            <w:hideMark/>
          </w:tcPr>
          <w:p w14:paraId="12D5C31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3 587</w:t>
            </w:r>
          </w:p>
        </w:tc>
        <w:tc>
          <w:tcPr>
            <w:tcW w:w="992" w:type="dxa"/>
            <w:shd w:val="clear" w:color="auto" w:fill="auto"/>
            <w:vAlign w:val="bottom"/>
            <w:hideMark/>
          </w:tcPr>
          <w:p w14:paraId="2DA9B86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64 169</w:t>
            </w:r>
          </w:p>
        </w:tc>
        <w:tc>
          <w:tcPr>
            <w:tcW w:w="1558" w:type="dxa"/>
            <w:shd w:val="clear" w:color="auto" w:fill="auto"/>
            <w:vAlign w:val="bottom"/>
            <w:hideMark/>
          </w:tcPr>
          <w:p w14:paraId="6314DF2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5,6 %</w:t>
            </w:r>
          </w:p>
        </w:tc>
      </w:tr>
      <w:tr w:rsidR="00EB5903" w:rsidRPr="00BE2E8F" w14:paraId="6F4002A1" w14:textId="77777777" w:rsidTr="008B4897">
        <w:tc>
          <w:tcPr>
            <w:tcW w:w="938" w:type="dxa"/>
            <w:shd w:val="clear" w:color="auto" w:fill="auto"/>
            <w:hideMark/>
          </w:tcPr>
          <w:p w14:paraId="246A8AA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265553B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Alagoas </w:t>
            </w:r>
          </w:p>
        </w:tc>
        <w:tc>
          <w:tcPr>
            <w:tcW w:w="1063" w:type="dxa"/>
            <w:shd w:val="clear" w:color="auto" w:fill="auto"/>
            <w:vAlign w:val="bottom"/>
            <w:hideMark/>
          </w:tcPr>
          <w:p w14:paraId="3278D49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30 648</w:t>
            </w:r>
          </w:p>
        </w:tc>
        <w:tc>
          <w:tcPr>
            <w:tcW w:w="1063" w:type="dxa"/>
            <w:shd w:val="clear" w:color="auto" w:fill="auto"/>
            <w:vAlign w:val="bottom"/>
            <w:hideMark/>
          </w:tcPr>
          <w:p w14:paraId="60817C0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2 987</w:t>
            </w:r>
          </w:p>
        </w:tc>
        <w:tc>
          <w:tcPr>
            <w:tcW w:w="992" w:type="dxa"/>
            <w:shd w:val="clear" w:color="auto" w:fill="auto"/>
            <w:vAlign w:val="bottom"/>
            <w:hideMark/>
          </w:tcPr>
          <w:p w14:paraId="627FEF1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33 635</w:t>
            </w:r>
          </w:p>
        </w:tc>
        <w:tc>
          <w:tcPr>
            <w:tcW w:w="1558" w:type="dxa"/>
            <w:shd w:val="clear" w:color="auto" w:fill="auto"/>
            <w:vAlign w:val="bottom"/>
            <w:hideMark/>
          </w:tcPr>
          <w:p w14:paraId="6103F0F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8,9 %</w:t>
            </w:r>
          </w:p>
        </w:tc>
      </w:tr>
      <w:tr w:rsidR="00EB5903" w:rsidRPr="00BE2E8F" w14:paraId="1A70B99D" w14:textId="77777777" w:rsidTr="008B4897">
        <w:tc>
          <w:tcPr>
            <w:tcW w:w="938" w:type="dxa"/>
            <w:shd w:val="clear" w:color="auto" w:fill="auto"/>
            <w:hideMark/>
          </w:tcPr>
          <w:p w14:paraId="05B1BE9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0EE99A7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Sergipe </w:t>
            </w:r>
          </w:p>
        </w:tc>
        <w:tc>
          <w:tcPr>
            <w:tcW w:w="1063" w:type="dxa"/>
            <w:shd w:val="clear" w:color="auto" w:fill="auto"/>
            <w:vAlign w:val="bottom"/>
            <w:hideMark/>
          </w:tcPr>
          <w:p w14:paraId="32D7D1D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23 327</w:t>
            </w:r>
          </w:p>
        </w:tc>
        <w:tc>
          <w:tcPr>
            <w:tcW w:w="1063" w:type="dxa"/>
            <w:shd w:val="clear" w:color="auto" w:fill="auto"/>
            <w:vAlign w:val="bottom"/>
            <w:hideMark/>
          </w:tcPr>
          <w:p w14:paraId="1C9A4D0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1 158</w:t>
            </w:r>
          </w:p>
        </w:tc>
        <w:tc>
          <w:tcPr>
            <w:tcW w:w="992" w:type="dxa"/>
            <w:shd w:val="clear" w:color="auto" w:fill="auto"/>
            <w:vAlign w:val="bottom"/>
            <w:hideMark/>
          </w:tcPr>
          <w:p w14:paraId="668994D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24 485</w:t>
            </w:r>
          </w:p>
        </w:tc>
        <w:tc>
          <w:tcPr>
            <w:tcW w:w="1558" w:type="dxa"/>
            <w:shd w:val="clear" w:color="auto" w:fill="auto"/>
            <w:vAlign w:val="bottom"/>
            <w:hideMark/>
          </w:tcPr>
          <w:p w14:paraId="471F64F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4,7 %</w:t>
            </w:r>
          </w:p>
        </w:tc>
      </w:tr>
      <w:tr w:rsidR="00EB5903" w:rsidRPr="00BE2E8F" w14:paraId="317FBA71" w14:textId="77777777" w:rsidTr="008B4897">
        <w:tc>
          <w:tcPr>
            <w:tcW w:w="938" w:type="dxa"/>
            <w:shd w:val="clear" w:color="auto" w:fill="auto"/>
            <w:hideMark/>
          </w:tcPr>
          <w:p w14:paraId="718D6EC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59DF078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Bahia </w:t>
            </w:r>
          </w:p>
        </w:tc>
        <w:tc>
          <w:tcPr>
            <w:tcW w:w="1063" w:type="dxa"/>
            <w:shd w:val="clear" w:color="auto" w:fill="auto"/>
            <w:vAlign w:val="bottom"/>
            <w:hideMark/>
          </w:tcPr>
          <w:p w14:paraId="5C31AED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92 533</w:t>
            </w:r>
          </w:p>
        </w:tc>
        <w:tc>
          <w:tcPr>
            <w:tcW w:w="1063" w:type="dxa"/>
            <w:shd w:val="clear" w:color="auto" w:fill="auto"/>
            <w:vAlign w:val="bottom"/>
            <w:hideMark/>
          </w:tcPr>
          <w:p w14:paraId="790C9F2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7 550</w:t>
            </w:r>
          </w:p>
        </w:tc>
        <w:tc>
          <w:tcPr>
            <w:tcW w:w="992" w:type="dxa"/>
            <w:shd w:val="clear" w:color="auto" w:fill="auto"/>
            <w:vAlign w:val="bottom"/>
            <w:hideMark/>
          </w:tcPr>
          <w:p w14:paraId="7441A3F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100 083</w:t>
            </w:r>
          </w:p>
        </w:tc>
        <w:tc>
          <w:tcPr>
            <w:tcW w:w="1558" w:type="dxa"/>
            <w:shd w:val="clear" w:color="auto" w:fill="auto"/>
            <w:vAlign w:val="bottom"/>
            <w:hideMark/>
          </w:tcPr>
          <w:p w14:paraId="153BC84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7,5 %</w:t>
            </w:r>
          </w:p>
        </w:tc>
      </w:tr>
      <w:tr w:rsidR="00EB5903" w:rsidRPr="00BE2E8F" w14:paraId="3896C30E" w14:textId="77777777" w:rsidTr="008B4897">
        <w:tc>
          <w:tcPr>
            <w:tcW w:w="938" w:type="dxa"/>
            <w:shd w:val="clear" w:color="auto" w:fill="auto"/>
            <w:hideMark/>
          </w:tcPr>
          <w:p w14:paraId="0C2048B0"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4D912DED"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Minas Gerais </w:t>
            </w:r>
          </w:p>
        </w:tc>
        <w:tc>
          <w:tcPr>
            <w:tcW w:w="1063" w:type="dxa"/>
            <w:shd w:val="clear" w:color="auto" w:fill="auto"/>
            <w:vAlign w:val="bottom"/>
            <w:hideMark/>
          </w:tcPr>
          <w:p w14:paraId="559BBA7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110 613</w:t>
            </w:r>
          </w:p>
        </w:tc>
        <w:tc>
          <w:tcPr>
            <w:tcW w:w="1063" w:type="dxa"/>
            <w:shd w:val="clear" w:color="auto" w:fill="auto"/>
            <w:vAlign w:val="bottom"/>
            <w:hideMark/>
          </w:tcPr>
          <w:p w14:paraId="524D00C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12 949</w:t>
            </w:r>
          </w:p>
        </w:tc>
        <w:tc>
          <w:tcPr>
            <w:tcW w:w="992" w:type="dxa"/>
            <w:shd w:val="clear" w:color="auto" w:fill="auto"/>
            <w:vAlign w:val="bottom"/>
            <w:hideMark/>
          </w:tcPr>
          <w:p w14:paraId="6F23D02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123 562</w:t>
            </w:r>
          </w:p>
        </w:tc>
        <w:tc>
          <w:tcPr>
            <w:tcW w:w="1558" w:type="dxa"/>
            <w:shd w:val="clear" w:color="auto" w:fill="auto"/>
            <w:vAlign w:val="bottom"/>
            <w:hideMark/>
          </w:tcPr>
          <w:p w14:paraId="4BF607D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10,5 %</w:t>
            </w:r>
          </w:p>
        </w:tc>
      </w:tr>
      <w:tr w:rsidR="00EB5903" w:rsidRPr="00BE2E8F" w14:paraId="5CBE6EDF" w14:textId="77777777" w:rsidTr="008B4897">
        <w:tc>
          <w:tcPr>
            <w:tcW w:w="938" w:type="dxa"/>
            <w:shd w:val="clear" w:color="auto" w:fill="auto"/>
            <w:hideMark/>
          </w:tcPr>
          <w:p w14:paraId="0AC5B9AB"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5E7096D5"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Espírito</w:t>
            </w:r>
            <w:proofErr w:type="spellEnd"/>
            <w:r>
              <w:rPr>
                <w:sz w:val="18"/>
              </w:rPr>
              <w:t xml:space="preserve"> Santo </w:t>
            </w:r>
          </w:p>
        </w:tc>
        <w:tc>
          <w:tcPr>
            <w:tcW w:w="1063" w:type="dxa"/>
            <w:shd w:val="clear" w:color="auto" w:fill="auto"/>
            <w:vAlign w:val="bottom"/>
            <w:hideMark/>
          </w:tcPr>
          <w:p w14:paraId="20574EA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24 868</w:t>
            </w:r>
          </w:p>
        </w:tc>
        <w:tc>
          <w:tcPr>
            <w:tcW w:w="1063" w:type="dxa"/>
            <w:shd w:val="clear" w:color="auto" w:fill="auto"/>
            <w:vAlign w:val="bottom"/>
            <w:hideMark/>
          </w:tcPr>
          <w:p w14:paraId="5072593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2 346</w:t>
            </w:r>
          </w:p>
        </w:tc>
        <w:tc>
          <w:tcPr>
            <w:tcW w:w="992" w:type="dxa"/>
            <w:shd w:val="clear" w:color="auto" w:fill="auto"/>
            <w:vAlign w:val="bottom"/>
            <w:hideMark/>
          </w:tcPr>
          <w:p w14:paraId="4DD5F51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27 214</w:t>
            </w:r>
          </w:p>
        </w:tc>
        <w:tc>
          <w:tcPr>
            <w:tcW w:w="1558" w:type="dxa"/>
            <w:shd w:val="clear" w:color="auto" w:fill="auto"/>
            <w:vAlign w:val="bottom"/>
            <w:hideMark/>
          </w:tcPr>
          <w:p w14:paraId="24293AB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8,6 %</w:t>
            </w:r>
          </w:p>
        </w:tc>
      </w:tr>
      <w:tr w:rsidR="00EB5903" w:rsidRPr="00BE2E8F" w14:paraId="3F3D0C23" w14:textId="77777777" w:rsidTr="008B4897">
        <w:tc>
          <w:tcPr>
            <w:tcW w:w="938" w:type="dxa"/>
            <w:shd w:val="clear" w:color="auto" w:fill="auto"/>
            <w:hideMark/>
          </w:tcPr>
          <w:p w14:paraId="10B04C89"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5674F05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de Janeiro </w:t>
            </w:r>
          </w:p>
        </w:tc>
        <w:tc>
          <w:tcPr>
            <w:tcW w:w="1063" w:type="dxa"/>
            <w:shd w:val="clear" w:color="auto" w:fill="auto"/>
            <w:vAlign w:val="bottom"/>
            <w:hideMark/>
          </w:tcPr>
          <w:p w14:paraId="5F35523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76 437</w:t>
            </w:r>
          </w:p>
        </w:tc>
        <w:tc>
          <w:tcPr>
            <w:tcW w:w="1063" w:type="dxa"/>
            <w:shd w:val="clear" w:color="auto" w:fill="auto"/>
            <w:vAlign w:val="bottom"/>
            <w:hideMark/>
          </w:tcPr>
          <w:p w14:paraId="1BA0A1B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4 264</w:t>
            </w:r>
          </w:p>
        </w:tc>
        <w:tc>
          <w:tcPr>
            <w:tcW w:w="992" w:type="dxa"/>
            <w:shd w:val="clear" w:color="auto" w:fill="auto"/>
            <w:vAlign w:val="bottom"/>
            <w:hideMark/>
          </w:tcPr>
          <w:p w14:paraId="7C689BC1"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80 701</w:t>
            </w:r>
          </w:p>
        </w:tc>
        <w:tc>
          <w:tcPr>
            <w:tcW w:w="1558" w:type="dxa"/>
            <w:shd w:val="clear" w:color="auto" w:fill="auto"/>
            <w:vAlign w:val="bottom"/>
            <w:hideMark/>
          </w:tcPr>
          <w:p w14:paraId="542C36B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5,3 %</w:t>
            </w:r>
          </w:p>
        </w:tc>
      </w:tr>
      <w:tr w:rsidR="00EB5903" w:rsidRPr="00BE2E8F" w14:paraId="6613C25C" w14:textId="77777777" w:rsidTr="008B4897">
        <w:tc>
          <w:tcPr>
            <w:tcW w:w="938" w:type="dxa"/>
            <w:shd w:val="clear" w:color="auto" w:fill="auto"/>
            <w:hideMark/>
          </w:tcPr>
          <w:p w14:paraId="240770E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4C82639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São Paulo </w:t>
            </w:r>
          </w:p>
        </w:tc>
        <w:tc>
          <w:tcPr>
            <w:tcW w:w="1063" w:type="dxa"/>
            <w:shd w:val="clear" w:color="auto" w:fill="auto"/>
            <w:vAlign w:val="bottom"/>
            <w:hideMark/>
          </w:tcPr>
          <w:p w14:paraId="4133A1B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244 818</w:t>
            </w:r>
          </w:p>
        </w:tc>
        <w:tc>
          <w:tcPr>
            <w:tcW w:w="1063" w:type="dxa"/>
            <w:shd w:val="clear" w:color="auto" w:fill="auto"/>
            <w:vAlign w:val="bottom"/>
            <w:hideMark/>
          </w:tcPr>
          <w:p w14:paraId="74D0186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17 878</w:t>
            </w:r>
          </w:p>
        </w:tc>
        <w:tc>
          <w:tcPr>
            <w:tcW w:w="992" w:type="dxa"/>
            <w:shd w:val="clear" w:color="auto" w:fill="auto"/>
            <w:vAlign w:val="bottom"/>
            <w:hideMark/>
          </w:tcPr>
          <w:p w14:paraId="6E465F8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262 696</w:t>
            </w:r>
          </w:p>
        </w:tc>
        <w:tc>
          <w:tcPr>
            <w:tcW w:w="1558" w:type="dxa"/>
            <w:shd w:val="clear" w:color="auto" w:fill="auto"/>
            <w:vAlign w:val="bottom"/>
            <w:hideMark/>
          </w:tcPr>
          <w:p w14:paraId="1CCC563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6,8 %</w:t>
            </w:r>
          </w:p>
        </w:tc>
      </w:tr>
      <w:tr w:rsidR="00EB5903" w:rsidRPr="00BE2E8F" w14:paraId="70DC16DA" w14:textId="77777777" w:rsidTr="008B4897">
        <w:tc>
          <w:tcPr>
            <w:tcW w:w="938" w:type="dxa"/>
            <w:shd w:val="clear" w:color="auto" w:fill="auto"/>
            <w:hideMark/>
          </w:tcPr>
          <w:p w14:paraId="1F14297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6387EFEE"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Paraná </w:t>
            </w:r>
          </w:p>
        </w:tc>
        <w:tc>
          <w:tcPr>
            <w:tcW w:w="1063" w:type="dxa"/>
            <w:shd w:val="clear" w:color="auto" w:fill="auto"/>
            <w:vAlign w:val="bottom"/>
            <w:hideMark/>
          </w:tcPr>
          <w:p w14:paraId="710C69A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63 457</w:t>
            </w:r>
          </w:p>
        </w:tc>
        <w:tc>
          <w:tcPr>
            <w:tcW w:w="1063" w:type="dxa"/>
            <w:shd w:val="clear" w:color="auto" w:fill="auto"/>
            <w:vAlign w:val="bottom"/>
            <w:hideMark/>
          </w:tcPr>
          <w:p w14:paraId="043E36F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5 587</w:t>
            </w:r>
          </w:p>
        </w:tc>
        <w:tc>
          <w:tcPr>
            <w:tcW w:w="992" w:type="dxa"/>
            <w:shd w:val="clear" w:color="auto" w:fill="auto"/>
            <w:vAlign w:val="bottom"/>
            <w:hideMark/>
          </w:tcPr>
          <w:p w14:paraId="61CF489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69 044</w:t>
            </w:r>
          </w:p>
        </w:tc>
        <w:tc>
          <w:tcPr>
            <w:tcW w:w="1558" w:type="dxa"/>
            <w:shd w:val="clear" w:color="auto" w:fill="auto"/>
            <w:vAlign w:val="bottom"/>
            <w:hideMark/>
          </w:tcPr>
          <w:p w14:paraId="6821B9A6"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8,1 %</w:t>
            </w:r>
          </w:p>
        </w:tc>
      </w:tr>
      <w:tr w:rsidR="00EB5903" w:rsidRPr="00BE2E8F" w14:paraId="60BB37AF" w14:textId="77777777" w:rsidTr="008B4897">
        <w:tc>
          <w:tcPr>
            <w:tcW w:w="938" w:type="dxa"/>
            <w:shd w:val="clear" w:color="auto" w:fill="auto"/>
            <w:hideMark/>
          </w:tcPr>
          <w:p w14:paraId="4665AB9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4573DBFA"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Santa Catarina </w:t>
            </w:r>
          </w:p>
        </w:tc>
        <w:tc>
          <w:tcPr>
            <w:tcW w:w="1063" w:type="dxa"/>
            <w:shd w:val="clear" w:color="auto" w:fill="auto"/>
            <w:vAlign w:val="bottom"/>
            <w:hideMark/>
          </w:tcPr>
          <w:p w14:paraId="08CADACB"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31 333</w:t>
            </w:r>
          </w:p>
        </w:tc>
        <w:tc>
          <w:tcPr>
            <w:tcW w:w="1063" w:type="dxa"/>
            <w:shd w:val="clear" w:color="auto" w:fill="auto"/>
            <w:vAlign w:val="bottom"/>
            <w:hideMark/>
          </w:tcPr>
          <w:p w14:paraId="6938507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1 713</w:t>
            </w:r>
          </w:p>
        </w:tc>
        <w:tc>
          <w:tcPr>
            <w:tcW w:w="992" w:type="dxa"/>
            <w:shd w:val="clear" w:color="auto" w:fill="auto"/>
            <w:vAlign w:val="bottom"/>
            <w:hideMark/>
          </w:tcPr>
          <w:p w14:paraId="30740AA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33 046</w:t>
            </w:r>
          </w:p>
        </w:tc>
        <w:tc>
          <w:tcPr>
            <w:tcW w:w="1558" w:type="dxa"/>
            <w:shd w:val="clear" w:color="auto" w:fill="auto"/>
            <w:vAlign w:val="bottom"/>
            <w:hideMark/>
          </w:tcPr>
          <w:p w14:paraId="6ECA44B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5,2 %</w:t>
            </w:r>
          </w:p>
        </w:tc>
      </w:tr>
      <w:tr w:rsidR="00EB5903" w:rsidRPr="00BE2E8F" w14:paraId="64220CAA" w14:textId="77777777" w:rsidTr="008B4897">
        <w:tc>
          <w:tcPr>
            <w:tcW w:w="938" w:type="dxa"/>
            <w:shd w:val="clear" w:color="auto" w:fill="auto"/>
            <w:hideMark/>
          </w:tcPr>
          <w:p w14:paraId="095423B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7BEA257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Rio Grande do Sul </w:t>
            </w:r>
          </w:p>
        </w:tc>
        <w:tc>
          <w:tcPr>
            <w:tcW w:w="1063" w:type="dxa"/>
            <w:shd w:val="clear" w:color="auto" w:fill="auto"/>
            <w:vAlign w:val="bottom"/>
            <w:hideMark/>
          </w:tcPr>
          <w:p w14:paraId="60AB990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51 445</w:t>
            </w:r>
          </w:p>
        </w:tc>
        <w:tc>
          <w:tcPr>
            <w:tcW w:w="1063" w:type="dxa"/>
            <w:shd w:val="clear" w:color="auto" w:fill="auto"/>
            <w:vAlign w:val="bottom"/>
            <w:hideMark/>
          </w:tcPr>
          <w:p w14:paraId="321B4D5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7 111</w:t>
            </w:r>
          </w:p>
        </w:tc>
        <w:tc>
          <w:tcPr>
            <w:tcW w:w="992" w:type="dxa"/>
            <w:shd w:val="clear" w:color="auto" w:fill="auto"/>
            <w:vAlign w:val="bottom"/>
            <w:hideMark/>
          </w:tcPr>
          <w:p w14:paraId="5C7285E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58 556</w:t>
            </w:r>
          </w:p>
        </w:tc>
        <w:tc>
          <w:tcPr>
            <w:tcW w:w="1558" w:type="dxa"/>
            <w:shd w:val="clear" w:color="auto" w:fill="auto"/>
            <w:vAlign w:val="bottom"/>
            <w:hideMark/>
          </w:tcPr>
          <w:p w14:paraId="3087C875"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12,1 %</w:t>
            </w:r>
          </w:p>
        </w:tc>
      </w:tr>
      <w:tr w:rsidR="00EB5903" w:rsidRPr="00BE2E8F" w14:paraId="495EF306" w14:textId="77777777" w:rsidTr="008B4897">
        <w:tc>
          <w:tcPr>
            <w:tcW w:w="938" w:type="dxa"/>
            <w:shd w:val="clear" w:color="auto" w:fill="auto"/>
            <w:hideMark/>
          </w:tcPr>
          <w:p w14:paraId="094CBFA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60607694"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Mato Grosso do Sul </w:t>
            </w:r>
          </w:p>
        </w:tc>
        <w:tc>
          <w:tcPr>
            <w:tcW w:w="1063" w:type="dxa"/>
            <w:shd w:val="clear" w:color="auto" w:fill="auto"/>
            <w:vAlign w:val="bottom"/>
            <w:hideMark/>
          </w:tcPr>
          <w:p w14:paraId="6FB1E59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15 363</w:t>
            </w:r>
          </w:p>
        </w:tc>
        <w:tc>
          <w:tcPr>
            <w:tcW w:w="1063" w:type="dxa"/>
            <w:shd w:val="clear" w:color="auto" w:fill="auto"/>
            <w:vAlign w:val="bottom"/>
            <w:hideMark/>
          </w:tcPr>
          <w:p w14:paraId="16C23CF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3 259</w:t>
            </w:r>
          </w:p>
        </w:tc>
        <w:tc>
          <w:tcPr>
            <w:tcW w:w="992" w:type="dxa"/>
            <w:shd w:val="clear" w:color="auto" w:fill="auto"/>
            <w:vAlign w:val="bottom"/>
            <w:hideMark/>
          </w:tcPr>
          <w:p w14:paraId="34AA42B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18 622</w:t>
            </w:r>
          </w:p>
        </w:tc>
        <w:tc>
          <w:tcPr>
            <w:tcW w:w="1558" w:type="dxa"/>
            <w:shd w:val="clear" w:color="auto" w:fill="auto"/>
            <w:vAlign w:val="bottom"/>
            <w:hideMark/>
          </w:tcPr>
          <w:p w14:paraId="02CE8F5F"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17,5 %</w:t>
            </w:r>
          </w:p>
        </w:tc>
      </w:tr>
      <w:tr w:rsidR="00EB5903" w:rsidRPr="00BE2E8F" w14:paraId="3F4DF942" w14:textId="77777777" w:rsidTr="008B4897">
        <w:tc>
          <w:tcPr>
            <w:tcW w:w="938" w:type="dxa"/>
            <w:shd w:val="clear" w:color="auto" w:fill="auto"/>
            <w:hideMark/>
          </w:tcPr>
          <w:p w14:paraId="5A9DF9E8"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79892A1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Mato Grosso </w:t>
            </w:r>
          </w:p>
        </w:tc>
        <w:tc>
          <w:tcPr>
            <w:tcW w:w="1063" w:type="dxa"/>
            <w:shd w:val="clear" w:color="auto" w:fill="auto"/>
            <w:vAlign w:val="bottom"/>
            <w:hideMark/>
          </w:tcPr>
          <w:p w14:paraId="1E21D63C"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19 529</w:t>
            </w:r>
          </w:p>
        </w:tc>
        <w:tc>
          <w:tcPr>
            <w:tcW w:w="1063" w:type="dxa"/>
            <w:shd w:val="clear" w:color="auto" w:fill="auto"/>
            <w:vAlign w:val="bottom"/>
            <w:hideMark/>
          </w:tcPr>
          <w:p w14:paraId="13246FB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1 326</w:t>
            </w:r>
          </w:p>
        </w:tc>
        <w:tc>
          <w:tcPr>
            <w:tcW w:w="992" w:type="dxa"/>
            <w:shd w:val="clear" w:color="auto" w:fill="auto"/>
            <w:vAlign w:val="bottom"/>
            <w:hideMark/>
          </w:tcPr>
          <w:p w14:paraId="77DEE153"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20 855</w:t>
            </w:r>
          </w:p>
        </w:tc>
        <w:tc>
          <w:tcPr>
            <w:tcW w:w="1558" w:type="dxa"/>
            <w:shd w:val="clear" w:color="auto" w:fill="auto"/>
            <w:vAlign w:val="bottom"/>
            <w:hideMark/>
          </w:tcPr>
          <w:p w14:paraId="3C77142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6,4 %</w:t>
            </w:r>
          </w:p>
        </w:tc>
      </w:tr>
      <w:tr w:rsidR="00EB5903" w:rsidRPr="00BE2E8F" w14:paraId="1E082383" w14:textId="77777777" w:rsidTr="008B4897">
        <w:tc>
          <w:tcPr>
            <w:tcW w:w="938" w:type="dxa"/>
            <w:shd w:val="clear" w:color="auto" w:fill="auto"/>
            <w:hideMark/>
          </w:tcPr>
          <w:p w14:paraId="2D603CEF"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600E5C23"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Goiás </w:t>
            </w:r>
          </w:p>
        </w:tc>
        <w:tc>
          <w:tcPr>
            <w:tcW w:w="1063" w:type="dxa"/>
            <w:shd w:val="clear" w:color="auto" w:fill="auto"/>
            <w:vAlign w:val="bottom"/>
            <w:hideMark/>
          </w:tcPr>
          <w:p w14:paraId="21F19737"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41 645</w:t>
            </w:r>
          </w:p>
        </w:tc>
        <w:tc>
          <w:tcPr>
            <w:tcW w:w="1063" w:type="dxa"/>
            <w:shd w:val="clear" w:color="auto" w:fill="auto"/>
            <w:vAlign w:val="bottom"/>
            <w:hideMark/>
          </w:tcPr>
          <w:p w14:paraId="4C42CD0E"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1 370</w:t>
            </w:r>
          </w:p>
        </w:tc>
        <w:tc>
          <w:tcPr>
            <w:tcW w:w="992" w:type="dxa"/>
            <w:shd w:val="clear" w:color="auto" w:fill="auto"/>
            <w:vAlign w:val="bottom"/>
            <w:hideMark/>
          </w:tcPr>
          <w:p w14:paraId="39C17524"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43 015</w:t>
            </w:r>
          </w:p>
        </w:tc>
        <w:tc>
          <w:tcPr>
            <w:tcW w:w="1558" w:type="dxa"/>
            <w:shd w:val="clear" w:color="auto" w:fill="auto"/>
            <w:vAlign w:val="bottom"/>
            <w:hideMark/>
          </w:tcPr>
          <w:p w14:paraId="4DB7C4DD"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3,2 %</w:t>
            </w:r>
          </w:p>
        </w:tc>
      </w:tr>
      <w:tr w:rsidR="00EB5903" w:rsidRPr="00BE2E8F" w14:paraId="517B4E13" w14:textId="77777777" w:rsidTr="008B4897">
        <w:tc>
          <w:tcPr>
            <w:tcW w:w="938" w:type="dxa"/>
            <w:shd w:val="clear" w:color="auto" w:fill="auto"/>
            <w:hideMark/>
          </w:tcPr>
          <w:p w14:paraId="3947082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75114092"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Distrito</w:t>
            </w:r>
            <w:proofErr w:type="spellEnd"/>
            <w:r>
              <w:rPr>
                <w:sz w:val="18"/>
              </w:rPr>
              <w:t xml:space="preserve"> </w:t>
            </w:r>
            <w:proofErr w:type="spellStart"/>
            <w:r>
              <w:rPr>
                <w:sz w:val="18"/>
              </w:rPr>
              <w:t>Federal</w:t>
            </w:r>
            <w:proofErr w:type="spellEnd"/>
            <w:r>
              <w:rPr>
                <w:sz w:val="18"/>
              </w:rPr>
              <w:t> </w:t>
            </w:r>
          </w:p>
        </w:tc>
        <w:tc>
          <w:tcPr>
            <w:tcW w:w="1063" w:type="dxa"/>
            <w:shd w:val="clear" w:color="auto" w:fill="auto"/>
            <w:vAlign w:val="bottom"/>
            <w:hideMark/>
          </w:tcPr>
          <w:p w14:paraId="31E710E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21 457</w:t>
            </w:r>
          </w:p>
        </w:tc>
        <w:tc>
          <w:tcPr>
            <w:tcW w:w="1063" w:type="dxa"/>
            <w:shd w:val="clear" w:color="auto" w:fill="auto"/>
            <w:vAlign w:val="bottom"/>
            <w:hideMark/>
          </w:tcPr>
          <w:p w14:paraId="0880757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218</w:t>
            </w:r>
          </w:p>
        </w:tc>
        <w:tc>
          <w:tcPr>
            <w:tcW w:w="992" w:type="dxa"/>
            <w:shd w:val="clear" w:color="auto" w:fill="auto"/>
            <w:vAlign w:val="bottom"/>
            <w:hideMark/>
          </w:tcPr>
          <w:p w14:paraId="43272042"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21 675</w:t>
            </w:r>
          </w:p>
        </w:tc>
        <w:tc>
          <w:tcPr>
            <w:tcW w:w="1558" w:type="dxa"/>
            <w:shd w:val="clear" w:color="auto" w:fill="auto"/>
            <w:vAlign w:val="bottom"/>
            <w:hideMark/>
          </w:tcPr>
          <w:p w14:paraId="4F0D6F80"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1,0 %</w:t>
            </w:r>
          </w:p>
        </w:tc>
      </w:tr>
      <w:tr w:rsidR="00EB5903" w:rsidRPr="00BE2E8F" w14:paraId="4860C4D6" w14:textId="77777777" w:rsidTr="008B4897">
        <w:tc>
          <w:tcPr>
            <w:tcW w:w="2694" w:type="dxa"/>
            <w:gridSpan w:val="2"/>
            <w:shd w:val="clear" w:color="auto" w:fill="auto"/>
            <w:hideMark/>
          </w:tcPr>
          <w:p w14:paraId="026F212C" w14:textId="77777777" w:rsidR="00EB5903" w:rsidRPr="00BE2E8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lastRenderedPageBreak/>
              <w:t>Brésil </w:t>
            </w:r>
          </w:p>
        </w:tc>
        <w:tc>
          <w:tcPr>
            <w:tcW w:w="1063" w:type="dxa"/>
            <w:shd w:val="clear" w:color="auto" w:fill="auto"/>
            <w:vAlign w:val="bottom"/>
            <w:hideMark/>
          </w:tcPr>
          <w:p w14:paraId="7C584888"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1 213 796</w:t>
            </w:r>
          </w:p>
        </w:tc>
        <w:tc>
          <w:tcPr>
            <w:tcW w:w="1063" w:type="dxa"/>
            <w:shd w:val="clear" w:color="auto" w:fill="auto"/>
            <w:vAlign w:val="bottom"/>
            <w:hideMark/>
          </w:tcPr>
          <w:p w14:paraId="61E3886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103 545</w:t>
            </w:r>
          </w:p>
        </w:tc>
        <w:tc>
          <w:tcPr>
            <w:tcW w:w="992" w:type="dxa"/>
            <w:shd w:val="clear" w:color="auto" w:fill="auto"/>
            <w:vAlign w:val="bottom"/>
            <w:hideMark/>
          </w:tcPr>
          <w:p w14:paraId="70F5106A"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1 317 341</w:t>
            </w:r>
          </w:p>
        </w:tc>
        <w:tc>
          <w:tcPr>
            <w:tcW w:w="1558" w:type="dxa"/>
            <w:shd w:val="clear" w:color="auto" w:fill="auto"/>
            <w:vAlign w:val="bottom"/>
            <w:hideMark/>
          </w:tcPr>
          <w:p w14:paraId="04839E69" w14:textId="77777777" w:rsidR="00EB5903" w:rsidRPr="00BE2E8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7,9 %</w:t>
            </w:r>
          </w:p>
        </w:tc>
      </w:tr>
    </w:tbl>
    <w:p w14:paraId="436C2367" w14:textId="77777777" w:rsidR="00EB5903" w:rsidRPr="008E4BE9" w:rsidRDefault="00EB5903" w:rsidP="00424836">
      <w:pPr>
        <w:pStyle w:val="SingleTxtG"/>
        <w:spacing w:before="120" w:after="240"/>
        <w:ind w:firstLine="170"/>
        <w:rPr>
          <w:sz w:val="18"/>
          <w:szCs w:val="18"/>
        </w:rPr>
      </w:pPr>
      <w:r w:rsidRPr="008E4BE9">
        <w:rPr>
          <w:i/>
          <w:sz w:val="18"/>
          <w:szCs w:val="18"/>
        </w:rPr>
        <w:t>Source </w:t>
      </w:r>
      <w:r w:rsidRPr="008E4BE9">
        <w:rPr>
          <w:sz w:val="18"/>
          <w:szCs w:val="18"/>
        </w:rPr>
        <w:t xml:space="preserve">: Enquête nationale continue par sondage auprès des ménages (PNAD </w:t>
      </w:r>
      <w:proofErr w:type="spellStart"/>
      <w:r w:rsidRPr="008E4BE9">
        <w:rPr>
          <w:sz w:val="18"/>
          <w:szCs w:val="18"/>
        </w:rPr>
        <w:t>Contínua</w:t>
      </w:r>
      <w:proofErr w:type="spellEnd"/>
      <w:r w:rsidRPr="008E4BE9">
        <w:rPr>
          <w:sz w:val="18"/>
          <w:szCs w:val="18"/>
        </w:rPr>
        <w:t>), 2022.</w:t>
      </w:r>
    </w:p>
    <w:p w14:paraId="26970235" w14:textId="77777777" w:rsidR="00EB5903" w:rsidRPr="00BE2E8F" w:rsidRDefault="00EB5903" w:rsidP="00EB5903">
      <w:pPr>
        <w:pStyle w:val="H1G"/>
      </w:pPr>
      <w:r>
        <w:tab/>
      </w:r>
      <w:r>
        <w:tab/>
        <w:t xml:space="preserve">Réponse au paragraphe 19 a) de la liste de points </w:t>
      </w:r>
    </w:p>
    <w:p w14:paraId="0A3C724A" w14:textId="77777777" w:rsidR="00EB5903" w:rsidRPr="00BE2E8F" w:rsidRDefault="00EB5903" w:rsidP="00EB5903">
      <w:pPr>
        <w:pStyle w:val="SingleTxtG"/>
      </w:pPr>
      <w:r>
        <w:t>116.</w:t>
      </w:r>
      <w:r>
        <w:tab/>
        <w:t xml:space="preserve">Selon les données du Registre national d’inspection des unités et des programmes </w:t>
      </w:r>
      <w:proofErr w:type="spellStart"/>
      <w:r>
        <w:t>socioéducatifs</w:t>
      </w:r>
      <w:proofErr w:type="spellEnd"/>
      <w:r>
        <w:t xml:space="preserve"> (CNIUPS, septembre-octobre 2024), un total de 11 016 adolescents sont accueillis dans des unités </w:t>
      </w:r>
      <w:proofErr w:type="spellStart"/>
      <w:r>
        <w:t>socioéducatives</w:t>
      </w:r>
      <w:proofErr w:type="spellEnd"/>
      <w:r>
        <w:t>, dont 70,7 % font l’objet de mesures de détention et 18,2 % sont en détention provisoire. Sur ce total, 95,5 % sont de sexe masculin, 74,2 % sont noirs ou métis, 25,1 % sont blancs et 0,4 % sont autochtones. La répartition par groupe d’âge est la suivante : 17 ans (34 %), 18 à 21 ans (25,6 %), 16 ans (22,8 %), 15 ans (11,8 %), 14 ans (4,3 %), 13 ans (1,3 %) et 12 ans (0,3 %) (CNIUPS/Conseil national de la justice, 2024).</w:t>
      </w:r>
    </w:p>
    <w:p w14:paraId="4BF93BDA" w14:textId="77777777" w:rsidR="00EB5903" w:rsidRPr="00BE2E8F" w:rsidRDefault="00EB5903" w:rsidP="00EB5903">
      <w:pPr>
        <w:pStyle w:val="H1G"/>
      </w:pPr>
      <w:r>
        <w:tab/>
      </w:r>
      <w:r>
        <w:tab/>
        <w:t xml:space="preserve">Réponse au paragraphe 19 b) de la liste de points </w:t>
      </w:r>
    </w:p>
    <w:p w14:paraId="3379F22A" w14:textId="18B6BFE1" w:rsidR="00EB5903" w:rsidRPr="00BE2E8F" w:rsidRDefault="00EB5903" w:rsidP="00EB5903">
      <w:pPr>
        <w:pStyle w:val="SingleTxtG"/>
      </w:pPr>
      <w:r>
        <w:t>117.</w:t>
      </w:r>
      <w:r>
        <w:tab/>
        <w:t xml:space="preserve">Au Brésil, les enfants et les adolescents ne sont pas emprisonnés ; cependant, les adolescents peuvent être soumis à des mesures de restriction des libertés, telles que la détention et la détention provisoire pour une période pouvant aller jusqu’à </w:t>
      </w:r>
      <w:r w:rsidR="004F4759">
        <w:t>quarante</w:t>
      </w:r>
      <w:r w:rsidR="008329F0">
        <w:noBreakHyphen/>
      </w:r>
      <w:r w:rsidR="004F4759">
        <w:t>cinq</w:t>
      </w:r>
      <w:r>
        <w:t> jours (art</w:t>
      </w:r>
      <w:r w:rsidR="004F4759">
        <w:t>.</w:t>
      </w:r>
      <w:r>
        <w:t xml:space="preserve"> 183 du Statut de l’enfant et de l’adolescent). L’Enquête nationale de 2023 sur les données du Système national de services </w:t>
      </w:r>
      <w:proofErr w:type="spellStart"/>
      <w:r>
        <w:t>socioéducatifs</w:t>
      </w:r>
      <w:proofErr w:type="spellEnd"/>
      <w:r>
        <w:t xml:space="preserve"> (SINASE) indique que 11 556 adolescents font l’objet de mesures de restriction et de privation de liberté. Sur</w:t>
      </w:r>
      <w:r w:rsidR="004F4759">
        <w:t> </w:t>
      </w:r>
      <w:r>
        <w:t>ce total, 75,1 % des garçons et 67 % des filles sont en détention ; 9,2 % des garçons et 11,3 % des filles sont en semi-liberté ; 1,9 % des garçons et 1,6 % des filles font l’objet d’une mesure d’internement sanction ; et 13,9 % des garçons et 19,5 % des filles sont en détention provisoire.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EB5903" w:rsidRPr="0013536F" w14:paraId="2EF9CF08" w14:textId="77777777" w:rsidTr="008B4897">
        <w:trPr>
          <w:tblHeader/>
        </w:trPr>
        <w:tc>
          <w:tcPr>
            <w:tcW w:w="2127" w:type="dxa"/>
            <w:tcBorders>
              <w:top w:val="single" w:sz="4" w:space="0" w:color="auto"/>
              <w:bottom w:val="single" w:sz="12" w:space="0" w:color="auto"/>
            </w:tcBorders>
            <w:shd w:val="clear" w:color="auto" w:fill="auto"/>
            <w:vAlign w:val="bottom"/>
            <w:hideMark/>
          </w:tcPr>
          <w:p w14:paraId="684BF22C" w14:textId="77777777" w:rsidR="00EB5903" w:rsidRPr="0013536F"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t>Lieu de résidence</w:t>
            </w:r>
          </w:p>
        </w:tc>
        <w:tc>
          <w:tcPr>
            <w:tcW w:w="873" w:type="dxa"/>
            <w:tcBorders>
              <w:top w:val="single" w:sz="4" w:space="0" w:color="auto"/>
              <w:bottom w:val="single" w:sz="12" w:space="0" w:color="auto"/>
            </w:tcBorders>
            <w:shd w:val="clear" w:color="auto" w:fill="auto"/>
            <w:vAlign w:val="bottom"/>
            <w:hideMark/>
          </w:tcPr>
          <w:p w14:paraId="449675AC" w14:textId="77777777" w:rsidR="00EB5903" w:rsidRPr="0013536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Filles (N)</w:t>
            </w:r>
          </w:p>
        </w:tc>
        <w:tc>
          <w:tcPr>
            <w:tcW w:w="874" w:type="dxa"/>
            <w:tcBorders>
              <w:top w:val="single" w:sz="4" w:space="0" w:color="auto"/>
              <w:bottom w:val="single" w:sz="12" w:space="0" w:color="auto"/>
            </w:tcBorders>
            <w:shd w:val="clear" w:color="auto" w:fill="auto"/>
            <w:vAlign w:val="bottom"/>
            <w:hideMark/>
          </w:tcPr>
          <w:p w14:paraId="5B2D32B5" w14:textId="77777777" w:rsidR="00EB5903" w:rsidRPr="0013536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Filles (%)</w:t>
            </w:r>
          </w:p>
        </w:tc>
        <w:tc>
          <w:tcPr>
            <w:tcW w:w="874" w:type="dxa"/>
            <w:tcBorders>
              <w:top w:val="single" w:sz="4" w:space="0" w:color="auto"/>
              <w:bottom w:val="single" w:sz="12" w:space="0" w:color="auto"/>
            </w:tcBorders>
            <w:shd w:val="clear" w:color="auto" w:fill="auto"/>
            <w:vAlign w:val="bottom"/>
            <w:hideMark/>
          </w:tcPr>
          <w:p w14:paraId="6FFF20D1" w14:textId="77777777" w:rsidR="00EB5903" w:rsidRPr="0013536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Garçons (N)</w:t>
            </w:r>
          </w:p>
        </w:tc>
        <w:tc>
          <w:tcPr>
            <w:tcW w:w="874" w:type="dxa"/>
            <w:tcBorders>
              <w:top w:val="single" w:sz="4" w:space="0" w:color="auto"/>
              <w:bottom w:val="single" w:sz="12" w:space="0" w:color="auto"/>
            </w:tcBorders>
            <w:shd w:val="clear" w:color="auto" w:fill="auto"/>
            <w:vAlign w:val="bottom"/>
            <w:hideMark/>
          </w:tcPr>
          <w:p w14:paraId="299AF4AD" w14:textId="77777777" w:rsidR="00EB5903" w:rsidRPr="0013536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Garçons (%)</w:t>
            </w:r>
          </w:p>
        </w:tc>
        <w:tc>
          <w:tcPr>
            <w:tcW w:w="874" w:type="dxa"/>
            <w:tcBorders>
              <w:top w:val="single" w:sz="4" w:space="0" w:color="auto"/>
              <w:bottom w:val="single" w:sz="12" w:space="0" w:color="auto"/>
            </w:tcBorders>
            <w:shd w:val="clear" w:color="auto" w:fill="auto"/>
            <w:vAlign w:val="bottom"/>
            <w:hideMark/>
          </w:tcPr>
          <w:p w14:paraId="38A96957" w14:textId="77777777" w:rsidR="00EB5903" w:rsidRPr="0013536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Total (N)</w:t>
            </w:r>
          </w:p>
        </w:tc>
        <w:tc>
          <w:tcPr>
            <w:tcW w:w="874" w:type="dxa"/>
            <w:tcBorders>
              <w:top w:val="single" w:sz="4" w:space="0" w:color="auto"/>
              <w:bottom w:val="single" w:sz="12" w:space="0" w:color="auto"/>
            </w:tcBorders>
            <w:shd w:val="clear" w:color="auto" w:fill="auto"/>
            <w:vAlign w:val="bottom"/>
            <w:hideMark/>
          </w:tcPr>
          <w:p w14:paraId="563AF5F0" w14:textId="77777777" w:rsidR="00EB5903" w:rsidRPr="0013536F" w:rsidRDefault="00EB5903" w:rsidP="008E4BE9">
            <w:pPr>
              <w:pStyle w:val="SingleTxtG"/>
              <w:tabs>
                <w:tab w:val="clear" w:pos="1701"/>
                <w:tab w:val="clear" w:pos="2268"/>
              </w:tabs>
              <w:suppressAutoHyphens w:val="0"/>
              <w:spacing w:before="80" w:after="80" w:line="200" w:lineRule="exact"/>
              <w:ind w:left="0" w:right="0"/>
              <w:jc w:val="right"/>
              <w:rPr>
                <w:i/>
                <w:sz w:val="16"/>
              </w:rPr>
            </w:pPr>
            <w:r>
              <w:rPr>
                <w:i/>
                <w:sz w:val="16"/>
              </w:rPr>
              <w:t>Total (%)</w:t>
            </w:r>
          </w:p>
        </w:tc>
      </w:tr>
      <w:tr w:rsidR="00EB5903" w:rsidRPr="0013536F" w14:paraId="5148DAEA" w14:textId="77777777" w:rsidTr="008B4897">
        <w:tc>
          <w:tcPr>
            <w:tcW w:w="2127" w:type="dxa"/>
            <w:tcBorders>
              <w:top w:val="single" w:sz="12" w:space="0" w:color="auto"/>
            </w:tcBorders>
            <w:shd w:val="clear" w:color="auto" w:fill="auto"/>
            <w:hideMark/>
          </w:tcPr>
          <w:p w14:paraId="40882D63" w14:textId="77777777" w:rsidR="00EB5903" w:rsidRPr="0013536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Zones rurales </w:t>
            </w:r>
          </w:p>
        </w:tc>
        <w:tc>
          <w:tcPr>
            <w:tcW w:w="873" w:type="dxa"/>
            <w:tcBorders>
              <w:top w:val="single" w:sz="12" w:space="0" w:color="auto"/>
            </w:tcBorders>
            <w:shd w:val="clear" w:color="auto" w:fill="auto"/>
            <w:vAlign w:val="bottom"/>
            <w:hideMark/>
          </w:tcPr>
          <w:p w14:paraId="434213BE"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w:t>
            </w:r>
          </w:p>
        </w:tc>
        <w:tc>
          <w:tcPr>
            <w:tcW w:w="874" w:type="dxa"/>
            <w:tcBorders>
              <w:top w:val="single" w:sz="12" w:space="0" w:color="auto"/>
            </w:tcBorders>
            <w:shd w:val="clear" w:color="auto" w:fill="auto"/>
            <w:vAlign w:val="bottom"/>
            <w:hideMark/>
          </w:tcPr>
          <w:p w14:paraId="58FC45A0"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2,4 %</w:t>
            </w:r>
          </w:p>
        </w:tc>
        <w:tc>
          <w:tcPr>
            <w:tcW w:w="874" w:type="dxa"/>
            <w:tcBorders>
              <w:top w:val="single" w:sz="12" w:space="0" w:color="auto"/>
            </w:tcBorders>
            <w:shd w:val="clear" w:color="auto" w:fill="auto"/>
            <w:vAlign w:val="bottom"/>
            <w:hideMark/>
          </w:tcPr>
          <w:p w14:paraId="6107F0A7"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375</w:t>
            </w:r>
          </w:p>
        </w:tc>
        <w:tc>
          <w:tcPr>
            <w:tcW w:w="874" w:type="dxa"/>
            <w:tcBorders>
              <w:top w:val="single" w:sz="12" w:space="0" w:color="auto"/>
            </w:tcBorders>
            <w:shd w:val="clear" w:color="auto" w:fill="auto"/>
            <w:vAlign w:val="bottom"/>
            <w:hideMark/>
          </w:tcPr>
          <w:p w14:paraId="08A8153B"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3,3 %</w:t>
            </w:r>
          </w:p>
        </w:tc>
        <w:tc>
          <w:tcPr>
            <w:tcW w:w="874" w:type="dxa"/>
            <w:tcBorders>
              <w:top w:val="single" w:sz="12" w:space="0" w:color="auto"/>
            </w:tcBorders>
            <w:shd w:val="clear" w:color="auto" w:fill="auto"/>
            <w:vAlign w:val="bottom"/>
            <w:hideMark/>
          </w:tcPr>
          <w:p w14:paraId="334334C1"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387</w:t>
            </w:r>
          </w:p>
        </w:tc>
        <w:tc>
          <w:tcPr>
            <w:tcW w:w="874" w:type="dxa"/>
            <w:tcBorders>
              <w:top w:val="single" w:sz="12" w:space="0" w:color="auto"/>
            </w:tcBorders>
            <w:shd w:val="clear" w:color="auto" w:fill="auto"/>
            <w:vAlign w:val="bottom"/>
            <w:hideMark/>
          </w:tcPr>
          <w:p w14:paraId="344B8C0F"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3,3 %</w:t>
            </w:r>
          </w:p>
        </w:tc>
      </w:tr>
      <w:tr w:rsidR="00EB5903" w:rsidRPr="0013536F" w14:paraId="0F8E2BEE" w14:textId="77777777" w:rsidTr="008B4897">
        <w:tc>
          <w:tcPr>
            <w:tcW w:w="2127" w:type="dxa"/>
            <w:shd w:val="clear" w:color="auto" w:fill="auto"/>
            <w:hideMark/>
          </w:tcPr>
          <w:p w14:paraId="73031713" w14:textId="38021C1D" w:rsidR="00EB5903" w:rsidRPr="0013536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 xml:space="preserve">Zone urbaine </w:t>
            </w:r>
            <w:r w:rsidR="008E4BE9">
              <w:rPr>
                <w:sz w:val="18"/>
              </w:rPr>
              <w:t>−</w:t>
            </w:r>
            <w:r>
              <w:rPr>
                <w:sz w:val="18"/>
              </w:rPr>
              <w:t xml:space="preserve"> Centre </w:t>
            </w:r>
          </w:p>
        </w:tc>
        <w:tc>
          <w:tcPr>
            <w:tcW w:w="873" w:type="dxa"/>
            <w:shd w:val="clear" w:color="auto" w:fill="auto"/>
            <w:vAlign w:val="bottom"/>
            <w:hideMark/>
          </w:tcPr>
          <w:p w14:paraId="58992C76"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129</w:t>
            </w:r>
          </w:p>
        </w:tc>
        <w:tc>
          <w:tcPr>
            <w:tcW w:w="874" w:type="dxa"/>
            <w:shd w:val="clear" w:color="auto" w:fill="auto"/>
            <w:vAlign w:val="bottom"/>
            <w:hideMark/>
          </w:tcPr>
          <w:p w14:paraId="074B8EC0"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25,4 %</w:t>
            </w:r>
          </w:p>
        </w:tc>
        <w:tc>
          <w:tcPr>
            <w:tcW w:w="874" w:type="dxa"/>
            <w:shd w:val="clear" w:color="auto" w:fill="auto"/>
            <w:vAlign w:val="bottom"/>
            <w:hideMark/>
          </w:tcPr>
          <w:p w14:paraId="78B01418"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3 432</w:t>
            </w:r>
          </w:p>
        </w:tc>
        <w:tc>
          <w:tcPr>
            <w:tcW w:w="874" w:type="dxa"/>
            <w:shd w:val="clear" w:color="auto" w:fill="auto"/>
            <w:vAlign w:val="bottom"/>
            <w:hideMark/>
          </w:tcPr>
          <w:p w14:paraId="15FFCD57"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30,3 %</w:t>
            </w:r>
          </w:p>
        </w:tc>
        <w:tc>
          <w:tcPr>
            <w:tcW w:w="874" w:type="dxa"/>
            <w:shd w:val="clear" w:color="auto" w:fill="auto"/>
            <w:vAlign w:val="bottom"/>
            <w:hideMark/>
          </w:tcPr>
          <w:p w14:paraId="11753662"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3 561</w:t>
            </w:r>
          </w:p>
        </w:tc>
        <w:tc>
          <w:tcPr>
            <w:tcW w:w="874" w:type="dxa"/>
            <w:shd w:val="clear" w:color="auto" w:fill="auto"/>
            <w:vAlign w:val="bottom"/>
            <w:hideMark/>
          </w:tcPr>
          <w:p w14:paraId="58B414C8"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30,1 %</w:t>
            </w:r>
          </w:p>
        </w:tc>
      </w:tr>
      <w:tr w:rsidR="00EB5903" w:rsidRPr="0013536F" w14:paraId="0451CC7A" w14:textId="77777777" w:rsidTr="008B4897">
        <w:tc>
          <w:tcPr>
            <w:tcW w:w="2127" w:type="dxa"/>
            <w:tcBorders>
              <w:bottom w:val="nil"/>
            </w:tcBorders>
            <w:shd w:val="clear" w:color="auto" w:fill="auto"/>
            <w:hideMark/>
          </w:tcPr>
          <w:p w14:paraId="5C37F2D2" w14:textId="29197994" w:rsidR="00EB5903" w:rsidRPr="0013536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 xml:space="preserve">Zone urbaine </w:t>
            </w:r>
            <w:r w:rsidR="004F4759">
              <w:rPr>
                <w:sz w:val="18"/>
              </w:rPr>
              <w:t>−</w:t>
            </w:r>
            <w:r>
              <w:rPr>
                <w:sz w:val="18"/>
              </w:rPr>
              <w:t xml:space="preserve"> Périphérie</w:t>
            </w:r>
          </w:p>
        </w:tc>
        <w:tc>
          <w:tcPr>
            <w:tcW w:w="873" w:type="dxa"/>
            <w:tcBorders>
              <w:bottom w:val="nil"/>
            </w:tcBorders>
            <w:shd w:val="clear" w:color="auto" w:fill="auto"/>
            <w:vAlign w:val="bottom"/>
            <w:hideMark/>
          </w:tcPr>
          <w:p w14:paraId="696B4651"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174</w:t>
            </w:r>
          </w:p>
        </w:tc>
        <w:tc>
          <w:tcPr>
            <w:tcW w:w="874" w:type="dxa"/>
            <w:tcBorders>
              <w:bottom w:val="nil"/>
            </w:tcBorders>
            <w:shd w:val="clear" w:color="auto" w:fill="auto"/>
            <w:vAlign w:val="bottom"/>
            <w:hideMark/>
          </w:tcPr>
          <w:p w14:paraId="53757E12"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34,3 %</w:t>
            </w:r>
          </w:p>
        </w:tc>
        <w:tc>
          <w:tcPr>
            <w:tcW w:w="874" w:type="dxa"/>
            <w:tcBorders>
              <w:bottom w:val="nil"/>
            </w:tcBorders>
            <w:shd w:val="clear" w:color="auto" w:fill="auto"/>
            <w:vAlign w:val="bottom"/>
            <w:hideMark/>
          </w:tcPr>
          <w:p w14:paraId="5D7260EA"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2 981</w:t>
            </w:r>
          </w:p>
        </w:tc>
        <w:tc>
          <w:tcPr>
            <w:tcW w:w="874" w:type="dxa"/>
            <w:tcBorders>
              <w:bottom w:val="nil"/>
            </w:tcBorders>
            <w:shd w:val="clear" w:color="auto" w:fill="auto"/>
            <w:vAlign w:val="bottom"/>
            <w:hideMark/>
          </w:tcPr>
          <w:p w14:paraId="07FCCBD3"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26,3 %</w:t>
            </w:r>
          </w:p>
        </w:tc>
        <w:tc>
          <w:tcPr>
            <w:tcW w:w="874" w:type="dxa"/>
            <w:tcBorders>
              <w:bottom w:val="nil"/>
            </w:tcBorders>
            <w:shd w:val="clear" w:color="auto" w:fill="auto"/>
            <w:vAlign w:val="bottom"/>
            <w:hideMark/>
          </w:tcPr>
          <w:p w14:paraId="082416D4"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3 155</w:t>
            </w:r>
          </w:p>
        </w:tc>
        <w:tc>
          <w:tcPr>
            <w:tcW w:w="874" w:type="dxa"/>
            <w:tcBorders>
              <w:bottom w:val="nil"/>
            </w:tcBorders>
            <w:shd w:val="clear" w:color="auto" w:fill="auto"/>
            <w:vAlign w:val="bottom"/>
            <w:hideMark/>
          </w:tcPr>
          <w:p w14:paraId="6B8C66D4"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26,7 %</w:t>
            </w:r>
          </w:p>
        </w:tc>
      </w:tr>
      <w:tr w:rsidR="00EB5903" w:rsidRPr="0013536F" w14:paraId="2096BDD7" w14:textId="77777777" w:rsidTr="008B4897">
        <w:tc>
          <w:tcPr>
            <w:tcW w:w="2127" w:type="dxa"/>
            <w:tcBorders>
              <w:top w:val="nil"/>
              <w:bottom w:val="nil"/>
            </w:tcBorders>
            <w:shd w:val="clear" w:color="auto" w:fill="auto"/>
            <w:hideMark/>
          </w:tcPr>
          <w:p w14:paraId="511E28BB" w14:textId="77777777" w:rsidR="00EB5903" w:rsidRPr="0013536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Sans domicile </w:t>
            </w:r>
          </w:p>
        </w:tc>
        <w:tc>
          <w:tcPr>
            <w:tcW w:w="873" w:type="dxa"/>
            <w:tcBorders>
              <w:top w:val="nil"/>
              <w:bottom w:val="nil"/>
            </w:tcBorders>
            <w:shd w:val="clear" w:color="auto" w:fill="auto"/>
            <w:vAlign w:val="bottom"/>
            <w:hideMark/>
          </w:tcPr>
          <w:p w14:paraId="0D0D618F"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w:t>
            </w:r>
          </w:p>
        </w:tc>
        <w:tc>
          <w:tcPr>
            <w:tcW w:w="874" w:type="dxa"/>
            <w:tcBorders>
              <w:top w:val="nil"/>
              <w:bottom w:val="nil"/>
            </w:tcBorders>
            <w:shd w:val="clear" w:color="auto" w:fill="auto"/>
            <w:vAlign w:val="bottom"/>
            <w:hideMark/>
          </w:tcPr>
          <w:p w14:paraId="55645356"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0,2 %</w:t>
            </w:r>
          </w:p>
        </w:tc>
        <w:tc>
          <w:tcPr>
            <w:tcW w:w="874" w:type="dxa"/>
            <w:tcBorders>
              <w:top w:val="nil"/>
              <w:bottom w:val="nil"/>
            </w:tcBorders>
            <w:shd w:val="clear" w:color="auto" w:fill="auto"/>
            <w:vAlign w:val="bottom"/>
            <w:hideMark/>
          </w:tcPr>
          <w:p w14:paraId="04DDE06A"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20</w:t>
            </w:r>
          </w:p>
        </w:tc>
        <w:tc>
          <w:tcPr>
            <w:tcW w:w="874" w:type="dxa"/>
            <w:tcBorders>
              <w:top w:val="nil"/>
              <w:bottom w:val="nil"/>
            </w:tcBorders>
            <w:shd w:val="clear" w:color="auto" w:fill="auto"/>
            <w:vAlign w:val="bottom"/>
            <w:hideMark/>
          </w:tcPr>
          <w:p w14:paraId="4EF6F1A3"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0,2 %</w:t>
            </w:r>
          </w:p>
        </w:tc>
        <w:tc>
          <w:tcPr>
            <w:tcW w:w="874" w:type="dxa"/>
            <w:tcBorders>
              <w:top w:val="nil"/>
              <w:bottom w:val="nil"/>
            </w:tcBorders>
            <w:shd w:val="clear" w:color="auto" w:fill="auto"/>
            <w:vAlign w:val="bottom"/>
            <w:hideMark/>
          </w:tcPr>
          <w:p w14:paraId="72A0DDB8"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21</w:t>
            </w:r>
          </w:p>
        </w:tc>
        <w:tc>
          <w:tcPr>
            <w:tcW w:w="874" w:type="dxa"/>
            <w:tcBorders>
              <w:top w:val="nil"/>
              <w:bottom w:val="nil"/>
            </w:tcBorders>
            <w:shd w:val="clear" w:color="auto" w:fill="auto"/>
            <w:vAlign w:val="bottom"/>
            <w:hideMark/>
          </w:tcPr>
          <w:p w14:paraId="2066BE14"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0,2 %</w:t>
            </w:r>
          </w:p>
        </w:tc>
      </w:tr>
      <w:tr w:rsidR="00EB5903" w:rsidRPr="0013536F" w14:paraId="4D704E2B" w14:textId="77777777" w:rsidTr="008B4897">
        <w:tc>
          <w:tcPr>
            <w:tcW w:w="2127" w:type="dxa"/>
            <w:tcBorders>
              <w:top w:val="nil"/>
            </w:tcBorders>
            <w:shd w:val="clear" w:color="auto" w:fill="auto"/>
            <w:hideMark/>
          </w:tcPr>
          <w:p w14:paraId="51FD99E6" w14:textId="77777777" w:rsidR="00EB5903" w:rsidRPr="0013536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Autre région (capitale) </w:t>
            </w:r>
          </w:p>
        </w:tc>
        <w:tc>
          <w:tcPr>
            <w:tcW w:w="873" w:type="dxa"/>
            <w:tcBorders>
              <w:top w:val="nil"/>
            </w:tcBorders>
            <w:shd w:val="clear" w:color="auto" w:fill="auto"/>
            <w:vAlign w:val="bottom"/>
            <w:hideMark/>
          </w:tcPr>
          <w:p w14:paraId="0906009F"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5</w:t>
            </w:r>
          </w:p>
        </w:tc>
        <w:tc>
          <w:tcPr>
            <w:tcW w:w="874" w:type="dxa"/>
            <w:tcBorders>
              <w:top w:val="nil"/>
            </w:tcBorders>
            <w:shd w:val="clear" w:color="auto" w:fill="auto"/>
            <w:vAlign w:val="bottom"/>
            <w:hideMark/>
          </w:tcPr>
          <w:p w14:paraId="46529519"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1,0 %</w:t>
            </w:r>
          </w:p>
        </w:tc>
        <w:tc>
          <w:tcPr>
            <w:tcW w:w="874" w:type="dxa"/>
            <w:tcBorders>
              <w:top w:val="nil"/>
            </w:tcBorders>
            <w:shd w:val="clear" w:color="auto" w:fill="auto"/>
            <w:vAlign w:val="bottom"/>
            <w:hideMark/>
          </w:tcPr>
          <w:p w14:paraId="692EC8E8"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61</w:t>
            </w:r>
          </w:p>
        </w:tc>
        <w:tc>
          <w:tcPr>
            <w:tcW w:w="874" w:type="dxa"/>
            <w:tcBorders>
              <w:top w:val="nil"/>
            </w:tcBorders>
            <w:shd w:val="clear" w:color="auto" w:fill="auto"/>
            <w:vAlign w:val="bottom"/>
            <w:hideMark/>
          </w:tcPr>
          <w:p w14:paraId="42DE4A8B"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0,5 %</w:t>
            </w:r>
          </w:p>
        </w:tc>
        <w:tc>
          <w:tcPr>
            <w:tcW w:w="874" w:type="dxa"/>
            <w:tcBorders>
              <w:top w:val="nil"/>
            </w:tcBorders>
            <w:shd w:val="clear" w:color="auto" w:fill="auto"/>
            <w:vAlign w:val="bottom"/>
            <w:hideMark/>
          </w:tcPr>
          <w:p w14:paraId="64DE7D4D"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66</w:t>
            </w:r>
          </w:p>
        </w:tc>
        <w:tc>
          <w:tcPr>
            <w:tcW w:w="874" w:type="dxa"/>
            <w:tcBorders>
              <w:top w:val="nil"/>
            </w:tcBorders>
            <w:shd w:val="clear" w:color="auto" w:fill="auto"/>
            <w:vAlign w:val="bottom"/>
            <w:hideMark/>
          </w:tcPr>
          <w:p w14:paraId="4679E5C3"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0,6 %</w:t>
            </w:r>
          </w:p>
        </w:tc>
      </w:tr>
      <w:tr w:rsidR="00EB5903" w:rsidRPr="0013536F" w14:paraId="470BD08D" w14:textId="77777777" w:rsidTr="008B4897">
        <w:tc>
          <w:tcPr>
            <w:tcW w:w="2127" w:type="dxa"/>
            <w:shd w:val="clear" w:color="auto" w:fill="auto"/>
            <w:hideMark/>
          </w:tcPr>
          <w:p w14:paraId="6873A9C6" w14:textId="77777777" w:rsidR="00EB5903" w:rsidRPr="0013536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Autre région (campagne)</w:t>
            </w:r>
          </w:p>
        </w:tc>
        <w:tc>
          <w:tcPr>
            <w:tcW w:w="873" w:type="dxa"/>
            <w:shd w:val="clear" w:color="auto" w:fill="auto"/>
            <w:vAlign w:val="bottom"/>
            <w:hideMark/>
          </w:tcPr>
          <w:p w14:paraId="38450F2F"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w:t>
            </w:r>
          </w:p>
        </w:tc>
        <w:tc>
          <w:tcPr>
            <w:tcW w:w="874" w:type="dxa"/>
            <w:shd w:val="clear" w:color="auto" w:fill="auto"/>
            <w:vAlign w:val="bottom"/>
            <w:hideMark/>
          </w:tcPr>
          <w:p w14:paraId="4C645A63"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0,4 %</w:t>
            </w:r>
          </w:p>
        </w:tc>
        <w:tc>
          <w:tcPr>
            <w:tcW w:w="874" w:type="dxa"/>
            <w:shd w:val="clear" w:color="auto" w:fill="auto"/>
            <w:vAlign w:val="bottom"/>
            <w:hideMark/>
          </w:tcPr>
          <w:p w14:paraId="40EC596A"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320</w:t>
            </w:r>
          </w:p>
        </w:tc>
        <w:tc>
          <w:tcPr>
            <w:tcW w:w="874" w:type="dxa"/>
            <w:shd w:val="clear" w:color="auto" w:fill="auto"/>
            <w:vAlign w:val="bottom"/>
            <w:hideMark/>
          </w:tcPr>
          <w:p w14:paraId="462EFBFE"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2,8 %</w:t>
            </w:r>
          </w:p>
        </w:tc>
        <w:tc>
          <w:tcPr>
            <w:tcW w:w="874" w:type="dxa"/>
            <w:shd w:val="clear" w:color="auto" w:fill="auto"/>
            <w:vAlign w:val="bottom"/>
            <w:hideMark/>
          </w:tcPr>
          <w:p w14:paraId="138619DD"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322</w:t>
            </w:r>
          </w:p>
        </w:tc>
        <w:tc>
          <w:tcPr>
            <w:tcW w:w="874" w:type="dxa"/>
            <w:shd w:val="clear" w:color="auto" w:fill="auto"/>
            <w:vAlign w:val="bottom"/>
            <w:hideMark/>
          </w:tcPr>
          <w:p w14:paraId="1A9AFDEB"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2,7 %</w:t>
            </w:r>
          </w:p>
        </w:tc>
      </w:tr>
      <w:tr w:rsidR="00EB5903" w:rsidRPr="0013536F" w14:paraId="31434C72" w14:textId="77777777" w:rsidTr="008B4897">
        <w:tc>
          <w:tcPr>
            <w:tcW w:w="2127" w:type="dxa"/>
            <w:tcBorders>
              <w:bottom w:val="single" w:sz="4" w:space="0" w:color="auto"/>
            </w:tcBorders>
            <w:shd w:val="clear" w:color="auto" w:fill="auto"/>
            <w:hideMark/>
          </w:tcPr>
          <w:p w14:paraId="2B4C8332" w14:textId="77777777" w:rsidR="00EB5903" w:rsidRPr="0013536F"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Pas d’informations</w:t>
            </w:r>
          </w:p>
        </w:tc>
        <w:tc>
          <w:tcPr>
            <w:tcW w:w="873" w:type="dxa"/>
            <w:tcBorders>
              <w:bottom w:val="single" w:sz="4" w:space="0" w:color="auto"/>
            </w:tcBorders>
            <w:shd w:val="clear" w:color="auto" w:fill="auto"/>
            <w:vAlign w:val="bottom"/>
            <w:hideMark/>
          </w:tcPr>
          <w:p w14:paraId="3151E411"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184</w:t>
            </w:r>
          </w:p>
        </w:tc>
        <w:tc>
          <w:tcPr>
            <w:tcW w:w="874" w:type="dxa"/>
            <w:tcBorders>
              <w:bottom w:val="single" w:sz="4" w:space="0" w:color="auto"/>
            </w:tcBorders>
            <w:shd w:val="clear" w:color="auto" w:fill="auto"/>
            <w:vAlign w:val="bottom"/>
            <w:hideMark/>
          </w:tcPr>
          <w:p w14:paraId="2DA71DEB"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36,3 %</w:t>
            </w:r>
          </w:p>
        </w:tc>
        <w:tc>
          <w:tcPr>
            <w:tcW w:w="874" w:type="dxa"/>
            <w:tcBorders>
              <w:bottom w:val="single" w:sz="4" w:space="0" w:color="auto"/>
            </w:tcBorders>
            <w:shd w:val="clear" w:color="auto" w:fill="auto"/>
            <w:vAlign w:val="bottom"/>
            <w:hideMark/>
          </w:tcPr>
          <w:p w14:paraId="7F338D9E"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4 125</w:t>
            </w:r>
          </w:p>
        </w:tc>
        <w:tc>
          <w:tcPr>
            <w:tcW w:w="874" w:type="dxa"/>
            <w:tcBorders>
              <w:bottom w:val="single" w:sz="4" w:space="0" w:color="auto"/>
            </w:tcBorders>
            <w:shd w:val="clear" w:color="auto" w:fill="auto"/>
            <w:vAlign w:val="bottom"/>
            <w:hideMark/>
          </w:tcPr>
          <w:p w14:paraId="77CCF103"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36,5 %</w:t>
            </w:r>
          </w:p>
        </w:tc>
        <w:tc>
          <w:tcPr>
            <w:tcW w:w="874" w:type="dxa"/>
            <w:tcBorders>
              <w:bottom w:val="single" w:sz="4" w:space="0" w:color="auto"/>
            </w:tcBorders>
            <w:shd w:val="clear" w:color="auto" w:fill="auto"/>
            <w:vAlign w:val="bottom"/>
            <w:hideMark/>
          </w:tcPr>
          <w:p w14:paraId="0C4701CB"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4 309</w:t>
            </w:r>
          </w:p>
        </w:tc>
        <w:tc>
          <w:tcPr>
            <w:tcW w:w="874" w:type="dxa"/>
            <w:tcBorders>
              <w:bottom w:val="single" w:sz="4" w:space="0" w:color="auto"/>
            </w:tcBorders>
            <w:shd w:val="clear" w:color="auto" w:fill="auto"/>
            <w:vAlign w:val="bottom"/>
            <w:hideMark/>
          </w:tcPr>
          <w:p w14:paraId="1B1C8C69" w14:textId="77777777" w:rsidR="00EB5903" w:rsidRPr="0013536F" w:rsidRDefault="00EB5903" w:rsidP="008E4BE9">
            <w:pPr>
              <w:pStyle w:val="SingleTxtG"/>
              <w:tabs>
                <w:tab w:val="clear" w:pos="1701"/>
                <w:tab w:val="clear" w:pos="2268"/>
              </w:tabs>
              <w:suppressAutoHyphens w:val="0"/>
              <w:spacing w:before="40" w:after="40" w:line="220" w:lineRule="exact"/>
              <w:ind w:left="0" w:right="0"/>
              <w:jc w:val="right"/>
              <w:rPr>
                <w:sz w:val="18"/>
              </w:rPr>
            </w:pPr>
            <w:r>
              <w:rPr>
                <w:sz w:val="18"/>
              </w:rPr>
              <w:t>36,5 %</w:t>
            </w:r>
          </w:p>
        </w:tc>
      </w:tr>
      <w:tr w:rsidR="00EB5903" w:rsidRPr="00BE64D1" w14:paraId="4F113291" w14:textId="77777777" w:rsidTr="008B4897">
        <w:tc>
          <w:tcPr>
            <w:tcW w:w="2127" w:type="dxa"/>
            <w:tcBorders>
              <w:top w:val="single" w:sz="4" w:space="0" w:color="auto"/>
              <w:bottom w:val="single" w:sz="12" w:space="0" w:color="auto"/>
            </w:tcBorders>
            <w:shd w:val="clear" w:color="auto" w:fill="auto"/>
            <w:hideMark/>
          </w:tcPr>
          <w:p w14:paraId="7DD88302" w14:textId="77777777" w:rsidR="00EB5903" w:rsidRPr="00BE64D1" w:rsidRDefault="00EB5903" w:rsidP="008B4897">
            <w:pPr>
              <w:pStyle w:val="SingleTxtG"/>
              <w:tabs>
                <w:tab w:val="clear" w:pos="1701"/>
                <w:tab w:val="clear" w:pos="2268"/>
              </w:tabs>
              <w:suppressAutoHyphens w:val="0"/>
              <w:spacing w:before="80" w:after="80" w:line="220" w:lineRule="exact"/>
              <w:ind w:left="284" w:right="113"/>
              <w:jc w:val="left"/>
              <w:rPr>
                <w:b/>
                <w:bCs/>
                <w:sz w:val="18"/>
              </w:rPr>
            </w:pPr>
            <w:r>
              <w:rPr>
                <w:b/>
                <w:sz w:val="18"/>
              </w:rPr>
              <w:t>Total</w:t>
            </w:r>
          </w:p>
        </w:tc>
        <w:tc>
          <w:tcPr>
            <w:tcW w:w="873" w:type="dxa"/>
            <w:tcBorders>
              <w:top w:val="single" w:sz="4" w:space="0" w:color="auto"/>
              <w:bottom w:val="single" w:sz="12" w:space="0" w:color="auto"/>
            </w:tcBorders>
            <w:shd w:val="clear" w:color="auto" w:fill="auto"/>
            <w:vAlign w:val="bottom"/>
            <w:hideMark/>
          </w:tcPr>
          <w:p w14:paraId="7626DC82" w14:textId="77777777" w:rsidR="00EB5903" w:rsidRPr="00BE64D1" w:rsidRDefault="00EB5903" w:rsidP="008E4BE9">
            <w:pPr>
              <w:pStyle w:val="SingleTxtG"/>
              <w:tabs>
                <w:tab w:val="clear" w:pos="1701"/>
                <w:tab w:val="clear" w:pos="2268"/>
              </w:tabs>
              <w:suppressAutoHyphens w:val="0"/>
              <w:spacing w:before="80" w:after="80" w:line="220" w:lineRule="exact"/>
              <w:ind w:left="0" w:right="0"/>
              <w:jc w:val="right"/>
              <w:rPr>
                <w:b/>
                <w:bCs/>
                <w:sz w:val="18"/>
              </w:rPr>
            </w:pPr>
            <w:r>
              <w:rPr>
                <w:b/>
                <w:sz w:val="18"/>
              </w:rPr>
              <w:t>507</w:t>
            </w:r>
          </w:p>
        </w:tc>
        <w:tc>
          <w:tcPr>
            <w:tcW w:w="874" w:type="dxa"/>
            <w:tcBorders>
              <w:top w:val="single" w:sz="4" w:space="0" w:color="auto"/>
              <w:bottom w:val="single" w:sz="12" w:space="0" w:color="auto"/>
            </w:tcBorders>
            <w:shd w:val="clear" w:color="auto" w:fill="auto"/>
            <w:vAlign w:val="bottom"/>
            <w:hideMark/>
          </w:tcPr>
          <w:p w14:paraId="4BE65FF0" w14:textId="77777777" w:rsidR="00EB5903" w:rsidRPr="00BE64D1" w:rsidRDefault="00EB5903" w:rsidP="008E4BE9">
            <w:pPr>
              <w:pStyle w:val="SingleTxtG"/>
              <w:tabs>
                <w:tab w:val="clear" w:pos="1701"/>
                <w:tab w:val="clear" w:pos="2268"/>
              </w:tabs>
              <w:suppressAutoHyphens w:val="0"/>
              <w:spacing w:before="80" w:after="80" w:line="220" w:lineRule="exact"/>
              <w:ind w:left="0" w:right="0"/>
              <w:jc w:val="right"/>
              <w:rPr>
                <w:b/>
                <w:bCs/>
                <w:sz w:val="18"/>
              </w:rPr>
            </w:pPr>
            <w:r>
              <w:rPr>
                <w:b/>
                <w:sz w:val="18"/>
              </w:rPr>
              <w:t>100,0 %</w:t>
            </w:r>
          </w:p>
        </w:tc>
        <w:tc>
          <w:tcPr>
            <w:tcW w:w="874" w:type="dxa"/>
            <w:tcBorders>
              <w:top w:val="single" w:sz="4" w:space="0" w:color="auto"/>
              <w:bottom w:val="single" w:sz="12" w:space="0" w:color="auto"/>
            </w:tcBorders>
            <w:shd w:val="clear" w:color="auto" w:fill="auto"/>
            <w:vAlign w:val="bottom"/>
            <w:hideMark/>
          </w:tcPr>
          <w:p w14:paraId="5FFB45A3" w14:textId="77777777" w:rsidR="00EB5903" w:rsidRPr="00BE64D1" w:rsidRDefault="00EB5903" w:rsidP="008E4BE9">
            <w:pPr>
              <w:pStyle w:val="SingleTxtG"/>
              <w:tabs>
                <w:tab w:val="clear" w:pos="1701"/>
                <w:tab w:val="clear" w:pos="2268"/>
              </w:tabs>
              <w:suppressAutoHyphens w:val="0"/>
              <w:spacing w:before="80" w:after="80" w:line="220" w:lineRule="exact"/>
              <w:ind w:left="0" w:right="0"/>
              <w:jc w:val="right"/>
              <w:rPr>
                <w:b/>
                <w:bCs/>
                <w:sz w:val="18"/>
              </w:rPr>
            </w:pPr>
            <w:r>
              <w:rPr>
                <w:b/>
                <w:sz w:val="18"/>
              </w:rPr>
              <w:t>11 314</w:t>
            </w:r>
          </w:p>
        </w:tc>
        <w:tc>
          <w:tcPr>
            <w:tcW w:w="874" w:type="dxa"/>
            <w:tcBorders>
              <w:top w:val="single" w:sz="4" w:space="0" w:color="auto"/>
              <w:bottom w:val="single" w:sz="12" w:space="0" w:color="auto"/>
            </w:tcBorders>
            <w:shd w:val="clear" w:color="auto" w:fill="auto"/>
            <w:vAlign w:val="bottom"/>
            <w:hideMark/>
          </w:tcPr>
          <w:p w14:paraId="45AB7B0C" w14:textId="77777777" w:rsidR="00EB5903" w:rsidRPr="00BE64D1" w:rsidRDefault="00EB5903" w:rsidP="008E4BE9">
            <w:pPr>
              <w:pStyle w:val="SingleTxtG"/>
              <w:tabs>
                <w:tab w:val="clear" w:pos="1701"/>
                <w:tab w:val="clear" w:pos="2268"/>
              </w:tabs>
              <w:suppressAutoHyphens w:val="0"/>
              <w:spacing w:before="80" w:after="80" w:line="220" w:lineRule="exact"/>
              <w:ind w:left="0" w:right="0"/>
              <w:jc w:val="right"/>
              <w:rPr>
                <w:b/>
                <w:bCs/>
                <w:sz w:val="18"/>
              </w:rPr>
            </w:pPr>
            <w:r>
              <w:rPr>
                <w:b/>
                <w:sz w:val="18"/>
              </w:rPr>
              <w:t>100,0 %</w:t>
            </w:r>
          </w:p>
        </w:tc>
        <w:tc>
          <w:tcPr>
            <w:tcW w:w="874" w:type="dxa"/>
            <w:tcBorders>
              <w:top w:val="single" w:sz="4" w:space="0" w:color="auto"/>
              <w:bottom w:val="single" w:sz="12" w:space="0" w:color="auto"/>
            </w:tcBorders>
            <w:shd w:val="clear" w:color="auto" w:fill="auto"/>
            <w:vAlign w:val="bottom"/>
            <w:hideMark/>
          </w:tcPr>
          <w:p w14:paraId="5E9C465C" w14:textId="77777777" w:rsidR="00EB5903" w:rsidRPr="00BE64D1" w:rsidRDefault="00EB5903" w:rsidP="008E4BE9">
            <w:pPr>
              <w:pStyle w:val="SingleTxtG"/>
              <w:tabs>
                <w:tab w:val="clear" w:pos="1701"/>
                <w:tab w:val="clear" w:pos="2268"/>
              </w:tabs>
              <w:suppressAutoHyphens w:val="0"/>
              <w:spacing w:before="80" w:after="80" w:line="220" w:lineRule="exact"/>
              <w:ind w:left="0" w:right="0"/>
              <w:jc w:val="right"/>
              <w:rPr>
                <w:b/>
                <w:bCs/>
                <w:sz w:val="18"/>
              </w:rPr>
            </w:pPr>
            <w:r>
              <w:rPr>
                <w:b/>
                <w:sz w:val="18"/>
              </w:rPr>
              <w:t>11 821</w:t>
            </w:r>
          </w:p>
        </w:tc>
        <w:tc>
          <w:tcPr>
            <w:tcW w:w="874" w:type="dxa"/>
            <w:tcBorders>
              <w:top w:val="single" w:sz="4" w:space="0" w:color="auto"/>
              <w:bottom w:val="single" w:sz="12" w:space="0" w:color="auto"/>
            </w:tcBorders>
            <w:shd w:val="clear" w:color="auto" w:fill="auto"/>
            <w:vAlign w:val="bottom"/>
            <w:hideMark/>
          </w:tcPr>
          <w:p w14:paraId="2C4430CF" w14:textId="77777777" w:rsidR="00EB5903" w:rsidRPr="00BE64D1" w:rsidRDefault="00EB5903" w:rsidP="008E4BE9">
            <w:pPr>
              <w:pStyle w:val="SingleTxtG"/>
              <w:tabs>
                <w:tab w:val="clear" w:pos="1701"/>
                <w:tab w:val="clear" w:pos="2268"/>
              </w:tabs>
              <w:suppressAutoHyphens w:val="0"/>
              <w:spacing w:before="80" w:after="80" w:line="220" w:lineRule="exact"/>
              <w:ind w:left="0" w:right="0"/>
              <w:jc w:val="right"/>
              <w:rPr>
                <w:b/>
                <w:bCs/>
                <w:sz w:val="18"/>
              </w:rPr>
            </w:pPr>
            <w:r>
              <w:rPr>
                <w:b/>
                <w:sz w:val="18"/>
              </w:rPr>
              <w:t>100,0 %</w:t>
            </w:r>
          </w:p>
        </w:tc>
      </w:tr>
    </w:tbl>
    <w:p w14:paraId="61CDB572" w14:textId="277EC88D" w:rsidR="00EB5903" w:rsidRPr="00BE64D1" w:rsidRDefault="00EB5903" w:rsidP="00424836">
      <w:pPr>
        <w:pStyle w:val="SingleTxtG"/>
        <w:spacing w:before="120" w:after="240"/>
        <w:ind w:firstLine="170"/>
        <w:rPr>
          <w:sz w:val="18"/>
        </w:rPr>
      </w:pPr>
      <w:r>
        <w:rPr>
          <w:i/>
          <w:sz w:val="18"/>
        </w:rPr>
        <w:t>Source </w:t>
      </w:r>
      <w:r>
        <w:rPr>
          <w:sz w:val="18"/>
        </w:rPr>
        <w:t xml:space="preserve">: Données de l’enquête nationale du Système national de services </w:t>
      </w:r>
      <w:proofErr w:type="spellStart"/>
      <w:r>
        <w:rPr>
          <w:sz w:val="18"/>
        </w:rPr>
        <w:t>socioéducatifs</w:t>
      </w:r>
      <w:proofErr w:type="spellEnd"/>
      <w:r>
        <w:rPr>
          <w:sz w:val="18"/>
        </w:rPr>
        <w:t xml:space="preserve"> (SINASE), 2023</w:t>
      </w:r>
      <w:r w:rsidR="008E4BE9">
        <w:rPr>
          <w:sz w:val="18"/>
        </w:rPr>
        <w:t>.</w:t>
      </w:r>
    </w:p>
    <w:p w14:paraId="2BB6CF46" w14:textId="77777777" w:rsidR="00EB5903" w:rsidRPr="00BE2E8F" w:rsidRDefault="00EB5903" w:rsidP="00EB5903">
      <w:pPr>
        <w:pStyle w:val="SingleTxtG"/>
      </w:pPr>
      <w:r>
        <w:t>118.</w:t>
      </w:r>
      <w:r>
        <w:tab/>
        <w:t>Le Registre annuel brésilien de sécurité publique pour 2023 indique une diminution du nombre d’adolescents placés dans des établissements fermés, qui est passé de 24 510 en 2018 à 12 154 en 2022. Les causes de cette réduction sont encore à l’étude.</w:t>
      </w:r>
    </w:p>
    <w:p w14:paraId="1F3A89BF" w14:textId="77777777" w:rsidR="00EB5903" w:rsidRPr="00BE2E8F" w:rsidRDefault="00EB5903" w:rsidP="00EB5903">
      <w:pPr>
        <w:pStyle w:val="H1G"/>
      </w:pPr>
      <w:r>
        <w:tab/>
      </w:r>
      <w:r>
        <w:tab/>
        <w:t xml:space="preserve">Réponse au paragraphe 19 c) de la liste de points </w:t>
      </w:r>
    </w:p>
    <w:p w14:paraId="23C32BA5" w14:textId="77777777" w:rsidR="00EB5903" w:rsidRPr="00BE2E8F" w:rsidRDefault="00EB5903" w:rsidP="00EB5903">
      <w:pPr>
        <w:pStyle w:val="SingleTxtG"/>
        <w:spacing w:after="240"/>
      </w:pPr>
      <w:r>
        <w:t>119.</w:t>
      </w:r>
      <w:r>
        <w:tab/>
        <w:t xml:space="preserve">Nombre de personnes bénéficiant de services de protection sociale pour les adolescents conformément aux mesures </w:t>
      </w:r>
      <w:proofErr w:type="spellStart"/>
      <w:r>
        <w:t>socioéducatives</w:t>
      </w:r>
      <w:proofErr w:type="spellEnd"/>
      <w:r>
        <w:t xml:space="preserve"> de liberté assistée et de travail d’intérêt général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75"/>
        <w:gridCol w:w="1851"/>
        <w:gridCol w:w="1851"/>
        <w:gridCol w:w="1893"/>
      </w:tblGrid>
      <w:tr w:rsidR="00EB5903" w:rsidRPr="00BE64D1" w14:paraId="3D2A57E7" w14:textId="77777777" w:rsidTr="008B4897">
        <w:trPr>
          <w:tblHeader/>
        </w:trPr>
        <w:tc>
          <w:tcPr>
            <w:tcW w:w="1775" w:type="dxa"/>
            <w:tcBorders>
              <w:top w:val="single" w:sz="4" w:space="0" w:color="auto"/>
              <w:bottom w:val="single" w:sz="12" w:space="0" w:color="auto"/>
            </w:tcBorders>
            <w:shd w:val="clear" w:color="auto" w:fill="auto"/>
            <w:vAlign w:val="bottom"/>
            <w:hideMark/>
          </w:tcPr>
          <w:p w14:paraId="116E28D1" w14:textId="77777777" w:rsidR="00EB5903" w:rsidRPr="00BE64D1" w:rsidRDefault="00EB5903" w:rsidP="008B4897">
            <w:pPr>
              <w:pStyle w:val="SingleTxtG"/>
              <w:tabs>
                <w:tab w:val="clear" w:pos="1701"/>
                <w:tab w:val="clear" w:pos="2268"/>
              </w:tabs>
              <w:suppressAutoHyphens w:val="0"/>
              <w:spacing w:before="80" w:after="80" w:line="200" w:lineRule="exact"/>
              <w:ind w:left="0" w:right="113"/>
              <w:jc w:val="left"/>
              <w:rPr>
                <w:i/>
                <w:sz w:val="16"/>
              </w:rPr>
            </w:pPr>
            <w:r>
              <w:rPr>
                <w:i/>
                <w:sz w:val="16"/>
              </w:rPr>
              <w:lastRenderedPageBreak/>
              <w:t>Année </w:t>
            </w:r>
          </w:p>
        </w:tc>
        <w:tc>
          <w:tcPr>
            <w:tcW w:w="1851" w:type="dxa"/>
            <w:tcBorders>
              <w:top w:val="single" w:sz="4" w:space="0" w:color="auto"/>
              <w:bottom w:val="single" w:sz="12" w:space="0" w:color="auto"/>
            </w:tcBorders>
            <w:shd w:val="clear" w:color="auto" w:fill="auto"/>
            <w:vAlign w:val="bottom"/>
            <w:hideMark/>
          </w:tcPr>
          <w:p w14:paraId="4A20A587" w14:textId="77777777" w:rsidR="00EB5903" w:rsidRPr="00BE64D1" w:rsidRDefault="00EB5903" w:rsidP="00424836">
            <w:pPr>
              <w:pStyle w:val="SingleTxtG"/>
              <w:tabs>
                <w:tab w:val="clear" w:pos="1701"/>
                <w:tab w:val="clear" w:pos="2268"/>
              </w:tabs>
              <w:suppressAutoHyphens w:val="0"/>
              <w:spacing w:before="80" w:after="80" w:line="200" w:lineRule="exact"/>
              <w:ind w:left="0" w:right="0"/>
              <w:jc w:val="right"/>
              <w:rPr>
                <w:i/>
                <w:sz w:val="16"/>
              </w:rPr>
            </w:pPr>
            <w:r>
              <w:rPr>
                <w:i/>
                <w:sz w:val="16"/>
              </w:rPr>
              <w:t>Total</w:t>
            </w:r>
          </w:p>
        </w:tc>
        <w:tc>
          <w:tcPr>
            <w:tcW w:w="1851" w:type="dxa"/>
            <w:tcBorders>
              <w:top w:val="single" w:sz="4" w:space="0" w:color="auto"/>
              <w:bottom w:val="single" w:sz="12" w:space="0" w:color="auto"/>
            </w:tcBorders>
            <w:shd w:val="clear" w:color="auto" w:fill="auto"/>
            <w:vAlign w:val="bottom"/>
            <w:hideMark/>
          </w:tcPr>
          <w:p w14:paraId="617B1072" w14:textId="77777777" w:rsidR="00EB5903" w:rsidRPr="00BE64D1" w:rsidRDefault="00EB5903" w:rsidP="00424836">
            <w:pPr>
              <w:pStyle w:val="SingleTxtG"/>
              <w:tabs>
                <w:tab w:val="clear" w:pos="1701"/>
                <w:tab w:val="clear" w:pos="2268"/>
              </w:tabs>
              <w:suppressAutoHyphens w:val="0"/>
              <w:spacing w:before="80" w:after="80" w:line="200" w:lineRule="exact"/>
              <w:ind w:left="0" w:right="0"/>
              <w:jc w:val="right"/>
              <w:rPr>
                <w:i/>
                <w:sz w:val="16"/>
              </w:rPr>
            </w:pPr>
            <w:r>
              <w:rPr>
                <w:i/>
                <w:sz w:val="16"/>
              </w:rPr>
              <w:t>Garçons</w:t>
            </w:r>
          </w:p>
        </w:tc>
        <w:tc>
          <w:tcPr>
            <w:tcW w:w="1893" w:type="dxa"/>
            <w:tcBorders>
              <w:top w:val="single" w:sz="4" w:space="0" w:color="auto"/>
              <w:bottom w:val="single" w:sz="12" w:space="0" w:color="auto"/>
            </w:tcBorders>
            <w:shd w:val="clear" w:color="auto" w:fill="auto"/>
            <w:vAlign w:val="bottom"/>
            <w:hideMark/>
          </w:tcPr>
          <w:p w14:paraId="4932CE8A" w14:textId="77777777" w:rsidR="00EB5903" w:rsidRPr="00BE64D1" w:rsidRDefault="00EB5903" w:rsidP="00424836">
            <w:pPr>
              <w:pStyle w:val="SingleTxtG"/>
              <w:tabs>
                <w:tab w:val="clear" w:pos="1701"/>
                <w:tab w:val="clear" w:pos="2268"/>
              </w:tabs>
              <w:suppressAutoHyphens w:val="0"/>
              <w:spacing w:before="80" w:after="80" w:line="200" w:lineRule="exact"/>
              <w:ind w:left="0" w:right="0"/>
              <w:jc w:val="right"/>
              <w:rPr>
                <w:i/>
                <w:sz w:val="16"/>
              </w:rPr>
            </w:pPr>
            <w:r>
              <w:rPr>
                <w:i/>
                <w:sz w:val="16"/>
              </w:rPr>
              <w:t>Filles</w:t>
            </w:r>
          </w:p>
        </w:tc>
      </w:tr>
      <w:tr w:rsidR="00EB5903" w:rsidRPr="00BE64D1" w14:paraId="4A7AA51A" w14:textId="77777777" w:rsidTr="008B4897">
        <w:tc>
          <w:tcPr>
            <w:tcW w:w="1775" w:type="dxa"/>
            <w:tcBorders>
              <w:top w:val="single" w:sz="12" w:space="0" w:color="auto"/>
            </w:tcBorders>
            <w:shd w:val="clear" w:color="auto" w:fill="auto"/>
            <w:hideMark/>
          </w:tcPr>
          <w:p w14:paraId="1C7B159B" w14:textId="77777777" w:rsidR="00EB5903" w:rsidRPr="00BE64D1"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2021 </w:t>
            </w:r>
          </w:p>
        </w:tc>
        <w:tc>
          <w:tcPr>
            <w:tcW w:w="1851" w:type="dxa"/>
            <w:tcBorders>
              <w:top w:val="single" w:sz="12" w:space="0" w:color="auto"/>
            </w:tcBorders>
            <w:shd w:val="clear" w:color="auto" w:fill="auto"/>
            <w:vAlign w:val="bottom"/>
            <w:hideMark/>
          </w:tcPr>
          <w:p w14:paraId="38F8A93C" w14:textId="77777777" w:rsidR="00EB5903" w:rsidRPr="00BE64D1" w:rsidRDefault="00EB5903" w:rsidP="00424836">
            <w:pPr>
              <w:pStyle w:val="SingleTxtG"/>
              <w:tabs>
                <w:tab w:val="clear" w:pos="1701"/>
                <w:tab w:val="clear" w:pos="2268"/>
              </w:tabs>
              <w:suppressAutoHyphens w:val="0"/>
              <w:spacing w:before="40" w:after="40" w:line="220" w:lineRule="exact"/>
              <w:ind w:left="0" w:right="0"/>
              <w:jc w:val="right"/>
              <w:rPr>
                <w:sz w:val="18"/>
              </w:rPr>
            </w:pPr>
            <w:r>
              <w:rPr>
                <w:sz w:val="18"/>
              </w:rPr>
              <w:t>29 795</w:t>
            </w:r>
          </w:p>
        </w:tc>
        <w:tc>
          <w:tcPr>
            <w:tcW w:w="1851" w:type="dxa"/>
            <w:tcBorders>
              <w:top w:val="single" w:sz="12" w:space="0" w:color="auto"/>
            </w:tcBorders>
            <w:shd w:val="clear" w:color="auto" w:fill="auto"/>
            <w:vAlign w:val="bottom"/>
            <w:hideMark/>
          </w:tcPr>
          <w:p w14:paraId="3681390A" w14:textId="77777777" w:rsidR="00EB5903" w:rsidRPr="00BE64D1" w:rsidRDefault="00EB5903" w:rsidP="00424836">
            <w:pPr>
              <w:pStyle w:val="SingleTxtG"/>
              <w:tabs>
                <w:tab w:val="clear" w:pos="1701"/>
                <w:tab w:val="clear" w:pos="2268"/>
              </w:tabs>
              <w:suppressAutoHyphens w:val="0"/>
              <w:spacing w:before="40" w:after="40" w:line="220" w:lineRule="exact"/>
              <w:ind w:left="0" w:right="0"/>
              <w:jc w:val="right"/>
              <w:rPr>
                <w:sz w:val="18"/>
              </w:rPr>
            </w:pPr>
            <w:r>
              <w:rPr>
                <w:sz w:val="18"/>
              </w:rPr>
              <w:t>25 940</w:t>
            </w:r>
          </w:p>
        </w:tc>
        <w:tc>
          <w:tcPr>
            <w:tcW w:w="1893" w:type="dxa"/>
            <w:tcBorders>
              <w:top w:val="single" w:sz="12" w:space="0" w:color="auto"/>
            </w:tcBorders>
            <w:shd w:val="clear" w:color="auto" w:fill="auto"/>
            <w:vAlign w:val="bottom"/>
            <w:hideMark/>
          </w:tcPr>
          <w:p w14:paraId="16761119" w14:textId="77777777" w:rsidR="00EB5903" w:rsidRPr="00BE64D1" w:rsidRDefault="00EB5903" w:rsidP="00424836">
            <w:pPr>
              <w:pStyle w:val="SingleTxtG"/>
              <w:tabs>
                <w:tab w:val="clear" w:pos="1701"/>
                <w:tab w:val="clear" w:pos="2268"/>
              </w:tabs>
              <w:suppressAutoHyphens w:val="0"/>
              <w:spacing w:before="40" w:after="40" w:line="220" w:lineRule="exact"/>
              <w:ind w:left="0" w:right="0"/>
              <w:jc w:val="right"/>
              <w:rPr>
                <w:sz w:val="18"/>
              </w:rPr>
            </w:pPr>
            <w:r>
              <w:rPr>
                <w:sz w:val="18"/>
              </w:rPr>
              <w:t>3 855</w:t>
            </w:r>
          </w:p>
        </w:tc>
      </w:tr>
      <w:tr w:rsidR="00EB5903" w:rsidRPr="00BE64D1" w14:paraId="0DD00779" w14:textId="77777777" w:rsidTr="008B4897">
        <w:tc>
          <w:tcPr>
            <w:tcW w:w="1775" w:type="dxa"/>
            <w:shd w:val="clear" w:color="auto" w:fill="auto"/>
            <w:hideMark/>
          </w:tcPr>
          <w:p w14:paraId="5E1CB90D" w14:textId="77777777" w:rsidR="00EB5903" w:rsidRPr="00BE64D1"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2022 </w:t>
            </w:r>
          </w:p>
        </w:tc>
        <w:tc>
          <w:tcPr>
            <w:tcW w:w="1851" w:type="dxa"/>
            <w:shd w:val="clear" w:color="auto" w:fill="auto"/>
            <w:vAlign w:val="bottom"/>
            <w:hideMark/>
          </w:tcPr>
          <w:p w14:paraId="0EF40310" w14:textId="77777777" w:rsidR="00EB5903" w:rsidRPr="00BE64D1" w:rsidRDefault="00EB5903" w:rsidP="00424836">
            <w:pPr>
              <w:pStyle w:val="SingleTxtG"/>
              <w:tabs>
                <w:tab w:val="clear" w:pos="1701"/>
                <w:tab w:val="clear" w:pos="2268"/>
              </w:tabs>
              <w:suppressAutoHyphens w:val="0"/>
              <w:spacing w:before="40" w:after="40" w:line="220" w:lineRule="exact"/>
              <w:ind w:left="0" w:right="0"/>
              <w:jc w:val="right"/>
              <w:rPr>
                <w:sz w:val="18"/>
              </w:rPr>
            </w:pPr>
            <w:r>
              <w:rPr>
                <w:sz w:val="18"/>
              </w:rPr>
              <w:t>30 979</w:t>
            </w:r>
          </w:p>
        </w:tc>
        <w:tc>
          <w:tcPr>
            <w:tcW w:w="1851" w:type="dxa"/>
            <w:shd w:val="clear" w:color="auto" w:fill="auto"/>
            <w:vAlign w:val="bottom"/>
            <w:hideMark/>
          </w:tcPr>
          <w:p w14:paraId="42264066" w14:textId="77777777" w:rsidR="00EB5903" w:rsidRPr="00BE64D1" w:rsidRDefault="00EB5903" w:rsidP="00424836">
            <w:pPr>
              <w:pStyle w:val="SingleTxtG"/>
              <w:tabs>
                <w:tab w:val="clear" w:pos="1701"/>
                <w:tab w:val="clear" w:pos="2268"/>
              </w:tabs>
              <w:suppressAutoHyphens w:val="0"/>
              <w:spacing w:before="40" w:after="40" w:line="220" w:lineRule="exact"/>
              <w:ind w:left="0" w:right="0"/>
              <w:jc w:val="right"/>
              <w:rPr>
                <w:sz w:val="18"/>
              </w:rPr>
            </w:pPr>
            <w:r>
              <w:rPr>
                <w:sz w:val="18"/>
              </w:rPr>
              <w:t>26 897</w:t>
            </w:r>
          </w:p>
        </w:tc>
        <w:tc>
          <w:tcPr>
            <w:tcW w:w="1893" w:type="dxa"/>
            <w:shd w:val="clear" w:color="auto" w:fill="auto"/>
            <w:vAlign w:val="bottom"/>
            <w:hideMark/>
          </w:tcPr>
          <w:p w14:paraId="50815CC0" w14:textId="77777777" w:rsidR="00EB5903" w:rsidRPr="00BE64D1" w:rsidRDefault="00EB5903" w:rsidP="00424836">
            <w:pPr>
              <w:pStyle w:val="SingleTxtG"/>
              <w:tabs>
                <w:tab w:val="clear" w:pos="1701"/>
                <w:tab w:val="clear" w:pos="2268"/>
              </w:tabs>
              <w:suppressAutoHyphens w:val="0"/>
              <w:spacing w:before="40" w:after="40" w:line="220" w:lineRule="exact"/>
              <w:ind w:left="0" w:right="0"/>
              <w:jc w:val="right"/>
              <w:rPr>
                <w:sz w:val="18"/>
              </w:rPr>
            </w:pPr>
            <w:r>
              <w:rPr>
                <w:sz w:val="18"/>
              </w:rPr>
              <w:t>4 082</w:t>
            </w:r>
          </w:p>
        </w:tc>
      </w:tr>
      <w:tr w:rsidR="00EB5903" w:rsidRPr="00BE64D1" w14:paraId="1ADC7018" w14:textId="77777777" w:rsidTr="008B4897">
        <w:tc>
          <w:tcPr>
            <w:tcW w:w="1775" w:type="dxa"/>
            <w:shd w:val="clear" w:color="auto" w:fill="auto"/>
            <w:hideMark/>
          </w:tcPr>
          <w:p w14:paraId="00BB58A5" w14:textId="77777777" w:rsidR="00EB5903" w:rsidRPr="00BE64D1" w:rsidRDefault="00EB5903" w:rsidP="008B4897">
            <w:pPr>
              <w:pStyle w:val="SingleTxtG"/>
              <w:tabs>
                <w:tab w:val="clear" w:pos="1701"/>
                <w:tab w:val="clear" w:pos="2268"/>
              </w:tabs>
              <w:suppressAutoHyphens w:val="0"/>
              <w:spacing w:before="40" w:after="40" w:line="220" w:lineRule="exact"/>
              <w:ind w:left="0" w:right="113"/>
              <w:jc w:val="left"/>
              <w:rPr>
                <w:sz w:val="18"/>
              </w:rPr>
            </w:pPr>
            <w:r>
              <w:rPr>
                <w:sz w:val="18"/>
              </w:rPr>
              <w:t>2023 </w:t>
            </w:r>
          </w:p>
        </w:tc>
        <w:tc>
          <w:tcPr>
            <w:tcW w:w="1851" w:type="dxa"/>
            <w:shd w:val="clear" w:color="auto" w:fill="auto"/>
            <w:vAlign w:val="bottom"/>
            <w:hideMark/>
          </w:tcPr>
          <w:p w14:paraId="2E446173" w14:textId="77777777" w:rsidR="00EB5903" w:rsidRPr="00BE64D1" w:rsidRDefault="00EB5903" w:rsidP="00424836">
            <w:pPr>
              <w:pStyle w:val="SingleTxtG"/>
              <w:tabs>
                <w:tab w:val="clear" w:pos="1701"/>
                <w:tab w:val="clear" w:pos="2268"/>
              </w:tabs>
              <w:suppressAutoHyphens w:val="0"/>
              <w:spacing w:before="40" w:after="40" w:line="220" w:lineRule="exact"/>
              <w:ind w:left="0" w:right="0"/>
              <w:jc w:val="right"/>
              <w:rPr>
                <w:sz w:val="18"/>
              </w:rPr>
            </w:pPr>
            <w:r>
              <w:rPr>
                <w:sz w:val="18"/>
              </w:rPr>
              <w:t>33 285</w:t>
            </w:r>
          </w:p>
        </w:tc>
        <w:tc>
          <w:tcPr>
            <w:tcW w:w="1851" w:type="dxa"/>
            <w:shd w:val="clear" w:color="auto" w:fill="auto"/>
            <w:vAlign w:val="bottom"/>
            <w:hideMark/>
          </w:tcPr>
          <w:p w14:paraId="105B3267" w14:textId="77777777" w:rsidR="00EB5903" w:rsidRPr="00BE64D1" w:rsidRDefault="00EB5903" w:rsidP="00424836">
            <w:pPr>
              <w:pStyle w:val="SingleTxtG"/>
              <w:tabs>
                <w:tab w:val="clear" w:pos="1701"/>
                <w:tab w:val="clear" w:pos="2268"/>
              </w:tabs>
              <w:suppressAutoHyphens w:val="0"/>
              <w:spacing w:before="40" w:after="40" w:line="220" w:lineRule="exact"/>
              <w:ind w:left="0" w:right="0"/>
              <w:jc w:val="right"/>
              <w:rPr>
                <w:sz w:val="18"/>
              </w:rPr>
            </w:pPr>
            <w:r>
              <w:rPr>
                <w:sz w:val="18"/>
              </w:rPr>
              <w:t>28 752</w:t>
            </w:r>
          </w:p>
        </w:tc>
        <w:tc>
          <w:tcPr>
            <w:tcW w:w="1893" w:type="dxa"/>
            <w:shd w:val="clear" w:color="auto" w:fill="auto"/>
            <w:vAlign w:val="bottom"/>
            <w:hideMark/>
          </w:tcPr>
          <w:p w14:paraId="15A94C2F" w14:textId="77777777" w:rsidR="00EB5903" w:rsidRPr="00BE64D1" w:rsidRDefault="00EB5903" w:rsidP="00424836">
            <w:pPr>
              <w:pStyle w:val="SingleTxtG"/>
              <w:tabs>
                <w:tab w:val="clear" w:pos="1701"/>
                <w:tab w:val="clear" w:pos="2268"/>
              </w:tabs>
              <w:suppressAutoHyphens w:val="0"/>
              <w:spacing w:before="40" w:after="40" w:line="220" w:lineRule="exact"/>
              <w:ind w:left="0" w:right="0"/>
              <w:jc w:val="right"/>
              <w:rPr>
                <w:sz w:val="18"/>
              </w:rPr>
            </w:pPr>
            <w:r>
              <w:rPr>
                <w:sz w:val="18"/>
              </w:rPr>
              <w:t>4 533</w:t>
            </w:r>
          </w:p>
        </w:tc>
      </w:tr>
    </w:tbl>
    <w:p w14:paraId="15C50FB7" w14:textId="77777777" w:rsidR="00EB5903" w:rsidRPr="00BE2E8F" w:rsidRDefault="00EB5903" w:rsidP="00EB5903">
      <w:pPr>
        <w:pStyle w:val="H1G"/>
      </w:pPr>
      <w:r>
        <w:tab/>
      </w:r>
      <w:r>
        <w:tab/>
        <w:t>Réponse au paragraphe 19 d) de la liste de points</w:t>
      </w:r>
    </w:p>
    <w:p w14:paraId="43F8AA26" w14:textId="77777777" w:rsidR="00EB5903" w:rsidRPr="00BE2E8F" w:rsidRDefault="00EB5903" w:rsidP="00EB5903">
      <w:pPr>
        <w:pStyle w:val="SingleTxtG"/>
      </w:pPr>
      <w:r>
        <w:t>120.</w:t>
      </w:r>
      <w:r>
        <w:tab/>
        <w:t>Les statistiques officielles concernant les enfants et les adolescents placés en détention provisoire au Brésil sont limitées. La loi brésilienne dispose que les mesures de détention s’appliquant aux jeunes ne peuvent pas excéder trois ans et ne doivent pas se prolonger après l’âge de 21 ans, mais les sources statistiques gouvernementales ne fournissent pas de données détaillées ventilées par âge, sexe ou type d’infraction.</w:t>
      </w:r>
    </w:p>
    <w:p w14:paraId="35A43AA6" w14:textId="77777777" w:rsidR="00EB5903" w:rsidRPr="00BE2E8F" w:rsidRDefault="00EB5903" w:rsidP="00424836">
      <w:pPr>
        <w:pStyle w:val="H1G"/>
      </w:pPr>
      <w:r>
        <w:tab/>
      </w:r>
      <w:r>
        <w:tab/>
        <w:t>Réponse au paragraphe 19 e) de la liste de points</w:t>
      </w:r>
    </w:p>
    <w:p w14:paraId="786AD55B" w14:textId="77777777" w:rsidR="00EB5903" w:rsidRPr="00BE2E8F" w:rsidRDefault="00EB5903" w:rsidP="00424836">
      <w:pPr>
        <w:pStyle w:val="SingleTxtG"/>
        <w:keepNext/>
        <w:keepLines/>
      </w:pPr>
      <w:r>
        <w:t>121.</w:t>
      </w:r>
      <w:r>
        <w:tab/>
        <w:t>Les statistiques officielles concernant les enfants et les adolescents purgeant des peines en détention au Brésil sont limitées. La loi brésilienne dispose que les mesures de détention s’appliquant aux jeunes ne peuvent pas excéder trois ans et ne doivent pas se prolonger après l’âge de 21 ans, mais les sources statistiques gouvernementales ne fournissent pas de données détaillées sur la durée des peines ventilées par âge, sexe ou type d’infraction.</w:t>
      </w:r>
    </w:p>
    <w:p w14:paraId="35880935" w14:textId="77777777" w:rsidR="00EB5903" w:rsidRPr="00BE2E8F" w:rsidRDefault="00EB5903" w:rsidP="00EB5903">
      <w:pPr>
        <w:pStyle w:val="H1G"/>
      </w:pPr>
      <w:r>
        <w:tab/>
      </w:r>
      <w:r>
        <w:tab/>
        <w:t>Réponse au paragraphe 20 de la liste de points</w:t>
      </w:r>
    </w:p>
    <w:p w14:paraId="3ED6078D" w14:textId="02EA2871" w:rsidR="00EB5903" w:rsidRPr="00BE2E8F" w:rsidRDefault="00EB5903" w:rsidP="00EB5903">
      <w:pPr>
        <w:pStyle w:val="SingleTxtG"/>
      </w:pPr>
      <w:r>
        <w:t>122.</w:t>
      </w:r>
      <w:r>
        <w:tab/>
        <w:t xml:space="preserve">En 2024, le Brésil a présenté son deuxième </w:t>
      </w:r>
      <w:r w:rsidR="00531608">
        <w:t>E</w:t>
      </w:r>
      <w:r>
        <w:t>xamen national volontaire lors du forum politique de haut niveau pour le développement durable des Nations</w:t>
      </w:r>
      <w:r w:rsidR="00531608">
        <w:t> </w:t>
      </w:r>
      <w:r>
        <w:t xml:space="preserve">Unies, rappelant son attachement aux objectifs de développement durable (ODD), en particulier en ce qui concerne les enfants et les jeunes. Le </w:t>
      </w:r>
      <w:r w:rsidR="00531608">
        <w:t>P</w:t>
      </w:r>
      <w:r>
        <w:t>lan pluriannuel pour 2024-2027 aligne les politiques nationales sur les ODD, en prévoyant six programmes prioritaires et cinq programmes transversaux, dont le premier est axé sur les enfants et les adolescents. Ce programme transversal soutient des initiatives importantes, tel que le programme « </w:t>
      </w:r>
      <w:proofErr w:type="spellStart"/>
      <w:r w:rsidRPr="00531608">
        <w:rPr>
          <w:i/>
          <w:iCs/>
        </w:rPr>
        <w:t>Juventude</w:t>
      </w:r>
      <w:proofErr w:type="spellEnd"/>
      <w:r w:rsidRPr="00531608">
        <w:rPr>
          <w:i/>
          <w:iCs/>
        </w:rPr>
        <w:t xml:space="preserve"> </w:t>
      </w:r>
      <w:proofErr w:type="spellStart"/>
      <w:r w:rsidRPr="00531608">
        <w:rPr>
          <w:i/>
          <w:iCs/>
        </w:rPr>
        <w:t>Negra</w:t>
      </w:r>
      <w:proofErr w:type="spellEnd"/>
      <w:r w:rsidRPr="00531608">
        <w:rPr>
          <w:i/>
          <w:iCs/>
        </w:rPr>
        <w:t xml:space="preserve"> Viva</w:t>
      </w:r>
      <w:r>
        <w:t> » (« Jeunesse noire vivante »), et renforce la stratégie du Brésil en matière de développement centré sur la jeunesse. Depuis 2023, le Gouvernement a renforcé ses politiques à destination des jeunes à travers des mesures telles que le rétablissement du Comité interministériel de la jeunesse, l’expansion du Conseil national pour la jeunesse et l’organisation d’ateliers dans le cadre du Plan national pour la jeunesse.</w:t>
      </w:r>
    </w:p>
    <w:p w14:paraId="33EC8923" w14:textId="5B2D1BE8" w:rsidR="00EB5903" w:rsidRPr="00BE2E8F" w:rsidRDefault="00EB5903" w:rsidP="00EB5903">
      <w:pPr>
        <w:pStyle w:val="SingleTxtG"/>
      </w:pPr>
      <w:r>
        <w:t>123.</w:t>
      </w:r>
      <w:r>
        <w:tab/>
        <w:t>L’</w:t>
      </w:r>
      <w:r w:rsidR="00531608">
        <w:t>E</w:t>
      </w:r>
      <w:r>
        <w:t>xamen national volontaire du Brésil montre également les progrès accomplis par le pays dans la mise en œuvre des ODD grâce aux indicateurs de l’Institut brésilien de géographie et de statistique (IBGE), notamment en ce qui concerne l’élimination de la pauvreté (ODD n</w:t>
      </w:r>
      <w:r>
        <w:rPr>
          <w:vertAlign w:val="superscript"/>
        </w:rPr>
        <w:t>o</w:t>
      </w:r>
      <w:r>
        <w:t> 1), la sécurité alimentaire (ODD n</w:t>
      </w:r>
      <w:r>
        <w:rPr>
          <w:vertAlign w:val="superscript"/>
        </w:rPr>
        <w:t>o</w:t>
      </w:r>
      <w:r>
        <w:t> 2), la santé (ODD n</w:t>
      </w:r>
      <w:r>
        <w:rPr>
          <w:vertAlign w:val="superscript"/>
        </w:rPr>
        <w:t>o</w:t>
      </w:r>
      <w:r>
        <w:t> 3), l’éducation (ODD n</w:t>
      </w:r>
      <w:r>
        <w:rPr>
          <w:vertAlign w:val="superscript"/>
        </w:rPr>
        <w:t>o</w:t>
      </w:r>
      <w:r>
        <w:t> 4), l’égalité des sexes (ODD n</w:t>
      </w:r>
      <w:r>
        <w:rPr>
          <w:vertAlign w:val="superscript"/>
        </w:rPr>
        <w:t>o</w:t>
      </w:r>
      <w:r>
        <w:t> 5), le travail décent (ODD n</w:t>
      </w:r>
      <w:r>
        <w:rPr>
          <w:vertAlign w:val="superscript"/>
        </w:rPr>
        <w:t>o</w:t>
      </w:r>
      <w:r>
        <w:t> 8) et l’efficacité des institutions (ODD n</w:t>
      </w:r>
      <w:r>
        <w:rPr>
          <w:vertAlign w:val="superscript"/>
        </w:rPr>
        <w:t>o</w:t>
      </w:r>
      <w:r>
        <w:t> 16). De plus, lors de la première Conférence ministérielle mondiale sur l’élimination de la violence contre les enfants (2024), le Brésil a renforcé son approche de la protection de l’enfance fondée sur les droits, contribuant directement à l’ODD n</w:t>
      </w:r>
      <w:r>
        <w:rPr>
          <w:vertAlign w:val="superscript"/>
        </w:rPr>
        <w:t>o</w:t>
      </w:r>
      <w:r>
        <w:t> 16.2. Ces efforts reflètent la nouvelle attention accordée par le Gouvernement aux politiques axées sur la jeunesse et au maintien du Programme 2030 au cœur des stratégies de développement national.</w:t>
      </w:r>
    </w:p>
    <w:p w14:paraId="1455C02F" w14:textId="77777777" w:rsidR="00EB5903" w:rsidRPr="00BE2E8F" w:rsidRDefault="00EB5903" w:rsidP="00EB5903">
      <w:pPr>
        <w:pStyle w:val="H1G"/>
      </w:pPr>
      <w:r>
        <w:tab/>
      </w:r>
      <w:r>
        <w:tab/>
        <w:t xml:space="preserve">Réponse au paragraphe 21 de la liste de points </w:t>
      </w:r>
    </w:p>
    <w:p w14:paraId="38BA94F4" w14:textId="77777777" w:rsidR="00EB5903" w:rsidRPr="00BE2E8F" w:rsidRDefault="00EB5903" w:rsidP="00EB5903">
      <w:pPr>
        <w:pStyle w:val="SingleTxtG"/>
      </w:pPr>
      <w:r>
        <w:t>124.</w:t>
      </w:r>
      <w:r>
        <w:tab/>
        <w:t>Selon les données de l’IBGE (recensement démographique de 2022), on dénombre au Brésil 40 129 261 enfants et adolescents, répartis de la manière suivante : 12 704 860 sont âgés de 0 à 4 ans, 13 749 440 sont âgés de 5 à 9 ans et 13 674 961 sont âgés de 10 à 14 ans.</w:t>
      </w:r>
    </w:p>
    <w:p w14:paraId="68F13239" w14:textId="77777777" w:rsidR="00EB5903" w:rsidRPr="00BE2E8F" w:rsidRDefault="00EB5903" w:rsidP="00EB5903">
      <w:pPr>
        <w:pStyle w:val="H1G"/>
      </w:pPr>
      <w:r>
        <w:lastRenderedPageBreak/>
        <w:tab/>
      </w:r>
      <w:r>
        <w:tab/>
        <w:t xml:space="preserve">Réponse au paragraphe 22 de la liste de points </w:t>
      </w:r>
    </w:p>
    <w:p w14:paraId="5DA6F1B2" w14:textId="184FEBBA" w:rsidR="00EB5903" w:rsidRDefault="00EB5903" w:rsidP="00EB5903">
      <w:pPr>
        <w:pStyle w:val="SingleTxtG"/>
      </w:pPr>
      <w:r>
        <w:t>125.</w:t>
      </w:r>
      <w:r>
        <w:tab/>
        <w:t>Le Brésil a défini plusieurs domaines prioritaires au regard de la mise en œuvre de la Convention relative aux droits de l’enfant. L’une des préoccupations principales est la protection dans l’environnement numérique, et l’Autorité nationale de protection des données a fait de la protection des données des enfants une priorité pour l’exercice biennal 2024</w:t>
      </w:r>
      <w:r w:rsidR="00531608">
        <w:noBreakHyphen/>
      </w:r>
      <w:r>
        <w:t>2025 afin de garantir le respect de la réglementation. Les changements climatiques et les droits de l’enfant ont gagné en importance, et des institutions non gouvernementales appellent à organiser une Conférence des Parties sur les enfants en 2025 afin d’amplifier la voix des jeunes dans les politiques environnementales. L’éducation et l’accès à la justice restent fondamentaux, en particulier concernant la démarcation des terres autochtones et le traitement des problèmes relatifs à la justice pour mineurs. Enfin, la santé et le bien-être des enfants restent prioritaires et des mesures sont prises pour réduire le taux de mortalité infanto</w:t>
      </w:r>
      <w:r>
        <w:noBreakHyphen/>
      </w:r>
      <w:r>
        <w:t>juvénile et améliorer l’accès à la santé des populations vulnérables.</w:t>
      </w:r>
    </w:p>
    <w:p w14:paraId="4B906F0A" w14:textId="7F00BF5A" w:rsidR="00EB5903" w:rsidRPr="00EB5903" w:rsidRDefault="00EB5903" w:rsidP="00EB5903">
      <w:pPr>
        <w:pStyle w:val="SingleTxtG"/>
        <w:spacing w:before="240" w:after="0"/>
        <w:jc w:val="center"/>
        <w:rPr>
          <w:u w:val="single"/>
        </w:rPr>
      </w:pPr>
      <w:r>
        <w:rPr>
          <w:u w:val="single"/>
        </w:rPr>
        <w:tab/>
      </w:r>
      <w:r>
        <w:rPr>
          <w:u w:val="single"/>
        </w:rPr>
        <w:tab/>
      </w:r>
      <w:r>
        <w:rPr>
          <w:u w:val="single"/>
        </w:rPr>
        <w:tab/>
      </w:r>
    </w:p>
    <w:sectPr w:rsidR="00EB5903" w:rsidRPr="00EB5903" w:rsidSect="00EB590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45CA2" w14:textId="77777777" w:rsidR="0094517A" w:rsidRDefault="0094517A" w:rsidP="00F95C08">
      <w:pPr>
        <w:spacing w:line="240" w:lineRule="auto"/>
      </w:pPr>
    </w:p>
  </w:endnote>
  <w:endnote w:type="continuationSeparator" w:id="0">
    <w:p w14:paraId="0F2BCF67" w14:textId="77777777" w:rsidR="0094517A" w:rsidRPr="00AC3823" w:rsidRDefault="0094517A" w:rsidP="00AC3823">
      <w:pPr>
        <w:pStyle w:val="Pieddepage"/>
      </w:pPr>
    </w:p>
  </w:endnote>
  <w:endnote w:type="continuationNotice" w:id="1">
    <w:p w14:paraId="5244B407" w14:textId="77777777" w:rsidR="0094517A" w:rsidRDefault="009451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174CE" w14:textId="77777777" w:rsidR="00EB5903" w:rsidRPr="00EB5903" w:rsidRDefault="00EB5903" w:rsidP="00EB5903">
    <w:pPr>
      <w:pStyle w:val="Pieddepage"/>
      <w:tabs>
        <w:tab w:val="right" w:pos="9638"/>
      </w:tabs>
    </w:pPr>
    <w:r w:rsidRPr="00EB5903">
      <w:rPr>
        <w:b/>
        <w:sz w:val="18"/>
      </w:rPr>
      <w:fldChar w:fldCharType="begin"/>
    </w:r>
    <w:r w:rsidRPr="00EB5903">
      <w:rPr>
        <w:b/>
        <w:sz w:val="18"/>
      </w:rPr>
      <w:instrText xml:space="preserve"> PAGE  \* MERGEFORMAT </w:instrText>
    </w:r>
    <w:r w:rsidRPr="00EB5903">
      <w:rPr>
        <w:b/>
        <w:sz w:val="18"/>
      </w:rPr>
      <w:fldChar w:fldCharType="separate"/>
    </w:r>
    <w:r w:rsidRPr="00EB5903">
      <w:rPr>
        <w:b/>
        <w:noProof/>
        <w:sz w:val="18"/>
      </w:rPr>
      <w:t>2</w:t>
    </w:r>
    <w:r w:rsidRPr="00EB5903">
      <w:rPr>
        <w:b/>
        <w:sz w:val="18"/>
      </w:rPr>
      <w:fldChar w:fldCharType="end"/>
    </w:r>
    <w:r>
      <w:rPr>
        <w:b/>
        <w:sz w:val="18"/>
      </w:rPr>
      <w:tab/>
    </w:r>
    <w:r>
      <w:t>GE.25-03760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F45EF" w14:textId="77777777" w:rsidR="00EB5903" w:rsidRPr="00EB5903" w:rsidRDefault="00EB5903" w:rsidP="00EB5903">
    <w:pPr>
      <w:pStyle w:val="Pieddepage"/>
      <w:tabs>
        <w:tab w:val="right" w:pos="9638"/>
      </w:tabs>
      <w:rPr>
        <w:b/>
        <w:sz w:val="18"/>
      </w:rPr>
    </w:pPr>
    <w:r>
      <w:t>GE.25-03760</w:t>
    </w:r>
    <w:r>
      <w:tab/>
    </w:r>
    <w:r w:rsidRPr="00EB5903">
      <w:rPr>
        <w:b/>
        <w:sz w:val="18"/>
      </w:rPr>
      <w:fldChar w:fldCharType="begin"/>
    </w:r>
    <w:r w:rsidRPr="00EB5903">
      <w:rPr>
        <w:b/>
        <w:sz w:val="18"/>
      </w:rPr>
      <w:instrText xml:space="preserve"> PAGE  \* MERGEFORMAT </w:instrText>
    </w:r>
    <w:r w:rsidRPr="00EB5903">
      <w:rPr>
        <w:b/>
        <w:sz w:val="18"/>
      </w:rPr>
      <w:fldChar w:fldCharType="separate"/>
    </w:r>
    <w:r w:rsidRPr="00EB5903">
      <w:rPr>
        <w:b/>
        <w:noProof/>
        <w:sz w:val="18"/>
      </w:rPr>
      <w:t>3</w:t>
    </w:r>
    <w:r w:rsidRPr="00EB59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F4811" w14:textId="50DCB99D" w:rsidR="002D14A3" w:rsidRPr="00EB5903" w:rsidRDefault="00EB5903" w:rsidP="00EB590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C903980" wp14:editId="43FAEF8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25-03760  (F)</w:t>
    </w:r>
    <w:r>
      <w:rPr>
        <w:noProof/>
        <w:sz w:val="20"/>
      </w:rPr>
      <w:drawing>
        <wp:anchor distT="0" distB="0" distL="114300" distR="114300" simplePos="0" relativeHeight="251660288" behindDoc="0" locked="0" layoutInCell="1" allowOverlap="1" wp14:anchorId="61A7C4C0" wp14:editId="7C33F29B">
          <wp:simplePos x="0" y="0"/>
          <wp:positionH relativeFrom="margin">
            <wp:posOffset>5489575</wp:posOffset>
          </wp:positionH>
          <wp:positionV relativeFrom="margin">
            <wp:posOffset>8891905</wp:posOffset>
          </wp:positionV>
          <wp:extent cx="628650" cy="628650"/>
          <wp:effectExtent l="0" t="0" r="0" b="0"/>
          <wp:wrapNone/>
          <wp:docPr id="20787232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100425    100425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EBC1D" w14:textId="77777777" w:rsidR="0094517A" w:rsidRPr="00AC3823" w:rsidRDefault="0094517A" w:rsidP="00AC3823">
      <w:pPr>
        <w:pStyle w:val="Pieddepage"/>
        <w:tabs>
          <w:tab w:val="right" w:pos="2155"/>
        </w:tabs>
        <w:spacing w:after="80" w:line="240" w:lineRule="atLeast"/>
        <w:ind w:left="680"/>
        <w:rPr>
          <w:u w:val="single"/>
        </w:rPr>
      </w:pPr>
      <w:r>
        <w:rPr>
          <w:u w:val="single"/>
        </w:rPr>
        <w:tab/>
      </w:r>
    </w:p>
  </w:footnote>
  <w:footnote w:type="continuationSeparator" w:id="0">
    <w:p w14:paraId="43ECFB95" w14:textId="77777777" w:rsidR="0094517A" w:rsidRPr="00AC3823" w:rsidRDefault="0094517A" w:rsidP="00AC3823">
      <w:pPr>
        <w:pStyle w:val="Pieddepage"/>
        <w:tabs>
          <w:tab w:val="right" w:pos="2155"/>
        </w:tabs>
        <w:spacing w:after="80" w:line="240" w:lineRule="atLeast"/>
        <w:ind w:left="680"/>
        <w:rPr>
          <w:u w:val="single"/>
        </w:rPr>
      </w:pPr>
      <w:r>
        <w:rPr>
          <w:u w:val="single"/>
        </w:rPr>
        <w:tab/>
      </w:r>
    </w:p>
  </w:footnote>
  <w:footnote w:type="continuationNotice" w:id="1">
    <w:p w14:paraId="3E2731DA" w14:textId="77777777" w:rsidR="0094517A" w:rsidRPr="00AC3823" w:rsidRDefault="0094517A">
      <w:pPr>
        <w:spacing w:line="240" w:lineRule="auto"/>
        <w:rPr>
          <w:sz w:val="2"/>
          <w:szCs w:val="2"/>
        </w:rPr>
      </w:pPr>
    </w:p>
  </w:footnote>
  <w:footnote w:id="2">
    <w:p w14:paraId="7C51253D" w14:textId="51BBF70C" w:rsidR="00EB5903" w:rsidRDefault="00EB5903" w:rsidP="00EB5903">
      <w:pPr>
        <w:pStyle w:val="Notedebasdepage"/>
      </w:pPr>
      <w:r>
        <w:tab/>
      </w:r>
      <w:r w:rsidRPr="00EB5903">
        <w:rPr>
          <w:sz w:val="20"/>
        </w:rPr>
        <w:t>*</w:t>
      </w:r>
      <w:r>
        <w:tab/>
        <w:t>La version originale du présent document n</w:t>
      </w:r>
      <w:r>
        <w:t>’</w:t>
      </w:r>
      <w:r>
        <w:t>a pas été revue par les services d</w:t>
      </w:r>
      <w:r>
        <w:t>’</w:t>
      </w:r>
      <w:r>
        <w:t>édition.</w:t>
      </w:r>
    </w:p>
  </w:footnote>
  <w:footnote w:id="3">
    <w:p w14:paraId="500E8DDE" w14:textId="58454453" w:rsidR="00EB5903" w:rsidRPr="00077634" w:rsidRDefault="00EB5903" w:rsidP="00EB5903">
      <w:pPr>
        <w:pStyle w:val="Notedebasdepage"/>
      </w:pPr>
      <w:r>
        <w:tab/>
      </w:r>
      <w:r w:rsidRPr="00EB5903">
        <w:rPr>
          <w:sz w:val="20"/>
        </w:rPr>
        <w:t>**</w:t>
      </w:r>
      <w:r>
        <w:tab/>
        <w:t>L</w:t>
      </w:r>
      <w:r>
        <w:t>’</w:t>
      </w:r>
      <w:r>
        <w:t>annexe du présent document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5A7BB" w14:textId="77777777" w:rsidR="00EB5903" w:rsidRPr="00EB5903" w:rsidRDefault="00EB5903">
    <w:pPr>
      <w:pStyle w:val="En-tte"/>
    </w:pPr>
    <w:fldSimple w:instr=" TITLE  \* MERGEFORMAT ">
      <w:r>
        <w:t>CRC/C/BRA/RQ/5-7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6FAB4" w14:textId="77777777" w:rsidR="00EB5903" w:rsidRPr="00EB5903" w:rsidRDefault="00EB5903" w:rsidP="00EB5903">
    <w:pPr>
      <w:pStyle w:val="En-tte"/>
      <w:jc w:val="right"/>
    </w:pPr>
    <w:fldSimple w:instr=" TITLE  \* MERGEFORMAT ">
      <w:r>
        <w:t>CRC/C/BRA/RQ/5-7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6C645D"/>
    <w:multiLevelType w:val="hybridMultilevel"/>
    <w:tmpl w:val="074A21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9A70AA6"/>
    <w:multiLevelType w:val="hybridMultilevel"/>
    <w:tmpl w:val="60C28C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B933FF6"/>
    <w:multiLevelType w:val="hybridMultilevel"/>
    <w:tmpl w:val="13AAE3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6D5DB5"/>
    <w:multiLevelType w:val="hybridMultilevel"/>
    <w:tmpl w:val="ACB648A0"/>
    <w:lvl w:ilvl="0" w:tplc="0FB28A3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8A355A0"/>
    <w:multiLevelType w:val="hybridMultilevel"/>
    <w:tmpl w:val="D318BA28"/>
    <w:lvl w:ilvl="0" w:tplc="0FB28A3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B943C95"/>
    <w:multiLevelType w:val="hybridMultilevel"/>
    <w:tmpl w:val="E0FA8B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F1204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B24078D"/>
    <w:multiLevelType w:val="hybridMultilevel"/>
    <w:tmpl w:val="C2FAA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FD62986"/>
    <w:multiLevelType w:val="hybridMultilevel"/>
    <w:tmpl w:val="E572F662"/>
    <w:lvl w:ilvl="0" w:tplc="983E0814">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1" w15:restartNumberingAfterBreak="0">
    <w:nsid w:val="771D771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9480EC5"/>
    <w:multiLevelType w:val="hybridMultilevel"/>
    <w:tmpl w:val="6E3EA1D4"/>
    <w:lvl w:ilvl="0" w:tplc="0FB28A34">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B293971"/>
    <w:multiLevelType w:val="hybridMultilevel"/>
    <w:tmpl w:val="0198A108"/>
    <w:lvl w:ilvl="0" w:tplc="0FB28A3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22616154">
    <w:abstractNumId w:val="28"/>
  </w:num>
  <w:num w:numId="2" w16cid:durableId="1921333580">
    <w:abstractNumId w:val="21"/>
  </w:num>
  <w:num w:numId="3" w16cid:durableId="880898490">
    <w:abstractNumId w:val="14"/>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8"/>
  </w:num>
  <w:num w:numId="15" w16cid:durableId="1862237535">
    <w:abstractNumId w:val="21"/>
  </w:num>
  <w:num w:numId="16" w16cid:durableId="75135487">
    <w:abstractNumId w:val="14"/>
  </w:num>
  <w:num w:numId="17" w16cid:durableId="1253078998">
    <w:abstractNumId w:val="28"/>
  </w:num>
  <w:num w:numId="18" w16cid:durableId="1188063002">
    <w:abstractNumId w:val="21"/>
  </w:num>
  <w:num w:numId="19" w16cid:durableId="1144927262">
    <w:abstractNumId w:val="14"/>
  </w:num>
  <w:num w:numId="20" w16cid:durableId="1315797373">
    <w:abstractNumId w:val="10"/>
  </w:num>
  <w:num w:numId="21" w16cid:durableId="2086413440">
    <w:abstractNumId w:val="25"/>
  </w:num>
  <w:num w:numId="22" w16cid:durableId="449130156">
    <w:abstractNumId w:val="27"/>
  </w:num>
  <w:num w:numId="23" w16cid:durableId="1760055393">
    <w:abstractNumId w:val="32"/>
  </w:num>
  <w:num w:numId="24" w16cid:durableId="1359742691">
    <w:abstractNumId w:val="16"/>
  </w:num>
  <w:num w:numId="25" w16cid:durableId="1284579773">
    <w:abstractNumId w:val="15"/>
  </w:num>
  <w:num w:numId="26" w16cid:durableId="865405149">
    <w:abstractNumId w:val="23"/>
  </w:num>
  <w:num w:numId="27" w16cid:durableId="468674048">
    <w:abstractNumId w:val="22"/>
  </w:num>
  <w:num w:numId="28" w16cid:durableId="1606377181">
    <w:abstractNumId w:val="26"/>
  </w:num>
  <w:num w:numId="29" w16cid:durableId="1012415940">
    <w:abstractNumId w:val="20"/>
  </w:num>
  <w:num w:numId="30" w16cid:durableId="711881383">
    <w:abstractNumId w:val="24"/>
  </w:num>
  <w:num w:numId="31" w16cid:durableId="1618678814">
    <w:abstractNumId w:val="31"/>
  </w:num>
  <w:num w:numId="32" w16cid:durableId="1627852449">
    <w:abstractNumId w:val="13"/>
  </w:num>
  <w:num w:numId="33" w16cid:durableId="1481577811">
    <w:abstractNumId w:val="29"/>
  </w:num>
  <w:num w:numId="34" w16cid:durableId="828137815">
    <w:abstractNumId w:val="11"/>
  </w:num>
  <w:num w:numId="35" w16cid:durableId="187834708">
    <w:abstractNumId w:val="19"/>
  </w:num>
  <w:num w:numId="36" w16cid:durableId="1515075483">
    <w:abstractNumId w:val="12"/>
  </w:num>
  <w:num w:numId="37" w16cid:durableId="1391272777">
    <w:abstractNumId w:val="30"/>
  </w:num>
  <w:num w:numId="38" w16cid:durableId="1063598562">
    <w:abstractNumId w:val="17"/>
  </w:num>
  <w:num w:numId="39" w16cid:durableId="1975139528">
    <w:abstractNumId w:val="34"/>
  </w:num>
  <w:num w:numId="40" w16cid:durableId="604115250">
    <w:abstractNumId w:val="18"/>
  </w:num>
  <w:num w:numId="41" w16cid:durableId="100435452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17A"/>
    <w:rsid w:val="00017F94"/>
    <w:rsid w:val="00023842"/>
    <w:rsid w:val="000334F9"/>
    <w:rsid w:val="000354E9"/>
    <w:rsid w:val="0007796D"/>
    <w:rsid w:val="000B7790"/>
    <w:rsid w:val="000C41CD"/>
    <w:rsid w:val="00111F2F"/>
    <w:rsid w:val="0014365E"/>
    <w:rsid w:val="00176178"/>
    <w:rsid w:val="001F2294"/>
    <w:rsid w:val="001F525A"/>
    <w:rsid w:val="00223272"/>
    <w:rsid w:val="00234326"/>
    <w:rsid w:val="00236BCA"/>
    <w:rsid w:val="0024779E"/>
    <w:rsid w:val="00260A30"/>
    <w:rsid w:val="002738F8"/>
    <w:rsid w:val="002D14A3"/>
    <w:rsid w:val="00311E81"/>
    <w:rsid w:val="00340ED0"/>
    <w:rsid w:val="00404CFF"/>
    <w:rsid w:val="00411C8E"/>
    <w:rsid w:val="00424836"/>
    <w:rsid w:val="00446FE5"/>
    <w:rsid w:val="00452396"/>
    <w:rsid w:val="00465ADD"/>
    <w:rsid w:val="00485B35"/>
    <w:rsid w:val="004D7A2C"/>
    <w:rsid w:val="004F4759"/>
    <w:rsid w:val="005010BA"/>
    <w:rsid w:val="00531608"/>
    <w:rsid w:val="005505B7"/>
    <w:rsid w:val="00570D88"/>
    <w:rsid w:val="00573BE5"/>
    <w:rsid w:val="00574B4D"/>
    <w:rsid w:val="00586ED3"/>
    <w:rsid w:val="00596AA9"/>
    <w:rsid w:val="005C295A"/>
    <w:rsid w:val="00615DD4"/>
    <w:rsid w:val="006351FC"/>
    <w:rsid w:val="0071601D"/>
    <w:rsid w:val="007341B7"/>
    <w:rsid w:val="00760CBC"/>
    <w:rsid w:val="007A62E6"/>
    <w:rsid w:val="007D2EA5"/>
    <w:rsid w:val="007F61AD"/>
    <w:rsid w:val="0080684C"/>
    <w:rsid w:val="008329F0"/>
    <w:rsid w:val="00840413"/>
    <w:rsid w:val="00871C75"/>
    <w:rsid w:val="008776DC"/>
    <w:rsid w:val="008C54BD"/>
    <w:rsid w:val="008D5E7F"/>
    <w:rsid w:val="008E4BE9"/>
    <w:rsid w:val="008F3CA0"/>
    <w:rsid w:val="0090579D"/>
    <w:rsid w:val="0094517A"/>
    <w:rsid w:val="009705C8"/>
    <w:rsid w:val="00A04A26"/>
    <w:rsid w:val="00A30353"/>
    <w:rsid w:val="00AC3823"/>
    <w:rsid w:val="00AE323C"/>
    <w:rsid w:val="00B00181"/>
    <w:rsid w:val="00B24A9B"/>
    <w:rsid w:val="00B765F7"/>
    <w:rsid w:val="00BA0CA9"/>
    <w:rsid w:val="00C02897"/>
    <w:rsid w:val="00CB4F51"/>
    <w:rsid w:val="00D3439C"/>
    <w:rsid w:val="00DB1831"/>
    <w:rsid w:val="00DD3BFD"/>
    <w:rsid w:val="00DF6678"/>
    <w:rsid w:val="00E22713"/>
    <w:rsid w:val="00E24756"/>
    <w:rsid w:val="00EA1E5F"/>
    <w:rsid w:val="00EB41A0"/>
    <w:rsid w:val="00EB590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46DB5"/>
  <w15:docId w15:val="{96EADFA0-97D2-4296-ABB4-360AC916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311E81"/>
    <w:pPr>
      <w:keepNext/>
      <w:keepLines/>
      <w:spacing w:after="0" w:line="240" w:lineRule="auto"/>
      <w:ind w:right="0"/>
      <w:jc w:val="left"/>
      <w:outlineLvl w:val="0"/>
    </w:pPr>
  </w:style>
  <w:style w:type="paragraph" w:styleId="Titre2">
    <w:name w:val="heading 2"/>
    <w:basedOn w:val="Normal"/>
    <w:next w:val="Normal"/>
    <w:link w:val="Titre2Car"/>
    <w:uiPriority w:val="9"/>
    <w:qFormat/>
    <w:rsid w:val="008C54BD"/>
    <w:pPr>
      <w:outlineLvl w:val="1"/>
    </w:pPr>
  </w:style>
  <w:style w:type="paragraph" w:styleId="Titre3">
    <w:name w:val="heading 3"/>
    <w:basedOn w:val="Normal"/>
    <w:next w:val="Normal"/>
    <w:link w:val="Titre3Car"/>
    <w:uiPriority w:val="9"/>
    <w:semiHidden/>
    <w:qFormat/>
    <w:rsid w:val="008C54BD"/>
    <w:pPr>
      <w:outlineLvl w:val="2"/>
    </w:pPr>
  </w:style>
  <w:style w:type="paragraph" w:styleId="Titre4">
    <w:name w:val="heading 4"/>
    <w:basedOn w:val="Normal"/>
    <w:next w:val="Normal"/>
    <w:link w:val="Titre4Car"/>
    <w:uiPriority w:val="9"/>
    <w:semiHidden/>
    <w:qFormat/>
    <w:rsid w:val="008C54BD"/>
    <w:pPr>
      <w:outlineLvl w:val="3"/>
    </w:pPr>
  </w:style>
  <w:style w:type="paragraph" w:styleId="Titre5">
    <w:name w:val="heading 5"/>
    <w:basedOn w:val="Normal"/>
    <w:next w:val="Normal"/>
    <w:link w:val="Titre5Car"/>
    <w:uiPriority w:val="9"/>
    <w:semiHidden/>
    <w:qFormat/>
    <w:rsid w:val="008C54BD"/>
    <w:pPr>
      <w:outlineLvl w:val="4"/>
    </w:pPr>
  </w:style>
  <w:style w:type="paragraph" w:styleId="Titre6">
    <w:name w:val="heading 6"/>
    <w:basedOn w:val="Normal"/>
    <w:next w:val="Normal"/>
    <w:link w:val="Titre6Car"/>
    <w:uiPriority w:val="9"/>
    <w:semiHidden/>
    <w:qFormat/>
    <w:rsid w:val="008C54BD"/>
    <w:pPr>
      <w:outlineLvl w:val="5"/>
    </w:pPr>
  </w:style>
  <w:style w:type="paragraph" w:styleId="Titre7">
    <w:name w:val="heading 7"/>
    <w:basedOn w:val="Normal"/>
    <w:next w:val="Normal"/>
    <w:link w:val="Titre7Car"/>
    <w:uiPriority w:val="9"/>
    <w:semiHidden/>
    <w:qFormat/>
    <w:rsid w:val="008C54BD"/>
    <w:pPr>
      <w:outlineLvl w:val="6"/>
    </w:pPr>
  </w:style>
  <w:style w:type="paragraph" w:styleId="Titre8">
    <w:name w:val="heading 8"/>
    <w:basedOn w:val="Normal"/>
    <w:next w:val="Normal"/>
    <w:link w:val="Titre8Car"/>
    <w:uiPriority w:val="9"/>
    <w:semiHidden/>
    <w:qFormat/>
    <w:rsid w:val="008C54BD"/>
    <w:pPr>
      <w:outlineLvl w:val="7"/>
    </w:pPr>
  </w:style>
  <w:style w:type="paragraph" w:styleId="Titre9">
    <w:name w:val="heading 9"/>
    <w:basedOn w:val="Normal"/>
    <w:next w:val="Normal"/>
    <w:link w:val="Titre9Car"/>
    <w:uiPriority w:val="9"/>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9"/>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uiPriority w:val="9"/>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uiPriority w:val="9"/>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uiPriority w:val="9"/>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uiPriority w:val="9"/>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uiPriority w:val="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EB5903"/>
    <w:pPr>
      <w:numPr>
        <w:numId w:val="20"/>
      </w:numPr>
      <w:tabs>
        <w:tab w:val="clear" w:pos="2835"/>
      </w:tabs>
      <w:kinsoku/>
      <w:overflowPunct/>
      <w:autoSpaceDE/>
      <w:autoSpaceDN/>
      <w:adjustRightInd/>
      <w:snapToGrid/>
    </w:pPr>
    <w:rPr>
      <w:rFonts w:eastAsia="SimSun"/>
      <w:lang w:val="fr-FR" w:eastAsia="zh-CN"/>
    </w:rPr>
  </w:style>
  <w:style w:type="numbering" w:styleId="111111">
    <w:name w:val="Outline List 2"/>
    <w:basedOn w:val="Aucuneliste"/>
    <w:semiHidden/>
    <w:rsid w:val="00EB5903"/>
    <w:pPr>
      <w:numPr>
        <w:numId w:val="22"/>
      </w:numPr>
    </w:pPr>
  </w:style>
  <w:style w:type="numbering" w:styleId="1ai">
    <w:name w:val="Outline List 1"/>
    <w:basedOn w:val="Aucuneliste"/>
    <w:semiHidden/>
    <w:rsid w:val="00EB5903"/>
    <w:pPr>
      <w:numPr>
        <w:numId w:val="23"/>
      </w:numPr>
    </w:pPr>
  </w:style>
  <w:style w:type="character" w:styleId="Titredulivre">
    <w:name w:val="Book Title"/>
    <w:basedOn w:val="Policepardfaut"/>
    <w:uiPriority w:val="33"/>
    <w:semiHidden/>
    <w:rsid w:val="00EB5903"/>
    <w:rPr>
      <w:b/>
      <w:bCs/>
      <w:smallCaps/>
      <w:spacing w:val="5"/>
    </w:rPr>
  </w:style>
  <w:style w:type="paragraph" w:styleId="Rvision">
    <w:name w:val="Revision"/>
    <w:hidden/>
    <w:uiPriority w:val="99"/>
    <w:semiHidden/>
    <w:rsid w:val="00EB5903"/>
    <w:pPr>
      <w:spacing w:after="0" w:line="240" w:lineRule="auto"/>
    </w:pPr>
    <w:rPr>
      <w:rFonts w:ascii="Times New Roman" w:hAnsi="Times New Roman" w:cs="Times New Roman"/>
      <w:sz w:val="20"/>
      <w:szCs w:val="20"/>
      <w:lang w:val="fr-FR" w:eastAsia="en-US"/>
    </w:rPr>
  </w:style>
  <w:style w:type="character" w:styleId="Marquedecommentaire">
    <w:name w:val="annotation reference"/>
    <w:basedOn w:val="Policepardfaut"/>
    <w:uiPriority w:val="99"/>
    <w:semiHidden/>
    <w:unhideWhenUsed/>
    <w:rsid w:val="00EB5903"/>
    <w:rPr>
      <w:sz w:val="16"/>
      <w:szCs w:val="16"/>
    </w:rPr>
  </w:style>
  <w:style w:type="paragraph" w:styleId="Commentaire">
    <w:name w:val="annotation text"/>
    <w:basedOn w:val="Normal"/>
    <w:link w:val="CommentaireCar"/>
    <w:uiPriority w:val="99"/>
    <w:unhideWhenUsed/>
    <w:rsid w:val="00EB5903"/>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rsid w:val="00EB5903"/>
    <w:rPr>
      <w:rFonts w:ascii="Times New Roman" w:hAnsi="Times New Roman" w:cs="Times New Roman"/>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EB5903"/>
    <w:rPr>
      <w:b/>
      <w:bCs/>
    </w:rPr>
  </w:style>
  <w:style w:type="character" w:customStyle="1" w:styleId="ObjetducommentaireCar">
    <w:name w:val="Objet du commentaire Car"/>
    <w:basedOn w:val="CommentaireCar"/>
    <w:link w:val="Objetducommentaire"/>
    <w:uiPriority w:val="99"/>
    <w:semiHidden/>
    <w:rsid w:val="00EB5903"/>
    <w:rPr>
      <w:rFonts w:ascii="Times New Roman" w:hAnsi="Times New Roman" w:cs="Times New Roman"/>
      <w:b/>
      <w:bCs/>
      <w:sz w:val="20"/>
      <w:szCs w:val="20"/>
      <w:lang w:val="fr-FR" w:eastAsia="en-US"/>
    </w:rPr>
  </w:style>
  <w:style w:type="character" w:styleId="Mentionnonrsolue">
    <w:name w:val="Unresolved Mention"/>
    <w:basedOn w:val="Policepardfaut"/>
    <w:uiPriority w:val="99"/>
    <w:semiHidden/>
    <w:unhideWhenUsed/>
    <w:rsid w:val="00EB59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RC/C/BRA/Q/5-7"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30</Pages>
  <Words>16112</Words>
  <Characters>80725</Characters>
  <Application>Microsoft Office Word</Application>
  <DocSecurity>0</DocSecurity>
  <Lines>2604</Lines>
  <Paragraphs>1793</Paragraphs>
  <ScaleCrop>false</ScaleCrop>
  <HeadingPairs>
    <vt:vector size="2" baseType="variant">
      <vt:variant>
        <vt:lpstr>Titre</vt:lpstr>
      </vt:variant>
      <vt:variant>
        <vt:i4>1</vt:i4>
      </vt:variant>
    </vt:vector>
  </HeadingPairs>
  <TitlesOfParts>
    <vt:vector size="1" baseType="lpstr">
      <vt:lpstr>CRC/C/BRA/RQ/5-7</vt:lpstr>
    </vt:vector>
  </TitlesOfParts>
  <Company>DCM</Company>
  <LinksUpToDate>false</LinksUpToDate>
  <CharactersWithSpaces>95044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CRC/C/BRA/RQ/5-7</dc:title>
  <dc:subject/>
  <dc:creator>Estelle-Delphine DITTA</dc:creator>
  <cp:keywords/>
  <cp:lastModifiedBy>Estelle Ditta</cp:lastModifiedBy>
  <cp:revision>2</cp:revision>
  <cp:lastPrinted>2014-05-14T10:59:00Z</cp:lastPrinted>
  <dcterms:created xsi:type="dcterms:W3CDTF">2025-04-10T10:25:00Z</dcterms:created>
  <dcterms:modified xsi:type="dcterms:W3CDTF">2025-04-10T10:25:00Z</dcterms:modified>
</cp:coreProperties>
</file>